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2786" w:rsidRPr="004F5F2B" w:rsidRDefault="00EF40E4" w:rsidP="00592786">
      <w:pPr>
        <w:jc w:val="center"/>
        <w:rPr>
          <w:b/>
          <w:bCs/>
        </w:rPr>
      </w:pPr>
      <w:bookmarkStart w:id="0" w:name="_GoBack"/>
      <w:bookmarkEnd w:id="0"/>
      <w:r w:rsidRPr="004F5F2B">
        <w:rPr>
          <w:b/>
          <w:noProof/>
          <w:lang w:val="pl-PL" w:eastAsia="pl-PL"/>
        </w:rPr>
        <w:drawing>
          <wp:inline distT="0" distB="0" distL="0" distR="0">
            <wp:extent cx="2693035" cy="1557655"/>
            <wp:effectExtent l="0" t="0" r="0" b="0"/>
            <wp:docPr id="1" name="Image 6" descr="V:\URBACT II\E) Administration Coordination\Suivi juridique\Documents officiels\charte graphique\URBACT_logotype\URBACT logotype\URBACT LOGOTYPE_with quote European programme\URBACT_quote_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V:\URBACT II\E) Administration Coordination\Suivi juridique\Documents officiels\charte graphique\URBACT_logotype\URBACT logotype\URBACT LOGOTYPE_with quote European programme\URBACT_quote_rgb.gif"/>
                    <pic:cNvPicPr>
                      <a:picLocks noChangeAspect="1" noChangeArrowheads="1"/>
                    </pic:cNvPicPr>
                  </pic:nvPicPr>
                  <pic:blipFill>
                    <a:blip r:embed="rId12" cstate="print"/>
                    <a:srcRect/>
                    <a:stretch>
                      <a:fillRect/>
                    </a:stretch>
                  </pic:blipFill>
                  <pic:spPr bwMode="auto">
                    <a:xfrm>
                      <a:off x="0" y="0"/>
                      <a:ext cx="2693035" cy="1557655"/>
                    </a:xfrm>
                    <a:prstGeom prst="rect">
                      <a:avLst/>
                    </a:prstGeom>
                    <a:noFill/>
                    <a:ln w="9525">
                      <a:noFill/>
                      <a:miter lim="800000"/>
                      <a:headEnd/>
                      <a:tailEnd/>
                    </a:ln>
                  </pic:spPr>
                </pic:pic>
              </a:graphicData>
            </a:graphic>
          </wp:inline>
        </w:drawing>
      </w:r>
    </w:p>
    <w:p w:rsidR="00592786" w:rsidRPr="004F5F2B" w:rsidRDefault="00592786" w:rsidP="00592786">
      <w:pPr>
        <w:jc w:val="center"/>
        <w:rPr>
          <w:b/>
          <w:bCs/>
          <w:i/>
          <w:iCs/>
          <w:sz w:val="22"/>
          <w:szCs w:val="22"/>
        </w:rPr>
      </w:pPr>
    </w:p>
    <w:p w:rsidR="00592786" w:rsidRPr="004F5F2B" w:rsidRDefault="00592786" w:rsidP="00592786">
      <w:pPr>
        <w:jc w:val="center"/>
        <w:rPr>
          <w:b/>
          <w:bCs/>
          <w:i/>
          <w:iCs/>
          <w:sz w:val="22"/>
          <w:szCs w:val="22"/>
        </w:rPr>
      </w:pPr>
    </w:p>
    <w:p w:rsidR="00592786" w:rsidRPr="004F5F2B" w:rsidRDefault="00592786" w:rsidP="00592786">
      <w:pPr>
        <w:jc w:val="center"/>
        <w:rPr>
          <w:b/>
          <w:bCs/>
          <w:i/>
          <w:iCs/>
          <w:sz w:val="22"/>
          <w:szCs w:val="22"/>
        </w:rPr>
      </w:pPr>
    </w:p>
    <w:p w:rsidR="00592786" w:rsidRPr="004F5F2B" w:rsidRDefault="00592786" w:rsidP="00592786">
      <w:pPr>
        <w:pStyle w:val="Standard-IfS"/>
        <w:tabs>
          <w:tab w:val="clear" w:pos="227"/>
          <w:tab w:val="clear" w:pos="357"/>
          <w:tab w:val="clear" w:pos="454"/>
          <w:tab w:val="clear" w:pos="709"/>
          <w:tab w:val="clear" w:pos="851"/>
          <w:tab w:val="clear" w:pos="992"/>
        </w:tabs>
        <w:spacing w:after="240"/>
        <w:jc w:val="center"/>
        <w:rPr>
          <w:rFonts w:ascii="Verdana" w:hAnsi="Verdana" w:cs="Times New Roman"/>
          <w:kern w:val="2"/>
          <w:sz w:val="32"/>
          <w:szCs w:val="32"/>
          <w:lang w:val="en-GB"/>
        </w:rPr>
      </w:pPr>
      <w:r w:rsidRPr="004F5F2B">
        <w:rPr>
          <w:rFonts w:ascii="Verdana" w:hAnsi="Verdana" w:cs="Times New Roman"/>
          <w:kern w:val="2"/>
          <w:sz w:val="32"/>
          <w:szCs w:val="32"/>
          <w:lang w:val="en-GB"/>
        </w:rPr>
        <w:t>European Regional Development Fund 2014 - 2020</w:t>
      </w:r>
    </w:p>
    <w:p w:rsidR="00592786" w:rsidRPr="004F5F2B" w:rsidRDefault="00592786" w:rsidP="00592786">
      <w:pPr>
        <w:jc w:val="center"/>
        <w:rPr>
          <w:b/>
          <w:bCs/>
          <w:i/>
          <w:iCs/>
          <w:sz w:val="22"/>
          <w:szCs w:val="22"/>
        </w:rPr>
      </w:pPr>
    </w:p>
    <w:p w:rsidR="00592786" w:rsidRPr="004F5F2B" w:rsidRDefault="00592786" w:rsidP="00592786">
      <w:pPr>
        <w:jc w:val="center"/>
        <w:rPr>
          <w:rFonts w:ascii="Verdana" w:hAnsi="Verdana"/>
          <w:sz w:val="40"/>
          <w:szCs w:val="40"/>
        </w:rPr>
      </w:pPr>
      <w:r w:rsidRPr="004F5F2B">
        <w:rPr>
          <w:rFonts w:ascii="Verdana" w:hAnsi="Verdana"/>
          <w:sz w:val="40"/>
          <w:szCs w:val="40"/>
        </w:rPr>
        <w:t>European Territorial Cooperation</w:t>
      </w:r>
    </w:p>
    <w:p w:rsidR="00592786" w:rsidRPr="004F5F2B" w:rsidRDefault="00592786" w:rsidP="00592786">
      <w:pPr>
        <w:jc w:val="center"/>
        <w:rPr>
          <w:b/>
          <w:bCs/>
          <w:i/>
          <w:iCs/>
          <w:sz w:val="22"/>
          <w:szCs w:val="22"/>
        </w:rPr>
      </w:pPr>
    </w:p>
    <w:p w:rsidR="00592786" w:rsidRPr="004F5F2B" w:rsidRDefault="00592786" w:rsidP="00592786">
      <w:pPr>
        <w:jc w:val="center"/>
        <w:rPr>
          <w:b/>
          <w:bCs/>
          <w:sz w:val="22"/>
          <w:szCs w:val="22"/>
        </w:rPr>
      </w:pPr>
    </w:p>
    <w:p w:rsidR="00592786" w:rsidRPr="004F5F2B" w:rsidRDefault="00592786" w:rsidP="00592786">
      <w:pPr>
        <w:jc w:val="center"/>
        <w:rPr>
          <w:b/>
          <w:bCs/>
          <w:sz w:val="22"/>
          <w:szCs w:val="22"/>
        </w:rPr>
      </w:pPr>
    </w:p>
    <w:p w:rsidR="00592786" w:rsidRPr="004F5F2B" w:rsidRDefault="00592786" w:rsidP="00592786">
      <w:pPr>
        <w:pStyle w:val="Tekstpodstawowywcity3"/>
        <w:ind w:left="0"/>
        <w:rPr>
          <w:rFonts w:ascii="Verdana" w:hAnsi="Verdana"/>
          <w:sz w:val="40"/>
          <w:szCs w:val="40"/>
        </w:rPr>
      </w:pPr>
      <w:r w:rsidRPr="004F5F2B">
        <w:rPr>
          <w:rFonts w:ascii="Verdana" w:hAnsi="Verdana"/>
          <w:sz w:val="40"/>
          <w:szCs w:val="40"/>
        </w:rPr>
        <w:t>URBACT III</w:t>
      </w:r>
    </w:p>
    <w:p w:rsidR="00592786" w:rsidRPr="004F5F2B" w:rsidRDefault="00592786" w:rsidP="00592786">
      <w:pPr>
        <w:jc w:val="center"/>
        <w:rPr>
          <w:rFonts w:ascii="Verdana" w:hAnsi="Verdana"/>
          <w:b/>
          <w:bCs/>
          <w:sz w:val="40"/>
          <w:szCs w:val="40"/>
        </w:rPr>
      </w:pPr>
      <w:r w:rsidRPr="004F5F2B">
        <w:rPr>
          <w:rFonts w:ascii="Verdana" w:hAnsi="Verdana"/>
          <w:b/>
          <w:bCs/>
          <w:sz w:val="40"/>
          <w:szCs w:val="40"/>
        </w:rPr>
        <w:t>OPERATIONAL PROGRAMME</w:t>
      </w:r>
    </w:p>
    <w:p w:rsidR="00FA1AE7" w:rsidRPr="005B0F91" w:rsidRDefault="005B0F91" w:rsidP="00592786">
      <w:pPr>
        <w:jc w:val="center"/>
        <w:rPr>
          <w:rFonts w:ascii="Verdana" w:hAnsi="Verdana"/>
          <w:b/>
          <w:bCs/>
          <w:sz w:val="28"/>
          <w:szCs w:val="28"/>
        </w:rPr>
      </w:pPr>
      <w:r w:rsidRPr="005B0F91">
        <w:rPr>
          <w:rFonts w:ascii="Verdana" w:hAnsi="Verdana"/>
          <w:b/>
          <w:bCs/>
          <w:sz w:val="28"/>
          <w:szCs w:val="28"/>
        </w:rPr>
        <w:t>CCI 2014TC16RFIR003</w:t>
      </w:r>
    </w:p>
    <w:p w:rsidR="00592786" w:rsidRPr="004F5F2B" w:rsidRDefault="00592786" w:rsidP="00592786">
      <w:pPr>
        <w:jc w:val="center"/>
        <w:rPr>
          <w:b/>
          <w:bCs/>
          <w:sz w:val="44"/>
          <w:szCs w:val="44"/>
        </w:rPr>
      </w:pPr>
    </w:p>
    <w:p w:rsidR="00592786" w:rsidRDefault="00592786" w:rsidP="00592786">
      <w:pPr>
        <w:jc w:val="center"/>
        <w:rPr>
          <w:b/>
          <w:bCs/>
          <w:sz w:val="44"/>
          <w:szCs w:val="44"/>
        </w:rPr>
      </w:pPr>
    </w:p>
    <w:p w:rsidR="00592786" w:rsidRPr="004F5F2B" w:rsidRDefault="00592786" w:rsidP="00592786">
      <w:pPr>
        <w:jc w:val="center"/>
        <w:rPr>
          <w:b/>
          <w:bCs/>
          <w:sz w:val="44"/>
          <w:szCs w:val="44"/>
        </w:rPr>
      </w:pPr>
    </w:p>
    <w:p w:rsidR="00592786" w:rsidRDefault="00291F43" w:rsidP="00592786">
      <w:pPr>
        <w:jc w:val="center"/>
        <w:rPr>
          <w:b/>
          <w:bCs/>
          <w:sz w:val="44"/>
          <w:szCs w:val="44"/>
        </w:rPr>
      </w:pPr>
      <w:r>
        <w:rPr>
          <w:b/>
          <w:bCs/>
          <w:sz w:val="44"/>
          <w:szCs w:val="44"/>
        </w:rPr>
        <w:t>Submitted via SFC Portal</w:t>
      </w:r>
    </w:p>
    <w:p w:rsidR="00291F43" w:rsidRPr="004F5F2B" w:rsidRDefault="00291F43" w:rsidP="00592786">
      <w:pPr>
        <w:jc w:val="center"/>
        <w:rPr>
          <w:b/>
          <w:bCs/>
          <w:sz w:val="44"/>
          <w:szCs w:val="44"/>
        </w:rPr>
      </w:pPr>
      <w:r>
        <w:rPr>
          <w:b/>
          <w:bCs/>
          <w:sz w:val="44"/>
          <w:szCs w:val="44"/>
        </w:rPr>
        <w:t>1</w:t>
      </w:r>
      <w:r w:rsidR="00DB0EB4" w:rsidRPr="00DB0EB4">
        <w:rPr>
          <w:b/>
          <w:bCs/>
          <w:sz w:val="44"/>
          <w:szCs w:val="44"/>
          <w:vertAlign w:val="superscript"/>
        </w:rPr>
        <w:t>st</w:t>
      </w:r>
      <w:r w:rsidR="00DB0EB4">
        <w:rPr>
          <w:b/>
          <w:bCs/>
          <w:sz w:val="44"/>
          <w:szCs w:val="44"/>
        </w:rPr>
        <w:t xml:space="preserve"> December</w:t>
      </w:r>
      <w:r>
        <w:rPr>
          <w:b/>
          <w:bCs/>
          <w:sz w:val="44"/>
          <w:szCs w:val="44"/>
        </w:rPr>
        <w:t xml:space="preserve"> 2014</w:t>
      </w:r>
    </w:p>
    <w:p w:rsidR="00592786" w:rsidRPr="004F5F2B" w:rsidRDefault="00592786" w:rsidP="00592786">
      <w:pPr>
        <w:jc w:val="center"/>
        <w:rPr>
          <w:b/>
          <w:bCs/>
          <w:sz w:val="44"/>
          <w:szCs w:val="44"/>
        </w:rPr>
      </w:pPr>
    </w:p>
    <w:p w:rsidR="00592786" w:rsidRPr="004F5F2B" w:rsidRDefault="00592786" w:rsidP="00592786">
      <w:pPr>
        <w:jc w:val="center"/>
        <w:rPr>
          <w:b/>
          <w:bCs/>
          <w:sz w:val="44"/>
          <w:szCs w:val="44"/>
        </w:rPr>
      </w:pPr>
    </w:p>
    <w:p w:rsidR="00592786" w:rsidRPr="004F5F2B" w:rsidRDefault="00592786" w:rsidP="00592786">
      <w:pPr>
        <w:jc w:val="center"/>
        <w:rPr>
          <w:b/>
          <w:bCs/>
          <w:sz w:val="28"/>
          <w:szCs w:val="28"/>
        </w:rPr>
      </w:pPr>
    </w:p>
    <w:p w:rsidR="00592786" w:rsidRPr="004F5F2B" w:rsidRDefault="00EF40E4" w:rsidP="00592786">
      <w:pPr>
        <w:ind w:left="3540"/>
      </w:pPr>
      <w:r w:rsidRPr="004F5F2B">
        <w:rPr>
          <w:noProof/>
          <w:lang w:val="pl-PL" w:eastAsia="pl-PL"/>
        </w:rPr>
        <w:drawing>
          <wp:inline distT="0" distB="0" distL="0" distR="0">
            <wp:extent cx="1577340" cy="1085215"/>
            <wp:effectExtent l="19050" t="0" r="3810" b="0"/>
            <wp:docPr id="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3" cstate="print"/>
                    <a:srcRect/>
                    <a:stretch>
                      <a:fillRect/>
                    </a:stretch>
                  </pic:blipFill>
                  <pic:spPr bwMode="auto">
                    <a:xfrm>
                      <a:off x="0" y="0"/>
                      <a:ext cx="1577340" cy="1085215"/>
                    </a:xfrm>
                    <a:prstGeom prst="rect">
                      <a:avLst/>
                    </a:prstGeom>
                    <a:noFill/>
                    <a:ln w="9525">
                      <a:noFill/>
                      <a:miter lim="800000"/>
                      <a:headEnd/>
                      <a:tailEnd/>
                    </a:ln>
                  </pic:spPr>
                </pic:pic>
              </a:graphicData>
            </a:graphic>
          </wp:inline>
        </w:drawing>
      </w:r>
    </w:p>
    <w:p w:rsidR="00592786" w:rsidRPr="004F5F2B" w:rsidRDefault="00592786" w:rsidP="00592786">
      <w:pPr>
        <w:ind w:left="3540"/>
      </w:pPr>
    </w:p>
    <w:p w:rsidR="00592786" w:rsidRPr="004F5F2B" w:rsidRDefault="00592786" w:rsidP="00592786">
      <w:pPr>
        <w:autoSpaceDE w:val="0"/>
        <w:autoSpaceDN w:val="0"/>
        <w:adjustRightInd w:val="0"/>
        <w:ind w:left="3540"/>
        <w:rPr>
          <w:rFonts w:ascii="MyriadPro-Bold" w:eastAsia="Calibri" w:hAnsi="MyriadPro-Bold" w:cs="MyriadPro-Bold"/>
          <w:b/>
          <w:bCs/>
          <w:sz w:val="32"/>
          <w:szCs w:val="32"/>
          <w:lang w:eastAsia="en-US"/>
        </w:rPr>
      </w:pPr>
      <w:r w:rsidRPr="004F5F2B">
        <w:rPr>
          <w:rFonts w:ascii="MyriadPro-Bold" w:eastAsia="Calibri" w:hAnsi="MyriadPro-Bold" w:cs="MyriadPro-Bold"/>
          <w:b/>
          <w:bCs/>
          <w:sz w:val="32"/>
          <w:szCs w:val="32"/>
          <w:lang w:eastAsia="en-US"/>
        </w:rPr>
        <w:t>European Union</w:t>
      </w:r>
    </w:p>
    <w:p w:rsidR="00592786" w:rsidRPr="004F5F2B" w:rsidRDefault="00592786" w:rsidP="00592786">
      <w:pPr>
        <w:ind w:left="3540"/>
        <w:rPr>
          <w:sz w:val="20"/>
          <w:szCs w:val="20"/>
        </w:rPr>
      </w:pPr>
      <w:r w:rsidRPr="004F5F2B">
        <w:rPr>
          <w:rFonts w:ascii="MyriadPro-Regular" w:eastAsia="Calibri" w:hAnsi="MyriadPro-Regular" w:cs="MyriadPro-Regular"/>
          <w:sz w:val="20"/>
          <w:szCs w:val="20"/>
          <w:lang w:eastAsia="en-US"/>
        </w:rPr>
        <w:t>European Regional Development Fund</w:t>
      </w:r>
    </w:p>
    <w:p w:rsidR="00E63C1B" w:rsidRDefault="00E63C1B">
      <w:pPr>
        <w:rPr>
          <w:rFonts w:ascii="Verdana" w:hAnsi="Verdana"/>
          <w:b/>
          <w:bCs/>
          <w:smallCaps/>
          <w:sz w:val="36"/>
          <w:szCs w:val="36"/>
        </w:rPr>
      </w:pPr>
      <w:r>
        <w:rPr>
          <w:rFonts w:ascii="Verdana" w:hAnsi="Verdana"/>
          <w:b/>
          <w:bCs/>
          <w:smallCaps/>
          <w:sz w:val="36"/>
          <w:szCs w:val="36"/>
        </w:rPr>
        <w:br w:type="page"/>
      </w:r>
    </w:p>
    <w:p w:rsidR="00AC759C" w:rsidRPr="004F5F2B" w:rsidRDefault="00AC759C" w:rsidP="00AC759C">
      <w:pPr>
        <w:pBdr>
          <w:bottom w:val="single" w:sz="4" w:space="1" w:color="auto"/>
        </w:pBdr>
        <w:rPr>
          <w:rFonts w:ascii="Verdana" w:hAnsi="Verdana"/>
          <w:b/>
          <w:bCs/>
          <w:smallCaps/>
          <w:sz w:val="36"/>
          <w:szCs w:val="36"/>
        </w:rPr>
      </w:pPr>
      <w:r w:rsidRPr="004F5F2B">
        <w:rPr>
          <w:rFonts w:ascii="Verdana" w:hAnsi="Verdana"/>
          <w:b/>
          <w:bCs/>
          <w:smallCaps/>
          <w:sz w:val="36"/>
          <w:szCs w:val="36"/>
        </w:rPr>
        <w:lastRenderedPageBreak/>
        <w:t>Summary of Contents</w:t>
      </w:r>
    </w:p>
    <w:p w:rsidR="00A532C7" w:rsidRPr="004F5F2B" w:rsidRDefault="00A532C7">
      <w:pPr>
        <w:pStyle w:val="En-ttedetabledesmatires1"/>
        <w:rPr>
          <w:lang w:val="en-GB"/>
        </w:rPr>
      </w:pPr>
    </w:p>
    <w:p w:rsidR="00F4006D" w:rsidRDefault="00565EF9">
      <w:pPr>
        <w:pStyle w:val="Spistreci1"/>
        <w:rPr>
          <w:rFonts w:asciiTheme="minorHAnsi" w:eastAsiaTheme="minorEastAsia" w:hAnsiTheme="minorHAnsi" w:cstheme="minorBidi"/>
          <w:b w:val="0"/>
          <w:bCs w:val="0"/>
          <w:sz w:val="22"/>
          <w:szCs w:val="22"/>
          <w:lang w:val="fr-FR"/>
        </w:rPr>
      </w:pPr>
      <w:r w:rsidRPr="004F5F2B">
        <w:rPr>
          <w:noProof w:val="0"/>
        </w:rPr>
        <w:fldChar w:fldCharType="begin"/>
      </w:r>
      <w:r w:rsidR="00A532C7" w:rsidRPr="004F5F2B">
        <w:rPr>
          <w:noProof w:val="0"/>
        </w:rPr>
        <w:instrText xml:space="preserve"> </w:instrText>
      </w:r>
      <w:r w:rsidR="00E465D9" w:rsidRPr="004F5F2B">
        <w:rPr>
          <w:noProof w:val="0"/>
        </w:rPr>
        <w:instrText>TOC</w:instrText>
      </w:r>
      <w:r w:rsidR="00A532C7" w:rsidRPr="004F5F2B">
        <w:rPr>
          <w:noProof w:val="0"/>
        </w:rPr>
        <w:instrText xml:space="preserve"> \o "1-3" \h \z \u </w:instrText>
      </w:r>
      <w:r w:rsidRPr="004F5F2B">
        <w:rPr>
          <w:noProof w:val="0"/>
        </w:rPr>
        <w:fldChar w:fldCharType="separate"/>
      </w:r>
      <w:hyperlink w:anchor="_Toc401325779" w:history="1">
        <w:r w:rsidR="00F4006D" w:rsidRPr="00286D48">
          <w:rPr>
            <w:rStyle w:val="Hipercze"/>
          </w:rPr>
          <w:t>Section 1 – Strategy for the contribution OF URBACT III to Europe 2020 and the achievement of economic, social and territorial cohesion</w:t>
        </w:r>
        <w:r w:rsidR="00F4006D">
          <w:rPr>
            <w:webHidden/>
          </w:rPr>
          <w:tab/>
        </w:r>
        <w:r>
          <w:rPr>
            <w:webHidden/>
          </w:rPr>
          <w:fldChar w:fldCharType="begin"/>
        </w:r>
        <w:r w:rsidR="00F4006D">
          <w:rPr>
            <w:webHidden/>
          </w:rPr>
          <w:instrText xml:space="preserve"> PAGEREF _Toc401325779 \h </w:instrText>
        </w:r>
        <w:r>
          <w:rPr>
            <w:webHidden/>
          </w:rPr>
        </w:r>
        <w:r>
          <w:rPr>
            <w:webHidden/>
          </w:rPr>
          <w:fldChar w:fldCharType="separate"/>
        </w:r>
        <w:r w:rsidR="00E00F86">
          <w:rPr>
            <w:webHidden/>
          </w:rPr>
          <w:t>6</w:t>
        </w:r>
        <w:r>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780" w:history="1">
        <w:r w:rsidR="00F4006D" w:rsidRPr="00286D48">
          <w:rPr>
            <w:rStyle w:val="Hipercze"/>
          </w:rPr>
          <w:t xml:space="preserve">1.1 </w:t>
        </w:r>
        <w:r w:rsidR="00F4006D">
          <w:rPr>
            <w:rFonts w:asciiTheme="minorHAnsi" w:eastAsiaTheme="minorEastAsia" w:hAnsiTheme="minorHAnsi" w:cstheme="minorBidi"/>
            <w:lang w:val="fr-FR" w:eastAsia="fr-FR"/>
          </w:rPr>
          <w:tab/>
        </w:r>
        <w:r w:rsidR="00F4006D" w:rsidRPr="00286D48">
          <w:rPr>
            <w:rStyle w:val="Hipercze"/>
          </w:rPr>
          <w:t>Strategy for the URBACT contribution to Europe 2020 and to the achievement of economic, social and territorial cohesion</w:t>
        </w:r>
        <w:r w:rsidR="00F4006D">
          <w:rPr>
            <w:webHidden/>
          </w:rPr>
          <w:tab/>
        </w:r>
        <w:r w:rsidR="00565EF9">
          <w:rPr>
            <w:webHidden/>
          </w:rPr>
          <w:fldChar w:fldCharType="begin"/>
        </w:r>
        <w:r w:rsidR="00F4006D">
          <w:rPr>
            <w:webHidden/>
          </w:rPr>
          <w:instrText xml:space="preserve"> PAGEREF _Toc401325780 \h </w:instrText>
        </w:r>
        <w:r w:rsidR="00565EF9">
          <w:rPr>
            <w:webHidden/>
          </w:rPr>
        </w:r>
        <w:r w:rsidR="00565EF9">
          <w:rPr>
            <w:webHidden/>
          </w:rPr>
          <w:fldChar w:fldCharType="separate"/>
        </w:r>
        <w:r w:rsidR="00E00F86">
          <w:rPr>
            <w:webHidden/>
          </w:rPr>
          <w:t>6</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781" w:history="1">
        <w:r w:rsidR="00F4006D" w:rsidRPr="00286D48">
          <w:rPr>
            <w:rStyle w:val="Hipercze"/>
          </w:rPr>
          <w:t>1.1.1 The context of the programme</w:t>
        </w:r>
        <w:r w:rsidR="00F4006D">
          <w:rPr>
            <w:webHidden/>
          </w:rPr>
          <w:tab/>
        </w:r>
        <w:r w:rsidR="00565EF9">
          <w:rPr>
            <w:webHidden/>
          </w:rPr>
          <w:fldChar w:fldCharType="begin"/>
        </w:r>
        <w:r w:rsidR="00F4006D">
          <w:rPr>
            <w:webHidden/>
          </w:rPr>
          <w:instrText xml:space="preserve"> PAGEREF _Toc401325781 \h </w:instrText>
        </w:r>
        <w:r w:rsidR="00565EF9">
          <w:rPr>
            <w:webHidden/>
          </w:rPr>
        </w:r>
        <w:r w:rsidR="00565EF9">
          <w:rPr>
            <w:webHidden/>
          </w:rPr>
          <w:fldChar w:fldCharType="separate"/>
        </w:r>
        <w:r w:rsidR="00E00F86">
          <w:rPr>
            <w:webHidden/>
          </w:rPr>
          <w:t>6</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782" w:history="1">
        <w:r w:rsidR="00F4006D" w:rsidRPr="00286D48">
          <w:rPr>
            <w:rStyle w:val="Hipercze"/>
          </w:rPr>
          <w:t>1.1.2 Urban context and the needs of cities</w:t>
        </w:r>
        <w:r w:rsidR="00F4006D">
          <w:rPr>
            <w:webHidden/>
          </w:rPr>
          <w:tab/>
        </w:r>
        <w:r w:rsidR="00565EF9">
          <w:rPr>
            <w:webHidden/>
          </w:rPr>
          <w:fldChar w:fldCharType="begin"/>
        </w:r>
        <w:r w:rsidR="00F4006D">
          <w:rPr>
            <w:webHidden/>
          </w:rPr>
          <w:instrText xml:space="preserve"> PAGEREF _Toc401325782 \h </w:instrText>
        </w:r>
        <w:r w:rsidR="00565EF9">
          <w:rPr>
            <w:webHidden/>
          </w:rPr>
        </w:r>
        <w:r w:rsidR="00565EF9">
          <w:rPr>
            <w:webHidden/>
          </w:rPr>
          <w:fldChar w:fldCharType="separate"/>
        </w:r>
        <w:r w:rsidR="00E00F86">
          <w:rPr>
            <w:webHidden/>
          </w:rPr>
          <w:t>9</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783" w:history="1">
        <w:r w:rsidR="00F4006D" w:rsidRPr="00286D48">
          <w:rPr>
            <w:rStyle w:val="Hipercze"/>
          </w:rPr>
          <w:t>1.1.3 Strategy</w:t>
        </w:r>
        <w:r w:rsidR="00F4006D">
          <w:rPr>
            <w:webHidden/>
          </w:rPr>
          <w:tab/>
        </w:r>
        <w:r w:rsidR="00565EF9">
          <w:rPr>
            <w:webHidden/>
          </w:rPr>
          <w:fldChar w:fldCharType="begin"/>
        </w:r>
        <w:r w:rsidR="00F4006D">
          <w:rPr>
            <w:webHidden/>
          </w:rPr>
          <w:instrText xml:space="preserve"> PAGEREF _Toc401325783 \h </w:instrText>
        </w:r>
        <w:r w:rsidR="00565EF9">
          <w:rPr>
            <w:webHidden/>
          </w:rPr>
        </w:r>
        <w:r w:rsidR="00565EF9">
          <w:rPr>
            <w:webHidden/>
          </w:rPr>
          <w:fldChar w:fldCharType="separate"/>
        </w:r>
        <w:r w:rsidR="00E00F86">
          <w:rPr>
            <w:webHidden/>
          </w:rPr>
          <w:t>19</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784" w:history="1">
        <w:r w:rsidR="00F4006D" w:rsidRPr="00286D48">
          <w:rPr>
            <w:rStyle w:val="Hipercze"/>
          </w:rPr>
          <w:t>1.2</w:t>
        </w:r>
        <w:r w:rsidR="00F4006D">
          <w:rPr>
            <w:rFonts w:asciiTheme="minorHAnsi" w:eastAsiaTheme="minorEastAsia" w:hAnsiTheme="minorHAnsi" w:cstheme="minorBidi"/>
            <w:lang w:val="fr-FR" w:eastAsia="fr-FR"/>
          </w:rPr>
          <w:tab/>
        </w:r>
        <w:r w:rsidR="00F4006D" w:rsidRPr="00286D48">
          <w:rPr>
            <w:rStyle w:val="Hipercze"/>
          </w:rPr>
          <w:t>Justification of the financial allocation</w:t>
        </w:r>
        <w:r w:rsidR="00F4006D">
          <w:rPr>
            <w:webHidden/>
          </w:rPr>
          <w:tab/>
        </w:r>
        <w:r w:rsidR="00565EF9">
          <w:rPr>
            <w:webHidden/>
          </w:rPr>
          <w:fldChar w:fldCharType="begin"/>
        </w:r>
        <w:r w:rsidR="00F4006D">
          <w:rPr>
            <w:webHidden/>
          </w:rPr>
          <w:instrText xml:space="preserve"> PAGEREF _Toc401325784 \h </w:instrText>
        </w:r>
        <w:r w:rsidR="00565EF9">
          <w:rPr>
            <w:webHidden/>
          </w:rPr>
        </w:r>
        <w:r w:rsidR="00565EF9">
          <w:rPr>
            <w:webHidden/>
          </w:rPr>
          <w:fldChar w:fldCharType="separate"/>
        </w:r>
        <w:r w:rsidR="00E00F86">
          <w:rPr>
            <w:webHidden/>
          </w:rPr>
          <w:t>21</w:t>
        </w:r>
        <w:r w:rsidR="00565EF9">
          <w:rPr>
            <w:webHidden/>
          </w:rPr>
          <w:fldChar w:fldCharType="end"/>
        </w:r>
      </w:hyperlink>
    </w:p>
    <w:p w:rsidR="00F4006D" w:rsidRDefault="006F7B95">
      <w:pPr>
        <w:pStyle w:val="Spistreci1"/>
        <w:rPr>
          <w:rFonts w:asciiTheme="minorHAnsi" w:eastAsiaTheme="minorEastAsia" w:hAnsiTheme="minorHAnsi" w:cstheme="minorBidi"/>
          <w:b w:val="0"/>
          <w:bCs w:val="0"/>
          <w:sz w:val="22"/>
          <w:szCs w:val="22"/>
          <w:lang w:val="fr-FR"/>
        </w:rPr>
      </w:pPr>
      <w:hyperlink w:anchor="_Toc401325785" w:history="1">
        <w:r w:rsidR="00F4006D" w:rsidRPr="00286D48">
          <w:rPr>
            <w:rStyle w:val="Hipercze"/>
          </w:rPr>
          <w:t>Section 2.</w:t>
        </w:r>
        <w:r w:rsidR="00F4006D">
          <w:rPr>
            <w:rFonts w:asciiTheme="minorHAnsi" w:eastAsiaTheme="minorEastAsia" w:hAnsiTheme="minorHAnsi" w:cstheme="minorBidi"/>
            <w:b w:val="0"/>
            <w:bCs w:val="0"/>
            <w:sz w:val="22"/>
            <w:szCs w:val="22"/>
            <w:lang w:val="fr-FR"/>
          </w:rPr>
          <w:tab/>
        </w:r>
        <w:r w:rsidR="00F4006D" w:rsidRPr="00286D48">
          <w:rPr>
            <w:rStyle w:val="Hipercze"/>
          </w:rPr>
          <w:t xml:space="preserve">Priority axes </w:t>
        </w:r>
        <w:r w:rsidR="00F4006D">
          <w:rPr>
            <w:webHidden/>
          </w:rPr>
          <w:tab/>
        </w:r>
        <w:r w:rsidR="00565EF9">
          <w:rPr>
            <w:webHidden/>
          </w:rPr>
          <w:fldChar w:fldCharType="begin"/>
        </w:r>
        <w:r w:rsidR="00F4006D">
          <w:rPr>
            <w:webHidden/>
          </w:rPr>
          <w:instrText xml:space="preserve"> PAGEREF _Toc401325785 \h </w:instrText>
        </w:r>
        <w:r w:rsidR="00565EF9">
          <w:rPr>
            <w:webHidden/>
          </w:rPr>
        </w:r>
        <w:r w:rsidR="00565EF9">
          <w:rPr>
            <w:webHidden/>
          </w:rPr>
          <w:fldChar w:fldCharType="separate"/>
        </w:r>
        <w:r w:rsidR="00E00F86">
          <w:rPr>
            <w:webHidden/>
          </w:rPr>
          <w:t>28</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786" w:history="1">
        <w:r w:rsidR="00F4006D" w:rsidRPr="00286D48">
          <w:rPr>
            <w:rStyle w:val="Hipercze"/>
          </w:rPr>
          <w:t xml:space="preserve">2.A. </w:t>
        </w:r>
        <w:r w:rsidR="00F4006D">
          <w:rPr>
            <w:rFonts w:asciiTheme="minorHAnsi" w:eastAsiaTheme="minorEastAsia" w:hAnsiTheme="minorHAnsi" w:cstheme="minorBidi"/>
            <w:lang w:val="fr-FR" w:eastAsia="fr-FR"/>
          </w:rPr>
          <w:tab/>
        </w:r>
        <w:r w:rsidR="00F4006D" w:rsidRPr="00286D48">
          <w:rPr>
            <w:rStyle w:val="Hipercze"/>
          </w:rPr>
          <w:t>Description of Priority Axes</w:t>
        </w:r>
        <w:r w:rsidR="00F4006D">
          <w:rPr>
            <w:webHidden/>
          </w:rPr>
          <w:tab/>
        </w:r>
        <w:r w:rsidR="00565EF9">
          <w:rPr>
            <w:webHidden/>
          </w:rPr>
          <w:fldChar w:fldCharType="begin"/>
        </w:r>
        <w:r w:rsidR="00F4006D">
          <w:rPr>
            <w:webHidden/>
          </w:rPr>
          <w:instrText xml:space="preserve"> PAGEREF _Toc401325786 \h </w:instrText>
        </w:r>
        <w:r w:rsidR="00565EF9">
          <w:rPr>
            <w:webHidden/>
          </w:rPr>
        </w:r>
        <w:r w:rsidR="00565EF9">
          <w:rPr>
            <w:webHidden/>
          </w:rPr>
          <w:fldChar w:fldCharType="separate"/>
        </w:r>
        <w:r w:rsidR="00E00F86">
          <w:rPr>
            <w:webHidden/>
          </w:rPr>
          <w:t>28</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787" w:history="1">
        <w:r w:rsidR="00F4006D" w:rsidRPr="00286D48">
          <w:rPr>
            <w:rStyle w:val="Hipercze"/>
          </w:rPr>
          <w:t xml:space="preserve">2.A.1. </w:t>
        </w:r>
        <w:r w:rsidR="00F4006D">
          <w:rPr>
            <w:rFonts w:asciiTheme="minorHAnsi" w:eastAsiaTheme="minorEastAsia" w:hAnsiTheme="minorHAnsi" w:cstheme="minorBidi"/>
            <w:lang w:val="fr-FR" w:eastAsia="fr-FR"/>
          </w:rPr>
          <w:tab/>
        </w:r>
        <w:r w:rsidR="00F4006D" w:rsidRPr="00286D48">
          <w:rPr>
            <w:rStyle w:val="Hipercze"/>
          </w:rPr>
          <w:t>Priority Axis 1</w:t>
        </w:r>
        <w:r w:rsidR="00F4006D">
          <w:rPr>
            <w:webHidden/>
          </w:rPr>
          <w:tab/>
        </w:r>
        <w:r w:rsidR="00565EF9">
          <w:rPr>
            <w:webHidden/>
          </w:rPr>
          <w:fldChar w:fldCharType="begin"/>
        </w:r>
        <w:r w:rsidR="00F4006D">
          <w:rPr>
            <w:webHidden/>
          </w:rPr>
          <w:instrText xml:space="preserve"> PAGEREF _Toc401325787 \h </w:instrText>
        </w:r>
        <w:r w:rsidR="00565EF9">
          <w:rPr>
            <w:webHidden/>
          </w:rPr>
        </w:r>
        <w:r w:rsidR="00565EF9">
          <w:rPr>
            <w:webHidden/>
          </w:rPr>
          <w:fldChar w:fldCharType="separate"/>
        </w:r>
        <w:r w:rsidR="00E00F86">
          <w:rPr>
            <w:webHidden/>
          </w:rPr>
          <w:t>28</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788" w:history="1">
        <w:r w:rsidR="00F4006D" w:rsidRPr="00286D48">
          <w:rPr>
            <w:rStyle w:val="Hipercze"/>
          </w:rPr>
          <w:t xml:space="preserve">2.A.2 </w:t>
        </w:r>
        <w:r w:rsidR="00F4006D">
          <w:rPr>
            <w:rFonts w:asciiTheme="minorHAnsi" w:eastAsiaTheme="minorEastAsia" w:hAnsiTheme="minorHAnsi" w:cstheme="minorBidi"/>
            <w:lang w:val="fr-FR" w:eastAsia="fr-FR"/>
          </w:rPr>
          <w:tab/>
        </w:r>
        <w:r w:rsidR="00F4006D" w:rsidRPr="00286D48">
          <w:rPr>
            <w:rStyle w:val="Hipercze"/>
          </w:rPr>
          <w:t xml:space="preserve">Specific objectives corresponding to the investment priority and expected results – </w:t>
        </w:r>
        <w:r w:rsidR="00F4006D">
          <w:rPr>
            <w:webHidden/>
          </w:rPr>
          <w:tab/>
        </w:r>
        <w:r w:rsidR="00565EF9">
          <w:rPr>
            <w:webHidden/>
          </w:rPr>
          <w:fldChar w:fldCharType="begin"/>
        </w:r>
        <w:r w:rsidR="00F4006D">
          <w:rPr>
            <w:webHidden/>
          </w:rPr>
          <w:instrText xml:space="preserve"> PAGEREF _Toc401325788 \h </w:instrText>
        </w:r>
        <w:r w:rsidR="00565EF9">
          <w:rPr>
            <w:webHidden/>
          </w:rPr>
        </w:r>
        <w:r w:rsidR="00565EF9">
          <w:rPr>
            <w:webHidden/>
          </w:rPr>
          <w:fldChar w:fldCharType="separate"/>
        </w:r>
        <w:r w:rsidR="00E00F86">
          <w:rPr>
            <w:webHidden/>
          </w:rPr>
          <w:t>28</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789" w:history="1">
        <w:r w:rsidR="00F4006D" w:rsidRPr="00286D48">
          <w:rPr>
            <w:rStyle w:val="Hipercze"/>
          </w:rPr>
          <w:t xml:space="preserve">2.A.3. </w:t>
        </w:r>
        <w:r w:rsidR="00F4006D">
          <w:rPr>
            <w:rFonts w:asciiTheme="minorHAnsi" w:eastAsiaTheme="minorEastAsia" w:hAnsiTheme="minorHAnsi" w:cstheme="minorBidi"/>
            <w:lang w:val="fr-FR" w:eastAsia="fr-FR"/>
          </w:rPr>
          <w:tab/>
        </w:r>
        <w:r w:rsidR="00F4006D" w:rsidRPr="00286D48">
          <w:rPr>
            <w:rStyle w:val="Hipercze"/>
          </w:rPr>
          <w:t>Actions to be supported under the investment priority</w:t>
        </w:r>
        <w:r w:rsidR="00F4006D">
          <w:rPr>
            <w:webHidden/>
          </w:rPr>
          <w:tab/>
        </w:r>
        <w:r w:rsidR="00565EF9">
          <w:rPr>
            <w:webHidden/>
          </w:rPr>
          <w:fldChar w:fldCharType="begin"/>
        </w:r>
        <w:r w:rsidR="00F4006D">
          <w:rPr>
            <w:webHidden/>
          </w:rPr>
          <w:instrText xml:space="preserve"> PAGEREF _Toc401325789 \h </w:instrText>
        </w:r>
        <w:r w:rsidR="00565EF9">
          <w:rPr>
            <w:webHidden/>
          </w:rPr>
        </w:r>
        <w:r w:rsidR="00565EF9">
          <w:rPr>
            <w:webHidden/>
          </w:rPr>
          <w:fldChar w:fldCharType="separate"/>
        </w:r>
        <w:r w:rsidR="00E00F86">
          <w:rPr>
            <w:webHidden/>
          </w:rPr>
          <w:t>34</w:t>
        </w:r>
        <w:r w:rsidR="00565EF9">
          <w:rPr>
            <w:webHidden/>
          </w:rPr>
          <w:fldChar w:fldCharType="end"/>
        </w:r>
      </w:hyperlink>
    </w:p>
    <w:p w:rsidR="00F4006D" w:rsidRDefault="006F7B95">
      <w:pPr>
        <w:pStyle w:val="Spistreci2"/>
        <w:tabs>
          <w:tab w:val="left" w:pos="1896"/>
        </w:tabs>
        <w:rPr>
          <w:rFonts w:asciiTheme="minorHAnsi" w:eastAsiaTheme="minorEastAsia" w:hAnsiTheme="minorHAnsi" w:cstheme="minorBidi"/>
          <w:lang w:val="fr-FR" w:eastAsia="fr-FR"/>
        </w:rPr>
      </w:pPr>
      <w:hyperlink w:anchor="_Toc401325790" w:history="1">
        <w:r w:rsidR="00F4006D" w:rsidRPr="00286D48">
          <w:rPr>
            <w:rStyle w:val="Hipercze"/>
          </w:rPr>
          <w:t xml:space="preserve">2.A.3.1. </w:t>
        </w:r>
        <w:r w:rsidR="00F4006D">
          <w:rPr>
            <w:rFonts w:asciiTheme="minorHAnsi" w:eastAsiaTheme="minorEastAsia" w:hAnsiTheme="minorHAnsi" w:cstheme="minorBidi"/>
            <w:lang w:val="fr-FR" w:eastAsia="fr-FR"/>
          </w:rPr>
          <w:tab/>
        </w:r>
        <w:r w:rsidR="00F4006D" w:rsidRPr="00286D48">
          <w:rPr>
            <w:rStyle w:val="Hipercze"/>
          </w:rPr>
          <w:t xml:space="preserve">Actions to be financed and their expected contribution to the corresponding specific objectives, including, where appropriate – </w:t>
        </w:r>
        <w:r w:rsidR="00F4006D">
          <w:rPr>
            <w:webHidden/>
          </w:rPr>
          <w:tab/>
        </w:r>
        <w:r w:rsidR="00565EF9">
          <w:rPr>
            <w:webHidden/>
          </w:rPr>
          <w:fldChar w:fldCharType="begin"/>
        </w:r>
        <w:r w:rsidR="00F4006D">
          <w:rPr>
            <w:webHidden/>
          </w:rPr>
          <w:instrText xml:space="preserve"> PAGEREF _Toc401325790 \h </w:instrText>
        </w:r>
        <w:r w:rsidR="00565EF9">
          <w:rPr>
            <w:webHidden/>
          </w:rPr>
        </w:r>
        <w:r w:rsidR="00565EF9">
          <w:rPr>
            <w:webHidden/>
          </w:rPr>
          <w:fldChar w:fldCharType="separate"/>
        </w:r>
        <w:r w:rsidR="00E00F86">
          <w:rPr>
            <w:webHidden/>
          </w:rPr>
          <w:t>34</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791" w:history="1">
        <w:r w:rsidR="00F4006D" w:rsidRPr="00286D48">
          <w:rPr>
            <w:rStyle w:val="Hipercze"/>
          </w:rPr>
          <w:t xml:space="preserve">2.A.4 </w:t>
        </w:r>
        <w:r w:rsidR="00F4006D">
          <w:rPr>
            <w:rFonts w:asciiTheme="minorHAnsi" w:eastAsiaTheme="minorEastAsia" w:hAnsiTheme="minorHAnsi" w:cstheme="minorBidi"/>
            <w:lang w:val="fr-FR" w:eastAsia="fr-FR"/>
          </w:rPr>
          <w:tab/>
        </w:r>
        <w:r w:rsidR="00F4006D" w:rsidRPr="00286D48">
          <w:rPr>
            <w:rStyle w:val="Hipercze"/>
          </w:rPr>
          <w:t xml:space="preserve">Performance framework - </w:t>
        </w:r>
        <w:r w:rsidR="00F4006D">
          <w:rPr>
            <w:webHidden/>
          </w:rPr>
          <w:tab/>
        </w:r>
        <w:r w:rsidR="00565EF9">
          <w:rPr>
            <w:webHidden/>
          </w:rPr>
          <w:fldChar w:fldCharType="begin"/>
        </w:r>
        <w:r w:rsidR="00F4006D">
          <w:rPr>
            <w:webHidden/>
          </w:rPr>
          <w:instrText xml:space="preserve"> PAGEREF _Toc401325791 \h </w:instrText>
        </w:r>
        <w:r w:rsidR="00565EF9">
          <w:rPr>
            <w:webHidden/>
          </w:rPr>
        </w:r>
        <w:r w:rsidR="00565EF9">
          <w:rPr>
            <w:webHidden/>
          </w:rPr>
          <w:fldChar w:fldCharType="separate"/>
        </w:r>
        <w:r w:rsidR="00E00F86">
          <w:rPr>
            <w:webHidden/>
          </w:rPr>
          <w:t>44</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792" w:history="1">
        <w:r w:rsidR="00F4006D" w:rsidRPr="00286D48">
          <w:rPr>
            <w:rStyle w:val="Hipercze"/>
          </w:rPr>
          <w:t xml:space="preserve">2.A.5 </w:t>
        </w:r>
        <w:r w:rsidR="00F4006D">
          <w:rPr>
            <w:rFonts w:asciiTheme="minorHAnsi" w:eastAsiaTheme="minorEastAsia" w:hAnsiTheme="minorHAnsi" w:cstheme="minorBidi"/>
            <w:lang w:val="fr-FR" w:eastAsia="fr-FR"/>
          </w:rPr>
          <w:tab/>
        </w:r>
        <w:r w:rsidR="00F4006D" w:rsidRPr="00286D48">
          <w:rPr>
            <w:rStyle w:val="Hipercze"/>
          </w:rPr>
          <w:t xml:space="preserve">Categories of Intervention </w:t>
        </w:r>
        <w:r w:rsidR="00F4006D">
          <w:rPr>
            <w:webHidden/>
          </w:rPr>
          <w:tab/>
        </w:r>
        <w:r w:rsidR="00565EF9">
          <w:rPr>
            <w:webHidden/>
          </w:rPr>
          <w:fldChar w:fldCharType="begin"/>
        </w:r>
        <w:r w:rsidR="00F4006D">
          <w:rPr>
            <w:webHidden/>
          </w:rPr>
          <w:instrText xml:space="preserve"> PAGEREF _Toc401325792 \h </w:instrText>
        </w:r>
        <w:r w:rsidR="00565EF9">
          <w:rPr>
            <w:webHidden/>
          </w:rPr>
        </w:r>
        <w:r w:rsidR="00565EF9">
          <w:rPr>
            <w:webHidden/>
          </w:rPr>
          <w:fldChar w:fldCharType="separate"/>
        </w:r>
        <w:r w:rsidR="00E00F86">
          <w:rPr>
            <w:webHidden/>
          </w:rPr>
          <w:t>46</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793" w:history="1">
        <w:r w:rsidR="00F4006D" w:rsidRPr="00286D48">
          <w:rPr>
            <w:rStyle w:val="Hipercze"/>
          </w:rPr>
          <w:t>2.B.</w:t>
        </w:r>
        <w:r w:rsidR="00F4006D">
          <w:rPr>
            <w:rFonts w:asciiTheme="minorHAnsi" w:eastAsiaTheme="minorEastAsia" w:hAnsiTheme="minorHAnsi" w:cstheme="minorBidi"/>
            <w:lang w:val="fr-FR" w:eastAsia="fr-FR"/>
          </w:rPr>
          <w:tab/>
        </w:r>
        <w:r w:rsidR="00F4006D" w:rsidRPr="00286D48">
          <w:rPr>
            <w:rStyle w:val="Hipercze"/>
          </w:rPr>
          <w:t>Description of the priority axes for technical assistance</w:t>
        </w:r>
        <w:r w:rsidR="00F4006D">
          <w:rPr>
            <w:webHidden/>
          </w:rPr>
          <w:tab/>
        </w:r>
        <w:r w:rsidR="00565EF9">
          <w:rPr>
            <w:webHidden/>
          </w:rPr>
          <w:fldChar w:fldCharType="begin"/>
        </w:r>
        <w:r w:rsidR="00F4006D">
          <w:rPr>
            <w:webHidden/>
          </w:rPr>
          <w:instrText xml:space="preserve"> PAGEREF _Toc401325793 \h </w:instrText>
        </w:r>
        <w:r w:rsidR="00565EF9">
          <w:rPr>
            <w:webHidden/>
          </w:rPr>
        </w:r>
        <w:r w:rsidR="00565EF9">
          <w:rPr>
            <w:webHidden/>
          </w:rPr>
          <w:fldChar w:fldCharType="separate"/>
        </w:r>
        <w:r w:rsidR="00E00F86">
          <w:rPr>
            <w:webHidden/>
          </w:rPr>
          <w:t>47</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794" w:history="1">
        <w:r w:rsidR="00F4006D" w:rsidRPr="00286D48">
          <w:rPr>
            <w:rStyle w:val="Hipercze"/>
          </w:rPr>
          <w:t>2.B.1.</w:t>
        </w:r>
        <w:r w:rsidR="00F4006D">
          <w:rPr>
            <w:rFonts w:asciiTheme="minorHAnsi" w:eastAsiaTheme="minorEastAsia" w:hAnsiTheme="minorHAnsi" w:cstheme="minorBidi"/>
            <w:lang w:val="fr-FR" w:eastAsia="fr-FR"/>
          </w:rPr>
          <w:tab/>
        </w:r>
        <w:r w:rsidR="00F4006D" w:rsidRPr="00286D48">
          <w:rPr>
            <w:rStyle w:val="Hipercze"/>
          </w:rPr>
          <w:t xml:space="preserve">Specific objective and expected results – </w:t>
        </w:r>
        <w:r w:rsidR="00F4006D">
          <w:rPr>
            <w:webHidden/>
          </w:rPr>
          <w:tab/>
        </w:r>
        <w:r w:rsidR="00565EF9">
          <w:rPr>
            <w:webHidden/>
          </w:rPr>
          <w:fldChar w:fldCharType="begin"/>
        </w:r>
        <w:r w:rsidR="00F4006D">
          <w:rPr>
            <w:webHidden/>
          </w:rPr>
          <w:instrText xml:space="preserve"> PAGEREF _Toc401325794 \h </w:instrText>
        </w:r>
        <w:r w:rsidR="00565EF9">
          <w:rPr>
            <w:webHidden/>
          </w:rPr>
        </w:r>
        <w:r w:rsidR="00565EF9">
          <w:rPr>
            <w:webHidden/>
          </w:rPr>
          <w:fldChar w:fldCharType="separate"/>
        </w:r>
        <w:r w:rsidR="00E00F86">
          <w:rPr>
            <w:webHidden/>
          </w:rPr>
          <w:t>47</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795" w:history="1">
        <w:r w:rsidR="00F4006D" w:rsidRPr="00286D48">
          <w:rPr>
            <w:rStyle w:val="Hipercze"/>
          </w:rPr>
          <w:t>2.B.2.</w:t>
        </w:r>
        <w:r w:rsidR="00F4006D">
          <w:rPr>
            <w:rFonts w:asciiTheme="minorHAnsi" w:eastAsiaTheme="minorEastAsia" w:hAnsiTheme="minorHAnsi" w:cstheme="minorBidi"/>
            <w:lang w:val="fr-FR" w:eastAsia="fr-FR"/>
          </w:rPr>
          <w:tab/>
        </w:r>
        <w:r w:rsidR="00F4006D" w:rsidRPr="00286D48">
          <w:rPr>
            <w:rStyle w:val="Hipercze"/>
          </w:rPr>
          <w:t>Result Indicators</w:t>
        </w:r>
        <w:r w:rsidR="00F4006D">
          <w:rPr>
            <w:webHidden/>
          </w:rPr>
          <w:tab/>
        </w:r>
        <w:r w:rsidR="00565EF9">
          <w:rPr>
            <w:webHidden/>
          </w:rPr>
          <w:fldChar w:fldCharType="begin"/>
        </w:r>
        <w:r w:rsidR="00F4006D">
          <w:rPr>
            <w:webHidden/>
          </w:rPr>
          <w:instrText xml:space="preserve"> PAGEREF _Toc401325795 \h </w:instrText>
        </w:r>
        <w:r w:rsidR="00565EF9">
          <w:rPr>
            <w:webHidden/>
          </w:rPr>
        </w:r>
        <w:r w:rsidR="00565EF9">
          <w:rPr>
            <w:webHidden/>
          </w:rPr>
          <w:fldChar w:fldCharType="separate"/>
        </w:r>
        <w:r w:rsidR="00E00F86">
          <w:rPr>
            <w:webHidden/>
          </w:rPr>
          <w:t>47</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796" w:history="1">
        <w:r w:rsidR="00F4006D" w:rsidRPr="00286D48">
          <w:rPr>
            <w:rStyle w:val="Hipercze"/>
          </w:rPr>
          <w:t>2.B.3.</w:t>
        </w:r>
        <w:r w:rsidR="00F4006D">
          <w:rPr>
            <w:rFonts w:asciiTheme="minorHAnsi" w:eastAsiaTheme="minorEastAsia" w:hAnsiTheme="minorHAnsi" w:cstheme="minorBidi"/>
            <w:lang w:val="fr-FR" w:eastAsia="fr-FR"/>
          </w:rPr>
          <w:tab/>
        </w:r>
        <w:r w:rsidR="00F4006D" w:rsidRPr="00286D48">
          <w:rPr>
            <w:rStyle w:val="Hipercze"/>
          </w:rPr>
          <w:t xml:space="preserve">Actions to be supported and their expected contribution to the specific objective - </w:t>
        </w:r>
        <w:r w:rsidR="00F4006D">
          <w:rPr>
            <w:webHidden/>
          </w:rPr>
          <w:tab/>
        </w:r>
        <w:r w:rsidR="00565EF9">
          <w:rPr>
            <w:webHidden/>
          </w:rPr>
          <w:fldChar w:fldCharType="begin"/>
        </w:r>
        <w:r w:rsidR="00F4006D">
          <w:rPr>
            <w:webHidden/>
          </w:rPr>
          <w:instrText xml:space="preserve"> PAGEREF _Toc401325796 \h </w:instrText>
        </w:r>
        <w:r w:rsidR="00565EF9">
          <w:rPr>
            <w:webHidden/>
          </w:rPr>
        </w:r>
        <w:r w:rsidR="00565EF9">
          <w:rPr>
            <w:webHidden/>
          </w:rPr>
          <w:fldChar w:fldCharType="separate"/>
        </w:r>
        <w:r w:rsidR="00E00F86">
          <w:rPr>
            <w:webHidden/>
          </w:rPr>
          <w:t>48</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797" w:history="1">
        <w:r w:rsidR="00F4006D" w:rsidRPr="00286D48">
          <w:rPr>
            <w:rStyle w:val="Hipercze"/>
          </w:rPr>
          <w:t>2.B.4.</w:t>
        </w:r>
        <w:r w:rsidR="00F4006D">
          <w:rPr>
            <w:rFonts w:asciiTheme="minorHAnsi" w:eastAsiaTheme="minorEastAsia" w:hAnsiTheme="minorHAnsi" w:cstheme="minorBidi"/>
            <w:lang w:val="fr-FR" w:eastAsia="fr-FR"/>
          </w:rPr>
          <w:tab/>
        </w:r>
        <w:r w:rsidR="00F4006D" w:rsidRPr="00286D48">
          <w:rPr>
            <w:rStyle w:val="Hipercze"/>
          </w:rPr>
          <w:t xml:space="preserve">Categories of Intervention </w:t>
        </w:r>
        <w:r w:rsidR="00F4006D">
          <w:rPr>
            <w:webHidden/>
          </w:rPr>
          <w:tab/>
        </w:r>
        <w:r w:rsidR="00565EF9">
          <w:rPr>
            <w:webHidden/>
          </w:rPr>
          <w:fldChar w:fldCharType="begin"/>
        </w:r>
        <w:r w:rsidR="00F4006D">
          <w:rPr>
            <w:webHidden/>
          </w:rPr>
          <w:instrText xml:space="preserve"> PAGEREF _Toc401325797 \h </w:instrText>
        </w:r>
        <w:r w:rsidR="00565EF9">
          <w:rPr>
            <w:webHidden/>
          </w:rPr>
        </w:r>
        <w:r w:rsidR="00565EF9">
          <w:rPr>
            <w:webHidden/>
          </w:rPr>
          <w:fldChar w:fldCharType="separate"/>
        </w:r>
        <w:r w:rsidR="00E00F86">
          <w:rPr>
            <w:webHidden/>
          </w:rPr>
          <w:t>50</w:t>
        </w:r>
        <w:r w:rsidR="00565EF9">
          <w:rPr>
            <w:webHidden/>
          </w:rPr>
          <w:fldChar w:fldCharType="end"/>
        </w:r>
      </w:hyperlink>
    </w:p>
    <w:p w:rsidR="00F4006D" w:rsidRDefault="006F7B95">
      <w:pPr>
        <w:pStyle w:val="Spistreci1"/>
        <w:rPr>
          <w:rFonts w:asciiTheme="minorHAnsi" w:eastAsiaTheme="minorEastAsia" w:hAnsiTheme="minorHAnsi" w:cstheme="minorBidi"/>
          <w:b w:val="0"/>
          <w:bCs w:val="0"/>
          <w:sz w:val="22"/>
          <w:szCs w:val="22"/>
          <w:lang w:val="fr-FR"/>
        </w:rPr>
      </w:pPr>
      <w:hyperlink w:anchor="_Toc401325798" w:history="1">
        <w:r w:rsidR="00F4006D" w:rsidRPr="00286D48">
          <w:rPr>
            <w:rStyle w:val="Hipercze"/>
          </w:rPr>
          <w:t>Section 3 The Financing Plan for the Cooperation Programme</w:t>
        </w:r>
        <w:r w:rsidR="00F4006D">
          <w:rPr>
            <w:webHidden/>
          </w:rPr>
          <w:tab/>
        </w:r>
        <w:r w:rsidR="00565EF9">
          <w:rPr>
            <w:webHidden/>
          </w:rPr>
          <w:fldChar w:fldCharType="begin"/>
        </w:r>
        <w:r w:rsidR="00F4006D">
          <w:rPr>
            <w:webHidden/>
          </w:rPr>
          <w:instrText xml:space="preserve"> PAGEREF _Toc401325798 \h </w:instrText>
        </w:r>
        <w:r w:rsidR="00565EF9">
          <w:rPr>
            <w:webHidden/>
          </w:rPr>
        </w:r>
        <w:r w:rsidR="00565EF9">
          <w:rPr>
            <w:webHidden/>
          </w:rPr>
          <w:fldChar w:fldCharType="separate"/>
        </w:r>
        <w:r w:rsidR="00E00F86">
          <w:rPr>
            <w:webHidden/>
          </w:rPr>
          <w:t>52</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799" w:history="1">
        <w:r w:rsidR="00F4006D" w:rsidRPr="00286D48">
          <w:rPr>
            <w:rStyle w:val="Hipercze"/>
          </w:rPr>
          <w:t>3.1.</w:t>
        </w:r>
        <w:r w:rsidR="00F4006D">
          <w:rPr>
            <w:rFonts w:asciiTheme="minorHAnsi" w:eastAsiaTheme="minorEastAsia" w:hAnsiTheme="minorHAnsi" w:cstheme="minorBidi"/>
            <w:lang w:val="fr-FR" w:eastAsia="fr-FR"/>
          </w:rPr>
          <w:tab/>
        </w:r>
        <w:r w:rsidR="00F4006D" w:rsidRPr="00286D48">
          <w:rPr>
            <w:rStyle w:val="Hipercze"/>
          </w:rPr>
          <w:t>A table specifying for each year, in accordance with Article 53,110 and 111 of the CPR, the amount of the total financial appropriation envisaged for the support from the ERDF</w:t>
        </w:r>
        <w:r w:rsidR="00F4006D">
          <w:rPr>
            <w:webHidden/>
          </w:rPr>
          <w:tab/>
        </w:r>
        <w:r w:rsidR="00565EF9">
          <w:rPr>
            <w:webHidden/>
          </w:rPr>
          <w:fldChar w:fldCharType="begin"/>
        </w:r>
        <w:r w:rsidR="00F4006D">
          <w:rPr>
            <w:webHidden/>
          </w:rPr>
          <w:instrText xml:space="preserve"> PAGEREF _Toc401325799 \h </w:instrText>
        </w:r>
        <w:r w:rsidR="00565EF9">
          <w:rPr>
            <w:webHidden/>
          </w:rPr>
        </w:r>
        <w:r w:rsidR="00565EF9">
          <w:rPr>
            <w:webHidden/>
          </w:rPr>
          <w:fldChar w:fldCharType="separate"/>
        </w:r>
        <w:r w:rsidR="00E00F86">
          <w:rPr>
            <w:webHidden/>
          </w:rPr>
          <w:t>52</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800" w:history="1">
        <w:r w:rsidR="00F4006D" w:rsidRPr="00286D48">
          <w:rPr>
            <w:rStyle w:val="Hipercze"/>
          </w:rPr>
          <w:t>3.2.</w:t>
        </w:r>
        <w:r w:rsidR="00F4006D">
          <w:rPr>
            <w:rFonts w:asciiTheme="minorHAnsi" w:eastAsiaTheme="minorEastAsia" w:hAnsiTheme="minorHAnsi" w:cstheme="minorBidi"/>
            <w:lang w:val="fr-FR" w:eastAsia="fr-FR"/>
          </w:rPr>
          <w:tab/>
        </w:r>
        <w:r w:rsidR="00F4006D" w:rsidRPr="00286D48">
          <w:rPr>
            <w:rStyle w:val="Hipercze"/>
          </w:rPr>
          <w:t>A financial plan of the cooperation programme specifying, for the whole programming period, for the programme priority axis, the amount of the total financial appropriation of the support from the ERDF and the national counterparts</w:t>
        </w:r>
        <w:r w:rsidR="00F4006D">
          <w:rPr>
            <w:webHidden/>
          </w:rPr>
          <w:tab/>
        </w:r>
        <w:r w:rsidR="00565EF9">
          <w:rPr>
            <w:webHidden/>
          </w:rPr>
          <w:fldChar w:fldCharType="begin"/>
        </w:r>
        <w:r w:rsidR="00F4006D">
          <w:rPr>
            <w:webHidden/>
          </w:rPr>
          <w:instrText xml:space="preserve"> PAGEREF _Toc401325800 \h </w:instrText>
        </w:r>
        <w:r w:rsidR="00565EF9">
          <w:rPr>
            <w:webHidden/>
          </w:rPr>
        </w:r>
        <w:r w:rsidR="00565EF9">
          <w:rPr>
            <w:webHidden/>
          </w:rPr>
          <w:fldChar w:fldCharType="separate"/>
        </w:r>
        <w:r w:rsidR="00E00F86">
          <w:rPr>
            <w:webHidden/>
          </w:rPr>
          <w:t>53</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801" w:history="1">
        <w:r w:rsidR="00F4006D" w:rsidRPr="00286D48">
          <w:rPr>
            <w:rStyle w:val="Hipercze"/>
          </w:rPr>
          <w:t xml:space="preserve">3.2 B </w:t>
        </w:r>
        <w:r w:rsidR="00F4006D">
          <w:rPr>
            <w:rFonts w:asciiTheme="minorHAnsi" w:eastAsiaTheme="minorEastAsia" w:hAnsiTheme="minorHAnsi" w:cstheme="minorBidi"/>
            <w:lang w:val="fr-FR" w:eastAsia="fr-FR"/>
          </w:rPr>
          <w:tab/>
        </w:r>
        <w:r w:rsidR="00F4006D" w:rsidRPr="00286D48">
          <w:rPr>
            <w:rStyle w:val="Hipercze"/>
          </w:rPr>
          <w:t>Breakdown of the financial plan of the cooperation programme by priority axis and thematic objective of ETC regulation</w:t>
        </w:r>
        <w:r w:rsidR="00F4006D">
          <w:rPr>
            <w:webHidden/>
          </w:rPr>
          <w:tab/>
        </w:r>
        <w:r w:rsidR="00565EF9">
          <w:rPr>
            <w:webHidden/>
          </w:rPr>
          <w:fldChar w:fldCharType="begin"/>
        </w:r>
        <w:r w:rsidR="00F4006D">
          <w:rPr>
            <w:webHidden/>
          </w:rPr>
          <w:instrText xml:space="preserve"> PAGEREF _Toc401325801 \h </w:instrText>
        </w:r>
        <w:r w:rsidR="00565EF9">
          <w:rPr>
            <w:webHidden/>
          </w:rPr>
        </w:r>
        <w:r w:rsidR="00565EF9">
          <w:rPr>
            <w:webHidden/>
          </w:rPr>
          <w:fldChar w:fldCharType="separate"/>
        </w:r>
        <w:r w:rsidR="00E00F86">
          <w:rPr>
            <w:webHidden/>
          </w:rPr>
          <w:t>54</w:t>
        </w:r>
        <w:r w:rsidR="00565EF9">
          <w:rPr>
            <w:webHidden/>
          </w:rPr>
          <w:fldChar w:fldCharType="end"/>
        </w:r>
      </w:hyperlink>
    </w:p>
    <w:p w:rsidR="00F4006D" w:rsidRDefault="006F7B95">
      <w:pPr>
        <w:pStyle w:val="Spistreci1"/>
        <w:rPr>
          <w:rFonts w:asciiTheme="minorHAnsi" w:eastAsiaTheme="minorEastAsia" w:hAnsiTheme="minorHAnsi" w:cstheme="minorBidi"/>
          <w:b w:val="0"/>
          <w:bCs w:val="0"/>
          <w:sz w:val="22"/>
          <w:szCs w:val="22"/>
          <w:lang w:val="fr-FR"/>
        </w:rPr>
      </w:pPr>
      <w:hyperlink w:anchor="_Toc401325802" w:history="1">
        <w:r w:rsidR="00F4006D" w:rsidRPr="00286D48">
          <w:rPr>
            <w:rStyle w:val="Hipercze"/>
          </w:rPr>
          <w:t>Section 4. Integrated approach to territorial development</w:t>
        </w:r>
        <w:r w:rsidR="00F4006D">
          <w:rPr>
            <w:webHidden/>
          </w:rPr>
          <w:tab/>
        </w:r>
        <w:r w:rsidR="00565EF9">
          <w:rPr>
            <w:webHidden/>
          </w:rPr>
          <w:fldChar w:fldCharType="begin"/>
        </w:r>
        <w:r w:rsidR="00F4006D">
          <w:rPr>
            <w:webHidden/>
          </w:rPr>
          <w:instrText xml:space="preserve"> PAGEREF _Toc401325802 \h </w:instrText>
        </w:r>
        <w:r w:rsidR="00565EF9">
          <w:rPr>
            <w:webHidden/>
          </w:rPr>
        </w:r>
        <w:r w:rsidR="00565EF9">
          <w:rPr>
            <w:webHidden/>
          </w:rPr>
          <w:fldChar w:fldCharType="separate"/>
        </w:r>
        <w:r w:rsidR="00E00F86">
          <w:rPr>
            <w:webHidden/>
          </w:rPr>
          <w:t>56</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803" w:history="1">
        <w:r w:rsidR="00F4006D" w:rsidRPr="00286D48">
          <w:rPr>
            <w:rStyle w:val="Hipercze"/>
          </w:rPr>
          <w:t>4.1.</w:t>
        </w:r>
        <w:r w:rsidR="00F4006D">
          <w:rPr>
            <w:rFonts w:asciiTheme="minorHAnsi" w:eastAsiaTheme="minorEastAsia" w:hAnsiTheme="minorHAnsi" w:cstheme="minorBidi"/>
            <w:lang w:val="fr-FR" w:eastAsia="fr-FR"/>
          </w:rPr>
          <w:tab/>
        </w:r>
        <w:r w:rsidR="00F4006D" w:rsidRPr="00286D48">
          <w:rPr>
            <w:rStyle w:val="Hipercze"/>
          </w:rPr>
          <w:t>The URBACT approach to community-led local development</w:t>
        </w:r>
        <w:r w:rsidR="00F4006D">
          <w:rPr>
            <w:webHidden/>
          </w:rPr>
          <w:tab/>
        </w:r>
        <w:r w:rsidR="00565EF9">
          <w:rPr>
            <w:webHidden/>
          </w:rPr>
          <w:fldChar w:fldCharType="begin"/>
        </w:r>
        <w:r w:rsidR="00F4006D">
          <w:rPr>
            <w:webHidden/>
          </w:rPr>
          <w:instrText xml:space="preserve"> PAGEREF _Toc401325803 \h </w:instrText>
        </w:r>
        <w:r w:rsidR="00565EF9">
          <w:rPr>
            <w:webHidden/>
          </w:rPr>
        </w:r>
        <w:r w:rsidR="00565EF9">
          <w:rPr>
            <w:webHidden/>
          </w:rPr>
          <w:fldChar w:fldCharType="separate"/>
        </w:r>
        <w:r w:rsidR="00E00F86">
          <w:rPr>
            <w:webHidden/>
          </w:rPr>
          <w:t>57</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804" w:history="1">
        <w:r w:rsidR="00F4006D" w:rsidRPr="00286D48">
          <w:rPr>
            <w:rStyle w:val="Hipercze"/>
          </w:rPr>
          <w:t>4.2.</w:t>
        </w:r>
        <w:r w:rsidR="00F4006D">
          <w:rPr>
            <w:rFonts w:asciiTheme="minorHAnsi" w:eastAsiaTheme="minorEastAsia" w:hAnsiTheme="minorHAnsi" w:cstheme="minorBidi"/>
            <w:lang w:val="fr-FR" w:eastAsia="fr-FR"/>
          </w:rPr>
          <w:tab/>
        </w:r>
        <w:r w:rsidR="00F4006D" w:rsidRPr="00286D48">
          <w:rPr>
            <w:rStyle w:val="Hipercze"/>
          </w:rPr>
          <w:t>The URBACT approach to integrated actions for sustainable development</w:t>
        </w:r>
        <w:r w:rsidR="00F4006D">
          <w:rPr>
            <w:webHidden/>
          </w:rPr>
          <w:tab/>
        </w:r>
        <w:r w:rsidR="00565EF9">
          <w:rPr>
            <w:webHidden/>
          </w:rPr>
          <w:fldChar w:fldCharType="begin"/>
        </w:r>
        <w:r w:rsidR="00F4006D">
          <w:rPr>
            <w:webHidden/>
          </w:rPr>
          <w:instrText xml:space="preserve"> PAGEREF _Toc401325804 \h </w:instrText>
        </w:r>
        <w:r w:rsidR="00565EF9">
          <w:rPr>
            <w:webHidden/>
          </w:rPr>
        </w:r>
        <w:r w:rsidR="00565EF9">
          <w:rPr>
            <w:webHidden/>
          </w:rPr>
          <w:fldChar w:fldCharType="separate"/>
        </w:r>
        <w:r w:rsidR="00E00F86">
          <w:rPr>
            <w:webHidden/>
          </w:rPr>
          <w:t>58</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805" w:history="1">
        <w:r w:rsidR="00F4006D" w:rsidRPr="00286D48">
          <w:rPr>
            <w:rStyle w:val="Hipercze"/>
          </w:rPr>
          <w:t>4.3.</w:t>
        </w:r>
        <w:r w:rsidR="00F4006D">
          <w:rPr>
            <w:rFonts w:asciiTheme="minorHAnsi" w:eastAsiaTheme="minorEastAsia" w:hAnsiTheme="minorHAnsi" w:cstheme="minorBidi"/>
            <w:lang w:val="fr-FR" w:eastAsia="fr-FR"/>
          </w:rPr>
          <w:tab/>
        </w:r>
        <w:r w:rsidR="00F4006D" w:rsidRPr="00286D48">
          <w:rPr>
            <w:rStyle w:val="Hipercze"/>
          </w:rPr>
          <w:t>The URBACT approach to use Integrated Territorial Investment (ITI)</w:t>
        </w:r>
        <w:r w:rsidR="00F4006D">
          <w:rPr>
            <w:webHidden/>
          </w:rPr>
          <w:tab/>
        </w:r>
        <w:r w:rsidR="00565EF9">
          <w:rPr>
            <w:webHidden/>
          </w:rPr>
          <w:fldChar w:fldCharType="begin"/>
        </w:r>
        <w:r w:rsidR="00F4006D">
          <w:rPr>
            <w:webHidden/>
          </w:rPr>
          <w:instrText xml:space="preserve"> PAGEREF _Toc401325805 \h </w:instrText>
        </w:r>
        <w:r w:rsidR="00565EF9">
          <w:rPr>
            <w:webHidden/>
          </w:rPr>
        </w:r>
        <w:r w:rsidR="00565EF9">
          <w:rPr>
            <w:webHidden/>
          </w:rPr>
          <w:fldChar w:fldCharType="separate"/>
        </w:r>
        <w:r w:rsidR="00E00F86">
          <w:rPr>
            <w:webHidden/>
          </w:rPr>
          <w:t>59</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806" w:history="1">
        <w:r w:rsidR="00F4006D" w:rsidRPr="00286D48">
          <w:rPr>
            <w:rStyle w:val="Hipercze"/>
          </w:rPr>
          <w:t>4.4.</w:t>
        </w:r>
        <w:r w:rsidR="00F4006D">
          <w:rPr>
            <w:rFonts w:asciiTheme="minorHAnsi" w:eastAsiaTheme="minorEastAsia" w:hAnsiTheme="minorHAnsi" w:cstheme="minorBidi"/>
            <w:lang w:val="fr-FR" w:eastAsia="fr-FR"/>
          </w:rPr>
          <w:tab/>
        </w:r>
        <w:r w:rsidR="00F4006D" w:rsidRPr="00286D48">
          <w:rPr>
            <w:rStyle w:val="Hipercze"/>
          </w:rPr>
          <w:t>The contribution of URBACT to macro-regional and sea basin strategies.</w:t>
        </w:r>
        <w:r w:rsidR="00F4006D">
          <w:rPr>
            <w:webHidden/>
          </w:rPr>
          <w:tab/>
        </w:r>
        <w:r w:rsidR="00565EF9">
          <w:rPr>
            <w:webHidden/>
          </w:rPr>
          <w:fldChar w:fldCharType="begin"/>
        </w:r>
        <w:r w:rsidR="00F4006D">
          <w:rPr>
            <w:webHidden/>
          </w:rPr>
          <w:instrText xml:space="preserve"> PAGEREF _Toc401325806 \h </w:instrText>
        </w:r>
        <w:r w:rsidR="00565EF9">
          <w:rPr>
            <w:webHidden/>
          </w:rPr>
        </w:r>
        <w:r w:rsidR="00565EF9">
          <w:rPr>
            <w:webHidden/>
          </w:rPr>
          <w:fldChar w:fldCharType="separate"/>
        </w:r>
        <w:r w:rsidR="00E00F86">
          <w:rPr>
            <w:webHidden/>
          </w:rPr>
          <w:t>60</w:t>
        </w:r>
        <w:r w:rsidR="00565EF9">
          <w:rPr>
            <w:webHidden/>
          </w:rPr>
          <w:fldChar w:fldCharType="end"/>
        </w:r>
      </w:hyperlink>
    </w:p>
    <w:p w:rsidR="00F4006D" w:rsidRDefault="006F7B95">
      <w:pPr>
        <w:pStyle w:val="Spistreci1"/>
        <w:rPr>
          <w:rFonts w:asciiTheme="minorHAnsi" w:eastAsiaTheme="minorEastAsia" w:hAnsiTheme="minorHAnsi" w:cstheme="minorBidi"/>
          <w:b w:val="0"/>
          <w:bCs w:val="0"/>
          <w:sz w:val="22"/>
          <w:szCs w:val="22"/>
          <w:lang w:val="fr-FR"/>
        </w:rPr>
      </w:pPr>
      <w:hyperlink w:anchor="_Toc401325807" w:history="1">
        <w:r w:rsidR="00F4006D" w:rsidRPr="00286D48">
          <w:rPr>
            <w:rStyle w:val="Hipercze"/>
          </w:rPr>
          <w:t>Section 5. Implementation provisions for the cooperation programme</w:t>
        </w:r>
        <w:r w:rsidR="00F4006D">
          <w:rPr>
            <w:webHidden/>
          </w:rPr>
          <w:tab/>
        </w:r>
        <w:r w:rsidR="00565EF9">
          <w:rPr>
            <w:webHidden/>
          </w:rPr>
          <w:fldChar w:fldCharType="begin"/>
        </w:r>
        <w:r w:rsidR="00F4006D">
          <w:rPr>
            <w:webHidden/>
          </w:rPr>
          <w:instrText xml:space="preserve"> PAGEREF _Toc401325807 \h </w:instrText>
        </w:r>
        <w:r w:rsidR="00565EF9">
          <w:rPr>
            <w:webHidden/>
          </w:rPr>
        </w:r>
        <w:r w:rsidR="00565EF9">
          <w:rPr>
            <w:webHidden/>
          </w:rPr>
          <w:fldChar w:fldCharType="separate"/>
        </w:r>
        <w:r w:rsidR="00E00F86">
          <w:rPr>
            <w:webHidden/>
          </w:rPr>
          <w:t>62</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808" w:history="1">
        <w:r w:rsidR="00F4006D" w:rsidRPr="00286D48">
          <w:rPr>
            <w:rStyle w:val="Hipercze"/>
          </w:rPr>
          <w:t>5.1.</w:t>
        </w:r>
        <w:r w:rsidR="00F4006D">
          <w:rPr>
            <w:rFonts w:asciiTheme="minorHAnsi" w:eastAsiaTheme="minorEastAsia" w:hAnsiTheme="minorHAnsi" w:cstheme="minorBidi"/>
            <w:lang w:val="fr-FR" w:eastAsia="fr-FR"/>
          </w:rPr>
          <w:tab/>
        </w:r>
        <w:r w:rsidR="00F4006D" w:rsidRPr="00286D48">
          <w:rPr>
            <w:rStyle w:val="Hipercze"/>
          </w:rPr>
          <w:t>Identification of the relevant authorities and bodies</w:t>
        </w:r>
        <w:r w:rsidR="00F4006D">
          <w:rPr>
            <w:webHidden/>
          </w:rPr>
          <w:tab/>
        </w:r>
        <w:r w:rsidR="00565EF9">
          <w:rPr>
            <w:webHidden/>
          </w:rPr>
          <w:fldChar w:fldCharType="begin"/>
        </w:r>
        <w:r w:rsidR="00F4006D">
          <w:rPr>
            <w:webHidden/>
          </w:rPr>
          <w:instrText xml:space="preserve"> PAGEREF _Toc401325808 \h </w:instrText>
        </w:r>
        <w:r w:rsidR="00565EF9">
          <w:rPr>
            <w:webHidden/>
          </w:rPr>
        </w:r>
        <w:r w:rsidR="00565EF9">
          <w:rPr>
            <w:webHidden/>
          </w:rPr>
          <w:fldChar w:fldCharType="separate"/>
        </w:r>
        <w:r w:rsidR="00E00F86">
          <w:rPr>
            <w:webHidden/>
          </w:rPr>
          <w:t>79</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809" w:history="1">
        <w:r w:rsidR="00F4006D" w:rsidRPr="00286D48">
          <w:rPr>
            <w:rStyle w:val="Hipercze"/>
          </w:rPr>
          <w:t>5.2.</w:t>
        </w:r>
        <w:r w:rsidR="00F4006D">
          <w:rPr>
            <w:rFonts w:asciiTheme="minorHAnsi" w:eastAsiaTheme="minorEastAsia" w:hAnsiTheme="minorHAnsi" w:cstheme="minorBidi"/>
            <w:lang w:val="fr-FR" w:eastAsia="fr-FR"/>
          </w:rPr>
          <w:tab/>
        </w:r>
        <w:r w:rsidR="00F4006D" w:rsidRPr="00286D48">
          <w:rPr>
            <w:rStyle w:val="Hipercze"/>
          </w:rPr>
          <w:t>Procedure for setting up the joint secretariat</w:t>
        </w:r>
        <w:r w:rsidR="00F4006D">
          <w:rPr>
            <w:webHidden/>
          </w:rPr>
          <w:tab/>
        </w:r>
        <w:r w:rsidR="00565EF9">
          <w:rPr>
            <w:webHidden/>
          </w:rPr>
          <w:fldChar w:fldCharType="begin"/>
        </w:r>
        <w:r w:rsidR="00F4006D">
          <w:rPr>
            <w:webHidden/>
          </w:rPr>
          <w:instrText xml:space="preserve"> PAGEREF _Toc401325809 \h </w:instrText>
        </w:r>
        <w:r w:rsidR="00565EF9">
          <w:rPr>
            <w:webHidden/>
          </w:rPr>
        </w:r>
        <w:r w:rsidR="00565EF9">
          <w:rPr>
            <w:webHidden/>
          </w:rPr>
          <w:fldChar w:fldCharType="separate"/>
        </w:r>
        <w:r w:rsidR="00E00F86">
          <w:rPr>
            <w:webHidden/>
          </w:rPr>
          <w:t>81</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810" w:history="1">
        <w:r w:rsidR="00F4006D" w:rsidRPr="00286D48">
          <w:rPr>
            <w:rStyle w:val="Hipercze"/>
          </w:rPr>
          <w:t>5.3.</w:t>
        </w:r>
        <w:r w:rsidR="00F4006D">
          <w:rPr>
            <w:rFonts w:asciiTheme="minorHAnsi" w:eastAsiaTheme="minorEastAsia" w:hAnsiTheme="minorHAnsi" w:cstheme="minorBidi"/>
            <w:lang w:val="fr-FR" w:eastAsia="fr-FR"/>
          </w:rPr>
          <w:tab/>
        </w:r>
        <w:r w:rsidR="00F4006D" w:rsidRPr="00286D48">
          <w:rPr>
            <w:rStyle w:val="Hipercze"/>
          </w:rPr>
          <w:t xml:space="preserve"> Summary description of the management and control arrangements</w:t>
        </w:r>
        <w:r w:rsidR="00F4006D">
          <w:rPr>
            <w:webHidden/>
          </w:rPr>
          <w:tab/>
        </w:r>
        <w:r w:rsidR="00565EF9">
          <w:rPr>
            <w:webHidden/>
          </w:rPr>
          <w:fldChar w:fldCharType="begin"/>
        </w:r>
        <w:r w:rsidR="00F4006D">
          <w:rPr>
            <w:webHidden/>
          </w:rPr>
          <w:instrText xml:space="preserve"> PAGEREF _Toc401325810 \h </w:instrText>
        </w:r>
        <w:r w:rsidR="00565EF9">
          <w:rPr>
            <w:webHidden/>
          </w:rPr>
        </w:r>
        <w:r w:rsidR="00565EF9">
          <w:rPr>
            <w:webHidden/>
          </w:rPr>
          <w:fldChar w:fldCharType="separate"/>
        </w:r>
        <w:r w:rsidR="00E00F86">
          <w:rPr>
            <w:webHidden/>
          </w:rPr>
          <w:t>81</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811" w:history="1">
        <w:r w:rsidR="00F4006D" w:rsidRPr="00286D48">
          <w:rPr>
            <w:rStyle w:val="Hipercze"/>
          </w:rPr>
          <w:t>5.4.</w:t>
        </w:r>
        <w:r w:rsidR="00F4006D">
          <w:rPr>
            <w:rFonts w:asciiTheme="minorHAnsi" w:eastAsiaTheme="minorEastAsia" w:hAnsiTheme="minorHAnsi" w:cstheme="minorBidi"/>
            <w:lang w:val="fr-FR" w:eastAsia="fr-FR"/>
          </w:rPr>
          <w:tab/>
        </w:r>
        <w:r w:rsidR="00F4006D" w:rsidRPr="00286D48">
          <w:rPr>
            <w:rStyle w:val="Hipercze"/>
          </w:rPr>
          <w:t>The apportionment of liabilities among the participating Member States in case of financial corrections imposed by the managing authority or the Commission</w:t>
        </w:r>
        <w:r w:rsidR="00F4006D">
          <w:rPr>
            <w:webHidden/>
          </w:rPr>
          <w:tab/>
        </w:r>
        <w:r w:rsidR="00565EF9">
          <w:rPr>
            <w:webHidden/>
          </w:rPr>
          <w:fldChar w:fldCharType="begin"/>
        </w:r>
        <w:r w:rsidR="00F4006D">
          <w:rPr>
            <w:webHidden/>
          </w:rPr>
          <w:instrText xml:space="preserve"> PAGEREF _Toc401325811 \h </w:instrText>
        </w:r>
        <w:r w:rsidR="00565EF9">
          <w:rPr>
            <w:webHidden/>
          </w:rPr>
        </w:r>
        <w:r w:rsidR="00565EF9">
          <w:rPr>
            <w:webHidden/>
          </w:rPr>
          <w:fldChar w:fldCharType="separate"/>
        </w:r>
        <w:r w:rsidR="00E00F86">
          <w:rPr>
            <w:webHidden/>
          </w:rPr>
          <w:t>95</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812" w:history="1">
        <w:r w:rsidR="00F4006D" w:rsidRPr="00286D48">
          <w:rPr>
            <w:rStyle w:val="Hipercze"/>
          </w:rPr>
          <w:t>5.5.</w:t>
        </w:r>
        <w:r w:rsidR="00F4006D">
          <w:rPr>
            <w:rFonts w:asciiTheme="minorHAnsi" w:eastAsiaTheme="minorEastAsia" w:hAnsiTheme="minorHAnsi" w:cstheme="minorBidi"/>
            <w:lang w:val="fr-FR" w:eastAsia="fr-FR"/>
          </w:rPr>
          <w:tab/>
        </w:r>
        <w:r w:rsidR="00F4006D" w:rsidRPr="00286D48">
          <w:rPr>
            <w:rStyle w:val="Hipercze"/>
          </w:rPr>
          <w:t>Use of the Euro</w:t>
        </w:r>
        <w:r w:rsidR="00F4006D">
          <w:rPr>
            <w:webHidden/>
          </w:rPr>
          <w:tab/>
        </w:r>
        <w:r w:rsidR="00565EF9">
          <w:rPr>
            <w:webHidden/>
          </w:rPr>
          <w:fldChar w:fldCharType="begin"/>
        </w:r>
        <w:r w:rsidR="00F4006D">
          <w:rPr>
            <w:webHidden/>
          </w:rPr>
          <w:instrText xml:space="preserve"> PAGEREF _Toc401325812 \h </w:instrText>
        </w:r>
        <w:r w:rsidR="00565EF9">
          <w:rPr>
            <w:webHidden/>
          </w:rPr>
        </w:r>
        <w:r w:rsidR="00565EF9">
          <w:rPr>
            <w:webHidden/>
          </w:rPr>
          <w:fldChar w:fldCharType="separate"/>
        </w:r>
        <w:r w:rsidR="00E00F86">
          <w:rPr>
            <w:webHidden/>
          </w:rPr>
          <w:t>98</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813" w:history="1">
        <w:r w:rsidR="00F4006D" w:rsidRPr="00286D48">
          <w:rPr>
            <w:rStyle w:val="Hipercze"/>
          </w:rPr>
          <w:t>5.6.</w:t>
        </w:r>
        <w:r w:rsidR="00F4006D">
          <w:rPr>
            <w:rFonts w:asciiTheme="minorHAnsi" w:eastAsiaTheme="minorEastAsia" w:hAnsiTheme="minorHAnsi" w:cstheme="minorBidi"/>
            <w:lang w:val="fr-FR" w:eastAsia="fr-FR"/>
          </w:rPr>
          <w:tab/>
        </w:r>
        <w:r w:rsidR="00F4006D" w:rsidRPr="00286D48">
          <w:rPr>
            <w:rStyle w:val="Hipercze"/>
          </w:rPr>
          <w:t>Involvement of partners</w:t>
        </w:r>
        <w:r w:rsidR="00F4006D">
          <w:rPr>
            <w:webHidden/>
          </w:rPr>
          <w:tab/>
        </w:r>
        <w:r w:rsidR="00565EF9">
          <w:rPr>
            <w:webHidden/>
          </w:rPr>
          <w:fldChar w:fldCharType="begin"/>
        </w:r>
        <w:r w:rsidR="00F4006D">
          <w:rPr>
            <w:webHidden/>
          </w:rPr>
          <w:instrText xml:space="preserve"> PAGEREF _Toc401325813 \h </w:instrText>
        </w:r>
        <w:r w:rsidR="00565EF9">
          <w:rPr>
            <w:webHidden/>
          </w:rPr>
        </w:r>
        <w:r w:rsidR="00565EF9">
          <w:rPr>
            <w:webHidden/>
          </w:rPr>
          <w:fldChar w:fldCharType="separate"/>
        </w:r>
        <w:r w:rsidR="00E00F86">
          <w:rPr>
            <w:webHidden/>
          </w:rPr>
          <w:t>99</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814" w:history="1">
        <w:r w:rsidR="00F4006D" w:rsidRPr="00286D48">
          <w:rPr>
            <w:rStyle w:val="Hipercze"/>
          </w:rPr>
          <w:t>Role of the relevant partners in the preparation and implementation of the cooperation programme</w:t>
        </w:r>
        <w:r w:rsidR="00F4006D">
          <w:rPr>
            <w:webHidden/>
          </w:rPr>
          <w:tab/>
        </w:r>
        <w:r w:rsidR="00565EF9">
          <w:rPr>
            <w:webHidden/>
          </w:rPr>
          <w:fldChar w:fldCharType="begin"/>
        </w:r>
        <w:r w:rsidR="00F4006D">
          <w:rPr>
            <w:webHidden/>
          </w:rPr>
          <w:instrText xml:space="preserve"> PAGEREF _Toc401325814 \h </w:instrText>
        </w:r>
        <w:r w:rsidR="00565EF9">
          <w:rPr>
            <w:webHidden/>
          </w:rPr>
        </w:r>
        <w:r w:rsidR="00565EF9">
          <w:rPr>
            <w:webHidden/>
          </w:rPr>
          <w:fldChar w:fldCharType="separate"/>
        </w:r>
        <w:r w:rsidR="00E00F86">
          <w:rPr>
            <w:webHidden/>
          </w:rPr>
          <w:t>99</w:t>
        </w:r>
        <w:r w:rsidR="00565EF9">
          <w:rPr>
            <w:webHidden/>
          </w:rPr>
          <w:fldChar w:fldCharType="end"/>
        </w:r>
      </w:hyperlink>
    </w:p>
    <w:p w:rsidR="00F4006D" w:rsidRDefault="006F7B95">
      <w:pPr>
        <w:pStyle w:val="Spistreci1"/>
        <w:rPr>
          <w:rFonts w:asciiTheme="minorHAnsi" w:eastAsiaTheme="minorEastAsia" w:hAnsiTheme="minorHAnsi" w:cstheme="minorBidi"/>
          <w:b w:val="0"/>
          <w:bCs w:val="0"/>
          <w:sz w:val="22"/>
          <w:szCs w:val="22"/>
          <w:lang w:val="fr-FR"/>
        </w:rPr>
      </w:pPr>
      <w:hyperlink w:anchor="_Toc401325815" w:history="1">
        <w:r w:rsidR="00F4006D" w:rsidRPr="00286D48">
          <w:rPr>
            <w:rStyle w:val="Hipercze"/>
          </w:rPr>
          <w:t>Section 6. Coordination between funds</w:t>
        </w:r>
        <w:r w:rsidR="00F4006D">
          <w:rPr>
            <w:webHidden/>
          </w:rPr>
          <w:tab/>
        </w:r>
        <w:r w:rsidR="00565EF9">
          <w:rPr>
            <w:webHidden/>
          </w:rPr>
          <w:fldChar w:fldCharType="begin"/>
        </w:r>
        <w:r w:rsidR="00F4006D">
          <w:rPr>
            <w:webHidden/>
          </w:rPr>
          <w:instrText xml:space="preserve"> PAGEREF _Toc401325815 \h </w:instrText>
        </w:r>
        <w:r w:rsidR="00565EF9">
          <w:rPr>
            <w:webHidden/>
          </w:rPr>
        </w:r>
        <w:r w:rsidR="00565EF9">
          <w:rPr>
            <w:webHidden/>
          </w:rPr>
          <w:fldChar w:fldCharType="separate"/>
        </w:r>
        <w:r w:rsidR="00E00F86">
          <w:rPr>
            <w:webHidden/>
          </w:rPr>
          <w:t>105</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816" w:history="1">
        <w:r w:rsidR="00F4006D" w:rsidRPr="00286D48">
          <w:rPr>
            <w:rStyle w:val="Hipercze"/>
          </w:rPr>
          <w:t>6.1.</w:t>
        </w:r>
        <w:r w:rsidR="00F4006D">
          <w:rPr>
            <w:rFonts w:asciiTheme="minorHAnsi" w:eastAsiaTheme="minorEastAsia" w:hAnsiTheme="minorHAnsi" w:cstheme="minorBidi"/>
            <w:lang w:val="fr-FR" w:eastAsia="fr-FR"/>
          </w:rPr>
          <w:tab/>
        </w:r>
        <w:r w:rsidR="00F4006D" w:rsidRPr="00286D48">
          <w:rPr>
            <w:rStyle w:val="Hipercze"/>
          </w:rPr>
          <w:t>Coordination with mainstream programmes (ERDF, ESF, EAFRD, EMFF)</w:t>
        </w:r>
        <w:r w:rsidR="00F4006D">
          <w:rPr>
            <w:webHidden/>
          </w:rPr>
          <w:tab/>
        </w:r>
        <w:r w:rsidR="00565EF9">
          <w:rPr>
            <w:webHidden/>
          </w:rPr>
          <w:fldChar w:fldCharType="begin"/>
        </w:r>
        <w:r w:rsidR="00F4006D">
          <w:rPr>
            <w:webHidden/>
          </w:rPr>
          <w:instrText xml:space="preserve"> PAGEREF _Toc401325816 \h </w:instrText>
        </w:r>
        <w:r w:rsidR="00565EF9">
          <w:rPr>
            <w:webHidden/>
          </w:rPr>
        </w:r>
        <w:r w:rsidR="00565EF9">
          <w:rPr>
            <w:webHidden/>
          </w:rPr>
          <w:fldChar w:fldCharType="separate"/>
        </w:r>
        <w:r w:rsidR="00E00F86">
          <w:rPr>
            <w:webHidden/>
          </w:rPr>
          <w:t>105</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817" w:history="1">
        <w:r w:rsidR="00F4006D" w:rsidRPr="00286D48">
          <w:rPr>
            <w:rStyle w:val="Hipercze"/>
          </w:rPr>
          <w:t>6.2.</w:t>
        </w:r>
        <w:r w:rsidR="00F4006D">
          <w:rPr>
            <w:rFonts w:asciiTheme="minorHAnsi" w:eastAsiaTheme="minorEastAsia" w:hAnsiTheme="minorHAnsi" w:cstheme="minorBidi"/>
            <w:lang w:val="fr-FR" w:eastAsia="fr-FR"/>
          </w:rPr>
          <w:tab/>
        </w:r>
        <w:r w:rsidR="00F4006D" w:rsidRPr="00286D48">
          <w:rPr>
            <w:rStyle w:val="Hipercze"/>
          </w:rPr>
          <w:t>Coordination with other interregional cooperation programmes of the ETC goal</w:t>
        </w:r>
        <w:r w:rsidR="00F4006D">
          <w:rPr>
            <w:webHidden/>
          </w:rPr>
          <w:tab/>
        </w:r>
        <w:r w:rsidR="00565EF9">
          <w:rPr>
            <w:webHidden/>
          </w:rPr>
          <w:fldChar w:fldCharType="begin"/>
        </w:r>
        <w:r w:rsidR="00F4006D">
          <w:rPr>
            <w:webHidden/>
          </w:rPr>
          <w:instrText xml:space="preserve"> PAGEREF _Toc401325817 \h </w:instrText>
        </w:r>
        <w:r w:rsidR="00565EF9">
          <w:rPr>
            <w:webHidden/>
          </w:rPr>
        </w:r>
        <w:r w:rsidR="00565EF9">
          <w:rPr>
            <w:webHidden/>
          </w:rPr>
          <w:fldChar w:fldCharType="separate"/>
        </w:r>
        <w:r w:rsidR="00E00F86">
          <w:rPr>
            <w:webHidden/>
          </w:rPr>
          <w:t>106</w:t>
        </w:r>
        <w:r w:rsidR="00565EF9">
          <w:rPr>
            <w:webHidden/>
          </w:rPr>
          <w:fldChar w:fldCharType="end"/>
        </w:r>
      </w:hyperlink>
    </w:p>
    <w:p w:rsidR="00F4006D" w:rsidRDefault="006F7B95">
      <w:pPr>
        <w:pStyle w:val="Spistreci1"/>
        <w:rPr>
          <w:rFonts w:asciiTheme="minorHAnsi" w:eastAsiaTheme="minorEastAsia" w:hAnsiTheme="minorHAnsi" w:cstheme="minorBidi"/>
          <w:b w:val="0"/>
          <w:bCs w:val="0"/>
          <w:sz w:val="22"/>
          <w:szCs w:val="22"/>
          <w:lang w:val="fr-FR"/>
        </w:rPr>
      </w:pPr>
      <w:hyperlink w:anchor="_Toc401325818" w:history="1">
        <w:r w:rsidR="00F4006D" w:rsidRPr="00286D48">
          <w:rPr>
            <w:rStyle w:val="Hipercze"/>
          </w:rPr>
          <w:t>Section 7. Reduction of administrative burden for beneficiaries</w:t>
        </w:r>
        <w:r w:rsidR="00F4006D">
          <w:rPr>
            <w:webHidden/>
          </w:rPr>
          <w:tab/>
        </w:r>
        <w:r w:rsidR="00565EF9">
          <w:rPr>
            <w:webHidden/>
          </w:rPr>
          <w:fldChar w:fldCharType="begin"/>
        </w:r>
        <w:r w:rsidR="00F4006D">
          <w:rPr>
            <w:webHidden/>
          </w:rPr>
          <w:instrText xml:space="preserve"> PAGEREF _Toc401325818 \h </w:instrText>
        </w:r>
        <w:r w:rsidR="00565EF9">
          <w:rPr>
            <w:webHidden/>
          </w:rPr>
        </w:r>
        <w:r w:rsidR="00565EF9">
          <w:rPr>
            <w:webHidden/>
          </w:rPr>
          <w:fldChar w:fldCharType="separate"/>
        </w:r>
        <w:r w:rsidR="00E00F86">
          <w:rPr>
            <w:webHidden/>
          </w:rPr>
          <w:t>109</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819" w:history="1">
        <w:r w:rsidR="00F4006D" w:rsidRPr="00286D48">
          <w:rPr>
            <w:rStyle w:val="Hipercze"/>
          </w:rPr>
          <w:t>7.1.1.</w:t>
        </w:r>
        <w:r w:rsidR="00F4006D">
          <w:rPr>
            <w:rFonts w:asciiTheme="minorHAnsi" w:eastAsiaTheme="minorEastAsia" w:hAnsiTheme="minorHAnsi" w:cstheme="minorBidi"/>
            <w:lang w:val="fr-FR" w:eastAsia="fr-FR"/>
          </w:rPr>
          <w:tab/>
        </w:r>
        <w:r w:rsidR="00F4006D" w:rsidRPr="00286D48">
          <w:rPr>
            <w:rStyle w:val="Hipercze"/>
          </w:rPr>
          <w:t>Assessment of the administrative burden of beneficiaries</w:t>
        </w:r>
        <w:r w:rsidR="00F4006D">
          <w:rPr>
            <w:webHidden/>
          </w:rPr>
          <w:tab/>
        </w:r>
        <w:r w:rsidR="00565EF9">
          <w:rPr>
            <w:webHidden/>
          </w:rPr>
          <w:fldChar w:fldCharType="begin"/>
        </w:r>
        <w:r w:rsidR="00F4006D">
          <w:rPr>
            <w:webHidden/>
          </w:rPr>
          <w:instrText xml:space="preserve"> PAGEREF _Toc401325819 \h </w:instrText>
        </w:r>
        <w:r w:rsidR="00565EF9">
          <w:rPr>
            <w:webHidden/>
          </w:rPr>
        </w:r>
        <w:r w:rsidR="00565EF9">
          <w:rPr>
            <w:webHidden/>
          </w:rPr>
          <w:fldChar w:fldCharType="separate"/>
        </w:r>
        <w:r w:rsidR="00E00F86">
          <w:rPr>
            <w:webHidden/>
          </w:rPr>
          <w:t>112</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820" w:history="1">
        <w:r w:rsidR="00F4006D" w:rsidRPr="00286D48">
          <w:rPr>
            <w:rStyle w:val="Hipercze"/>
          </w:rPr>
          <w:t>7.1.2.</w:t>
        </w:r>
        <w:r w:rsidR="00F4006D">
          <w:rPr>
            <w:rFonts w:asciiTheme="minorHAnsi" w:eastAsiaTheme="minorEastAsia" w:hAnsiTheme="minorHAnsi" w:cstheme="minorBidi"/>
            <w:lang w:val="fr-FR" w:eastAsia="fr-FR"/>
          </w:rPr>
          <w:tab/>
        </w:r>
        <w:r w:rsidR="00F4006D" w:rsidRPr="00286D48">
          <w:rPr>
            <w:rStyle w:val="Hipercze"/>
          </w:rPr>
          <w:t xml:space="preserve">Main actions planned to reduce the administrative burden </w:t>
        </w:r>
        <w:r w:rsidR="00F4006D">
          <w:rPr>
            <w:webHidden/>
          </w:rPr>
          <w:tab/>
        </w:r>
        <w:r w:rsidR="00565EF9">
          <w:rPr>
            <w:webHidden/>
          </w:rPr>
          <w:fldChar w:fldCharType="begin"/>
        </w:r>
        <w:r w:rsidR="00F4006D">
          <w:rPr>
            <w:webHidden/>
          </w:rPr>
          <w:instrText xml:space="preserve"> PAGEREF _Toc401325820 \h </w:instrText>
        </w:r>
        <w:r w:rsidR="00565EF9">
          <w:rPr>
            <w:webHidden/>
          </w:rPr>
        </w:r>
        <w:r w:rsidR="00565EF9">
          <w:rPr>
            <w:webHidden/>
          </w:rPr>
          <w:fldChar w:fldCharType="separate"/>
        </w:r>
        <w:r w:rsidR="00E00F86">
          <w:rPr>
            <w:webHidden/>
          </w:rPr>
          <w:t>112</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821" w:history="1">
        <w:r w:rsidR="00F4006D" w:rsidRPr="00286D48">
          <w:rPr>
            <w:rStyle w:val="Hipercze"/>
          </w:rPr>
          <w:t>7.1.3.</w:t>
        </w:r>
        <w:r w:rsidR="00F4006D">
          <w:rPr>
            <w:rFonts w:asciiTheme="minorHAnsi" w:eastAsiaTheme="minorEastAsia" w:hAnsiTheme="minorHAnsi" w:cstheme="minorBidi"/>
            <w:lang w:val="fr-FR" w:eastAsia="fr-FR"/>
          </w:rPr>
          <w:tab/>
        </w:r>
        <w:r w:rsidR="00F4006D" w:rsidRPr="00286D48">
          <w:rPr>
            <w:rStyle w:val="Hipercze"/>
          </w:rPr>
          <w:t>E-Cohesion</w:t>
        </w:r>
        <w:r w:rsidR="00F4006D">
          <w:rPr>
            <w:webHidden/>
          </w:rPr>
          <w:tab/>
        </w:r>
        <w:r w:rsidR="00565EF9">
          <w:rPr>
            <w:webHidden/>
          </w:rPr>
          <w:fldChar w:fldCharType="begin"/>
        </w:r>
        <w:r w:rsidR="00F4006D">
          <w:rPr>
            <w:webHidden/>
          </w:rPr>
          <w:instrText xml:space="preserve"> PAGEREF _Toc401325821 \h </w:instrText>
        </w:r>
        <w:r w:rsidR="00565EF9">
          <w:rPr>
            <w:webHidden/>
          </w:rPr>
        </w:r>
        <w:r w:rsidR="00565EF9">
          <w:rPr>
            <w:webHidden/>
          </w:rPr>
          <w:fldChar w:fldCharType="separate"/>
        </w:r>
        <w:r w:rsidR="00E00F86">
          <w:rPr>
            <w:webHidden/>
          </w:rPr>
          <w:t>114</w:t>
        </w:r>
        <w:r w:rsidR="00565EF9">
          <w:rPr>
            <w:webHidden/>
          </w:rPr>
          <w:fldChar w:fldCharType="end"/>
        </w:r>
      </w:hyperlink>
    </w:p>
    <w:p w:rsidR="00F4006D" w:rsidRDefault="006F7B95">
      <w:pPr>
        <w:pStyle w:val="Spistreci1"/>
        <w:rPr>
          <w:rFonts w:asciiTheme="minorHAnsi" w:eastAsiaTheme="minorEastAsia" w:hAnsiTheme="minorHAnsi" w:cstheme="minorBidi"/>
          <w:b w:val="0"/>
          <w:bCs w:val="0"/>
          <w:sz w:val="22"/>
          <w:szCs w:val="22"/>
          <w:lang w:val="fr-FR"/>
        </w:rPr>
      </w:pPr>
      <w:hyperlink w:anchor="_Toc401325822" w:history="1">
        <w:r w:rsidR="00F4006D" w:rsidRPr="00286D48">
          <w:rPr>
            <w:rStyle w:val="Hipercze"/>
          </w:rPr>
          <w:t>Section 8 Horizontal Principles</w:t>
        </w:r>
        <w:r w:rsidR="00F4006D">
          <w:rPr>
            <w:webHidden/>
          </w:rPr>
          <w:tab/>
        </w:r>
        <w:r w:rsidR="00565EF9">
          <w:rPr>
            <w:webHidden/>
          </w:rPr>
          <w:fldChar w:fldCharType="begin"/>
        </w:r>
        <w:r w:rsidR="00F4006D">
          <w:rPr>
            <w:webHidden/>
          </w:rPr>
          <w:instrText xml:space="preserve"> PAGEREF _Toc401325822 \h </w:instrText>
        </w:r>
        <w:r w:rsidR="00565EF9">
          <w:rPr>
            <w:webHidden/>
          </w:rPr>
        </w:r>
        <w:r w:rsidR="00565EF9">
          <w:rPr>
            <w:webHidden/>
          </w:rPr>
          <w:fldChar w:fldCharType="separate"/>
        </w:r>
        <w:r w:rsidR="00E00F86">
          <w:rPr>
            <w:webHidden/>
          </w:rPr>
          <w:t>117</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823" w:history="1">
        <w:r w:rsidR="00F4006D" w:rsidRPr="00286D48">
          <w:rPr>
            <w:rStyle w:val="Hipercze"/>
          </w:rPr>
          <w:t>8.1.</w:t>
        </w:r>
        <w:r w:rsidR="00F4006D">
          <w:rPr>
            <w:rFonts w:asciiTheme="minorHAnsi" w:eastAsiaTheme="minorEastAsia" w:hAnsiTheme="minorHAnsi" w:cstheme="minorBidi"/>
            <w:lang w:val="fr-FR" w:eastAsia="fr-FR"/>
          </w:rPr>
          <w:tab/>
        </w:r>
        <w:r w:rsidR="00F4006D" w:rsidRPr="00286D48">
          <w:rPr>
            <w:rStyle w:val="Hipercze"/>
          </w:rPr>
          <w:t>Sustainable Development</w:t>
        </w:r>
        <w:r w:rsidR="00F4006D">
          <w:rPr>
            <w:webHidden/>
          </w:rPr>
          <w:tab/>
        </w:r>
        <w:r w:rsidR="00565EF9">
          <w:rPr>
            <w:webHidden/>
          </w:rPr>
          <w:fldChar w:fldCharType="begin"/>
        </w:r>
        <w:r w:rsidR="00F4006D">
          <w:rPr>
            <w:webHidden/>
          </w:rPr>
          <w:instrText xml:space="preserve"> PAGEREF _Toc401325823 \h </w:instrText>
        </w:r>
        <w:r w:rsidR="00565EF9">
          <w:rPr>
            <w:webHidden/>
          </w:rPr>
        </w:r>
        <w:r w:rsidR="00565EF9">
          <w:rPr>
            <w:webHidden/>
          </w:rPr>
          <w:fldChar w:fldCharType="separate"/>
        </w:r>
        <w:r w:rsidR="00E00F86">
          <w:rPr>
            <w:webHidden/>
          </w:rPr>
          <w:t>117</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824" w:history="1">
        <w:r w:rsidR="00F4006D" w:rsidRPr="00286D48">
          <w:rPr>
            <w:rStyle w:val="Hipercze"/>
          </w:rPr>
          <w:t>8.2.</w:t>
        </w:r>
        <w:r w:rsidR="00F4006D">
          <w:rPr>
            <w:rFonts w:asciiTheme="minorHAnsi" w:eastAsiaTheme="minorEastAsia" w:hAnsiTheme="minorHAnsi" w:cstheme="minorBidi"/>
            <w:lang w:val="fr-FR" w:eastAsia="fr-FR"/>
          </w:rPr>
          <w:tab/>
        </w:r>
        <w:r w:rsidR="00F4006D" w:rsidRPr="00286D48">
          <w:rPr>
            <w:rStyle w:val="Hipercze"/>
          </w:rPr>
          <w:t>Equal opportunities and non-discrimination</w:t>
        </w:r>
        <w:r w:rsidR="00F4006D">
          <w:rPr>
            <w:webHidden/>
          </w:rPr>
          <w:tab/>
        </w:r>
        <w:r w:rsidR="00565EF9">
          <w:rPr>
            <w:webHidden/>
          </w:rPr>
          <w:fldChar w:fldCharType="begin"/>
        </w:r>
        <w:r w:rsidR="00F4006D">
          <w:rPr>
            <w:webHidden/>
          </w:rPr>
          <w:instrText xml:space="preserve"> PAGEREF _Toc401325824 \h </w:instrText>
        </w:r>
        <w:r w:rsidR="00565EF9">
          <w:rPr>
            <w:webHidden/>
          </w:rPr>
        </w:r>
        <w:r w:rsidR="00565EF9">
          <w:rPr>
            <w:webHidden/>
          </w:rPr>
          <w:fldChar w:fldCharType="separate"/>
        </w:r>
        <w:r w:rsidR="00E00F86">
          <w:rPr>
            <w:webHidden/>
          </w:rPr>
          <w:t>117</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825" w:history="1">
        <w:r w:rsidR="00F4006D" w:rsidRPr="00286D48">
          <w:rPr>
            <w:rStyle w:val="Hipercze"/>
          </w:rPr>
          <w:t>8.3.</w:t>
        </w:r>
        <w:r w:rsidR="00F4006D">
          <w:rPr>
            <w:rFonts w:asciiTheme="minorHAnsi" w:eastAsiaTheme="minorEastAsia" w:hAnsiTheme="minorHAnsi" w:cstheme="minorBidi"/>
            <w:lang w:val="fr-FR" w:eastAsia="fr-FR"/>
          </w:rPr>
          <w:tab/>
        </w:r>
        <w:r w:rsidR="00F4006D" w:rsidRPr="00286D48">
          <w:rPr>
            <w:rStyle w:val="Hipercze"/>
          </w:rPr>
          <w:t>Equality between men and women</w:t>
        </w:r>
        <w:r w:rsidR="00F4006D">
          <w:rPr>
            <w:webHidden/>
          </w:rPr>
          <w:tab/>
        </w:r>
        <w:r w:rsidR="00565EF9">
          <w:rPr>
            <w:webHidden/>
          </w:rPr>
          <w:fldChar w:fldCharType="begin"/>
        </w:r>
        <w:r w:rsidR="00F4006D">
          <w:rPr>
            <w:webHidden/>
          </w:rPr>
          <w:instrText xml:space="preserve"> PAGEREF _Toc401325825 \h </w:instrText>
        </w:r>
        <w:r w:rsidR="00565EF9">
          <w:rPr>
            <w:webHidden/>
          </w:rPr>
        </w:r>
        <w:r w:rsidR="00565EF9">
          <w:rPr>
            <w:webHidden/>
          </w:rPr>
          <w:fldChar w:fldCharType="separate"/>
        </w:r>
        <w:r w:rsidR="00E00F86">
          <w:rPr>
            <w:webHidden/>
          </w:rPr>
          <w:t>117</w:t>
        </w:r>
        <w:r w:rsidR="00565EF9">
          <w:rPr>
            <w:webHidden/>
          </w:rPr>
          <w:fldChar w:fldCharType="end"/>
        </w:r>
      </w:hyperlink>
    </w:p>
    <w:p w:rsidR="00F4006D" w:rsidRDefault="006F7B95">
      <w:pPr>
        <w:pStyle w:val="Spistreci1"/>
        <w:rPr>
          <w:rFonts w:asciiTheme="minorHAnsi" w:eastAsiaTheme="minorEastAsia" w:hAnsiTheme="minorHAnsi" w:cstheme="minorBidi"/>
          <w:b w:val="0"/>
          <w:bCs w:val="0"/>
          <w:sz w:val="22"/>
          <w:szCs w:val="22"/>
          <w:lang w:val="fr-FR"/>
        </w:rPr>
      </w:pPr>
      <w:hyperlink w:anchor="_Toc401325826" w:history="1">
        <w:r w:rsidR="00F4006D" w:rsidRPr="00286D48">
          <w:rPr>
            <w:rStyle w:val="Hipercze"/>
          </w:rPr>
          <w:t>Section 9. Separate Elements</w:t>
        </w:r>
        <w:r w:rsidR="00F4006D">
          <w:rPr>
            <w:webHidden/>
          </w:rPr>
          <w:tab/>
        </w:r>
        <w:r w:rsidR="00565EF9">
          <w:rPr>
            <w:webHidden/>
          </w:rPr>
          <w:fldChar w:fldCharType="begin"/>
        </w:r>
        <w:r w:rsidR="00F4006D">
          <w:rPr>
            <w:webHidden/>
          </w:rPr>
          <w:instrText xml:space="preserve"> PAGEREF _Toc401325826 \h </w:instrText>
        </w:r>
        <w:r w:rsidR="00565EF9">
          <w:rPr>
            <w:webHidden/>
          </w:rPr>
        </w:r>
        <w:r w:rsidR="00565EF9">
          <w:rPr>
            <w:webHidden/>
          </w:rPr>
          <w:fldChar w:fldCharType="separate"/>
        </w:r>
        <w:r w:rsidR="00E00F86">
          <w:rPr>
            <w:webHidden/>
          </w:rPr>
          <w:t>120</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827" w:history="1">
        <w:r w:rsidR="00F4006D" w:rsidRPr="00286D48">
          <w:rPr>
            <w:rStyle w:val="Hipercze"/>
          </w:rPr>
          <w:t>9.1.</w:t>
        </w:r>
        <w:r w:rsidR="00F4006D">
          <w:rPr>
            <w:rFonts w:asciiTheme="minorHAnsi" w:eastAsiaTheme="minorEastAsia" w:hAnsiTheme="minorHAnsi" w:cstheme="minorBidi"/>
            <w:lang w:val="fr-FR" w:eastAsia="fr-FR"/>
          </w:rPr>
          <w:tab/>
        </w:r>
        <w:r w:rsidR="00F4006D" w:rsidRPr="00286D48">
          <w:rPr>
            <w:rStyle w:val="Hipercze"/>
          </w:rPr>
          <w:t>A list of major projects for which the implementation is planned during the programming period</w:t>
        </w:r>
        <w:r w:rsidR="00F4006D">
          <w:rPr>
            <w:webHidden/>
          </w:rPr>
          <w:tab/>
        </w:r>
        <w:r w:rsidR="00565EF9">
          <w:rPr>
            <w:webHidden/>
          </w:rPr>
          <w:fldChar w:fldCharType="begin"/>
        </w:r>
        <w:r w:rsidR="00F4006D">
          <w:rPr>
            <w:webHidden/>
          </w:rPr>
          <w:instrText xml:space="preserve"> PAGEREF _Toc401325827 \h </w:instrText>
        </w:r>
        <w:r w:rsidR="00565EF9">
          <w:rPr>
            <w:webHidden/>
          </w:rPr>
        </w:r>
        <w:r w:rsidR="00565EF9">
          <w:rPr>
            <w:webHidden/>
          </w:rPr>
          <w:fldChar w:fldCharType="separate"/>
        </w:r>
        <w:r w:rsidR="00E00F86">
          <w:rPr>
            <w:webHidden/>
          </w:rPr>
          <w:t>120</w:t>
        </w:r>
        <w:r w:rsidR="00565EF9">
          <w:rPr>
            <w:webHidden/>
          </w:rPr>
          <w:fldChar w:fldCharType="end"/>
        </w:r>
      </w:hyperlink>
    </w:p>
    <w:p w:rsidR="00F4006D" w:rsidRDefault="006F7B95">
      <w:pPr>
        <w:pStyle w:val="Spistreci3"/>
        <w:tabs>
          <w:tab w:val="right" w:leader="dot" w:pos="9772"/>
        </w:tabs>
        <w:rPr>
          <w:rFonts w:asciiTheme="minorHAnsi" w:eastAsiaTheme="minorEastAsia" w:hAnsiTheme="minorHAnsi" w:cstheme="minorBidi"/>
          <w:noProof/>
          <w:lang w:val="fr-FR"/>
        </w:rPr>
      </w:pPr>
      <w:hyperlink w:anchor="_Toc401325828" w:history="1">
        <w:r w:rsidR="00F4006D" w:rsidRPr="00286D48">
          <w:rPr>
            <w:rStyle w:val="Hipercze"/>
            <w:bCs/>
            <w:noProof/>
          </w:rPr>
          <w:t>Not applicable to URBACT</w:t>
        </w:r>
        <w:r w:rsidR="00F4006D">
          <w:rPr>
            <w:noProof/>
            <w:webHidden/>
          </w:rPr>
          <w:tab/>
        </w:r>
        <w:r w:rsidR="00565EF9">
          <w:rPr>
            <w:noProof/>
            <w:webHidden/>
          </w:rPr>
          <w:fldChar w:fldCharType="begin"/>
        </w:r>
        <w:r w:rsidR="00F4006D">
          <w:rPr>
            <w:noProof/>
            <w:webHidden/>
          </w:rPr>
          <w:instrText xml:space="preserve"> PAGEREF _Toc401325828 \h </w:instrText>
        </w:r>
        <w:r w:rsidR="00565EF9">
          <w:rPr>
            <w:noProof/>
            <w:webHidden/>
          </w:rPr>
        </w:r>
        <w:r w:rsidR="00565EF9">
          <w:rPr>
            <w:noProof/>
            <w:webHidden/>
          </w:rPr>
          <w:fldChar w:fldCharType="separate"/>
        </w:r>
        <w:r w:rsidR="00E00F86">
          <w:rPr>
            <w:noProof/>
            <w:webHidden/>
          </w:rPr>
          <w:t>120</w:t>
        </w:r>
        <w:r w:rsidR="00565EF9">
          <w:rPr>
            <w:noProof/>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829" w:history="1">
        <w:r w:rsidR="00F4006D" w:rsidRPr="00286D48">
          <w:rPr>
            <w:rStyle w:val="Hipercze"/>
          </w:rPr>
          <w:t>9.2.</w:t>
        </w:r>
        <w:r w:rsidR="00F4006D">
          <w:rPr>
            <w:rFonts w:asciiTheme="minorHAnsi" w:eastAsiaTheme="minorEastAsia" w:hAnsiTheme="minorHAnsi" w:cstheme="minorBidi"/>
            <w:lang w:val="fr-FR" w:eastAsia="fr-FR"/>
          </w:rPr>
          <w:tab/>
        </w:r>
        <w:r w:rsidR="00F4006D" w:rsidRPr="00286D48">
          <w:rPr>
            <w:rStyle w:val="Hipercze"/>
          </w:rPr>
          <w:t>The performance framework of the cooperation programme</w:t>
        </w:r>
        <w:r w:rsidR="00F4006D">
          <w:rPr>
            <w:webHidden/>
          </w:rPr>
          <w:tab/>
        </w:r>
        <w:r w:rsidR="00565EF9">
          <w:rPr>
            <w:webHidden/>
          </w:rPr>
          <w:fldChar w:fldCharType="begin"/>
        </w:r>
        <w:r w:rsidR="00F4006D">
          <w:rPr>
            <w:webHidden/>
          </w:rPr>
          <w:instrText xml:space="preserve"> PAGEREF _Toc401325829 \h </w:instrText>
        </w:r>
        <w:r w:rsidR="00565EF9">
          <w:rPr>
            <w:webHidden/>
          </w:rPr>
        </w:r>
        <w:r w:rsidR="00565EF9">
          <w:rPr>
            <w:webHidden/>
          </w:rPr>
          <w:fldChar w:fldCharType="separate"/>
        </w:r>
        <w:r w:rsidR="00E00F86">
          <w:rPr>
            <w:webHidden/>
          </w:rPr>
          <w:t>120</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830" w:history="1">
        <w:r w:rsidR="00F4006D" w:rsidRPr="00286D48">
          <w:rPr>
            <w:rStyle w:val="Hipercze"/>
          </w:rPr>
          <w:t>9.3.</w:t>
        </w:r>
        <w:r w:rsidR="00F4006D">
          <w:rPr>
            <w:rFonts w:asciiTheme="minorHAnsi" w:eastAsiaTheme="minorEastAsia" w:hAnsiTheme="minorHAnsi" w:cstheme="minorBidi"/>
            <w:lang w:val="fr-FR" w:eastAsia="fr-FR"/>
          </w:rPr>
          <w:tab/>
        </w:r>
        <w:r w:rsidR="00F4006D" w:rsidRPr="00286D48">
          <w:rPr>
            <w:rStyle w:val="Hipercze"/>
          </w:rPr>
          <w:t>List of relevant partners involved in the preparation of the cooperation programme</w:t>
        </w:r>
        <w:r w:rsidR="00F4006D">
          <w:rPr>
            <w:webHidden/>
          </w:rPr>
          <w:tab/>
        </w:r>
        <w:r w:rsidR="00565EF9">
          <w:rPr>
            <w:webHidden/>
          </w:rPr>
          <w:fldChar w:fldCharType="begin"/>
        </w:r>
        <w:r w:rsidR="00F4006D">
          <w:rPr>
            <w:webHidden/>
          </w:rPr>
          <w:instrText xml:space="preserve"> PAGEREF _Toc401325830 \h </w:instrText>
        </w:r>
        <w:r w:rsidR="00565EF9">
          <w:rPr>
            <w:webHidden/>
          </w:rPr>
        </w:r>
        <w:r w:rsidR="00565EF9">
          <w:rPr>
            <w:webHidden/>
          </w:rPr>
          <w:fldChar w:fldCharType="separate"/>
        </w:r>
        <w:r w:rsidR="00E00F86">
          <w:rPr>
            <w:webHidden/>
          </w:rPr>
          <w:t>121</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831" w:history="1">
        <w:r w:rsidR="00F4006D" w:rsidRPr="00286D48">
          <w:rPr>
            <w:rStyle w:val="Hipercze"/>
          </w:rPr>
          <w:t>9.4.</w:t>
        </w:r>
        <w:r w:rsidR="00F4006D">
          <w:rPr>
            <w:rFonts w:asciiTheme="minorHAnsi" w:eastAsiaTheme="minorEastAsia" w:hAnsiTheme="minorHAnsi" w:cstheme="minorBidi"/>
            <w:lang w:val="fr-FR" w:eastAsia="fr-FR"/>
          </w:rPr>
          <w:tab/>
        </w:r>
        <w:r w:rsidR="00F4006D" w:rsidRPr="00286D48">
          <w:rPr>
            <w:rStyle w:val="Hipercze"/>
          </w:rPr>
          <w:t>Applicable programme implementation conditions governing for the participation of third countries through a contribution of ENI and IPA resources</w:t>
        </w:r>
        <w:r w:rsidR="00F4006D">
          <w:rPr>
            <w:webHidden/>
          </w:rPr>
          <w:tab/>
        </w:r>
        <w:r w:rsidR="00565EF9">
          <w:rPr>
            <w:webHidden/>
          </w:rPr>
          <w:fldChar w:fldCharType="begin"/>
        </w:r>
        <w:r w:rsidR="00F4006D">
          <w:rPr>
            <w:webHidden/>
          </w:rPr>
          <w:instrText xml:space="preserve"> PAGEREF _Toc401325831 \h </w:instrText>
        </w:r>
        <w:r w:rsidR="00565EF9">
          <w:rPr>
            <w:webHidden/>
          </w:rPr>
        </w:r>
        <w:r w:rsidR="00565EF9">
          <w:rPr>
            <w:webHidden/>
          </w:rPr>
          <w:fldChar w:fldCharType="separate"/>
        </w:r>
        <w:r w:rsidR="00E00F86">
          <w:rPr>
            <w:webHidden/>
          </w:rPr>
          <w:t>122</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832" w:history="1">
        <w:r w:rsidR="00F4006D" w:rsidRPr="00286D48">
          <w:rPr>
            <w:rStyle w:val="Hipercze"/>
          </w:rPr>
          <w:t>ANNEX 1 Ex-Ante Evaluation Report</w:t>
        </w:r>
        <w:r w:rsidR="00F4006D">
          <w:rPr>
            <w:webHidden/>
          </w:rPr>
          <w:tab/>
        </w:r>
        <w:r w:rsidR="00565EF9">
          <w:rPr>
            <w:webHidden/>
          </w:rPr>
          <w:fldChar w:fldCharType="begin"/>
        </w:r>
        <w:r w:rsidR="00F4006D">
          <w:rPr>
            <w:webHidden/>
          </w:rPr>
          <w:instrText xml:space="preserve"> PAGEREF _Toc401325832 \h </w:instrText>
        </w:r>
        <w:r w:rsidR="00565EF9">
          <w:rPr>
            <w:webHidden/>
          </w:rPr>
        </w:r>
        <w:r w:rsidR="00565EF9">
          <w:rPr>
            <w:webHidden/>
          </w:rPr>
          <w:fldChar w:fldCharType="separate"/>
        </w:r>
        <w:r w:rsidR="00E00F86">
          <w:rPr>
            <w:webHidden/>
          </w:rPr>
          <w:t>124</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833" w:history="1">
        <w:r w:rsidR="00F4006D" w:rsidRPr="00286D48">
          <w:rPr>
            <w:rStyle w:val="Hipercze"/>
          </w:rPr>
          <w:t>ANNEX 2 Member and Partner States Agreement</w:t>
        </w:r>
        <w:r w:rsidR="00F4006D">
          <w:rPr>
            <w:webHidden/>
          </w:rPr>
          <w:tab/>
        </w:r>
        <w:r w:rsidR="00565EF9">
          <w:rPr>
            <w:webHidden/>
          </w:rPr>
          <w:fldChar w:fldCharType="begin"/>
        </w:r>
        <w:r w:rsidR="00F4006D">
          <w:rPr>
            <w:webHidden/>
          </w:rPr>
          <w:instrText xml:space="preserve"> PAGEREF _Toc401325833 \h </w:instrText>
        </w:r>
        <w:r w:rsidR="00565EF9">
          <w:rPr>
            <w:webHidden/>
          </w:rPr>
        </w:r>
        <w:r w:rsidR="00565EF9">
          <w:rPr>
            <w:webHidden/>
          </w:rPr>
          <w:fldChar w:fldCharType="separate"/>
        </w:r>
        <w:r w:rsidR="00E00F86">
          <w:rPr>
            <w:webHidden/>
          </w:rPr>
          <w:t>125</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834" w:history="1">
        <w:r w:rsidR="00F4006D" w:rsidRPr="00286D48">
          <w:rPr>
            <w:rStyle w:val="Hipercze"/>
          </w:rPr>
          <w:t>ANNEX 3 Strategic Environmental Assessment</w:t>
        </w:r>
        <w:r w:rsidR="00F4006D">
          <w:rPr>
            <w:webHidden/>
          </w:rPr>
          <w:tab/>
        </w:r>
        <w:r w:rsidR="00565EF9">
          <w:rPr>
            <w:webHidden/>
          </w:rPr>
          <w:fldChar w:fldCharType="begin"/>
        </w:r>
        <w:r w:rsidR="00F4006D">
          <w:rPr>
            <w:webHidden/>
          </w:rPr>
          <w:instrText xml:space="preserve"> PAGEREF _Toc401325834 \h </w:instrText>
        </w:r>
        <w:r w:rsidR="00565EF9">
          <w:rPr>
            <w:webHidden/>
          </w:rPr>
        </w:r>
        <w:r w:rsidR="00565EF9">
          <w:rPr>
            <w:webHidden/>
          </w:rPr>
          <w:fldChar w:fldCharType="separate"/>
        </w:r>
        <w:r w:rsidR="00E00F86">
          <w:rPr>
            <w:webHidden/>
          </w:rPr>
          <w:t>128</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835" w:history="1">
        <w:r w:rsidR="00F4006D" w:rsidRPr="00286D48">
          <w:rPr>
            <w:rStyle w:val="Hipercze"/>
          </w:rPr>
          <w:t>ANNEX 4 Member and Partner State Contributions</w:t>
        </w:r>
        <w:r w:rsidR="00F4006D">
          <w:rPr>
            <w:webHidden/>
          </w:rPr>
          <w:tab/>
        </w:r>
        <w:r w:rsidR="00565EF9">
          <w:rPr>
            <w:webHidden/>
          </w:rPr>
          <w:fldChar w:fldCharType="begin"/>
        </w:r>
        <w:r w:rsidR="00F4006D">
          <w:rPr>
            <w:webHidden/>
          </w:rPr>
          <w:instrText xml:space="preserve"> PAGEREF _Toc401325835 \h </w:instrText>
        </w:r>
        <w:r w:rsidR="00565EF9">
          <w:rPr>
            <w:webHidden/>
          </w:rPr>
        </w:r>
        <w:r w:rsidR="00565EF9">
          <w:rPr>
            <w:webHidden/>
          </w:rPr>
          <w:fldChar w:fldCharType="separate"/>
        </w:r>
        <w:r w:rsidR="00E00F86">
          <w:rPr>
            <w:webHidden/>
          </w:rPr>
          <w:t>137</w:t>
        </w:r>
        <w:r w:rsidR="00565EF9">
          <w:rPr>
            <w:webHidden/>
          </w:rPr>
          <w:fldChar w:fldCharType="end"/>
        </w:r>
      </w:hyperlink>
    </w:p>
    <w:p w:rsidR="00F4006D" w:rsidRDefault="006F7B95">
      <w:pPr>
        <w:pStyle w:val="Spistreci2"/>
        <w:rPr>
          <w:rFonts w:asciiTheme="minorHAnsi" w:eastAsiaTheme="minorEastAsia" w:hAnsiTheme="minorHAnsi" w:cstheme="minorBidi"/>
          <w:lang w:val="fr-FR" w:eastAsia="fr-FR"/>
        </w:rPr>
      </w:pPr>
      <w:hyperlink w:anchor="_Toc401325836" w:history="1">
        <w:r w:rsidR="00F4006D" w:rsidRPr="00286D48">
          <w:rPr>
            <w:rStyle w:val="Hipercze"/>
          </w:rPr>
          <w:t>ANNEX 5 Map of the Programme Area</w:t>
        </w:r>
        <w:r w:rsidR="00F4006D">
          <w:rPr>
            <w:webHidden/>
          </w:rPr>
          <w:tab/>
        </w:r>
        <w:r w:rsidR="00565EF9">
          <w:rPr>
            <w:webHidden/>
          </w:rPr>
          <w:fldChar w:fldCharType="begin"/>
        </w:r>
        <w:r w:rsidR="00F4006D">
          <w:rPr>
            <w:webHidden/>
          </w:rPr>
          <w:instrText xml:space="preserve"> PAGEREF _Toc401325836 \h </w:instrText>
        </w:r>
        <w:r w:rsidR="00565EF9">
          <w:rPr>
            <w:webHidden/>
          </w:rPr>
        </w:r>
        <w:r w:rsidR="00565EF9">
          <w:rPr>
            <w:webHidden/>
          </w:rPr>
          <w:fldChar w:fldCharType="separate"/>
        </w:r>
        <w:r w:rsidR="00E00F86">
          <w:rPr>
            <w:webHidden/>
          </w:rPr>
          <w:t>138</w:t>
        </w:r>
        <w:r w:rsidR="00565EF9">
          <w:rPr>
            <w:webHidden/>
          </w:rPr>
          <w:fldChar w:fldCharType="end"/>
        </w:r>
      </w:hyperlink>
    </w:p>
    <w:p w:rsidR="00291F43" w:rsidRDefault="00565EF9" w:rsidP="00F4006D">
      <w:pPr>
        <w:pStyle w:val="Spistreci2"/>
        <w:rPr>
          <w:rFonts w:ascii="Times New Roman" w:eastAsiaTheme="minorEastAsia" w:hAnsi="Times New Roman"/>
        </w:rPr>
      </w:pPr>
      <w:r w:rsidRPr="004F5F2B">
        <w:fldChar w:fldCharType="end"/>
      </w:r>
    </w:p>
    <w:p w:rsidR="00AC759C" w:rsidRPr="004F5F2B" w:rsidRDefault="00364438" w:rsidP="00BE5386">
      <w:pPr>
        <w:rPr>
          <w:rFonts w:ascii="Verdana" w:eastAsia="Calibri" w:hAnsi="Verdana"/>
          <w:b/>
          <w:smallCaps/>
          <w:sz w:val="32"/>
          <w:szCs w:val="32"/>
          <w:lang w:eastAsia="en-US"/>
        </w:rPr>
      </w:pPr>
      <w:r w:rsidRPr="004F5F2B">
        <w:br w:type="page"/>
      </w:r>
    </w:p>
    <w:p w:rsidR="00AC759C" w:rsidRPr="004F5F2B" w:rsidRDefault="00AC759C" w:rsidP="00A40420">
      <w:pPr>
        <w:pStyle w:val="StyleHeading1Hanging085cm"/>
      </w:pPr>
    </w:p>
    <w:p w:rsidR="00AC759C" w:rsidRPr="004F5F2B" w:rsidRDefault="00AC759C" w:rsidP="00A40420">
      <w:pPr>
        <w:pStyle w:val="StyleHeading1Hanging085cm"/>
      </w:pPr>
    </w:p>
    <w:p w:rsidR="00E62C08" w:rsidRPr="004F5F2B" w:rsidRDefault="00E62C08" w:rsidP="00A40420">
      <w:pPr>
        <w:pStyle w:val="StyleHeading1Hanging085cm"/>
      </w:pPr>
    </w:p>
    <w:p w:rsidR="00DC282F" w:rsidRPr="004F5F2B" w:rsidRDefault="00DC282F" w:rsidP="00E62C08">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p>
    <w:p w:rsidR="00E62C08" w:rsidRPr="004F5F2B" w:rsidRDefault="00E62C08" w:rsidP="00E62C08">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r w:rsidRPr="004F5F2B">
        <w:rPr>
          <w:rFonts w:ascii="Verdana" w:hAnsi="Verdana"/>
          <w:b/>
          <w:bCs/>
        </w:rPr>
        <w:t>SECTION ONE</w:t>
      </w:r>
    </w:p>
    <w:p w:rsidR="00E62C08" w:rsidRPr="004F5F2B" w:rsidRDefault="00E62C08" w:rsidP="00E62C08">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p>
    <w:p w:rsidR="00E62C08" w:rsidRPr="004F5F2B" w:rsidRDefault="00E62C08" w:rsidP="00E62C08">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p>
    <w:p w:rsidR="00E62C08" w:rsidRPr="00E63C1B" w:rsidRDefault="00E62C08" w:rsidP="000B06AD">
      <w:pPr>
        <w:pBdr>
          <w:top w:val="single" w:sz="4" w:space="1" w:color="auto" w:shadow="1"/>
          <w:left w:val="single" w:sz="4" w:space="4" w:color="auto" w:shadow="1"/>
          <w:bottom w:val="single" w:sz="4" w:space="1" w:color="auto" w:shadow="1"/>
          <w:right w:val="single" w:sz="4" w:space="4" w:color="auto" w:shadow="1"/>
        </w:pBdr>
        <w:spacing w:line="276" w:lineRule="auto"/>
        <w:jc w:val="center"/>
        <w:rPr>
          <w:rFonts w:ascii="Verdana" w:hAnsi="Verdana"/>
          <w:b/>
          <w:sz w:val="28"/>
          <w:szCs w:val="28"/>
        </w:rPr>
      </w:pPr>
      <w:r w:rsidRPr="00E63C1B">
        <w:rPr>
          <w:rFonts w:ascii="Verdana" w:hAnsi="Verdana"/>
          <w:b/>
          <w:sz w:val="28"/>
          <w:szCs w:val="28"/>
        </w:rPr>
        <w:t>Strategy for the contribution of URBACT III</w:t>
      </w:r>
    </w:p>
    <w:p w:rsidR="00E62C08" w:rsidRPr="00E63C1B" w:rsidRDefault="00E62C08" w:rsidP="000B06AD">
      <w:pPr>
        <w:pBdr>
          <w:top w:val="single" w:sz="4" w:space="1" w:color="auto" w:shadow="1"/>
          <w:left w:val="single" w:sz="4" w:space="4" w:color="auto" w:shadow="1"/>
          <w:bottom w:val="single" w:sz="4" w:space="1" w:color="auto" w:shadow="1"/>
          <w:right w:val="single" w:sz="4" w:space="4" w:color="auto" w:shadow="1"/>
        </w:pBdr>
        <w:spacing w:line="276" w:lineRule="auto"/>
        <w:jc w:val="center"/>
        <w:rPr>
          <w:rFonts w:ascii="Verdana" w:hAnsi="Verdana"/>
          <w:b/>
          <w:bCs/>
          <w:sz w:val="28"/>
          <w:szCs w:val="28"/>
        </w:rPr>
      </w:pPr>
      <w:r w:rsidRPr="00E63C1B">
        <w:rPr>
          <w:rFonts w:ascii="Verdana" w:hAnsi="Verdana"/>
          <w:b/>
          <w:sz w:val="28"/>
          <w:szCs w:val="28"/>
        </w:rPr>
        <w:t>to Europe 2020 and the achievement of economic, social and territorial cohesion</w:t>
      </w:r>
    </w:p>
    <w:p w:rsidR="00E62C08" w:rsidRPr="004F5F2B" w:rsidRDefault="00E62C08" w:rsidP="00E62C08">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sz w:val="32"/>
          <w:szCs w:val="32"/>
        </w:rPr>
      </w:pPr>
    </w:p>
    <w:p w:rsidR="00E62C08" w:rsidRPr="004F5F2B" w:rsidRDefault="00E62C08" w:rsidP="00E62C08">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E62C08" w:rsidRPr="004F5F2B" w:rsidRDefault="00E62C08" w:rsidP="00E62C08">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E62C08" w:rsidRPr="000B06AD" w:rsidRDefault="00E62C08" w:rsidP="00E62C08">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E62C08" w:rsidRPr="000B06AD" w:rsidRDefault="00DC282F" w:rsidP="008166DD">
      <w:pPr>
        <w:pStyle w:val="Paragraphedeliste3"/>
        <w:numPr>
          <w:ilvl w:val="1"/>
          <w:numId w:val="12"/>
        </w:num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sz w:val="24"/>
          <w:szCs w:val="24"/>
        </w:rPr>
      </w:pPr>
      <w:r w:rsidRPr="000B06AD">
        <w:rPr>
          <w:rFonts w:ascii="Verdana" w:hAnsi="Verdana"/>
          <w:b/>
          <w:bCs/>
          <w:sz w:val="24"/>
          <w:szCs w:val="24"/>
        </w:rPr>
        <w:t>Strategy</w:t>
      </w:r>
    </w:p>
    <w:p w:rsidR="00FA1AE7" w:rsidRPr="000B06AD" w:rsidRDefault="00FA1AE7" w:rsidP="00FA1AE7">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iCs/>
          <w:lang w:eastAsia="ar-SA"/>
        </w:rPr>
      </w:pPr>
    </w:p>
    <w:p w:rsidR="00E62C08" w:rsidRPr="000B06AD" w:rsidRDefault="00DC282F" w:rsidP="00DC282F">
      <w:pPr>
        <w:pBdr>
          <w:top w:val="single" w:sz="4" w:space="1" w:color="auto" w:shadow="1"/>
          <w:left w:val="single" w:sz="4" w:space="4" w:color="auto" w:shadow="1"/>
          <w:bottom w:val="single" w:sz="4" w:space="1" w:color="auto" w:shadow="1"/>
          <w:right w:val="single" w:sz="4" w:space="4" w:color="auto" w:shadow="1"/>
        </w:pBdr>
        <w:spacing w:before="60"/>
        <w:ind w:firstLine="708"/>
        <w:jc w:val="both"/>
        <w:rPr>
          <w:rFonts w:ascii="Verdana" w:hAnsi="Verdana"/>
          <w:b/>
          <w:bCs/>
        </w:rPr>
      </w:pPr>
      <w:r w:rsidRPr="000B06AD">
        <w:rPr>
          <w:rFonts w:ascii="Verdana" w:hAnsi="Verdana"/>
          <w:b/>
          <w:bCs/>
        </w:rPr>
        <w:t>1.1.1.</w:t>
      </w:r>
      <w:r w:rsidRPr="000B06AD">
        <w:rPr>
          <w:rFonts w:ascii="Verdana" w:hAnsi="Verdana"/>
          <w:b/>
          <w:bCs/>
        </w:rPr>
        <w:tab/>
        <w:t>The context of the Programme</w:t>
      </w:r>
    </w:p>
    <w:p w:rsidR="00DC282F" w:rsidRPr="000B06AD" w:rsidRDefault="00DC282F" w:rsidP="00DC282F">
      <w:pPr>
        <w:pBdr>
          <w:top w:val="single" w:sz="4" w:space="1" w:color="auto" w:shadow="1"/>
          <w:left w:val="single" w:sz="4" w:space="4" w:color="auto" w:shadow="1"/>
          <w:bottom w:val="single" w:sz="4" w:space="1" w:color="auto" w:shadow="1"/>
          <w:right w:val="single" w:sz="4" w:space="4" w:color="auto" w:shadow="1"/>
        </w:pBdr>
        <w:spacing w:before="60"/>
        <w:ind w:firstLine="708"/>
        <w:jc w:val="both"/>
        <w:rPr>
          <w:rFonts w:ascii="Verdana" w:hAnsi="Verdana"/>
          <w:b/>
          <w:bCs/>
        </w:rPr>
      </w:pPr>
      <w:r w:rsidRPr="000B06AD">
        <w:rPr>
          <w:rFonts w:ascii="Verdana" w:hAnsi="Verdana"/>
          <w:b/>
          <w:bCs/>
        </w:rPr>
        <w:t>1.1.2.</w:t>
      </w:r>
      <w:r w:rsidRPr="000B06AD">
        <w:rPr>
          <w:rFonts w:ascii="Verdana" w:hAnsi="Verdana"/>
          <w:b/>
          <w:bCs/>
        </w:rPr>
        <w:tab/>
        <w:t>Urban context and the need of cities</w:t>
      </w:r>
    </w:p>
    <w:p w:rsidR="00DC282F" w:rsidRPr="000B06AD" w:rsidRDefault="00DC282F" w:rsidP="00DC282F">
      <w:pPr>
        <w:pBdr>
          <w:top w:val="single" w:sz="4" w:space="1" w:color="auto" w:shadow="1"/>
          <w:left w:val="single" w:sz="4" w:space="4" w:color="auto" w:shadow="1"/>
          <w:bottom w:val="single" w:sz="4" w:space="1" w:color="auto" w:shadow="1"/>
          <w:right w:val="single" w:sz="4" w:space="4" w:color="auto" w:shadow="1"/>
        </w:pBdr>
        <w:spacing w:before="60"/>
        <w:ind w:firstLine="708"/>
        <w:jc w:val="both"/>
        <w:rPr>
          <w:rFonts w:ascii="Verdana" w:hAnsi="Verdana"/>
          <w:b/>
          <w:bCs/>
        </w:rPr>
      </w:pPr>
      <w:r w:rsidRPr="000B06AD">
        <w:rPr>
          <w:rFonts w:ascii="Verdana" w:hAnsi="Verdana"/>
          <w:b/>
          <w:bCs/>
        </w:rPr>
        <w:t>1.1.3.</w:t>
      </w:r>
      <w:r w:rsidRPr="000B06AD">
        <w:rPr>
          <w:rFonts w:ascii="Verdana" w:hAnsi="Verdana"/>
          <w:b/>
          <w:bCs/>
        </w:rPr>
        <w:tab/>
        <w:t>Strategy</w:t>
      </w:r>
    </w:p>
    <w:p w:rsidR="00DC282F" w:rsidRPr="000B06AD" w:rsidRDefault="00DC282F" w:rsidP="00E62C08">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FA1AE7" w:rsidRPr="000B06AD" w:rsidRDefault="00FA1AE7" w:rsidP="00E62C08">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E62C08" w:rsidRPr="000B06AD" w:rsidRDefault="00DC282F" w:rsidP="00E62C08">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r w:rsidRPr="000B06AD">
        <w:rPr>
          <w:rFonts w:ascii="Verdana" w:hAnsi="Verdana"/>
          <w:b/>
          <w:bCs/>
        </w:rPr>
        <w:t>1.2</w:t>
      </w:r>
      <w:r w:rsidR="00E62C08" w:rsidRPr="000B06AD">
        <w:rPr>
          <w:rFonts w:ascii="Verdana" w:hAnsi="Verdana"/>
          <w:b/>
          <w:bCs/>
        </w:rPr>
        <w:tab/>
      </w:r>
      <w:r w:rsidRPr="000B06AD">
        <w:rPr>
          <w:rFonts w:ascii="Verdana" w:hAnsi="Verdana"/>
          <w:b/>
          <w:bCs/>
        </w:rPr>
        <w:t>Financial Allocation</w:t>
      </w:r>
    </w:p>
    <w:p w:rsidR="00E62C08" w:rsidRPr="004F5F2B" w:rsidRDefault="00E62C08" w:rsidP="00E62C08">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E62C08" w:rsidRPr="004F5F2B" w:rsidRDefault="00E62C08" w:rsidP="00E62C08">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E62C08" w:rsidRPr="004F5F2B" w:rsidRDefault="00E62C08" w:rsidP="00E62C08">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E62C08" w:rsidRPr="004F5F2B" w:rsidRDefault="00E62C08" w:rsidP="00E62C08">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E62C08" w:rsidRPr="004F5F2B" w:rsidRDefault="00E62C08" w:rsidP="00E62C08">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E62C08" w:rsidRPr="004F5F2B" w:rsidRDefault="00E62C08" w:rsidP="00A40420">
      <w:pPr>
        <w:pStyle w:val="StyleHeading1Hanging085cm"/>
      </w:pPr>
    </w:p>
    <w:p w:rsidR="00E62C08" w:rsidRPr="004F5F2B" w:rsidRDefault="00E62C08" w:rsidP="00A40420">
      <w:pPr>
        <w:pStyle w:val="StyleHeading1Hanging085cm"/>
      </w:pPr>
    </w:p>
    <w:p w:rsidR="00E62C08" w:rsidRPr="004F5F2B" w:rsidRDefault="00E62C08" w:rsidP="00A40420">
      <w:pPr>
        <w:pStyle w:val="StyleHeading1Hanging085cm"/>
      </w:pPr>
    </w:p>
    <w:p w:rsidR="00E62C08" w:rsidRPr="004F5F2B" w:rsidRDefault="00E62C08">
      <w:pPr>
        <w:spacing w:after="200" w:line="276" w:lineRule="auto"/>
        <w:rPr>
          <w:rFonts w:ascii="Verdana" w:eastAsia="Calibri" w:hAnsi="Verdana"/>
          <w:b/>
          <w:smallCaps/>
          <w:lang w:eastAsia="en-US"/>
        </w:rPr>
      </w:pPr>
      <w:r w:rsidRPr="004F5F2B">
        <w:rPr>
          <w:i/>
        </w:rPr>
        <w:br w:type="page"/>
      </w:r>
    </w:p>
    <w:p w:rsidR="00C17DB5" w:rsidRPr="00E63C1B" w:rsidRDefault="00C17DB5" w:rsidP="00A40420">
      <w:pPr>
        <w:pStyle w:val="StyleHeading1Hanging085cm"/>
      </w:pPr>
      <w:bookmarkStart w:id="1" w:name="_Toc401325779"/>
      <w:r w:rsidRPr="00E63C1B">
        <w:t>S</w:t>
      </w:r>
      <w:r w:rsidR="00BB3E0B" w:rsidRPr="00E63C1B">
        <w:t>ection</w:t>
      </w:r>
      <w:r w:rsidRPr="00E63C1B">
        <w:t xml:space="preserve"> 1 – Strategy for the contribution OF </w:t>
      </w:r>
      <w:r w:rsidRPr="00570C49">
        <w:t>URBACT</w:t>
      </w:r>
      <w:r w:rsidRPr="00E63C1B">
        <w:t xml:space="preserve"> III to Europe 20</w:t>
      </w:r>
      <w:r w:rsidRPr="00570C49">
        <w:t>2</w:t>
      </w:r>
      <w:r w:rsidRPr="00E63C1B">
        <w:t>0 and the achievement of economic, social and territorial cohesion</w:t>
      </w:r>
      <w:bookmarkEnd w:id="1"/>
    </w:p>
    <w:p w:rsidR="00C17DB5" w:rsidRPr="004F5F2B" w:rsidRDefault="00C17DB5" w:rsidP="00570C49">
      <w:pPr>
        <w:rPr>
          <w:rFonts w:ascii="Verdana" w:hAnsi="Verdana"/>
        </w:rPr>
      </w:pPr>
    </w:p>
    <w:p w:rsidR="00C17DB5" w:rsidRPr="00570C49" w:rsidRDefault="00C17DB5" w:rsidP="00570C49">
      <w:pPr>
        <w:pStyle w:val="Nagwek2"/>
        <w:ind w:left="57"/>
      </w:pPr>
      <w:bookmarkStart w:id="2" w:name="_Toc401325780"/>
      <w:r w:rsidRPr="00570C49">
        <w:t xml:space="preserve">1.1 </w:t>
      </w:r>
      <w:r w:rsidR="00A97643">
        <w:tab/>
      </w:r>
      <w:r w:rsidRPr="00570C49">
        <w:t>Strategy for the URBACT contribution to Europe 2020 and to the achievement of economic, social and territorial cohesion</w:t>
      </w:r>
      <w:bookmarkEnd w:id="2"/>
    </w:p>
    <w:p w:rsidR="00276D3A" w:rsidRPr="004F5F2B" w:rsidRDefault="00276D3A" w:rsidP="00C17DB5">
      <w:pPr>
        <w:jc w:val="both"/>
        <w:rPr>
          <w:rFonts w:ascii="Verdana" w:hAnsi="Verdana"/>
          <w:b/>
        </w:rPr>
      </w:pPr>
    </w:p>
    <w:p w:rsidR="00C17DB5" w:rsidRPr="00334700" w:rsidRDefault="00C17DB5" w:rsidP="00334700">
      <w:pPr>
        <w:pStyle w:val="Nagwek2"/>
        <w:ind w:left="57"/>
      </w:pPr>
      <w:bookmarkStart w:id="3" w:name="_Toc401325781"/>
      <w:r w:rsidRPr="00334700">
        <w:t>1.1.1 The context of the programme</w:t>
      </w:r>
      <w:bookmarkEnd w:id="3"/>
    </w:p>
    <w:p w:rsidR="00276D3A" w:rsidRPr="004F5F2B" w:rsidRDefault="00276D3A" w:rsidP="000B06AD">
      <w:pPr>
        <w:pStyle w:val="Nagwek4"/>
        <w:rPr>
          <w:sz w:val="24"/>
          <w:szCs w:val="24"/>
        </w:rPr>
      </w:pPr>
    </w:p>
    <w:p w:rsidR="00C17DB5" w:rsidRPr="00E63C1B" w:rsidRDefault="00C17DB5" w:rsidP="000B06AD">
      <w:pPr>
        <w:pStyle w:val="Nagwek4"/>
        <w:rPr>
          <w:sz w:val="22"/>
          <w:szCs w:val="22"/>
        </w:rPr>
      </w:pPr>
      <w:r w:rsidRPr="00E63C1B">
        <w:rPr>
          <w:sz w:val="22"/>
          <w:szCs w:val="22"/>
        </w:rPr>
        <w:t>Introduction</w:t>
      </w:r>
    </w:p>
    <w:p w:rsidR="009C5C8F" w:rsidRDefault="00C17DB5" w:rsidP="000B06AD">
      <w:pPr>
        <w:spacing w:line="276" w:lineRule="auto"/>
        <w:jc w:val="both"/>
        <w:rPr>
          <w:rFonts w:ascii="Verdana" w:hAnsi="Verdana"/>
          <w:sz w:val="22"/>
          <w:szCs w:val="22"/>
        </w:rPr>
      </w:pPr>
      <w:r w:rsidRPr="00E63C1B">
        <w:rPr>
          <w:rFonts w:ascii="Verdana" w:hAnsi="Verdana"/>
          <w:sz w:val="22"/>
          <w:szCs w:val="22"/>
        </w:rPr>
        <w:t xml:space="preserve">URBACT facilitates the sharing of knowledge and good practice between cities and other levels of government. The purpose is to promote integrated sustainable development and improve the effectiveness of regional and cohesion policy. </w:t>
      </w:r>
    </w:p>
    <w:p w:rsidR="009C5C8F" w:rsidRDefault="009C5C8F" w:rsidP="000B06AD">
      <w:pPr>
        <w:spacing w:line="276" w:lineRule="auto"/>
        <w:jc w:val="both"/>
        <w:rPr>
          <w:rFonts w:ascii="Verdana" w:hAnsi="Verdana"/>
          <w:sz w:val="22"/>
          <w:szCs w:val="22"/>
        </w:rPr>
      </w:pPr>
    </w:p>
    <w:p w:rsidR="009C5C8F" w:rsidRPr="009C5C8F" w:rsidRDefault="00C17DB5" w:rsidP="009C5C8F">
      <w:pPr>
        <w:spacing w:before="60"/>
        <w:jc w:val="both"/>
        <w:rPr>
          <w:rFonts w:ascii="Verdana" w:hAnsi="Verdana"/>
          <w:sz w:val="22"/>
          <w:szCs w:val="22"/>
          <w:lang w:val="en-US"/>
        </w:rPr>
      </w:pPr>
      <w:r w:rsidRPr="009C5C8F">
        <w:rPr>
          <w:rFonts w:ascii="Verdana" w:hAnsi="Verdana"/>
          <w:sz w:val="22"/>
          <w:szCs w:val="22"/>
        </w:rPr>
        <w:t xml:space="preserve">The URBACT III </w:t>
      </w:r>
      <w:r w:rsidR="00BF5FB8">
        <w:rPr>
          <w:rFonts w:ascii="Verdana" w:hAnsi="Verdana"/>
          <w:sz w:val="22"/>
          <w:szCs w:val="22"/>
          <w:lang w:val="en-US"/>
        </w:rPr>
        <w:t>programme area consists of:</w:t>
      </w:r>
    </w:p>
    <w:p w:rsidR="009C5C8F" w:rsidRPr="009C5C8F" w:rsidRDefault="00BF5FB8" w:rsidP="008166DD">
      <w:pPr>
        <w:numPr>
          <w:ilvl w:val="0"/>
          <w:numId w:val="63"/>
        </w:numPr>
        <w:spacing w:before="60"/>
        <w:jc w:val="both"/>
        <w:rPr>
          <w:rFonts w:ascii="Verdana" w:hAnsi="Verdana"/>
          <w:sz w:val="22"/>
          <w:szCs w:val="22"/>
          <w:lang w:val="en-US"/>
        </w:rPr>
      </w:pPr>
      <w:r>
        <w:rPr>
          <w:rFonts w:ascii="Verdana" w:hAnsi="Verdana"/>
          <w:sz w:val="22"/>
          <w:szCs w:val="22"/>
          <w:lang w:val="en-US"/>
        </w:rPr>
        <w:t>EU 28 Member States</w:t>
      </w:r>
    </w:p>
    <w:p w:rsidR="009C5C8F" w:rsidRPr="009C5C8F" w:rsidRDefault="00BF5FB8" w:rsidP="008166DD">
      <w:pPr>
        <w:numPr>
          <w:ilvl w:val="0"/>
          <w:numId w:val="63"/>
        </w:numPr>
        <w:spacing w:before="60"/>
        <w:jc w:val="both"/>
        <w:rPr>
          <w:rFonts w:ascii="Verdana" w:hAnsi="Verdana"/>
          <w:sz w:val="22"/>
          <w:szCs w:val="22"/>
          <w:lang w:val="en-US"/>
        </w:rPr>
      </w:pPr>
      <w:r>
        <w:rPr>
          <w:rFonts w:ascii="Verdana" w:hAnsi="Verdana"/>
          <w:sz w:val="22"/>
          <w:szCs w:val="22"/>
          <w:lang w:val="en-US"/>
        </w:rPr>
        <w:t xml:space="preserve">Norway and the </w:t>
      </w:r>
      <w:r>
        <w:rPr>
          <w:rFonts w:ascii="Verdana" w:hAnsi="Verdana"/>
          <w:sz w:val="22"/>
          <w:szCs w:val="22"/>
        </w:rPr>
        <w:t>Helvetic</w:t>
      </w:r>
      <w:r>
        <w:rPr>
          <w:rFonts w:ascii="Verdana" w:hAnsi="Verdana"/>
          <w:sz w:val="22"/>
          <w:szCs w:val="22"/>
          <w:lang w:val="en-US"/>
        </w:rPr>
        <w:t xml:space="preserve"> Confederation. Partners from Norway and from the Helvetic Confederation cannot make use of ERDF allocations, but can participate at their own cost.</w:t>
      </w:r>
    </w:p>
    <w:p w:rsidR="009C5C8F" w:rsidRPr="009C5C8F" w:rsidRDefault="00BF5FB8" w:rsidP="008166DD">
      <w:pPr>
        <w:numPr>
          <w:ilvl w:val="0"/>
          <w:numId w:val="63"/>
        </w:numPr>
        <w:spacing w:before="60"/>
        <w:jc w:val="both"/>
        <w:rPr>
          <w:rFonts w:ascii="Verdana" w:hAnsi="Verdana"/>
          <w:sz w:val="22"/>
          <w:szCs w:val="22"/>
          <w:lang w:val="en-US"/>
        </w:rPr>
      </w:pPr>
      <w:r>
        <w:rPr>
          <w:rFonts w:ascii="Verdana" w:hAnsi="Verdana"/>
          <w:sz w:val="22"/>
          <w:szCs w:val="22"/>
          <w:lang w:val="en-US"/>
        </w:rPr>
        <w:t>Instrument for Pre Accession (IPA) countries. Partners from IPA countries can participate in operations using IPA funding, without receiving ERDF co-financing</w:t>
      </w:r>
    </w:p>
    <w:p w:rsidR="009C5C8F" w:rsidRPr="009C5C8F" w:rsidRDefault="00BF5FB8" w:rsidP="008166DD">
      <w:pPr>
        <w:numPr>
          <w:ilvl w:val="0"/>
          <w:numId w:val="63"/>
        </w:numPr>
        <w:spacing w:before="60"/>
        <w:jc w:val="both"/>
        <w:rPr>
          <w:rFonts w:ascii="Verdana" w:hAnsi="Verdana"/>
          <w:sz w:val="22"/>
          <w:szCs w:val="22"/>
          <w:lang w:val="en-US"/>
        </w:rPr>
      </w:pPr>
      <w:r>
        <w:rPr>
          <w:rFonts w:ascii="Verdana" w:hAnsi="Verdana"/>
          <w:sz w:val="22"/>
          <w:szCs w:val="22"/>
          <w:lang w:val="en-US"/>
        </w:rPr>
        <w:t xml:space="preserve">Other countries. Partners from other countries, anywhere in the world, can participate with their own funding.  </w:t>
      </w:r>
    </w:p>
    <w:p w:rsidR="009C5C8F" w:rsidRPr="009C5C8F" w:rsidRDefault="009C5C8F" w:rsidP="000B06AD">
      <w:pPr>
        <w:spacing w:line="276" w:lineRule="auto"/>
        <w:jc w:val="both"/>
        <w:rPr>
          <w:rFonts w:ascii="Verdana" w:hAnsi="Verdana"/>
          <w:sz w:val="22"/>
          <w:szCs w:val="22"/>
        </w:rPr>
      </w:pPr>
    </w:p>
    <w:p w:rsidR="009C5C8F" w:rsidRDefault="009C5C8F" w:rsidP="000B06AD">
      <w:pPr>
        <w:spacing w:line="276" w:lineRule="auto"/>
        <w:jc w:val="both"/>
        <w:rPr>
          <w:rFonts w:ascii="Verdana" w:hAnsi="Verdana"/>
          <w:sz w:val="22"/>
          <w:szCs w:val="22"/>
        </w:rPr>
      </w:pPr>
    </w:p>
    <w:p w:rsidR="00C17DB5" w:rsidRPr="00E63C1B" w:rsidRDefault="00C17DB5" w:rsidP="000B06AD">
      <w:pPr>
        <w:spacing w:line="276" w:lineRule="auto"/>
        <w:jc w:val="both"/>
        <w:rPr>
          <w:rFonts w:ascii="Verdana" w:hAnsi="Verdana"/>
          <w:sz w:val="22"/>
          <w:szCs w:val="22"/>
        </w:rPr>
      </w:pPr>
      <w:r w:rsidRPr="00E63C1B">
        <w:rPr>
          <w:rFonts w:ascii="Verdana" w:hAnsi="Verdana"/>
          <w:sz w:val="22"/>
          <w:szCs w:val="22"/>
        </w:rPr>
        <w:t xml:space="preserve">The programme is co-financed by the European Regional Development Fund (ERDF) </w:t>
      </w:r>
      <w:r w:rsidR="00F313E5">
        <w:rPr>
          <w:rFonts w:ascii="Verdana" w:hAnsi="Verdana"/>
          <w:sz w:val="22"/>
          <w:szCs w:val="22"/>
        </w:rPr>
        <w:t>with</w:t>
      </w:r>
      <w:r w:rsidRPr="00E63C1B">
        <w:rPr>
          <w:rFonts w:ascii="Verdana" w:hAnsi="Verdana"/>
          <w:sz w:val="22"/>
          <w:szCs w:val="22"/>
        </w:rPr>
        <w:t xml:space="preserve"> a budget of 74.302 million EUR for the 2014-2020 period.</w:t>
      </w:r>
    </w:p>
    <w:p w:rsidR="00276D3A" w:rsidRPr="00E63C1B" w:rsidRDefault="00276D3A" w:rsidP="000B06AD">
      <w:pPr>
        <w:widowControl w:val="0"/>
        <w:autoSpaceDE w:val="0"/>
        <w:autoSpaceDN w:val="0"/>
        <w:adjustRightInd w:val="0"/>
        <w:spacing w:line="276" w:lineRule="auto"/>
        <w:jc w:val="both"/>
        <w:rPr>
          <w:rFonts w:ascii="Verdana" w:hAnsi="Verdana"/>
          <w:color w:val="000000"/>
          <w:sz w:val="22"/>
          <w:szCs w:val="22"/>
        </w:rPr>
      </w:pPr>
    </w:p>
    <w:p w:rsidR="00C17DB5" w:rsidRPr="00E63C1B" w:rsidRDefault="00C17DB5" w:rsidP="000B06AD">
      <w:pPr>
        <w:widowControl w:val="0"/>
        <w:autoSpaceDE w:val="0"/>
        <w:autoSpaceDN w:val="0"/>
        <w:adjustRightInd w:val="0"/>
        <w:spacing w:line="276" w:lineRule="auto"/>
        <w:jc w:val="both"/>
        <w:rPr>
          <w:rStyle w:val="Pogrubienie"/>
          <w:rFonts w:ascii="Verdana" w:hAnsi="Verdana"/>
          <w:b/>
          <w:color w:val="000000"/>
          <w:sz w:val="22"/>
          <w:szCs w:val="22"/>
        </w:rPr>
      </w:pPr>
      <w:r w:rsidRPr="00E63C1B">
        <w:rPr>
          <w:rFonts w:ascii="Verdana" w:hAnsi="Verdana"/>
          <w:color w:val="000000"/>
          <w:sz w:val="22"/>
          <w:szCs w:val="22"/>
        </w:rPr>
        <w:t xml:space="preserve">The 2014-2020 URBACT III programme builds on URBACT I (2002-2006) </w:t>
      </w:r>
      <w:r w:rsidR="004F5F2B" w:rsidRPr="00E63C1B">
        <w:rPr>
          <w:rFonts w:ascii="Verdana" w:hAnsi="Verdana"/>
          <w:color w:val="000000"/>
          <w:sz w:val="22"/>
          <w:szCs w:val="22"/>
        </w:rPr>
        <w:t>and URBACT</w:t>
      </w:r>
      <w:r w:rsidRPr="00E63C1B">
        <w:rPr>
          <w:rFonts w:ascii="Verdana" w:hAnsi="Verdana"/>
          <w:color w:val="000000"/>
          <w:sz w:val="22"/>
          <w:szCs w:val="22"/>
        </w:rPr>
        <w:t xml:space="preserve"> II (2007-2013). URBACT II had a wider thematic scope to promote exchange and learning on sustainable urban development among cities in the mainstream programmes.  It went beyond exchange and learning activity through the inclusion of capacity building measures as well as pilots on implementation and transfer.</w:t>
      </w:r>
      <w:r w:rsidRPr="00E63C1B">
        <w:rPr>
          <w:rStyle w:val="Pogrubienie"/>
          <w:rFonts w:ascii="Verdana" w:hAnsi="Verdana"/>
          <w:b/>
          <w:color w:val="000000"/>
          <w:sz w:val="22"/>
          <w:szCs w:val="22"/>
        </w:rPr>
        <w:tab/>
      </w:r>
    </w:p>
    <w:p w:rsidR="00276D3A" w:rsidRPr="00E63C1B" w:rsidRDefault="00276D3A" w:rsidP="000B06AD">
      <w:pPr>
        <w:widowControl w:val="0"/>
        <w:autoSpaceDE w:val="0"/>
        <w:autoSpaceDN w:val="0"/>
        <w:adjustRightInd w:val="0"/>
        <w:spacing w:line="276" w:lineRule="auto"/>
        <w:jc w:val="both"/>
        <w:rPr>
          <w:rStyle w:val="Pogrubienie"/>
          <w:rFonts w:ascii="Verdana" w:hAnsi="Verdana"/>
          <w:b/>
          <w:color w:val="000000"/>
          <w:sz w:val="22"/>
          <w:szCs w:val="22"/>
        </w:rPr>
      </w:pPr>
    </w:p>
    <w:p w:rsidR="00C17DB5" w:rsidRPr="00E63C1B" w:rsidRDefault="00C17DB5" w:rsidP="000B06AD">
      <w:pPr>
        <w:pStyle w:val="Nagwek5"/>
        <w:rPr>
          <w:rFonts w:ascii="Verdana" w:hAnsi="Verdana"/>
          <w:bCs/>
          <w:i w:val="0"/>
          <w:sz w:val="22"/>
          <w:szCs w:val="22"/>
          <w:lang w:eastAsia="ar-SA"/>
        </w:rPr>
      </w:pPr>
      <w:r w:rsidRPr="00E63C1B">
        <w:rPr>
          <w:rStyle w:val="TableauGrille1Clair1"/>
          <w:rFonts w:ascii="Verdana" w:hAnsi="Verdana" w:cs="Arial"/>
          <w:i w:val="0"/>
          <w:sz w:val="22"/>
          <w:szCs w:val="22"/>
        </w:rPr>
        <w:t xml:space="preserve">EUROPE 2020 - A strategy for smart, sustainable and inclusive growth </w:t>
      </w:r>
    </w:p>
    <w:p w:rsidR="00276D3A" w:rsidRPr="00E63C1B" w:rsidRDefault="00276D3A" w:rsidP="000B06AD">
      <w:pPr>
        <w:autoSpaceDE w:val="0"/>
        <w:spacing w:line="276" w:lineRule="auto"/>
        <w:rPr>
          <w:rFonts w:ascii="Verdana" w:hAnsi="Verdana"/>
          <w:sz w:val="22"/>
          <w:szCs w:val="22"/>
        </w:rPr>
      </w:pPr>
    </w:p>
    <w:p w:rsidR="00C17DB5" w:rsidRPr="00E63C1B" w:rsidRDefault="00C17DB5" w:rsidP="000B06AD">
      <w:pPr>
        <w:autoSpaceDE w:val="0"/>
        <w:spacing w:after="120" w:line="276" w:lineRule="auto"/>
        <w:jc w:val="both"/>
        <w:rPr>
          <w:rFonts w:ascii="Verdana" w:hAnsi="Verdana"/>
          <w:sz w:val="22"/>
          <w:szCs w:val="22"/>
        </w:rPr>
      </w:pPr>
      <w:r w:rsidRPr="00E63C1B">
        <w:rPr>
          <w:rFonts w:ascii="Verdana" w:hAnsi="Verdana"/>
          <w:sz w:val="22"/>
          <w:szCs w:val="22"/>
        </w:rPr>
        <w:t>Europe 2020</w:t>
      </w:r>
      <w:r w:rsidR="00717C94" w:rsidRPr="00E63C1B">
        <w:rPr>
          <w:rStyle w:val="Odwoanieprzypisudolnego"/>
          <w:rFonts w:ascii="Verdana" w:hAnsi="Verdana"/>
          <w:sz w:val="22"/>
          <w:szCs w:val="22"/>
        </w:rPr>
        <w:footnoteReference w:id="1"/>
      </w:r>
      <w:r w:rsidRPr="00E63C1B">
        <w:rPr>
          <w:rFonts w:ascii="Verdana" w:hAnsi="Verdana"/>
          <w:sz w:val="22"/>
          <w:szCs w:val="22"/>
        </w:rPr>
        <w:t xml:space="preserve"> is the strategy to turn the EU into a smart, sustainable and inclusive economy, fostering innovation, increasing employment through productivity and growth, while enhancing social cohesion. Europe 2020 has three mutually reinforcing priorities:</w:t>
      </w:r>
    </w:p>
    <w:p w:rsidR="00C17DB5" w:rsidRPr="00E63C1B" w:rsidRDefault="00C17DB5" w:rsidP="000B06AD">
      <w:pPr>
        <w:pStyle w:val="Paragraphedeliste3"/>
        <w:spacing w:after="120"/>
        <w:rPr>
          <w:rFonts w:ascii="Verdana" w:hAnsi="Verdana"/>
        </w:rPr>
      </w:pPr>
      <w:r w:rsidRPr="00E63C1B">
        <w:rPr>
          <w:rStyle w:val="Hipercze"/>
          <w:rFonts w:ascii="Verdana" w:hAnsi="Verdana"/>
          <w:b/>
          <w:bCs/>
        </w:rPr>
        <w:t>S</w:t>
      </w:r>
      <w:hyperlink r:id="rId14" w:tooltip="Smart growth" w:history="1">
        <w:r w:rsidRPr="00E63C1B">
          <w:rPr>
            <w:rStyle w:val="Hipercze"/>
            <w:rFonts w:ascii="Verdana" w:hAnsi="Verdana"/>
            <w:b/>
            <w:bCs/>
          </w:rPr>
          <w:t>mart growth</w:t>
        </w:r>
      </w:hyperlink>
      <w:r w:rsidRPr="00E63C1B">
        <w:rPr>
          <w:rFonts w:ascii="Verdana" w:hAnsi="Verdana"/>
        </w:rPr>
        <w:t xml:space="preserve">: developing an economy based on knowledge and innovation. Flagship initiatives are the </w:t>
      </w:r>
      <w:hyperlink r:id="rId15" w:tgtFrame="_blank" w:tooltip="Digital agenda for Europe" w:history="1">
        <w:r w:rsidRPr="00E63C1B">
          <w:rPr>
            <w:rStyle w:val="Hipercze"/>
            <w:rFonts w:ascii="Verdana" w:hAnsi="Verdana"/>
          </w:rPr>
          <w:t>Digital agenda for Europe</w:t>
        </w:r>
      </w:hyperlink>
      <w:r w:rsidRPr="00E63C1B">
        <w:rPr>
          <w:rFonts w:ascii="Verdana" w:hAnsi="Verdana"/>
        </w:rPr>
        <w:t xml:space="preserve">, the </w:t>
      </w:r>
      <w:hyperlink r:id="rId16" w:tgtFrame="_blank" w:tooltip="Innovation Union" w:history="1">
        <w:r w:rsidRPr="00E63C1B">
          <w:rPr>
            <w:rStyle w:val="Hipercze"/>
            <w:rFonts w:ascii="Verdana" w:hAnsi="Verdana"/>
          </w:rPr>
          <w:t>Innovation Union</w:t>
        </w:r>
      </w:hyperlink>
      <w:r w:rsidRPr="00E63C1B">
        <w:rPr>
          <w:rFonts w:ascii="Verdana" w:hAnsi="Verdana"/>
        </w:rPr>
        <w:t xml:space="preserve"> </w:t>
      </w:r>
      <w:r w:rsidR="0073002B">
        <w:rPr>
          <w:rFonts w:ascii="Verdana" w:hAnsi="Verdana"/>
        </w:rPr>
        <w:t xml:space="preserve">implementing the European Innovation Partnerships </w:t>
      </w:r>
      <w:r w:rsidRPr="00E63C1B">
        <w:rPr>
          <w:rFonts w:ascii="Verdana" w:hAnsi="Verdana"/>
        </w:rPr>
        <w:t xml:space="preserve">and </w:t>
      </w:r>
      <w:hyperlink r:id="rId17" w:tgtFrame="_blank" w:tooltip="Youth on the move" w:history="1">
        <w:r w:rsidRPr="00E63C1B">
          <w:rPr>
            <w:rStyle w:val="Hipercze"/>
            <w:rFonts w:ascii="Verdana" w:hAnsi="Verdana"/>
          </w:rPr>
          <w:t>Youth on the move</w:t>
        </w:r>
      </w:hyperlink>
    </w:p>
    <w:p w:rsidR="00C17DB5" w:rsidRPr="00E63C1B" w:rsidRDefault="006F7B95" w:rsidP="000B06AD">
      <w:pPr>
        <w:pStyle w:val="Paragraphedeliste3"/>
        <w:spacing w:after="120"/>
        <w:rPr>
          <w:rFonts w:ascii="Verdana" w:hAnsi="Verdana"/>
        </w:rPr>
      </w:pPr>
      <w:hyperlink r:id="rId18" w:tooltip="Sustainable growth" w:history="1">
        <w:r w:rsidR="00C17DB5" w:rsidRPr="00E63C1B">
          <w:rPr>
            <w:rStyle w:val="Hipercze"/>
            <w:rFonts w:ascii="Verdana" w:hAnsi="Verdana"/>
            <w:b/>
            <w:bCs/>
          </w:rPr>
          <w:t>Sustainable growth</w:t>
        </w:r>
      </w:hyperlink>
      <w:r w:rsidR="00C17DB5" w:rsidRPr="00E63C1B">
        <w:rPr>
          <w:rFonts w:ascii="Verdana" w:hAnsi="Verdana"/>
        </w:rPr>
        <w:t xml:space="preserve"> promoting a more resource efficient, greener and more competitive economy. Flagship initiatives are a </w:t>
      </w:r>
      <w:hyperlink r:id="rId19" w:tgtFrame="_blank" w:tooltip="Resource efficient Europe" w:history="1">
        <w:r w:rsidR="00C17DB5" w:rsidRPr="00E63C1B">
          <w:rPr>
            <w:rStyle w:val="Hipercze"/>
            <w:rFonts w:ascii="Verdana" w:hAnsi="Verdana"/>
          </w:rPr>
          <w:t>Resource efficient Europe</w:t>
        </w:r>
      </w:hyperlink>
      <w:r w:rsidR="00C17DB5" w:rsidRPr="00E63C1B">
        <w:rPr>
          <w:rFonts w:ascii="Verdana" w:hAnsi="Verdana"/>
        </w:rPr>
        <w:t xml:space="preserve"> and </w:t>
      </w:r>
      <w:hyperlink r:id="rId20" w:tgtFrame="_blank" w:tooltip="An industrial policy for the globalisation era" w:history="1">
        <w:r w:rsidR="00C17DB5" w:rsidRPr="00E63C1B">
          <w:rPr>
            <w:rStyle w:val="Hipercze"/>
            <w:rFonts w:ascii="Verdana" w:hAnsi="Verdana"/>
          </w:rPr>
          <w:t>an industrial policy for the globalisation era</w:t>
        </w:r>
      </w:hyperlink>
    </w:p>
    <w:p w:rsidR="00C17DB5" w:rsidRPr="00E63C1B" w:rsidRDefault="006F7B95" w:rsidP="000B06AD">
      <w:pPr>
        <w:pStyle w:val="Paragraphedeliste3"/>
        <w:spacing w:after="120"/>
        <w:rPr>
          <w:rFonts w:ascii="Verdana" w:hAnsi="Verdana"/>
        </w:rPr>
      </w:pPr>
      <w:hyperlink r:id="rId21" w:tooltip="Inclusive growth" w:history="1">
        <w:r w:rsidR="00C17DB5" w:rsidRPr="00E63C1B">
          <w:rPr>
            <w:rStyle w:val="Hipercze"/>
            <w:rFonts w:ascii="Verdana" w:hAnsi="Verdana"/>
            <w:b/>
            <w:bCs/>
          </w:rPr>
          <w:t>Inclusive growth</w:t>
        </w:r>
      </w:hyperlink>
      <w:r w:rsidR="00C17DB5" w:rsidRPr="00E63C1B">
        <w:rPr>
          <w:rFonts w:ascii="Verdana" w:hAnsi="Verdana"/>
        </w:rPr>
        <w:t xml:space="preserve"> fostering a high-employment economy delivering social and territorial cohesion. Flagships initiatives are </w:t>
      </w:r>
      <w:hyperlink r:id="rId22" w:tgtFrame="_blank" w:tooltip="An agenda for new skills and jobs" w:history="1">
        <w:r w:rsidR="00C17DB5" w:rsidRPr="00E63C1B">
          <w:rPr>
            <w:rStyle w:val="Hipercze"/>
            <w:rFonts w:ascii="Verdana" w:hAnsi="Verdana"/>
          </w:rPr>
          <w:t>an agenda for new skills and jobs</w:t>
        </w:r>
      </w:hyperlink>
      <w:r w:rsidR="00C17DB5" w:rsidRPr="00E63C1B">
        <w:rPr>
          <w:rFonts w:ascii="Verdana" w:hAnsi="Verdana"/>
        </w:rPr>
        <w:t xml:space="preserve"> and </w:t>
      </w:r>
      <w:hyperlink r:id="rId23" w:tgtFrame="_blank" w:tooltip="European platform against poverty" w:history="1">
        <w:r w:rsidR="00C17DB5" w:rsidRPr="00E63C1B">
          <w:rPr>
            <w:rStyle w:val="Hipercze"/>
            <w:rFonts w:ascii="Verdana" w:hAnsi="Verdana"/>
          </w:rPr>
          <w:t>European platform against poverty</w:t>
        </w:r>
      </w:hyperlink>
    </w:p>
    <w:p w:rsidR="00721521" w:rsidRPr="00E63C1B" w:rsidRDefault="00C17DB5" w:rsidP="000B06AD">
      <w:pPr>
        <w:pStyle w:val="Tekstprzypisudolnego"/>
        <w:spacing w:after="120" w:line="276" w:lineRule="auto"/>
        <w:rPr>
          <w:rFonts w:ascii="Verdana" w:hAnsi="Verdana"/>
          <w:sz w:val="22"/>
          <w:szCs w:val="22"/>
        </w:rPr>
      </w:pPr>
      <w:r w:rsidRPr="00E63C1B">
        <w:rPr>
          <w:rFonts w:ascii="Verdana" w:hAnsi="Verdana"/>
          <w:sz w:val="22"/>
          <w:szCs w:val="22"/>
        </w:rPr>
        <w:t>Europe 2020, together with the Territorial Agenda 2020</w:t>
      </w:r>
      <w:r w:rsidRPr="00E63C1B">
        <w:rPr>
          <w:rStyle w:val="Odwoanieprzypisudolnego"/>
          <w:rFonts w:ascii="Verdana" w:hAnsi="Verdana"/>
          <w:sz w:val="22"/>
          <w:szCs w:val="22"/>
        </w:rPr>
        <w:footnoteReference w:id="2"/>
      </w:r>
      <w:r w:rsidRPr="00E63C1B">
        <w:rPr>
          <w:rFonts w:ascii="Verdana" w:hAnsi="Verdana"/>
          <w:sz w:val="22"/>
          <w:szCs w:val="22"/>
        </w:rPr>
        <w:t xml:space="preserve">, brings together smart, sustainable and inclusive growth objectives to territorial cohesion.  This provides the overall strategic framework for EU cohesion policy 2014-2020.  </w:t>
      </w:r>
    </w:p>
    <w:p w:rsidR="00C17DB5" w:rsidRPr="00E63C1B" w:rsidRDefault="00C17DB5" w:rsidP="000B06AD">
      <w:pPr>
        <w:pStyle w:val="Tekstprzypisudolnego"/>
        <w:spacing w:after="120" w:line="276" w:lineRule="auto"/>
        <w:rPr>
          <w:rFonts w:ascii="Verdana" w:hAnsi="Verdana"/>
          <w:sz w:val="22"/>
          <w:szCs w:val="22"/>
        </w:rPr>
      </w:pPr>
      <w:r w:rsidRPr="00E63C1B">
        <w:rPr>
          <w:rFonts w:ascii="Verdana" w:hAnsi="Verdana"/>
          <w:sz w:val="22"/>
          <w:szCs w:val="22"/>
        </w:rPr>
        <w:t xml:space="preserve">The importance </w:t>
      </w:r>
      <w:r w:rsidR="00B32F06" w:rsidRPr="00E63C1B">
        <w:rPr>
          <w:rFonts w:ascii="Verdana" w:hAnsi="Verdana"/>
          <w:sz w:val="22"/>
          <w:szCs w:val="22"/>
        </w:rPr>
        <w:t>o</w:t>
      </w:r>
      <w:r w:rsidRPr="00E63C1B">
        <w:rPr>
          <w:rFonts w:ascii="Verdana" w:hAnsi="Verdana"/>
          <w:sz w:val="22"/>
          <w:szCs w:val="22"/>
        </w:rPr>
        <w:t xml:space="preserve">f cities in helping reach Europe 2020 targets has to be underlined: a great proportion of GDP and jobs of Members States are found in cities. In turn cities are responsible for a great proportion of greenhouse emissions, and are where much of Europe’s poverty is concentrated.  </w:t>
      </w:r>
    </w:p>
    <w:p w:rsidR="00C17DB5" w:rsidRPr="00E63C1B" w:rsidRDefault="00C17DB5" w:rsidP="000B06AD">
      <w:pPr>
        <w:spacing w:after="120" w:line="276" w:lineRule="auto"/>
        <w:jc w:val="both"/>
        <w:rPr>
          <w:rFonts w:ascii="Verdana" w:hAnsi="Verdana"/>
          <w:sz w:val="22"/>
          <w:szCs w:val="22"/>
        </w:rPr>
      </w:pPr>
      <w:r w:rsidRPr="00E63C1B">
        <w:rPr>
          <w:rFonts w:ascii="Verdana" w:hAnsi="Verdana"/>
          <w:sz w:val="22"/>
          <w:szCs w:val="22"/>
        </w:rPr>
        <w:t xml:space="preserve">The European Territorial Cooperation Programme URBACT III will contribute to the Europe 2020 goals by providing a mechanism for stakeholders involved </w:t>
      </w:r>
      <w:r w:rsidR="00863912" w:rsidRPr="00E63C1B">
        <w:rPr>
          <w:rFonts w:ascii="Verdana" w:hAnsi="Verdana"/>
          <w:sz w:val="22"/>
          <w:szCs w:val="22"/>
        </w:rPr>
        <w:t>to</w:t>
      </w:r>
      <w:r w:rsidRPr="00E63C1B">
        <w:rPr>
          <w:rFonts w:ascii="Verdana" w:hAnsi="Verdana"/>
          <w:sz w:val="22"/>
          <w:szCs w:val="22"/>
        </w:rPr>
        <w:t xml:space="preserve"> develop and implement</w:t>
      </w:r>
      <w:r w:rsidR="00863912" w:rsidRPr="00E63C1B">
        <w:rPr>
          <w:rFonts w:ascii="Verdana" w:hAnsi="Verdana"/>
          <w:sz w:val="22"/>
          <w:szCs w:val="22"/>
        </w:rPr>
        <w:t xml:space="preserve"> better policies and actions for</w:t>
      </w:r>
      <w:r w:rsidRPr="00E63C1B">
        <w:rPr>
          <w:rFonts w:ascii="Verdana" w:hAnsi="Verdana"/>
          <w:sz w:val="22"/>
          <w:szCs w:val="22"/>
        </w:rPr>
        <w:t xml:space="preserve"> smart, inclusive and sustainable urban policy in cities</w:t>
      </w:r>
      <w:r w:rsidR="00721521" w:rsidRPr="00E63C1B">
        <w:rPr>
          <w:rFonts w:ascii="Verdana" w:hAnsi="Verdana"/>
          <w:sz w:val="22"/>
          <w:szCs w:val="22"/>
        </w:rPr>
        <w:t>.</w:t>
      </w:r>
    </w:p>
    <w:p w:rsidR="008D0C9C" w:rsidRPr="00BD238C" w:rsidRDefault="008D0C9C" w:rsidP="008D0C9C">
      <w:pPr>
        <w:tabs>
          <w:tab w:val="left" w:pos="6480"/>
        </w:tabs>
        <w:spacing w:after="120" w:line="276" w:lineRule="auto"/>
        <w:jc w:val="both"/>
        <w:rPr>
          <w:rFonts w:ascii="Verdana" w:hAnsi="Verdana"/>
          <w:sz w:val="22"/>
          <w:szCs w:val="22"/>
        </w:rPr>
      </w:pPr>
      <w:r w:rsidRPr="00BD238C">
        <w:rPr>
          <w:rFonts w:ascii="Verdana" w:hAnsi="Verdana"/>
          <w:color w:val="000000"/>
          <w:sz w:val="22"/>
          <w:szCs w:val="22"/>
        </w:rPr>
        <w:t xml:space="preserve">The concentration of 70% of the resources of the programme for exchange and learning on five thematic objectives (paragraph 1.2) will contribute to </w:t>
      </w:r>
      <w:r w:rsidRPr="00BD238C">
        <w:rPr>
          <w:rFonts w:ascii="Verdana" w:hAnsi="Verdana"/>
          <w:sz w:val="22"/>
          <w:szCs w:val="22"/>
        </w:rPr>
        <w:t>target better Europe 2020 goals for Smart growth (T01/strengthening research, technological development and innovation), Sustainable growth  (T04/</w:t>
      </w:r>
      <w:r w:rsidR="00BF5FB8">
        <w:rPr>
          <w:rFonts w:ascii="Verdana" w:hAnsi="Verdana"/>
          <w:sz w:val="22"/>
          <w:szCs w:val="22"/>
        </w:rPr>
        <w:t>supporting the shift towards a low-carbon economy in all sectors and T06/protecting the environment and promoting resource efficiency) and Inclusive growth (T08/promoting employment and supporting labour mobility and T09/promoting social inclusion and combating poverty).</w:t>
      </w:r>
    </w:p>
    <w:p w:rsidR="00C17DB5" w:rsidRPr="00E63C1B" w:rsidRDefault="00C17DB5" w:rsidP="000B06AD">
      <w:pPr>
        <w:spacing w:after="120" w:line="276" w:lineRule="auto"/>
        <w:jc w:val="both"/>
        <w:rPr>
          <w:rFonts w:ascii="Verdana" w:hAnsi="Verdana"/>
          <w:sz w:val="22"/>
          <w:szCs w:val="22"/>
        </w:rPr>
      </w:pPr>
      <w:r w:rsidRPr="00E63C1B">
        <w:rPr>
          <w:rFonts w:ascii="Verdana" w:hAnsi="Verdana"/>
          <w:sz w:val="22"/>
          <w:szCs w:val="22"/>
        </w:rPr>
        <w:t xml:space="preserve">The new knowledge and skills acquired from participation in the URBACT III programme will </w:t>
      </w:r>
      <w:r w:rsidR="00863912" w:rsidRPr="00E63C1B">
        <w:rPr>
          <w:rFonts w:ascii="Verdana" w:hAnsi="Verdana"/>
          <w:sz w:val="22"/>
          <w:szCs w:val="22"/>
        </w:rPr>
        <w:t xml:space="preserve">contribute to improve the management of European cities and make them stronger. </w:t>
      </w:r>
      <w:r w:rsidRPr="00E63C1B">
        <w:rPr>
          <w:rFonts w:ascii="Verdana" w:hAnsi="Verdana"/>
          <w:sz w:val="22"/>
          <w:szCs w:val="22"/>
        </w:rPr>
        <w:t>By stimulating the transfer of new and innovative ideas between the European cities</w:t>
      </w:r>
      <w:r w:rsidR="008D0C9C">
        <w:rPr>
          <w:rFonts w:ascii="Verdana" w:hAnsi="Verdana"/>
          <w:sz w:val="22"/>
          <w:szCs w:val="22"/>
        </w:rPr>
        <w:t>, by collective learning through transnational exchange and capacity building on integrated and sustainable urban development,</w:t>
      </w:r>
      <w:r w:rsidRPr="00E63C1B">
        <w:rPr>
          <w:rFonts w:ascii="Verdana" w:hAnsi="Verdana"/>
          <w:sz w:val="22"/>
          <w:szCs w:val="22"/>
        </w:rPr>
        <w:t xml:space="preserve"> it will be possible to tackle a range of emerging issues for cities linked to smart, sustainable and inclusive growth. </w:t>
      </w:r>
    </w:p>
    <w:p w:rsidR="000B06AD" w:rsidRDefault="000B06AD" w:rsidP="000B06AD">
      <w:pPr>
        <w:spacing w:after="120" w:line="276" w:lineRule="auto"/>
        <w:jc w:val="both"/>
        <w:rPr>
          <w:rFonts w:ascii="Verdana" w:hAnsi="Verdana"/>
          <w:b/>
          <w:sz w:val="22"/>
          <w:szCs w:val="22"/>
        </w:rPr>
      </w:pPr>
    </w:p>
    <w:p w:rsidR="008D0C9C" w:rsidRDefault="008D0C9C" w:rsidP="000B06AD">
      <w:pPr>
        <w:spacing w:after="120" w:line="276" w:lineRule="auto"/>
        <w:jc w:val="both"/>
        <w:rPr>
          <w:rFonts w:ascii="Verdana" w:hAnsi="Verdana"/>
          <w:sz w:val="22"/>
          <w:szCs w:val="22"/>
        </w:rPr>
      </w:pPr>
      <w:r>
        <w:rPr>
          <w:rFonts w:ascii="Verdana" w:hAnsi="Verdana"/>
          <w:sz w:val="22"/>
          <w:szCs w:val="22"/>
        </w:rPr>
        <w:t xml:space="preserve">URBACT III will consider other European initiatives/programmes which might be of interest for cities such as </w:t>
      </w:r>
      <w:r w:rsidRPr="00BB6914">
        <w:rPr>
          <w:rFonts w:ascii="Verdana" w:hAnsi="Verdana"/>
          <w:sz w:val="22"/>
          <w:szCs w:val="22"/>
        </w:rPr>
        <w:t xml:space="preserve">the Smart Cities </w:t>
      </w:r>
      <w:r>
        <w:rPr>
          <w:rFonts w:ascii="Verdana" w:hAnsi="Verdana"/>
          <w:sz w:val="22"/>
          <w:szCs w:val="22"/>
        </w:rPr>
        <w:t xml:space="preserve">Stakeholder Platform, </w:t>
      </w:r>
      <w:r w:rsidR="0073002B">
        <w:rPr>
          <w:rFonts w:ascii="Verdana" w:hAnsi="Verdana"/>
          <w:sz w:val="22"/>
          <w:szCs w:val="22"/>
        </w:rPr>
        <w:t xml:space="preserve">European Innovation Partnership on Smart Cities and Communities, </w:t>
      </w:r>
      <w:r>
        <w:rPr>
          <w:rFonts w:ascii="Verdana" w:hAnsi="Verdana"/>
          <w:sz w:val="22"/>
          <w:szCs w:val="22"/>
        </w:rPr>
        <w:t>Green Digital Charter, Horizon 2020</w:t>
      </w:r>
      <w:r w:rsidR="0073002B">
        <w:rPr>
          <w:rFonts w:ascii="Verdana" w:hAnsi="Verdana"/>
          <w:sz w:val="22"/>
          <w:szCs w:val="22"/>
        </w:rPr>
        <w:t xml:space="preserve"> and especially the calls on Smart Cities and Communities</w:t>
      </w:r>
      <w:r>
        <w:rPr>
          <w:rFonts w:ascii="Verdana" w:hAnsi="Verdana"/>
          <w:sz w:val="22"/>
          <w:szCs w:val="22"/>
        </w:rPr>
        <w:t xml:space="preserve">, FP7/CIP, the Covenant of Mayors, </w:t>
      </w:r>
      <w:r w:rsidRPr="00BB6914">
        <w:rPr>
          <w:rFonts w:ascii="Verdana" w:hAnsi="Verdana"/>
          <w:sz w:val="22"/>
          <w:szCs w:val="22"/>
        </w:rPr>
        <w:t>CIVITAS</w:t>
      </w:r>
      <w:r w:rsidR="0073002B">
        <w:rPr>
          <w:rFonts w:ascii="Verdana" w:hAnsi="Verdana"/>
          <w:sz w:val="22"/>
          <w:szCs w:val="22"/>
        </w:rPr>
        <w:t>, the Joint Programming Initiative (JPI) Urban Europe</w:t>
      </w:r>
      <w:r>
        <w:rPr>
          <w:rFonts w:ascii="Verdana" w:hAnsi="Verdana"/>
          <w:sz w:val="22"/>
          <w:szCs w:val="22"/>
        </w:rPr>
        <w:t>.</w:t>
      </w:r>
    </w:p>
    <w:p w:rsidR="008D0C9C" w:rsidRDefault="008D0C9C" w:rsidP="000B06AD">
      <w:pPr>
        <w:spacing w:after="120" w:line="276" w:lineRule="auto"/>
        <w:jc w:val="both"/>
        <w:rPr>
          <w:rFonts w:ascii="Verdana" w:hAnsi="Verdana"/>
          <w:sz w:val="22"/>
          <w:szCs w:val="22"/>
        </w:rPr>
      </w:pPr>
    </w:p>
    <w:p w:rsidR="00C17DB5" w:rsidRPr="00E63C1B" w:rsidRDefault="00C17DB5" w:rsidP="000B06AD">
      <w:pPr>
        <w:spacing w:after="120" w:line="276" w:lineRule="auto"/>
        <w:jc w:val="both"/>
        <w:rPr>
          <w:rFonts w:ascii="Verdana" w:hAnsi="Verdana"/>
          <w:b/>
          <w:sz w:val="22"/>
          <w:szCs w:val="22"/>
        </w:rPr>
      </w:pPr>
      <w:r w:rsidRPr="00E63C1B">
        <w:rPr>
          <w:rFonts w:ascii="Verdana" w:hAnsi="Verdana"/>
          <w:b/>
          <w:sz w:val="22"/>
          <w:szCs w:val="22"/>
        </w:rPr>
        <w:t>URBACT III in the legislative package for the programming period 2014-2020</w:t>
      </w:r>
    </w:p>
    <w:p w:rsidR="00C17DB5" w:rsidRPr="00E63C1B" w:rsidRDefault="00C17DB5" w:rsidP="000B06AD">
      <w:pPr>
        <w:spacing w:after="120" w:line="276" w:lineRule="auto"/>
        <w:jc w:val="both"/>
        <w:rPr>
          <w:rFonts w:ascii="Verdana" w:hAnsi="Verdana"/>
          <w:color w:val="000000"/>
          <w:sz w:val="22"/>
          <w:szCs w:val="22"/>
        </w:rPr>
      </w:pPr>
      <w:r w:rsidRPr="00E63C1B">
        <w:rPr>
          <w:rFonts w:ascii="Verdana" w:hAnsi="Verdana"/>
          <w:sz w:val="22"/>
          <w:szCs w:val="22"/>
        </w:rPr>
        <w:t>The regulatory framework for URBACT III is provided by the regulations for Cohesion policy</w:t>
      </w:r>
      <w:r w:rsidRPr="00E63C1B">
        <w:rPr>
          <w:rStyle w:val="Odwoanieprzypisudolnego"/>
          <w:rFonts w:ascii="Verdana" w:eastAsia="SimSun" w:hAnsi="Verdana"/>
          <w:sz w:val="22"/>
          <w:szCs w:val="22"/>
        </w:rPr>
        <w:footnoteReference w:id="3"/>
      </w:r>
      <w:r w:rsidRPr="00E63C1B">
        <w:rPr>
          <w:rFonts w:ascii="Verdana" w:hAnsi="Verdana"/>
          <w:sz w:val="22"/>
          <w:szCs w:val="22"/>
        </w:rPr>
        <w:t xml:space="preserve">. </w:t>
      </w:r>
      <w:r w:rsidRPr="00E63C1B">
        <w:rPr>
          <w:rFonts w:ascii="Verdana" w:hAnsi="Verdana"/>
          <w:color w:val="000000"/>
          <w:sz w:val="22"/>
          <w:szCs w:val="22"/>
        </w:rPr>
        <w:t>The regulations</w:t>
      </w:r>
      <w:r w:rsidRPr="00E63C1B">
        <w:rPr>
          <w:rStyle w:val="Odwoanieprzypisudolnego"/>
          <w:rFonts w:ascii="Verdana" w:eastAsia="SimSun" w:hAnsi="Verdana"/>
          <w:sz w:val="22"/>
          <w:szCs w:val="22"/>
        </w:rPr>
        <w:footnoteReference w:id="4"/>
      </w:r>
      <w:r w:rsidRPr="00E63C1B">
        <w:rPr>
          <w:rFonts w:ascii="Verdana" w:hAnsi="Verdana"/>
          <w:color w:val="000000"/>
          <w:sz w:val="22"/>
          <w:szCs w:val="22"/>
        </w:rPr>
        <w:t xml:space="preserve"> which will govern URBACT III is EU 1299/2013 which states in Article 2 (3) b that "ERDF supports interregional cooperation to strengthen the effectiveness of cohesion policy in promoting the exchange of experience concerning the identification, transfer and dissemination of good practices on sustainable urban development, including urban-rural linkages."</w:t>
      </w:r>
    </w:p>
    <w:p w:rsidR="00C17DB5" w:rsidRPr="00E63C1B" w:rsidRDefault="00C17DB5" w:rsidP="000B06AD">
      <w:pPr>
        <w:spacing w:after="120" w:line="276" w:lineRule="auto"/>
        <w:jc w:val="both"/>
        <w:rPr>
          <w:rFonts w:ascii="Verdana" w:hAnsi="Verdana"/>
          <w:color w:val="000000"/>
          <w:sz w:val="22"/>
          <w:szCs w:val="22"/>
        </w:rPr>
      </w:pPr>
      <w:r w:rsidRPr="00E63C1B">
        <w:rPr>
          <w:rFonts w:ascii="Verdana" w:hAnsi="Verdana"/>
          <w:sz w:val="22"/>
          <w:szCs w:val="22"/>
        </w:rPr>
        <w:t>The potential thematic scope of URBACT III is provided by the 11 thematic objectives described in Article 9 of the Common Provisions Regulation EU 1303/2013</w:t>
      </w:r>
      <w:r w:rsidRPr="00E63C1B">
        <w:rPr>
          <w:rFonts w:ascii="Verdana" w:hAnsi="Verdana"/>
          <w:i/>
          <w:sz w:val="22"/>
          <w:szCs w:val="22"/>
        </w:rPr>
        <w:t xml:space="preserve">. </w:t>
      </w:r>
      <w:r w:rsidRPr="00E63C1B">
        <w:rPr>
          <w:rFonts w:ascii="Verdana" w:hAnsi="Verdana"/>
          <w:sz w:val="22"/>
          <w:szCs w:val="22"/>
        </w:rPr>
        <w:t xml:space="preserve">A specific investment priority has been created for URBACT </w:t>
      </w:r>
      <w:r w:rsidRPr="00E63C1B">
        <w:rPr>
          <w:rFonts w:ascii="Verdana" w:hAnsi="Verdana"/>
          <w:color w:val="000000"/>
          <w:sz w:val="22"/>
          <w:szCs w:val="22"/>
        </w:rPr>
        <w:t xml:space="preserve">under thematic objective 11 ‘Enhancing institutional capacity and efficient public administration’ as outlined in Regulation EU 1299/2013 (ETC) Article 7 (1) (c) (i): </w:t>
      </w:r>
    </w:p>
    <w:p w:rsidR="00C17DB5" w:rsidRPr="00E63C1B" w:rsidRDefault="00C17DB5" w:rsidP="000B06AD">
      <w:pPr>
        <w:spacing w:after="120" w:line="276" w:lineRule="auto"/>
        <w:jc w:val="both"/>
        <w:rPr>
          <w:rFonts w:ascii="Verdana" w:hAnsi="Verdana"/>
          <w:i/>
          <w:iCs/>
          <w:color w:val="000000"/>
          <w:sz w:val="22"/>
          <w:szCs w:val="22"/>
        </w:rPr>
      </w:pPr>
      <w:r w:rsidRPr="00E63C1B">
        <w:rPr>
          <w:rFonts w:ascii="Verdana" w:hAnsi="Verdana"/>
          <w:i/>
          <w:iCs/>
          <w:color w:val="000000"/>
          <w:sz w:val="22"/>
          <w:szCs w:val="22"/>
        </w:rPr>
        <w:t>‘Disseminating good practice and expertise and capitalising on the results of the exchange of experience in relation to sustainable urban development, including urban-rural linkages’</w:t>
      </w:r>
    </w:p>
    <w:p w:rsidR="00C17DB5" w:rsidRPr="00E63C1B" w:rsidRDefault="00C17DB5" w:rsidP="000B06AD">
      <w:pPr>
        <w:spacing w:after="120" w:line="276" w:lineRule="auto"/>
        <w:jc w:val="both"/>
        <w:rPr>
          <w:rFonts w:ascii="Verdana" w:hAnsi="Verdana"/>
          <w:i/>
          <w:color w:val="000000"/>
          <w:sz w:val="22"/>
          <w:szCs w:val="22"/>
        </w:rPr>
      </w:pPr>
    </w:p>
    <w:p w:rsidR="00C17DB5" w:rsidRPr="00E63C1B" w:rsidRDefault="00C17DB5" w:rsidP="000B06AD">
      <w:pPr>
        <w:spacing w:after="120" w:line="276" w:lineRule="auto"/>
        <w:jc w:val="both"/>
        <w:rPr>
          <w:rFonts w:ascii="Verdana" w:hAnsi="Verdana"/>
          <w:sz w:val="22"/>
          <w:szCs w:val="22"/>
        </w:rPr>
      </w:pPr>
      <w:r w:rsidRPr="00E63C1B">
        <w:rPr>
          <w:rFonts w:ascii="Verdana" w:hAnsi="Verdana"/>
          <w:b/>
          <w:sz w:val="22"/>
          <w:szCs w:val="22"/>
        </w:rPr>
        <w:t>The strengthened urban dimension in the Cohesion policy in 2014-2020</w:t>
      </w:r>
    </w:p>
    <w:p w:rsidR="00C17DB5" w:rsidRPr="00E63C1B" w:rsidRDefault="00C17DB5" w:rsidP="000B06AD">
      <w:pPr>
        <w:spacing w:after="120" w:line="276" w:lineRule="auto"/>
        <w:jc w:val="both"/>
        <w:rPr>
          <w:rFonts w:ascii="Verdana" w:hAnsi="Verdana"/>
          <w:sz w:val="22"/>
          <w:szCs w:val="22"/>
        </w:rPr>
      </w:pPr>
      <w:r w:rsidRPr="00E63C1B">
        <w:rPr>
          <w:rFonts w:ascii="Verdana" w:hAnsi="Verdana"/>
          <w:sz w:val="22"/>
          <w:szCs w:val="22"/>
        </w:rPr>
        <w:t>The ERDF regulations in the programming period 2014-2020 include tools and concepts that offer new opportunities for the urban dimension</w:t>
      </w:r>
      <w:r w:rsidRPr="00E63C1B">
        <w:rPr>
          <w:rStyle w:val="Odwoanieprzypisudolnego"/>
          <w:rFonts w:ascii="Verdana" w:eastAsia="SimSun" w:hAnsi="Verdana"/>
          <w:sz w:val="22"/>
          <w:szCs w:val="22"/>
        </w:rPr>
        <w:footnoteReference w:id="5"/>
      </w:r>
      <w:r w:rsidRPr="00E63C1B">
        <w:rPr>
          <w:rFonts w:ascii="Verdana" w:hAnsi="Verdana"/>
          <w:sz w:val="22"/>
          <w:szCs w:val="22"/>
        </w:rPr>
        <w:t xml:space="preserve">. </w:t>
      </w:r>
    </w:p>
    <w:p w:rsidR="00C17DB5" w:rsidRPr="00E63C1B" w:rsidRDefault="00C17DB5" w:rsidP="00D67ECF">
      <w:pPr>
        <w:numPr>
          <w:ilvl w:val="0"/>
          <w:numId w:val="3"/>
        </w:numPr>
        <w:spacing w:after="120" w:line="276" w:lineRule="auto"/>
        <w:jc w:val="both"/>
        <w:rPr>
          <w:rFonts w:ascii="Verdana" w:hAnsi="Verdana"/>
          <w:sz w:val="22"/>
          <w:szCs w:val="22"/>
        </w:rPr>
      </w:pPr>
      <w:r w:rsidRPr="00E63C1B">
        <w:rPr>
          <w:rFonts w:ascii="Verdana" w:hAnsi="Verdana"/>
          <w:sz w:val="22"/>
          <w:szCs w:val="22"/>
        </w:rPr>
        <w:t>Integrated sustainable urban development actions (either through Integrated Territorial Investments, or through specific urban development operational programmes or Priority Axes);</w:t>
      </w:r>
    </w:p>
    <w:p w:rsidR="00C17DB5" w:rsidRPr="00E63C1B" w:rsidRDefault="00C17DB5" w:rsidP="00D67ECF">
      <w:pPr>
        <w:numPr>
          <w:ilvl w:val="0"/>
          <w:numId w:val="3"/>
        </w:numPr>
        <w:spacing w:after="120" w:line="276" w:lineRule="auto"/>
        <w:jc w:val="both"/>
        <w:rPr>
          <w:rFonts w:ascii="Verdana" w:hAnsi="Verdana"/>
          <w:sz w:val="22"/>
          <w:szCs w:val="22"/>
        </w:rPr>
      </w:pPr>
      <w:r w:rsidRPr="00E63C1B">
        <w:rPr>
          <w:rFonts w:ascii="Verdana" w:hAnsi="Verdana"/>
          <w:sz w:val="22"/>
          <w:szCs w:val="22"/>
        </w:rPr>
        <w:t>Participatory approaches through Community Led Local Development following the LEADER model;</w:t>
      </w:r>
    </w:p>
    <w:p w:rsidR="00C17DB5" w:rsidRPr="00E63C1B" w:rsidRDefault="00C17DB5" w:rsidP="00D67ECF">
      <w:pPr>
        <w:numPr>
          <w:ilvl w:val="0"/>
          <w:numId w:val="3"/>
        </w:numPr>
        <w:spacing w:after="120" w:line="276" w:lineRule="auto"/>
        <w:jc w:val="both"/>
        <w:rPr>
          <w:rFonts w:ascii="Verdana" w:hAnsi="Verdana"/>
          <w:sz w:val="22"/>
          <w:szCs w:val="22"/>
        </w:rPr>
      </w:pPr>
      <w:r w:rsidRPr="00E63C1B">
        <w:rPr>
          <w:rFonts w:ascii="Verdana" w:hAnsi="Verdana"/>
          <w:sz w:val="22"/>
          <w:szCs w:val="22"/>
        </w:rPr>
        <w:t>Urban-rural partnerships.</w:t>
      </w:r>
    </w:p>
    <w:p w:rsidR="00C17DB5" w:rsidRPr="00E63C1B" w:rsidRDefault="00C17DB5" w:rsidP="000B06AD">
      <w:pPr>
        <w:spacing w:after="120" w:line="276" w:lineRule="auto"/>
        <w:jc w:val="both"/>
        <w:rPr>
          <w:rFonts w:ascii="Verdana" w:hAnsi="Verdana"/>
          <w:sz w:val="22"/>
          <w:szCs w:val="22"/>
        </w:rPr>
      </w:pPr>
      <w:r w:rsidRPr="00E63C1B">
        <w:rPr>
          <w:rFonts w:ascii="Verdana" w:hAnsi="Verdana"/>
          <w:sz w:val="22"/>
          <w:szCs w:val="22"/>
        </w:rPr>
        <w:t xml:space="preserve">URBACT will work with all </w:t>
      </w:r>
      <w:r w:rsidR="00863912" w:rsidRPr="00E63C1B">
        <w:rPr>
          <w:rFonts w:ascii="Verdana" w:hAnsi="Verdana"/>
          <w:sz w:val="22"/>
          <w:szCs w:val="22"/>
        </w:rPr>
        <w:t xml:space="preserve">types of </w:t>
      </w:r>
      <w:r w:rsidRPr="00E63C1B">
        <w:rPr>
          <w:rFonts w:ascii="Verdana" w:hAnsi="Verdana"/>
          <w:sz w:val="22"/>
          <w:szCs w:val="22"/>
        </w:rPr>
        <w:t>cities in Europe; the opportunity will be given to the cities to use the new urban tools proposed in the regulation of the Cohesion policy.</w:t>
      </w:r>
    </w:p>
    <w:p w:rsidR="005F04EA" w:rsidRPr="00E63C1B" w:rsidRDefault="00C17DB5" w:rsidP="000B06AD">
      <w:pPr>
        <w:shd w:val="clear" w:color="auto" w:fill="FFFFFF"/>
        <w:spacing w:after="120" w:line="276" w:lineRule="auto"/>
        <w:jc w:val="both"/>
        <w:rPr>
          <w:rFonts w:ascii="Verdana" w:hAnsi="Verdana"/>
          <w:color w:val="000000"/>
          <w:sz w:val="22"/>
          <w:szCs w:val="22"/>
        </w:rPr>
      </w:pPr>
      <w:r w:rsidRPr="00E63C1B">
        <w:rPr>
          <w:rFonts w:ascii="Verdana" w:hAnsi="Verdana"/>
          <w:sz w:val="22"/>
          <w:szCs w:val="22"/>
        </w:rPr>
        <w:t xml:space="preserve">Article 7 of the ERDF regulation requires </w:t>
      </w:r>
      <w:r w:rsidR="005F04EA" w:rsidRPr="00E63C1B">
        <w:rPr>
          <w:rFonts w:ascii="Verdana" w:hAnsi="Verdana"/>
          <w:sz w:val="22"/>
          <w:szCs w:val="22"/>
          <w:lang w:eastAsia="ja-JP"/>
        </w:rPr>
        <w:t>a minimum of 5% of ERDF resources per Member State to be allocated for 'integrated actions for sustainable urban development', with a degree of delegation to the urban authority level (the minimum requirement being selection of operations). This 5% can be spent through an Integrated Territorial Investment, a specific OP or a specific Priority Axis.</w:t>
      </w:r>
      <w:r w:rsidR="005F04EA" w:rsidRPr="00E63C1B">
        <w:rPr>
          <w:rFonts w:ascii="Verdana" w:hAnsi="Verdana"/>
          <w:color w:val="000000"/>
          <w:sz w:val="22"/>
          <w:szCs w:val="22"/>
        </w:rPr>
        <w:t xml:space="preserve"> </w:t>
      </w:r>
    </w:p>
    <w:p w:rsidR="001C6C27" w:rsidRPr="00E63C1B" w:rsidRDefault="00C17DB5" w:rsidP="000B06AD">
      <w:pPr>
        <w:shd w:val="clear" w:color="auto" w:fill="FFFFFF"/>
        <w:spacing w:after="120" w:line="276" w:lineRule="auto"/>
        <w:jc w:val="both"/>
        <w:rPr>
          <w:rFonts w:ascii="Verdana" w:hAnsi="Verdana"/>
          <w:sz w:val="22"/>
          <w:szCs w:val="22"/>
          <w:lang w:eastAsia="ja-JP"/>
        </w:rPr>
      </w:pPr>
      <w:r w:rsidRPr="00E63C1B">
        <w:rPr>
          <w:rFonts w:ascii="Verdana" w:hAnsi="Verdana"/>
          <w:color w:val="000000"/>
          <w:sz w:val="22"/>
          <w:szCs w:val="22"/>
        </w:rPr>
        <w:t xml:space="preserve">Article 8 </w:t>
      </w:r>
      <w:r w:rsidRPr="00E63C1B">
        <w:rPr>
          <w:rFonts w:ascii="Verdana" w:hAnsi="Verdana"/>
          <w:sz w:val="22"/>
          <w:szCs w:val="22"/>
        </w:rPr>
        <w:t xml:space="preserve">of the ERDF regulation </w:t>
      </w:r>
      <w:r w:rsidR="001C6C27" w:rsidRPr="00E63C1B">
        <w:rPr>
          <w:rFonts w:ascii="Verdana" w:hAnsi="Verdana"/>
          <w:sz w:val="22"/>
          <w:szCs w:val="22"/>
        </w:rPr>
        <w:t xml:space="preserve">concerns </w:t>
      </w:r>
      <w:r w:rsidR="001C6C27" w:rsidRPr="00E63C1B">
        <w:rPr>
          <w:rFonts w:ascii="Verdana" w:hAnsi="Verdana"/>
          <w:sz w:val="22"/>
          <w:szCs w:val="22"/>
          <w:lang w:eastAsia="ja-JP"/>
        </w:rPr>
        <w:t xml:space="preserve">a new initiative entitled Innovative Actions in the field of sustainable urban development which has been created in order to explore and demonstrate new </w:t>
      </w:r>
      <w:r w:rsidR="001C6C27" w:rsidRPr="00E63C1B">
        <w:rPr>
          <w:rFonts w:ascii="Verdana" w:hAnsi="Verdana"/>
          <w:sz w:val="22"/>
          <w:szCs w:val="22"/>
        </w:rPr>
        <w:t xml:space="preserve">solutions to urban challenges. </w:t>
      </w:r>
      <w:r w:rsidR="001C6C27" w:rsidRPr="00E63C1B">
        <w:rPr>
          <w:rFonts w:ascii="Verdana" w:hAnsi="Verdana"/>
          <w:sz w:val="22"/>
          <w:szCs w:val="22"/>
          <w:lang w:eastAsia="ja-JP"/>
        </w:rPr>
        <w:t xml:space="preserve">These Innovative Actions can take the form of pilot projects, demonstration projects or new urban experiments which are of European interest. 330 million EUR has been allocated to this initiative over the 2014-2020 period. </w:t>
      </w:r>
    </w:p>
    <w:p w:rsidR="00C17DB5" w:rsidRPr="00E63C1B" w:rsidRDefault="00C17DB5" w:rsidP="000B06AD">
      <w:pPr>
        <w:shd w:val="clear" w:color="auto" w:fill="FFFFFF"/>
        <w:spacing w:after="120" w:line="276" w:lineRule="auto"/>
        <w:jc w:val="both"/>
        <w:rPr>
          <w:rFonts w:ascii="Verdana" w:hAnsi="Verdana"/>
          <w:color w:val="000000"/>
          <w:sz w:val="22"/>
          <w:szCs w:val="22"/>
        </w:rPr>
      </w:pPr>
      <w:r w:rsidRPr="00E63C1B">
        <w:rPr>
          <w:rFonts w:ascii="Verdana" w:hAnsi="Verdana"/>
          <w:sz w:val="22"/>
          <w:szCs w:val="22"/>
        </w:rPr>
        <w:t xml:space="preserve">Article 9 of the ERDF regulation establishes an Urban Development Network (UDN) which aims to </w:t>
      </w:r>
      <w:r w:rsidR="00B72C2F" w:rsidRPr="00E63C1B">
        <w:rPr>
          <w:rFonts w:ascii="Verdana" w:hAnsi="Verdana"/>
          <w:sz w:val="22"/>
          <w:szCs w:val="22"/>
        </w:rPr>
        <w:t>facilitate direct dialogue</w:t>
      </w:r>
      <w:r w:rsidR="00B72C2F" w:rsidRPr="00E63C1B">
        <w:rPr>
          <w:rFonts w:ascii="Verdana" w:hAnsi="Verdana"/>
          <w:sz w:val="22"/>
          <w:szCs w:val="22"/>
          <w:lang w:eastAsia="ja-JP"/>
        </w:rPr>
        <w:t xml:space="preserve"> </w:t>
      </w:r>
      <w:r w:rsidR="00B72C2F" w:rsidRPr="00E63C1B">
        <w:rPr>
          <w:rFonts w:ascii="Verdana" w:hAnsi="Verdana"/>
          <w:sz w:val="22"/>
          <w:szCs w:val="22"/>
        </w:rPr>
        <w:t xml:space="preserve">and exchange with </w:t>
      </w:r>
      <w:r w:rsidR="00B72C2F" w:rsidRPr="00E63C1B">
        <w:rPr>
          <w:rFonts w:ascii="Verdana" w:hAnsi="Verdana"/>
          <w:color w:val="1F497D"/>
          <w:sz w:val="22"/>
          <w:szCs w:val="22"/>
        </w:rPr>
        <w:t>the</w:t>
      </w:r>
      <w:r w:rsidR="00B72C2F" w:rsidRPr="00E63C1B">
        <w:rPr>
          <w:rFonts w:ascii="Verdana" w:hAnsi="Verdana"/>
          <w:sz w:val="22"/>
          <w:szCs w:val="22"/>
        </w:rPr>
        <w:t xml:space="preserve"> urban </w:t>
      </w:r>
      <w:r w:rsidR="00B72C2F" w:rsidRPr="00E63C1B">
        <w:rPr>
          <w:rFonts w:ascii="Verdana" w:hAnsi="Verdana"/>
          <w:color w:val="000000" w:themeColor="text1"/>
          <w:sz w:val="22"/>
          <w:szCs w:val="22"/>
        </w:rPr>
        <w:t xml:space="preserve">authorities supported by the ERDF, either as part of the minimum 5% to integrated sustainable urban development (Article 7) or as part of the innovative actions (Article 8). </w:t>
      </w:r>
      <w:r w:rsidRPr="00E63C1B">
        <w:rPr>
          <w:rFonts w:ascii="Verdana" w:hAnsi="Verdana"/>
          <w:color w:val="000000" w:themeColor="text1"/>
          <w:sz w:val="22"/>
          <w:szCs w:val="22"/>
        </w:rPr>
        <w:t>The regulation also states that the activities of UR</w:t>
      </w:r>
      <w:r w:rsidRPr="00E63C1B">
        <w:rPr>
          <w:rFonts w:ascii="Verdana" w:hAnsi="Verdana"/>
          <w:color w:val="000000"/>
          <w:sz w:val="22"/>
          <w:szCs w:val="22"/>
        </w:rPr>
        <w:t>BACT III are complementary to those undertaken by the UDN.</w:t>
      </w:r>
    </w:p>
    <w:p w:rsidR="00C17DB5" w:rsidRPr="00E63C1B" w:rsidRDefault="00C17DB5" w:rsidP="000B06AD">
      <w:pPr>
        <w:spacing w:after="120" w:line="276" w:lineRule="auto"/>
        <w:jc w:val="both"/>
        <w:rPr>
          <w:rFonts w:ascii="Verdana" w:hAnsi="Verdana"/>
          <w:color w:val="000000"/>
          <w:sz w:val="22"/>
          <w:szCs w:val="22"/>
        </w:rPr>
      </w:pPr>
      <w:r w:rsidRPr="00E63C1B">
        <w:rPr>
          <w:rFonts w:ascii="Verdana" w:hAnsi="Verdana"/>
          <w:color w:val="000000"/>
          <w:sz w:val="22"/>
          <w:szCs w:val="22"/>
        </w:rPr>
        <w:t xml:space="preserve">During the programming period 2014-2020 URBACT III will support European cities to exchange and share experiences on sustainable urban development. URBACT III will complement the work undertaken by the UDN and will support cities implementing Article 7 for integrated approach to sustainable urban development. </w:t>
      </w:r>
    </w:p>
    <w:p w:rsidR="00C17DB5" w:rsidRPr="00E63C1B" w:rsidRDefault="00C17DB5" w:rsidP="000B06AD">
      <w:pPr>
        <w:spacing w:after="120" w:line="276" w:lineRule="auto"/>
        <w:jc w:val="both"/>
        <w:rPr>
          <w:rFonts w:ascii="Verdana" w:hAnsi="Verdana"/>
          <w:b/>
          <w:sz w:val="22"/>
          <w:szCs w:val="22"/>
        </w:rPr>
      </w:pPr>
    </w:p>
    <w:p w:rsidR="00C17DB5" w:rsidRPr="00334700" w:rsidRDefault="00C17DB5" w:rsidP="00334700">
      <w:pPr>
        <w:pStyle w:val="Nagwek2"/>
        <w:ind w:left="57"/>
      </w:pPr>
      <w:bookmarkStart w:id="4" w:name="_Toc401325782"/>
      <w:r w:rsidRPr="00334700">
        <w:t>1.1.2 Urban context and the needs of cities</w:t>
      </w:r>
      <w:bookmarkEnd w:id="4"/>
      <w:r w:rsidRPr="00334700">
        <w:t xml:space="preserve"> </w:t>
      </w:r>
    </w:p>
    <w:p w:rsidR="00C17DB5" w:rsidRPr="000E4076" w:rsidRDefault="00C17DB5" w:rsidP="000B06AD">
      <w:pPr>
        <w:spacing w:after="120" w:line="276" w:lineRule="auto"/>
        <w:jc w:val="both"/>
        <w:rPr>
          <w:rFonts w:ascii="Verdana" w:hAnsi="Verdana"/>
          <w:sz w:val="22"/>
          <w:szCs w:val="22"/>
        </w:rPr>
      </w:pPr>
      <w:r w:rsidRPr="000E4076">
        <w:rPr>
          <w:rFonts w:ascii="Verdana" w:hAnsi="Verdana"/>
          <w:sz w:val="22"/>
          <w:szCs w:val="22"/>
        </w:rPr>
        <w:t xml:space="preserve">City are key drivers of national economic performance but also contain deep social and environmental challenges.  For this reason cities </w:t>
      </w:r>
      <w:r w:rsidR="001D49E3">
        <w:rPr>
          <w:rFonts w:ascii="Verdana" w:hAnsi="Verdana"/>
          <w:sz w:val="22"/>
          <w:szCs w:val="22"/>
        </w:rPr>
        <w:t xml:space="preserve">are </w:t>
      </w:r>
      <w:r w:rsidRPr="000E4076">
        <w:rPr>
          <w:rFonts w:ascii="Verdana" w:hAnsi="Verdana"/>
          <w:sz w:val="22"/>
          <w:szCs w:val="22"/>
        </w:rPr>
        <w:t xml:space="preserve">high on EU and national policy agendas.  URBACT III will build on URBACT I and II by keeping cities as the main beneficiaries of the programme. The main target participants will include practitioners, city managers, elected representatives and stakeholders from other public agencies, the private sector and civil society. </w:t>
      </w:r>
    </w:p>
    <w:p w:rsidR="00C17DB5" w:rsidRPr="000E4076" w:rsidRDefault="00C17DB5" w:rsidP="000B06AD">
      <w:pPr>
        <w:spacing w:after="120" w:line="276" w:lineRule="auto"/>
        <w:jc w:val="both"/>
        <w:rPr>
          <w:rFonts w:ascii="Verdana" w:hAnsi="Verdana"/>
          <w:sz w:val="22"/>
          <w:szCs w:val="22"/>
        </w:rPr>
      </w:pPr>
      <w:r w:rsidRPr="000E4076">
        <w:rPr>
          <w:rFonts w:ascii="Verdana" w:hAnsi="Verdana"/>
          <w:sz w:val="22"/>
          <w:szCs w:val="22"/>
          <w:lang w:eastAsia="ar-SA"/>
        </w:rPr>
        <w:t>Cities have a growing importance for Europe</w:t>
      </w:r>
      <w:r w:rsidR="00B72C2F" w:rsidRPr="000E4076">
        <w:rPr>
          <w:rFonts w:ascii="Verdana" w:hAnsi="Verdana"/>
          <w:sz w:val="22"/>
          <w:szCs w:val="22"/>
          <w:lang w:eastAsia="ar-SA"/>
        </w:rPr>
        <w:t>;</w:t>
      </w:r>
      <w:r w:rsidRPr="000E4076">
        <w:rPr>
          <w:rFonts w:ascii="Verdana" w:hAnsi="Verdana"/>
          <w:sz w:val="22"/>
          <w:szCs w:val="22"/>
          <w:lang w:eastAsia="ar-SA"/>
        </w:rPr>
        <w:t xml:space="preserve"> </w:t>
      </w:r>
      <w:r w:rsidR="00F239EE" w:rsidRPr="000E4076">
        <w:rPr>
          <w:rFonts w:ascii="Verdana" w:hAnsi="Verdana"/>
          <w:sz w:val="22"/>
          <w:szCs w:val="22"/>
        </w:rPr>
        <w:t xml:space="preserve">it </w:t>
      </w:r>
      <w:r w:rsidRPr="000E4076">
        <w:rPr>
          <w:rFonts w:ascii="Verdana" w:hAnsi="Verdana"/>
          <w:sz w:val="22"/>
          <w:szCs w:val="22"/>
        </w:rPr>
        <w:t xml:space="preserve">is estimated that in the </w:t>
      </w:r>
      <w:r w:rsidRPr="000E4076">
        <w:rPr>
          <w:rFonts w:ascii="Verdana" w:hAnsi="Verdana"/>
          <w:sz w:val="22"/>
          <w:szCs w:val="22"/>
          <w:lang w:eastAsia="ar-SA"/>
        </w:rPr>
        <w:t>programme area consisting of the 28 Member States and two Partner States</w:t>
      </w:r>
      <w:r w:rsidRPr="000E4076">
        <w:rPr>
          <w:rFonts w:ascii="Verdana" w:hAnsi="Verdana"/>
          <w:sz w:val="22"/>
          <w:szCs w:val="22"/>
        </w:rPr>
        <w:t>, around 70% of the EU population (approximately 350 million people) live in urban areas of more than 5 000 inhabitants and the share of the urban population under the total EU population continues to grow</w:t>
      </w:r>
      <w:r w:rsidRPr="000E4076">
        <w:rPr>
          <w:rStyle w:val="Odwoanieprzypisudolnego"/>
          <w:rFonts w:ascii="Verdana" w:eastAsia="SimSun" w:hAnsi="Verdana"/>
          <w:sz w:val="22"/>
          <w:szCs w:val="22"/>
        </w:rPr>
        <w:footnoteReference w:id="6"/>
      </w:r>
      <w:r w:rsidRPr="000E4076">
        <w:rPr>
          <w:rFonts w:ascii="Verdana" w:hAnsi="Verdana"/>
          <w:sz w:val="22"/>
          <w:szCs w:val="22"/>
        </w:rPr>
        <w:t>.</w:t>
      </w:r>
    </w:p>
    <w:p w:rsidR="00276D3A" w:rsidRPr="000E4076" w:rsidRDefault="00276D3A" w:rsidP="000B06AD">
      <w:pPr>
        <w:autoSpaceDE w:val="0"/>
        <w:autoSpaceDN w:val="0"/>
        <w:adjustRightInd w:val="0"/>
        <w:spacing w:after="120" w:line="276" w:lineRule="auto"/>
        <w:jc w:val="both"/>
        <w:rPr>
          <w:rFonts w:ascii="Verdana" w:hAnsi="Verdana"/>
          <w:sz w:val="22"/>
          <w:szCs w:val="22"/>
        </w:rPr>
      </w:pPr>
    </w:p>
    <w:p w:rsidR="007210A0" w:rsidRDefault="007210A0">
      <w:pPr>
        <w:rPr>
          <w:rFonts w:ascii="Verdana" w:eastAsia="Calibri" w:hAnsi="Verdana"/>
          <w:b/>
          <w:sz w:val="22"/>
          <w:szCs w:val="22"/>
        </w:rPr>
      </w:pPr>
      <w:r>
        <w:rPr>
          <w:sz w:val="22"/>
          <w:szCs w:val="22"/>
        </w:rPr>
        <w:br w:type="page"/>
      </w:r>
    </w:p>
    <w:p w:rsidR="00C17DB5" w:rsidRPr="000E4076" w:rsidRDefault="00C17DB5" w:rsidP="000B06AD">
      <w:pPr>
        <w:pStyle w:val="Nagwek4"/>
        <w:spacing w:after="120"/>
        <w:rPr>
          <w:sz w:val="22"/>
          <w:szCs w:val="22"/>
        </w:rPr>
      </w:pPr>
      <w:r w:rsidRPr="000E4076">
        <w:rPr>
          <w:sz w:val="22"/>
          <w:szCs w:val="22"/>
        </w:rPr>
        <w:t xml:space="preserve">Europe, a continent with a polycentric urban structure. </w:t>
      </w:r>
    </w:p>
    <w:p w:rsidR="00C17DB5" w:rsidRPr="000E4076" w:rsidRDefault="00C17DB5" w:rsidP="000B06AD">
      <w:pPr>
        <w:spacing w:after="120" w:line="276" w:lineRule="auto"/>
        <w:jc w:val="both"/>
        <w:rPr>
          <w:rFonts w:ascii="Verdana" w:hAnsi="Verdana"/>
          <w:sz w:val="22"/>
          <w:szCs w:val="22"/>
        </w:rPr>
      </w:pPr>
      <w:r w:rsidRPr="000E4076">
        <w:rPr>
          <w:rFonts w:ascii="Verdana" w:hAnsi="Verdana"/>
          <w:sz w:val="22"/>
          <w:szCs w:val="22"/>
        </w:rPr>
        <w:t>Europe’s urban structure is important for the delivery of the URBACT programme. Europe is characterised by a more polycentric and less concentrated urban structure compared to the USA or China</w:t>
      </w:r>
      <w:r w:rsidRPr="000E4076">
        <w:rPr>
          <w:rStyle w:val="Odwoanieprzypisudolnego"/>
          <w:rFonts w:ascii="Verdana" w:eastAsia="SimSun" w:hAnsi="Verdana"/>
          <w:sz w:val="22"/>
          <w:szCs w:val="22"/>
        </w:rPr>
        <w:footnoteReference w:id="7"/>
      </w:r>
      <w:r w:rsidRPr="000E4076">
        <w:rPr>
          <w:rFonts w:ascii="Verdana" w:hAnsi="Verdana"/>
          <w:sz w:val="22"/>
          <w:szCs w:val="22"/>
        </w:rPr>
        <w:t xml:space="preserve">.  </w:t>
      </w:r>
    </w:p>
    <w:p w:rsidR="00C17DB5" w:rsidRPr="000E4076" w:rsidRDefault="00C17DB5" w:rsidP="000B06AD">
      <w:pPr>
        <w:spacing w:after="120" w:line="276" w:lineRule="auto"/>
        <w:jc w:val="both"/>
        <w:rPr>
          <w:rFonts w:ascii="Verdana" w:hAnsi="Verdana"/>
          <w:sz w:val="22"/>
          <w:szCs w:val="22"/>
        </w:rPr>
      </w:pPr>
      <w:r w:rsidRPr="000E4076">
        <w:rPr>
          <w:rFonts w:ascii="Verdana" w:hAnsi="Verdana"/>
          <w:sz w:val="22"/>
          <w:szCs w:val="22"/>
        </w:rPr>
        <w:t xml:space="preserve">Table 1 shows the distribution on a new basis calculated according to density of population.   Compared to these countries, Europe has fewer cities </w:t>
      </w:r>
      <w:r w:rsidR="00F239EE" w:rsidRPr="000E4076">
        <w:rPr>
          <w:rFonts w:ascii="Verdana" w:hAnsi="Verdana"/>
          <w:sz w:val="22"/>
          <w:szCs w:val="22"/>
        </w:rPr>
        <w:t xml:space="preserve">with one million inhabitants </w:t>
      </w:r>
      <w:r w:rsidRPr="000E4076">
        <w:rPr>
          <w:rFonts w:ascii="Verdana" w:hAnsi="Verdana"/>
          <w:sz w:val="22"/>
          <w:szCs w:val="22"/>
        </w:rPr>
        <w:t xml:space="preserve">- only 12% of the EU population lives in the 23 cities with over 1 million inhabitants and 22% live in cities with more than 250,000. Under this definition, 13% of Europe’s population live in 611 medium sized cities while 32% live in suburbs and small towns with a population over 5000.  </w:t>
      </w:r>
    </w:p>
    <w:p w:rsidR="00C17DB5" w:rsidRPr="000E4076" w:rsidRDefault="00C17DB5" w:rsidP="000B06AD">
      <w:pPr>
        <w:spacing w:after="120" w:line="276" w:lineRule="auto"/>
        <w:jc w:val="both"/>
        <w:rPr>
          <w:rFonts w:ascii="Verdana" w:eastAsia="Calibri" w:hAnsi="Verdana"/>
          <w:sz w:val="22"/>
          <w:szCs w:val="22"/>
        </w:rPr>
      </w:pPr>
      <w:r w:rsidRPr="000E4076">
        <w:rPr>
          <w:rFonts w:ascii="Verdana" w:hAnsi="Verdana"/>
          <w:sz w:val="22"/>
          <w:szCs w:val="22"/>
        </w:rPr>
        <w:t>URBACT will respect the diversity of European settlement system and will target all kind of European cities and towns</w:t>
      </w:r>
      <w:r w:rsidRPr="000E4076">
        <w:rPr>
          <w:rFonts w:ascii="Verdana" w:eastAsia="Calibri" w:hAnsi="Verdana"/>
          <w:sz w:val="22"/>
          <w:szCs w:val="22"/>
        </w:rPr>
        <w:t xml:space="preserve"> including smaller and medium sized </w:t>
      </w:r>
      <w:r w:rsidR="00A9560E">
        <w:rPr>
          <w:rFonts w:ascii="Verdana" w:eastAsia="Calibri" w:hAnsi="Verdana"/>
          <w:sz w:val="22"/>
          <w:szCs w:val="22"/>
        </w:rPr>
        <w:t>one</w:t>
      </w:r>
      <w:r w:rsidR="00F4006D">
        <w:rPr>
          <w:rFonts w:ascii="Verdana" w:eastAsia="Calibri" w:hAnsi="Verdana"/>
          <w:sz w:val="22"/>
          <w:szCs w:val="22"/>
        </w:rPr>
        <w:t xml:space="preserve"> </w:t>
      </w:r>
      <w:r w:rsidRPr="000E4076">
        <w:rPr>
          <w:rFonts w:ascii="Verdana" w:eastAsia="Calibri" w:hAnsi="Verdana"/>
          <w:sz w:val="22"/>
          <w:szCs w:val="22"/>
        </w:rPr>
        <w:t xml:space="preserve">which tend to have less capacity and fewer specialised staff.  </w:t>
      </w:r>
    </w:p>
    <w:p w:rsidR="00C17DB5" w:rsidRPr="000E4076" w:rsidRDefault="00C17DB5" w:rsidP="000B06AD">
      <w:pPr>
        <w:spacing w:after="120" w:line="276" w:lineRule="auto"/>
        <w:jc w:val="both"/>
        <w:rPr>
          <w:rFonts w:ascii="Verdana" w:eastAsia="Calibri" w:hAnsi="Verdana"/>
          <w:sz w:val="22"/>
          <w:szCs w:val="22"/>
        </w:rPr>
      </w:pPr>
    </w:p>
    <w:p w:rsidR="00C17DB5" w:rsidRDefault="00C17DB5" w:rsidP="000B06AD">
      <w:pPr>
        <w:pStyle w:val="Legenda"/>
        <w:keepNext/>
        <w:spacing w:after="120"/>
        <w:jc w:val="both"/>
        <w:rPr>
          <w:rFonts w:ascii="Verdana" w:hAnsi="Verdana"/>
          <w:sz w:val="22"/>
          <w:szCs w:val="22"/>
        </w:rPr>
      </w:pPr>
      <w:r w:rsidRPr="000E4076">
        <w:rPr>
          <w:rFonts w:ascii="Verdana" w:hAnsi="Verdana"/>
          <w:sz w:val="22"/>
          <w:szCs w:val="22"/>
        </w:rPr>
        <w:t xml:space="preserve">Table </w:t>
      </w:r>
      <w:r w:rsidR="00565EF9" w:rsidRPr="000E4076">
        <w:rPr>
          <w:rFonts w:ascii="Verdana" w:hAnsi="Verdana"/>
          <w:sz w:val="22"/>
          <w:szCs w:val="22"/>
        </w:rPr>
        <w:fldChar w:fldCharType="begin"/>
      </w:r>
      <w:r w:rsidRPr="000E4076">
        <w:rPr>
          <w:rFonts w:ascii="Verdana" w:hAnsi="Verdana"/>
          <w:sz w:val="22"/>
          <w:szCs w:val="22"/>
        </w:rPr>
        <w:instrText xml:space="preserve"> </w:instrText>
      </w:r>
      <w:r w:rsidR="00E465D9" w:rsidRPr="000E4076">
        <w:rPr>
          <w:rFonts w:ascii="Verdana" w:hAnsi="Verdana"/>
          <w:sz w:val="22"/>
          <w:szCs w:val="22"/>
        </w:rPr>
        <w:instrText>SEQ</w:instrText>
      </w:r>
      <w:r w:rsidRPr="000E4076">
        <w:rPr>
          <w:rFonts w:ascii="Verdana" w:hAnsi="Verdana"/>
          <w:sz w:val="22"/>
          <w:szCs w:val="22"/>
        </w:rPr>
        <w:instrText xml:space="preserve"> Table \* ARABIC </w:instrText>
      </w:r>
      <w:r w:rsidR="00565EF9" w:rsidRPr="000E4076">
        <w:rPr>
          <w:rFonts w:ascii="Verdana" w:hAnsi="Verdana"/>
          <w:sz w:val="22"/>
          <w:szCs w:val="22"/>
        </w:rPr>
        <w:fldChar w:fldCharType="separate"/>
      </w:r>
      <w:r w:rsidR="00E00F86">
        <w:rPr>
          <w:rFonts w:ascii="Verdana" w:hAnsi="Verdana"/>
          <w:noProof/>
          <w:sz w:val="22"/>
          <w:szCs w:val="22"/>
        </w:rPr>
        <w:t>1</w:t>
      </w:r>
      <w:r w:rsidR="00565EF9" w:rsidRPr="000E4076">
        <w:rPr>
          <w:rFonts w:ascii="Verdana" w:hAnsi="Verdana"/>
          <w:sz w:val="22"/>
          <w:szCs w:val="22"/>
        </w:rPr>
        <w:fldChar w:fldCharType="end"/>
      </w:r>
      <w:r w:rsidRPr="000E4076">
        <w:rPr>
          <w:rFonts w:ascii="Verdana" w:hAnsi="Verdana"/>
          <w:sz w:val="22"/>
          <w:szCs w:val="22"/>
        </w:rPr>
        <w:t>: EU2</w:t>
      </w:r>
      <w:r w:rsidR="008D0C9C">
        <w:rPr>
          <w:rFonts w:ascii="Verdana" w:hAnsi="Verdana"/>
          <w:sz w:val="22"/>
          <w:szCs w:val="22"/>
        </w:rPr>
        <w:t>8</w:t>
      </w:r>
      <w:r w:rsidRPr="000E4076">
        <w:rPr>
          <w:rFonts w:ascii="Verdana" w:hAnsi="Verdana"/>
          <w:sz w:val="22"/>
          <w:szCs w:val="22"/>
        </w:rPr>
        <w:t xml:space="preserve"> cities defined according to their density of population</w:t>
      </w:r>
      <w:r w:rsidRPr="000E4076">
        <w:rPr>
          <w:rStyle w:val="Odwoanieprzypisudolnego"/>
          <w:rFonts w:ascii="Verdana" w:hAnsi="Verdana"/>
          <w:sz w:val="22"/>
          <w:szCs w:val="22"/>
        </w:rPr>
        <w:footnoteReference w:id="8"/>
      </w:r>
    </w:p>
    <w:p w:rsidR="00A72D85" w:rsidRPr="00A72D85" w:rsidRDefault="00A72D85" w:rsidP="00A72D85">
      <w:pPr>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418"/>
        <w:gridCol w:w="1701"/>
        <w:gridCol w:w="1842"/>
        <w:gridCol w:w="2127"/>
      </w:tblGrid>
      <w:tr w:rsidR="00C17DB5" w:rsidRPr="000E4076" w:rsidTr="000E4076">
        <w:trPr>
          <w:jc w:val="center"/>
        </w:trPr>
        <w:tc>
          <w:tcPr>
            <w:tcW w:w="1838" w:type="dxa"/>
            <w:vAlign w:val="center"/>
          </w:tcPr>
          <w:p w:rsidR="00C17DB5" w:rsidRPr="000E4076" w:rsidRDefault="00C17DB5" w:rsidP="000E4076">
            <w:pPr>
              <w:jc w:val="center"/>
              <w:rPr>
                <w:rFonts w:ascii="Verdana" w:eastAsia="Calibri" w:hAnsi="Verdana"/>
                <w:sz w:val="20"/>
                <w:szCs w:val="20"/>
              </w:rPr>
            </w:pPr>
            <w:r w:rsidRPr="000E4076">
              <w:rPr>
                <w:rFonts w:ascii="Verdana" w:eastAsia="Calibri" w:hAnsi="Verdana"/>
                <w:sz w:val="20"/>
                <w:szCs w:val="20"/>
              </w:rPr>
              <w:t>Population class 000s</w:t>
            </w:r>
          </w:p>
        </w:tc>
        <w:tc>
          <w:tcPr>
            <w:tcW w:w="1418" w:type="dxa"/>
            <w:vAlign w:val="center"/>
          </w:tcPr>
          <w:p w:rsidR="00C17DB5" w:rsidRPr="000E4076" w:rsidRDefault="00C17DB5" w:rsidP="000E4076">
            <w:pPr>
              <w:jc w:val="center"/>
              <w:rPr>
                <w:rFonts w:ascii="Verdana" w:eastAsia="Calibri" w:hAnsi="Verdana"/>
                <w:sz w:val="20"/>
                <w:szCs w:val="20"/>
              </w:rPr>
            </w:pPr>
            <w:r w:rsidRPr="000E4076">
              <w:rPr>
                <w:rFonts w:ascii="Verdana" w:eastAsia="Calibri" w:hAnsi="Verdana"/>
                <w:sz w:val="20"/>
                <w:szCs w:val="20"/>
              </w:rPr>
              <w:t>Category</w:t>
            </w:r>
          </w:p>
        </w:tc>
        <w:tc>
          <w:tcPr>
            <w:tcW w:w="1701" w:type="dxa"/>
            <w:vAlign w:val="center"/>
          </w:tcPr>
          <w:p w:rsidR="00C17DB5" w:rsidRPr="000E4076" w:rsidRDefault="00C17DB5" w:rsidP="000E4076">
            <w:pPr>
              <w:jc w:val="center"/>
              <w:rPr>
                <w:rFonts w:ascii="Verdana" w:eastAsia="Calibri" w:hAnsi="Verdana"/>
                <w:sz w:val="20"/>
                <w:szCs w:val="20"/>
              </w:rPr>
            </w:pPr>
            <w:r w:rsidRPr="000E4076">
              <w:rPr>
                <w:rFonts w:ascii="Verdana" w:eastAsia="Calibri" w:hAnsi="Verdana"/>
                <w:sz w:val="20"/>
                <w:szCs w:val="20"/>
              </w:rPr>
              <w:t>No of cities</w:t>
            </w:r>
          </w:p>
        </w:tc>
        <w:tc>
          <w:tcPr>
            <w:tcW w:w="1842" w:type="dxa"/>
            <w:vAlign w:val="center"/>
          </w:tcPr>
          <w:p w:rsidR="00C17DB5" w:rsidRPr="000E4076" w:rsidRDefault="00C17DB5" w:rsidP="000E4076">
            <w:pPr>
              <w:jc w:val="center"/>
              <w:rPr>
                <w:rFonts w:ascii="Verdana" w:eastAsia="Calibri" w:hAnsi="Verdana"/>
                <w:sz w:val="20"/>
                <w:szCs w:val="20"/>
              </w:rPr>
            </w:pPr>
            <w:r w:rsidRPr="000E4076">
              <w:rPr>
                <w:rFonts w:ascii="Verdana" w:eastAsia="Calibri" w:hAnsi="Verdana"/>
                <w:sz w:val="20"/>
                <w:szCs w:val="20"/>
              </w:rPr>
              <w:t>Population in size class</w:t>
            </w:r>
            <w:r w:rsidR="008D0C9C">
              <w:rPr>
                <w:rFonts w:ascii="Verdana" w:eastAsia="Calibri" w:hAnsi="Verdana"/>
                <w:sz w:val="20"/>
                <w:szCs w:val="20"/>
              </w:rPr>
              <w:t xml:space="preserve"> (million)</w:t>
            </w:r>
          </w:p>
        </w:tc>
        <w:tc>
          <w:tcPr>
            <w:tcW w:w="2127" w:type="dxa"/>
            <w:vAlign w:val="center"/>
          </w:tcPr>
          <w:p w:rsidR="00C17DB5" w:rsidRPr="000E4076" w:rsidRDefault="00C17DB5" w:rsidP="000E4076">
            <w:pPr>
              <w:jc w:val="center"/>
              <w:rPr>
                <w:rFonts w:ascii="Verdana" w:eastAsia="Calibri" w:hAnsi="Verdana"/>
                <w:sz w:val="20"/>
                <w:szCs w:val="20"/>
              </w:rPr>
            </w:pPr>
            <w:r w:rsidRPr="000E4076">
              <w:rPr>
                <w:rFonts w:ascii="Verdana" w:eastAsia="Calibri" w:hAnsi="Verdana"/>
                <w:sz w:val="20"/>
                <w:szCs w:val="20"/>
              </w:rPr>
              <w:t>% of total population</w:t>
            </w:r>
          </w:p>
        </w:tc>
      </w:tr>
      <w:tr w:rsidR="00C17DB5" w:rsidRPr="000E4076" w:rsidTr="00026F8F">
        <w:trPr>
          <w:jc w:val="center"/>
        </w:trPr>
        <w:tc>
          <w:tcPr>
            <w:tcW w:w="1838" w:type="dxa"/>
          </w:tcPr>
          <w:p w:rsidR="00C17DB5" w:rsidRPr="000E4076" w:rsidRDefault="00C17DB5" w:rsidP="000E4076">
            <w:pPr>
              <w:jc w:val="center"/>
              <w:rPr>
                <w:rFonts w:ascii="Verdana" w:eastAsia="Calibri" w:hAnsi="Verdana"/>
                <w:sz w:val="20"/>
                <w:szCs w:val="20"/>
              </w:rPr>
            </w:pPr>
            <w:r w:rsidRPr="000E4076">
              <w:rPr>
                <w:rFonts w:ascii="Verdana" w:eastAsia="Calibri" w:hAnsi="Verdana"/>
                <w:sz w:val="20"/>
                <w:szCs w:val="20"/>
              </w:rPr>
              <w:t>&gt;1 million</w:t>
            </w:r>
          </w:p>
        </w:tc>
        <w:tc>
          <w:tcPr>
            <w:tcW w:w="1418" w:type="dxa"/>
          </w:tcPr>
          <w:p w:rsidR="00C17DB5" w:rsidRPr="000E4076" w:rsidRDefault="00C17DB5" w:rsidP="000E4076">
            <w:pPr>
              <w:jc w:val="center"/>
              <w:rPr>
                <w:rFonts w:ascii="Verdana" w:eastAsia="Calibri" w:hAnsi="Verdana"/>
                <w:sz w:val="20"/>
                <w:szCs w:val="20"/>
              </w:rPr>
            </w:pPr>
            <w:r w:rsidRPr="000E4076">
              <w:rPr>
                <w:rFonts w:ascii="Verdana" w:eastAsia="Calibri" w:hAnsi="Verdana"/>
                <w:sz w:val="20"/>
                <w:szCs w:val="20"/>
              </w:rPr>
              <w:t>Large</w:t>
            </w:r>
          </w:p>
        </w:tc>
        <w:tc>
          <w:tcPr>
            <w:tcW w:w="1701" w:type="dxa"/>
          </w:tcPr>
          <w:p w:rsidR="00C17DB5" w:rsidRPr="000E4076" w:rsidRDefault="00C17DB5" w:rsidP="000E4076">
            <w:pPr>
              <w:jc w:val="center"/>
              <w:rPr>
                <w:rFonts w:ascii="Verdana" w:eastAsia="Calibri" w:hAnsi="Verdana"/>
                <w:sz w:val="20"/>
                <w:szCs w:val="20"/>
              </w:rPr>
            </w:pPr>
            <w:r w:rsidRPr="000E4076">
              <w:rPr>
                <w:rFonts w:ascii="Verdana" w:eastAsia="Calibri" w:hAnsi="Verdana"/>
                <w:sz w:val="20"/>
                <w:szCs w:val="20"/>
              </w:rPr>
              <w:t>23</w:t>
            </w:r>
          </w:p>
        </w:tc>
        <w:tc>
          <w:tcPr>
            <w:tcW w:w="1842" w:type="dxa"/>
          </w:tcPr>
          <w:p w:rsidR="00C17DB5" w:rsidRPr="000E4076" w:rsidRDefault="00C17DB5" w:rsidP="000E4076">
            <w:pPr>
              <w:jc w:val="center"/>
              <w:rPr>
                <w:rFonts w:ascii="Verdana" w:eastAsia="Calibri" w:hAnsi="Verdana"/>
                <w:sz w:val="20"/>
                <w:szCs w:val="20"/>
              </w:rPr>
            </w:pPr>
            <w:r w:rsidRPr="000E4076">
              <w:rPr>
                <w:rFonts w:ascii="Verdana" w:eastAsia="Calibri" w:hAnsi="Verdana"/>
                <w:sz w:val="20"/>
                <w:szCs w:val="20"/>
              </w:rPr>
              <w:t>59.2m</w:t>
            </w:r>
          </w:p>
        </w:tc>
        <w:tc>
          <w:tcPr>
            <w:tcW w:w="2127" w:type="dxa"/>
          </w:tcPr>
          <w:p w:rsidR="00C17DB5" w:rsidRPr="000E4076" w:rsidRDefault="00C17DB5" w:rsidP="006B697E">
            <w:pPr>
              <w:jc w:val="center"/>
              <w:rPr>
                <w:rFonts w:ascii="Verdana" w:eastAsia="Calibri" w:hAnsi="Verdana"/>
                <w:sz w:val="20"/>
                <w:szCs w:val="20"/>
              </w:rPr>
            </w:pPr>
            <w:r w:rsidRPr="000E4076">
              <w:rPr>
                <w:rFonts w:ascii="Verdana" w:eastAsia="Calibri" w:hAnsi="Verdana"/>
                <w:sz w:val="20"/>
                <w:szCs w:val="20"/>
              </w:rPr>
              <w:t>12.</w:t>
            </w:r>
            <w:r w:rsidR="006B697E">
              <w:rPr>
                <w:rFonts w:ascii="Verdana" w:eastAsia="Calibri" w:hAnsi="Verdana"/>
                <w:sz w:val="20"/>
                <w:szCs w:val="20"/>
              </w:rPr>
              <w:t>2</w:t>
            </w:r>
          </w:p>
        </w:tc>
      </w:tr>
      <w:tr w:rsidR="00C17DB5" w:rsidRPr="000E4076" w:rsidTr="00026F8F">
        <w:trPr>
          <w:jc w:val="center"/>
        </w:trPr>
        <w:tc>
          <w:tcPr>
            <w:tcW w:w="1838" w:type="dxa"/>
          </w:tcPr>
          <w:p w:rsidR="00C17DB5" w:rsidRPr="000E4076" w:rsidRDefault="00C17DB5" w:rsidP="000E4076">
            <w:pPr>
              <w:jc w:val="center"/>
              <w:rPr>
                <w:rFonts w:ascii="Verdana" w:eastAsia="Calibri" w:hAnsi="Verdana"/>
                <w:sz w:val="20"/>
                <w:szCs w:val="20"/>
              </w:rPr>
            </w:pPr>
            <w:r w:rsidRPr="000E4076">
              <w:rPr>
                <w:rFonts w:ascii="Verdana" w:eastAsia="Calibri" w:hAnsi="Verdana"/>
                <w:sz w:val="20"/>
                <w:szCs w:val="20"/>
              </w:rPr>
              <w:t>500-1000</w:t>
            </w:r>
          </w:p>
        </w:tc>
        <w:tc>
          <w:tcPr>
            <w:tcW w:w="1418" w:type="dxa"/>
          </w:tcPr>
          <w:p w:rsidR="00C17DB5" w:rsidRPr="000E4076" w:rsidRDefault="00C17DB5" w:rsidP="000E4076">
            <w:pPr>
              <w:jc w:val="center"/>
              <w:rPr>
                <w:rFonts w:ascii="Verdana" w:eastAsia="Calibri" w:hAnsi="Verdana"/>
                <w:sz w:val="20"/>
                <w:szCs w:val="20"/>
              </w:rPr>
            </w:pPr>
            <w:r w:rsidRPr="000E4076">
              <w:rPr>
                <w:rFonts w:ascii="Verdana" w:eastAsia="Calibri" w:hAnsi="Verdana"/>
                <w:sz w:val="20"/>
                <w:szCs w:val="20"/>
              </w:rPr>
              <w:t>Large</w:t>
            </w:r>
          </w:p>
        </w:tc>
        <w:tc>
          <w:tcPr>
            <w:tcW w:w="1701" w:type="dxa"/>
          </w:tcPr>
          <w:p w:rsidR="00C17DB5" w:rsidRPr="000E4076" w:rsidRDefault="00C17DB5" w:rsidP="006B697E">
            <w:pPr>
              <w:jc w:val="center"/>
              <w:rPr>
                <w:rFonts w:ascii="Verdana" w:eastAsia="Calibri" w:hAnsi="Verdana"/>
                <w:sz w:val="20"/>
                <w:szCs w:val="20"/>
              </w:rPr>
            </w:pPr>
            <w:r w:rsidRPr="000E4076">
              <w:rPr>
                <w:rFonts w:ascii="Verdana" w:eastAsia="Calibri" w:hAnsi="Verdana"/>
                <w:sz w:val="20"/>
                <w:szCs w:val="20"/>
              </w:rPr>
              <w:t>3</w:t>
            </w:r>
            <w:r w:rsidR="006B697E">
              <w:rPr>
                <w:rFonts w:ascii="Verdana" w:eastAsia="Calibri" w:hAnsi="Verdana"/>
                <w:sz w:val="20"/>
                <w:szCs w:val="20"/>
              </w:rPr>
              <w:t>7</w:t>
            </w:r>
          </w:p>
        </w:tc>
        <w:tc>
          <w:tcPr>
            <w:tcW w:w="1842" w:type="dxa"/>
          </w:tcPr>
          <w:p w:rsidR="00C17DB5" w:rsidRPr="000E4076" w:rsidRDefault="00C17DB5" w:rsidP="006B697E">
            <w:pPr>
              <w:jc w:val="center"/>
              <w:rPr>
                <w:rFonts w:ascii="Verdana" w:eastAsia="Calibri" w:hAnsi="Verdana"/>
                <w:sz w:val="20"/>
                <w:szCs w:val="20"/>
              </w:rPr>
            </w:pPr>
            <w:r w:rsidRPr="000E4076">
              <w:rPr>
                <w:rFonts w:ascii="Verdana" w:eastAsia="Calibri" w:hAnsi="Verdana"/>
                <w:sz w:val="20"/>
                <w:szCs w:val="20"/>
              </w:rPr>
              <w:t>27.</w:t>
            </w:r>
            <w:r w:rsidR="006B697E">
              <w:rPr>
                <w:rFonts w:ascii="Verdana" w:eastAsia="Calibri" w:hAnsi="Verdana"/>
                <w:sz w:val="20"/>
                <w:szCs w:val="20"/>
              </w:rPr>
              <w:t>83</w:t>
            </w:r>
            <w:r w:rsidRPr="000E4076">
              <w:rPr>
                <w:rFonts w:ascii="Verdana" w:eastAsia="Calibri" w:hAnsi="Verdana"/>
                <w:sz w:val="20"/>
                <w:szCs w:val="20"/>
              </w:rPr>
              <w:t>m</w:t>
            </w:r>
          </w:p>
        </w:tc>
        <w:tc>
          <w:tcPr>
            <w:tcW w:w="2127" w:type="dxa"/>
          </w:tcPr>
          <w:p w:rsidR="00C17DB5" w:rsidRPr="000E4076" w:rsidRDefault="00C17DB5" w:rsidP="006B697E">
            <w:pPr>
              <w:jc w:val="center"/>
              <w:rPr>
                <w:rFonts w:ascii="Verdana" w:eastAsia="Calibri" w:hAnsi="Verdana"/>
                <w:sz w:val="20"/>
                <w:szCs w:val="20"/>
              </w:rPr>
            </w:pPr>
            <w:r w:rsidRPr="000E4076">
              <w:rPr>
                <w:rFonts w:ascii="Verdana" w:eastAsia="Calibri" w:hAnsi="Verdana"/>
                <w:sz w:val="20"/>
                <w:szCs w:val="20"/>
              </w:rPr>
              <w:t>5.</w:t>
            </w:r>
            <w:r w:rsidR="006B697E">
              <w:rPr>
                <w:rFonts w:ascii="Verdana" w:eastAsia="Calibri" w:hAnsi="Verdana"/>
                <w:sz w:val="20"/>
                <w:szCs w:val="20"/>
              </w:rPr>
              <w:t>7</w:t>
            </w:r>
          </w:p>
        </w:tc>
      </w:tr>
      <w:tr w:rsidR="00C17DB5" w:rsidRPr="000E4076" w:rsidTr="00026F8F">
        <w:trPr>
          <w:jc w:val="center"/>
        </w:trPr>
        <w:tc>
          <w:tcPr>
            <w:tcW w:w="1838" w:type="dxa"/>
          </w:tcPr>
          <w:p w:rsidR="00C17DB5" w:rsidRPr="000E4076" w:rsidRDefault="00C17DB5" w:rsidP="000E4076">
            <w:pPr>
              <w:jc w:val="center"/>
              <w:rPr>
                <w:rFonts w:ascii="Verdana" w:eastAsia="Calibri" w:hAnsi="Verdana"/>
                <w:sz w:val="20"/>
                <w:szCs w:val="20"/>
              </w:rPr>
            </w:pPr>
            <w:r w:rsidRPr="000E4076">
              <w:rPr>
                <w:rFonts w:ascii="Verdana" w:eastAsia="Calibri" w:hAnsi="Verdana"/>
                <w:sz w:val="20"/>
                <w:szCs w:val="20"/>
              </w:rPr>
              <w:t>250-500</w:t>
            </w:r>
          </w:p>
        </w:tc>
        <w:tc>
          <w:tcPr>
            <w:tcW w:w="1418" w:type="dxa"/>
          </w:tcPr>
          <w:p w:rsidR="00C17DB5" w:rsidRPr="000E4076" w:rsidRDefault="00C17DB5" w:rsidP="000E4076">
            <w:pPr>
              <w:jc w:val="center"/>
              <w:rPr>
                <w:rFonts w:ascii="Verdana" w:eastAsia="Calibri" w:hAnsi="Verdana"/>
                <w:sz w:val="20"/>
                <w:szCs w:val="20"/>
              </w:rPr>
            </w:pPr>
            <w:r w:rsidRPr="000E4076">
              <w:rPr>
                <w:rFonts w:ascii="Verdana" w:eastAsia="Calibri" w:hAnsi="Verdana"/>
                <w:sz w:val="20"/>
                <w:szCs w:val="20"/>
              </w:rPr>
              <w:t>large</w:t>
            </w:r>
          </w:p>
        </w:tc>
        <w:tc>
          <w:tcPr>
            <w:tcW w:w="1701" w:type="dxa"/>
          </w:tcPr>
          <w:p w:rsidR="00C17DB5" w:rsidRPr="000E4076" w:rsidRDefault="00C17DB5" w:rsidP="000E4076">
            <w:pPr>
              <w:jc w:val="center"/>
              <w:rPr>
                <w:rFonts w:ascii="Verdana" w:eastAsia="Calibri" w:hAnsi="Verdana"/>
                <w:sz w:val="20"/>
                <w:szCs w:val="20"/>
              </w:rPr>
            </w:pPr>
            <w:r w:rsidRPr="000E4076">
              <w:rPr>
                <w:rFonts w:ascii="Verdana" w:eastAsia="Calibri" w:hAnsi="Verdana"/>
                <w:sz w:val="20"/>
                <w:szCs w:val="20"/>
              </w:rPr>
              <w:t>62</w:t>
            </w:r>
          </w:p>
        </w:tc>
        <w:tc>
          <w:tcPr>
            <w:tcW w:w="1842" w:type="dxa"/>
          </w:tcPr>
          <w:p w:rsidR="00C17DB5" w:rsidRPr="000E4076" w:rsidRDefault="00C17DB5" w:rsidP="000E4076">
            <w:pPr>
              <w:jc w:val="center"/>
              <w:rPr>
                <w:rFonts w:ascii="Verdana" w:eastAsia="Calibri" w:hAnsi="Verdana"/>
                <w:sz w:val="20"/>
                <w:szCs w:val="20"/>
              </w:rPr>
            </w:pPr>
            <w:r w:rsidRPr="000E4076">
              <w:rPr>
                <w:rFonts w:ascii="Verdana" w:eastAsia="Calibri" w:hAnsi="Verdana"/>
                <w:sz w:val="20"/>
                <w:szCs w:val="20"/>
              </w:rPr>
              <w:t>21.21m</w:t>
            </w:r>
          </w:p>
        </w:tc>
        <w:tc>
          <w:tcPr>
            <w:tcW w:w="2127" w:type="dxa"/>
          </w:tcPr>
          <w:p w:rsidR="00C17DB5" w:rsidRPr="000E4076" w:rsidRDefault="00C17DB5" w:rsidP="000E4076">
            <w:pPr>
              <w:jc w:val="center"/>
              <w:rPr>
                <w:rFonts w:ascii="Verdana" w:eastAsia="Calibri" w:hAnsi="Verdana"/>
                <w:sz w:val="20"/>
                <w:szCs w:val="20"/>
              </w:rPr>
            </w:pPr>
            <w:r w:rsidRPr="000E4076">
              <w:rPr>
                <w:rFonts w:ascii="Verdana" w:eastAsia="Calibri" w:hAnsi="Verdana"/>
                <w:sz w:val="20"/>
                <w:szCs w:val="20"/>
              </w:rPr>
              <w:t>4.4</w:t>
            </w:r>
          </w:p>
        </w:tc>
      </w:tr>
      <w:tr w:rsidR="00C17DB5" w:rsidRPr="000E4076" w:rsidTr="00026F8F">
        <w:trPr>
          <w:jc w:val="center"/>
        </w:trPr>
        <w:tc>
          <w:tcPr>
            <w:tcW w:w="1838" w:type="dxa"/>
          </w:tcPr>
          <w:p w:rsidR="00C17DB5" w:rsidRPr="000E4076" w:rsidRDefault="00C17DB5" w:rsidP="000E4076">
            <w:pPr>
              <w:jc w:val="center"/>
              <w:rPr>
                <w:rFonts w:ascii="Verdana" w:eastAsia="Calibri" w:hAnsi="Verdana"/>
                <w:sz w:val="20"/>
                <w:szCs w:val="20"/>
              </w:rPr>
            </w:pPr>
            <w:r w:rsidRPr="000E4076">
              <w:rPr>
                <w:rFonts w:ascii="Verdana" w:eastAsia="Calibri" w:hAnsi="Verdana"/>
                <w:sz w:val="20"/>
                <w:szCs w:val="20"/>
              </w:rPr>
              <w:t>100-250</w:t>
            </w:r>
          </w:p>
        </w:tc>
        <w:tc>
          <w:tcPr>
            <w:tcW w:w="1418" w:type="dxa"/>
          </w:tcPr>
          <w:p w:rsidR="00C17DB5" w:rsidRPr="000E4076" w:rsidRDefault="00C17DB5" w:rsidP="000E4076">
            <w:pPr>
              <w:jc w:val="center"/>
              <w:rPr>
                <w:rFonts w:ascii="Verdana" w:eastAsia="Calibri" w:hAnsi="Verdana"/>
                <w:sz w:val="20"/>
                <w:szCs w:val="20"/>
              </w:rPr>
            </w:pPr>
            <w:r w:rsidRPr="000E4076">
              <w:rPr>
                <w:rFonts w:ascii="Verdana" w:eastAsia="Calibri" w:hAnsi="Verdana"/>
                <w:sz w:val="20"/>
                <w:szCs w:val="20"/>
              </w:rPr>
              <w:t>Medium</w:t>
            </w:r>
          </w:p>
        </w:tc>
        <w:tc>
          <w:tcPr>
            <w:tcW w:w="1701" w:type="dxa"/>
          </w:tcPr>
          <w:p w:rsidR="00C17DB5" w:rsidRPr="000E4076" w:rsidRDefault="00C17DB5" w:rsidP="006B697E">
            <w:pPr>
              <w:jc w:val="center"/>
              <w:rPr>
                <w:rFonts w:ascii="Verdana" w:eastAsia="Calibri" w:hAnsi="Verdana"/>
                <w:sz w:val="20"/>
                <w:szCs w:val="20"/>
              </w:rPr>
            </w:pPr>
            <w:r w:rsidRPr="000E4076">
              <w:rPr>
                <w:rFonts w:ascii="Verdana" w:eastAsia="Calibri" w:hAnsi="Verdana"/>
                <w:sz w:val="20"/>
                <w:szCs w:val="20"/>
              </w:rPr>
              <w:t>22</w:t>
            </w:r>
            <w:r w:rsidR="006B697E">
              <w:rPr>
                <w:rFonts w:ascii="Verdana" w:eastAsia="Calibri" w:hAnsi="Verdana"/>
                <w:sz w:val="20"/>
                <w:szCs w:val="20"/>
              </w:rPr>
              <w:t>7</w:t>
            </w:r>
          </w:p>
        </w:tc>
        <w:tc>
          <w:tcPr>
            <w:tcW w:w="1842" w:type="dxa"/>
          </w:tcPr>
          <w:p w:rsidR="00C17DB5" w:rsidRPr="000E4076" w:rsidRDefault="00C17DB5" w:rsidP="006B697E">
            <w:pPr>
              <w:jc w:val="center"/>
              <w:rPr>
                <w:rFonts w:ascii="Verdana" w:eastAsia="Calibri" w:hAnsi="Verdana"/>
                <w:sz w:val="20"/>
                <w:szCs w:val="20"/>
              </w:rPr>
            </w:pPr>
            <w:r w:rsidRPr="000E4076">
              <w:rPr>
                <w:rFonts w:ascii="Verdana" w:eastAsia="Calibri" w:hAnsi="Verdana"/>
                <w:sz w:val="20"/>
                <w:szCs w:val="20"/>
              </w:rPr>
              <w:t>3</w:t>
            </w:r>
            <w:r w:rsidR="006B697E">
              <w:rPr>
                <w:rFonts w:ascii="Verdana" w:eastAsia="Calibri" w:hAnsi="Verdana"/>
                <w:sz w:val="20"/>
                <w:szCs w:val="20"/>
              </w:rPr>
              <w:t>6</w:t>
            </w:r>
            <w:r w:rsidRPr="000E4076">
              <w:rPr>
                <w:rFonts w:ascii="Verdana" w:eastAsia="Calibri" w:hAnsi="Verdana"/>
                <w:sz w:val="20"/>
                <w:szCs w:val="20"/>
              </w:rPr>
              <w:t>.</w:t>
            </w:r>
            <w:r w:rsidR="006B697E">
              <w:rPr>
                <w:rFonts w:ascii="Verdana" w:eastAsia="Calibri" w:hAnsi="Verdana"/>
                <w:sz w:val="20"/>
                <w:szCs w:val="20"/>
              </w:rPr>
              <w:t>13</w:t>
            </w:r>
            <w:r w:rsidRPr="000E4076">
              <w:rPr>
                <w:rFonts w:ascii="Verdana" w:eastAsia="Calibri" w:hAnsi="Verdana"/>
                <w:sz w:val="20"/>
                <w:szCs w:val="20"/>
              </w:rPr>
              <w:t>m</w:t>
            </w:r>
          </w:p>
        </w:tc>
        <w:tc>
          <w:tcPr>
            <w:tcW w:w="2127" w:type="dxa"/>
          </w:tcPr>
          <w:p w:rsidR="00C17DB5" w:rsidRPr="000E4076" w:rsidRDefault="00C17DB5" w:rsidP="000E4076">
            <w:pPr>
              <w:jc w:val="center"/>
              <w:rPr>
                <w:rFonts w:ascii="Verdana" w:eastAsia="Calibri" w:hAnsi="Verdana"/>
                <w:sz w:val="20"/>
                <w:szCs w:val="20"/>
              </w:rPr>
            </w:pPr>
            <w:r w:rsidRPr="000E4076">
              <w:rPr>
                <w:rFonts w:ascii="Verdana" w:eastAsia="Calibri" w:hAnsi="Verdana"/>
                <w:sz w:val="20"/>
                <w:szCs w:val="20"/>
              </w:rPr>
              <w:t>7.4</w:t>
            </w:r>
          </w:p>
        </w:tc>
      </w:tr>
      <w:tr w:rsidR="00C17DB5" w:rsidRPr="000E4076" w:rsidTr="00026F8F">
        <w:trPr>
          <w:jc w:val="center"/>
        </w:trPr>
        <w:tc>
          <w:tcPr>
            <w:tcW w:w="1838" w:type="dxa"/>
          </w:tcPr>
          <w:p w:rsidR="00C17DB5" w:rsidRPr="000E4076" w:rsidRDefault="00C17DB5" w:rsidP="000E4076">
            <w:pPr>
              <w:jc w:val="center"/>
              <w:rPr>
                <w:rFonts w:ascii="Verdana" w:eastAsia="Calibri" w:hAnsi="Verdana"/>
                <w:sz w:val="20"/>
                <w:szCs w:val="20"/>
              </w:rPr>
            </w:pPr>
            <w:r w:rsidRPr="000E4076">
              <w:rPr>
                <w:rFonts w:ascii="Verdana" w:eastAsia="Calibri" w:hAnsi="Verdana"/>
                <w:sz w:val="20"/>
                <w:szCs w:val="20"/>
              </w:rPr>
              <w:t>50-100</w:t>
            </w:r>
          </w:p>
        </w:tc>
        <w:tc>
          <w:tcPr>
            <w:tcW w:w="1418" w:type="dxa"/>
          </w:tcPr>
          <w:p w:rsidR="00C17DB5" w:rsidRPr="000E4076" w:rsidRDefault="00C17DB5" w:rsidP="000E4076">
            <w:pPr>
              <w:jc w:val="center"/>
              <w:rPr>
                <w:rFonts w:ascii="Verdana" w:eastAsia="Calibri" w:hAnsi="Verdana"/>
                <w:sz w:val="20"/>
                <w:szCs w:val="20"/>
              </w:rPr>
            </w:pPr>
            <w:r w:rsidRPr="000E4076">
              <w:rPr>
                <w:rFonts w:ascii="Verdana" w:eastAsia="Calibri" w:hAnsi="Verdana"/>
                <w:sz w:val="20"/>
                <w:szCs w:val="20"/>
              </w:rPr>
              <w:t>Medium</w:t>
            </w:r>
          </w:p>
        </w:tc>
        <w:tc>
          <w:tcPr>
            <w:tcW w:w="1701" w:type="dxa"/>
          </w:tcPr>
          <w:p w:rsidR="00C17DB5" w:rsidRPr="000E4076" w:rsidRDefault="00C17DB5" w:rsidP="006B697E">
            <w:pPr>
              <w:jc w:val="center"/>
              <w:rPr>
                <w:rFonts w:ascii="Verdana" w:eastAsia="Calibri" w:hAnsi="Verdana"/>
                <w:sz w:val="20"/>
                <w:szCs w:val="20"/>
              </w:rPr>
            </w:pPr>
            <w:r w:rsidRPr="000E4076">
              <w:rPr>
                <w:rFonts w:ascii="Verdana" w:eastAsia="Calibri" w:hAnsi="Verdana"/>
                <w:sz w:val="20"/>
                <w:szCs w:val="20"/>
              </w:rPr>
              <w:t>3</w:t>
            </w:r>
            <w:r w:rsidR="006B697E">
              <w:rPr>
                <w:rFonts w:ascii="Verdana" w:eastAsia="Calibri" w:hAnsi="Verdana"/>
                <w:sz w:val="20"/>
                <w:szCs w:val="20"/>
              </w:rPr>
              <w:t>92</w:t>
            </w:r>
          </w:p>
        </w:tc>
        <w:tc>
          <w:tcPr>
            <w:tcW w:w="1842" w:type="dxa"/>
          </w:tcPr>
          <w:p w:rsidR="00C17DB5" w:rsidRPr="000E4076" w:rsidRDefault="00C17DB5" w:rsidP="006B697E">
            <w:pPr>
              <w:jc w:val="center"/>
              <w:rPr>
                <w:rFonts w:ascii="Verdana" w:eastAsia="Calibri" w:hAnsi="Verdana"/>
                <w:sz w:val="20"/>
                <w:szCs w:val="20"/>
              </w:rPr>
            </w:pPr>
            <w:r w:rsidRPr="000E4076">
              <w:rPr>
                <w:rFonts w:ascii="Verdana" w:eastAsia="Calibri" w:hAnsi="Verdana"/>
                <w:sz w:val="20"/>
                <w:szCs w:val="20"/>
              </w:rPr>
              <w:t>2</w:t>
            </w:r>
            <w:r w:rsidR="006B697E">
              <w:rPr>
                <w:rFonts w:ascii="Verdana" w:eastAsia="Calibri" w:hAnsi="Verdana"/>
                <w:sz w:val="20"/>
                <w:szCs w:val="20"/>
              </w:rPr>
              <w:t>7</w:t>
            </w:r>
            <w:r w:rsidRPr="000E4076">
              <w:rPr>
                <w:rFonts w:ascii="Verdana" w:eastAsia="Calibri" w:hAnsi="Verdana"/>
                <w:sz w:val="20"/>
                <w:szCs w:val="20"/>
              </w:rPr>
              <w:t>m</w:t>
            </w:r>
          </w:p>
        </w:tc>
        <w:tc>
          <w:tcPr>
            <w:tcW w:w="2127" w:type="dxa"/>
          </w:tcPr>
          <w:p w:rsidR="00C17DB5" w:rsidRPr="000E4076" w:rsidRDefault="00C17DB5" w:rsidP="000E4076">
            <w:pPr>
              <w:jc w:val="center"/>
              <w:rPr>
                <w:rFonts w:ascii="Verdana" w:eastAsia="Calibri" w:hAnsi="Verdana"/>
                <w:sz w:val="20"/>
                <w:szCs w:val="20"/>
              </w:rPr>
            </w:pPr>
            <w:r w:rsidRPr="000E4076">
              <w:rPr>
                <w:rFonts w:ascii="Verdana" w:eastAsia="Calibri" w:hAnsi="Verdana"/>
                <w:sz w:val="20"/>
                <w:szCs w:val="20"/>
              </w:rPr>
              <w:t>5.6</w:t>
            </w:r>
          </w:p>
        </w:tc>
      </w:tr>
      <w:tr w:rsidR="00C17DB5" w:rsidRPr="000E4076" w:rsidTr="00026F8F">
        <w:trPr>
          <w:jc w:val="center"/>
        </w:trPr>
        <w:tc>
          <w:tcPr>
            <w:tcW w:w="1838" w:type="dxa"/>
          </w:tcPr>
          <w:p w:rsidR="00C17DB5" w:rsidRPr="000E4076" w:rsidRDefault="00C17DB5" w:rsidP="000E4076">
            <w:pPr>
              <w:jc w:val="center"/>
              <w:rPr>
                <w:rFonts w:ascii="Verdana" w:eastAsia="Calibri" w:hAnsi="Verdana"/>
                <w:sz w:val="20"/>
                <w:szCs w:val="20"/>
              </w:rPr>
            </w:pPr>
            <w:r w:rsidRPr="000E4076">
              <w:rPr>
                <w:rFonts w:ascii="Verdana" w:eastAsia="Calibri" w:hAnsi="Verdana"/>
                <w:sz w:val="20"/>
                <w:szCs w:val="20"/>
              </w:rPr>
              <w:t>Towns and suburbs</w:t>
            </w:r>
          </w:p>
        </w:tc>
        <w:tc>
          <w:tcPr>
            <w:tcW w:w="1418" w:type="dxa"/>
          </w:tcPr>
          <w:p w:rsidR="00C17DB5" w:rsidRPr="000E4076" w:rsidRDefault="00C17DB5" w:rsidP="000E4076">
            <w:pPr>
              <w:jc w:val="center"/>
              <w:rPr>
                <w:rFonts w:ascii="Verdana" w:eastAsia="Calibri" w:hAnsi="Verdana"/>
                <w:sz w:val="20"/>
                <w:szCs w:val="20"/>
              </w:rPr>
            </w:pPr>
            <w:r w:rsidRPr="000E4076">
              <w:rPr>
                <w:rFonts w:ascii="Verdana" w:eastAsia="Calibri" w:hAnsi="Verdana"/>
                <w:sz w:val="20"/>
                <w:szCs w:val="20"/>
              </w:rPr>
              <w:t>Small and suburban</w:t>
            </w:r>
          </w:p>
        </w:tc>
        <w:tc>
          <w:tcPr>
            <w:tcW w:w="1701" w:type="dxa"/>
          </w:tcPr>
          <w:p w:rsidR="00C17DB5" w:rsidRDefault="00A9560E" w:rsidP="00A9560E">
            <w:pPr>
              <w:jc w:val="center"/>
              <w:rPr>
                <w:rFonts w:ascii="Verdana" w:eastAsia="Calibri" w:hAnsi="Verdana"/>
                <w:sz w:val="20"/>
                <w:szCs w:val="20"/>
              </w:rPr>
            </w:pPr>
            <w:r>
              <w:rPr>
                <w:rFonts w:ascii="Verdana" w:eastAsia="Calibri" w:hAnsi="Verdana"/>
                <w:sz w:val="20"/>
                <w:szCs w:val="20"/>
              </w:rPr>
              <w:t xml:space="preserve"> </w:t>
            </w:r>
          </w:p>
          <w:p w:rsidR="00A9560E" w:rsidRPr="000E4076" w:rsidRDefault="00A9560E" w:rsidP="00A9560E">
            <w:pPr>
              <w:jc w:val="center"/>
              <w:rPr>
                <w:rFonts w:ascii="Verdana" w:eastAsia="Calibri" w:hAnsi="Verdana"/>
                <w:sz w:val="20"/>
                <w:szCs w:val="20"/>
              </w:rPr>
            </w:pPr>
            <w:r>
              <w:rPr>
                <w:rFonts w:ascii="Verdana" w:eastAsia="Calibri" w:hAnsi="Verdana"/>
                <w:sz w:val="20"/>
                <w:szCs w:val="20"/>
              </w:rPr>
              <w:t>-</w:t>
            </w:r>
          </w:p>
        </w:tc>
        <w:tc>
          <w:tcPr>
            <w:tcW w:w="1842" w:type="dxa"/>
          </w:tcPr>
          <w:p w:rsidR="00C17DB5" w:rsidRPr="000E4076" w:rsidRDefault="00C17DB5" w:rsidP="006B697E">
            <w:pPr>
              <w:jc w:val="center"/>
              <w:rPr>
                <w:rFonts w:ascii="Verdana" w:eastAsia="Calibri" w:hAnsi="Verdana"/>
                <w:sz w:val="20"/>
                <w:szCs w:val="20"/>
              </w:rPr>
            </w:pPr>
            <w:r w:rsidRPr="000E4076">
              <w:rPr>
                <w:rFonts w:ascii="Verdana" w:eastAsia="Calibri" w:hAnsi="Verdana"/>
                <w:sz w:val="20"/>
                <w:szCs w:val="20"/>
              </w:rPr>
              <w:t>15</w:t>
            </w:r>
            <w:r w:rsidR="006B697E">
              <w:rPr>
                <w:rFonts w:ascii="Verdana" w:eastAsia="Calibri" w:hAnsi="Verdana"/>
                <w:sz w:val="20"/>
                <w:szCs w:val="20"/>
              </w:rPr>
              <w:t>7</w:t>
            </w:r>
            <w:r w:rsidRPr="000E4076">
              <w:rPr>
                <w:rFonts w:ascii="Verdana" w:eastAsia="Calibri" w:hAnsi="Verdana"/>
                <w:sz w:val="20"/>
                <w:szCs w:val="20"/>
              </w:rPr>
              <w:t>.</w:t>
            </w:r>
            <w:r w:rsidR="006B697E">
              <w:rPr>
                <w:rFonts w:ascii="Verdana" w:eastAsia="Calibri" w:hAnsi="Verdana"/>
                <w:sz w:val="20"/>
                <w:szCs w:val="20"/>
              </w:rPr>
              <w:t>91</w:t>
            </w:r>
            <w:r w:rsidRPr="000E4076">
              <w:rPr>
                <w:rFonts w:ascii="Verdana" w:eastAsia="Calibri" w:hAnsi="Verdana"/>
                <w:sz w:val="20"/>
                <w:szCs w:val="20"/>
              </w:rPr>
              <w:t>m</w:t>
            </w:r>
          </w:p>
        </w:tc>
        <w:tc>
          <w:tcPr>
            <w:tcW w:w="2127" w:type="dxa"/>
          </w:tcPr>
          <w:p w:rsidR="00C17DB5" w:rsidRPr="000E4076" w:rsidRDefault="00C17DB5" w:rsidP="000E4076">
            <w:pPr>
              <w:jc w:val="center"/>
              <w:rPr>
                <w:rFonts w:ascii="Verdana" w:eastAsia="Calibri" w:hAnsi="Verdana"/>
                <w:sz w:val="20"/>
                <w:szCs w:val="20"/>
              </w:rPr>
            </w:pPr>
            <w:r w:rsidRPr="000E4076">
              <w:rPr>
                <w:rFonts w:ascii="Verdana" w:eastAsia="Calibri" w:hAnsi="Verdana"/>
                <w:sz w:val="20"/>
                <w:szCs w:val="20"/>
              </w:rPr>
              <w:t>32.6</w:t>
            </w:r>
          </w:p>
        </w:tc>
      </w:tr>
      <w:tr w:rsidR="00C17DB5" w:rsidRPr="000E4076" w:rsidTr="00026F8F">
        <w:trPr>
          <w:jc w:val="center"/>
        </w:trPr>
        <w:tc>
          <w:tcPr>
            <w:tcW w:w="1838" w:type="dxa"/>
          </w:tcPr>
          <w:p w:rsidR="00C17DB5" w:rsidRPr="000E4076" w:rsidRDefault="00C17DB5" w:rsidP="000E4076">
            <w:pPr>
              <w:jc w:val="center"/>
              <w:rPr>
                <w:rFonts w:ascii="Verdana" w:eastAsia="Calibri" w:hAnsi="Verdana"/>
                <w:sz w:val="20"/>
                <w:szCs w:val="20"/>
              </w:rPr>
            </w:pPr>
            <w:r w:rsidRPr="000E4076">
              <w:rPr>
                <w:rFonts w:ascii="Verdana" w:eastAsia="Calibri" w:hAnsi="Verdana"/>
                <w:sz w:val="20"/>
                <w:szCs w:val="20"/>
              </w:rPr>
              <w:t>Rural population</w:t>
            </w:r>
          </w:p>
        </w:tc>
        <w:tc>
          <w:tcPr>
            <w:tcW w:w="1418" w:type="dxa"/>
          </w:tcPr>
          <w:p w:rsidR="00C17DB5" w:rsidRPr="000E4076" w:rsidRDefault="00C17DB5" w:rsidP="000E4076">
            <w:pPr>
              <w:jc w:val="center"/>
              <w:rPr>
                <w:rFonts w:ascii="Verdana" w:eastAsia="Calibri" w:hAnsi="Verdana"/>
                <w:sz w:val="20"/>
                <w:szCs w:val="20"/>
              </w:rPr>
            </w:pPr>
            <w:r w:rsidRPr="000E4076">
              <w:rPr>
                <w:rFonts w:ascii="Verdana" w:eastAsia="Calibri" w:hAnsi="Verdana"/>
                <w:sz w:val="20"/>
                <w:szCs w:val="20"/>
              </w:rPr>
              <w:t>Rural (including very small towns)</w:t>
            </w:r>
          </w:p>
        </w:tc>
        <w:tc>
          <w:tcPr>
            <w:tcW w:w="1701" w:type="dxa"/>
          </w:tcPr>
          <w:p w:rsidR="00A9560E" w:rsidRDefault="00A9560E" w:rsidP="00A9560E">
            <w:pPr>
              <w:jc w:val="center"/>
              <w:rPr>
                <w:rFonts w:ascii="Verdana" w:eastAsia="Calibri" w:hAnsi="Verdana"/>
                <w:sz w:val="20"/>
                <w:szCs w:val="20"/>
              </w:rPr>
            </w:pPr>
          </w:p>
          <w:p w:rsidR="00C17DB5" w:rsidRPr="000E4076" w:rsidRDefault="00A9560E" w:rsidP="00A9560E">
            <w:pPr>
              <w:jc w:val="center"/>
              <w:rPr>
                <w:rFonts w:ascii="Verdana" w:eastAsia="Calibri" w:hAnsi="Verdana"/>
                <w:sz w:val="20"/>
                <w:szCs w:val="20"/>
              </w:rPr>
            </w:pPr>
            <w:r>
              <w:rPr>
                <w:rFonts w:ascii="Verdana" w:eastAsia="Calibri" w:hAnsi="Verdana"/>
                <w:sz w:val="20"/>
                <w:szCs w:val="20"/>
              </w:rPr>
              <w:t xml:space="preserve">- </w:t>
            </w:r>
          </w:p>
        </w:tc>
        <w:tc>
          <w:tcPr>
            <w:tcW w:w="1842" w:type="dxa"/>
          </w:tcPr>
          <w:p w:rsidR="00C17DB5" w:rsidRPr="000E4076" w:rsidRDefault="00C17DB5" w:rsidP="006B697E">
            <w:pPr>
              <w:jc w:val="center"/>
              <w:rPr>
                <w:rFonts w:ascii="Verdana" w:eastAsia="Calibri" w:hAnsi="Verdana"/>
                <w:sz w:val="20"/>
                <w:szCs w:val="20"/>
              </w:rPr>
            </w:pPr>
            <w:r w:rsidRPr="000E4076">
              <w:rPr>
                <w:rFonts w:ascii="Verdana" w:eastAsia="Calibri" w:hAnsi="Verdana"/>
                <w:sz w:val="20"/>
                <w:szCs w:val="20"/>
              </w:rPr>
              <w:t>15</w:t>
            </w:r>
            <w:r w:rsidR="006B697E">
              <w:rPr>
                <w:rFonts w:ascii="Verdana" w:eastAsia="Calibri" w:hAnsi="Verdana"/>
                <w:sz w:val="20"/>
                <w:szCs w:val="20"/>
              </w:rPr>
              <w:t>5</w:t>
            </w:r>
            <w:r w:rsidRPr="000E4076">
              <w:rPr>
                <w:rFonts w:ascii="Verdana" w:eastAsia="Calibri" w:hAnsi="Verdana"/>
                <w:sz w:val="20"/>
                <w:szCs w:val="20"/>
              </w:rPr>
              <w:t>.</w:t>
            </w:r>
            <w:r w:rsidR="006B697E">
              <w:rPr>
                <w:rFonts w:ascii="Verdana" w:eastAsia="Calibri" w:hAnsi="Verdana"/>
                <w:sz w:val="20"/>
                <w:szCs w:val="20"/>
              </w:rPr>
              <w:t>42</w:t>
            </w:r>
            <w:r w:rsidRPr="000E4076">
              <w:rPr>
                <w:rFonts w:ascii="Verdana" w:eastAsia="Calibri" w:hAnsi="Verdana"/>
                <w:sz w:val="20"/>
                <w:szCs w:val="20"/>
              </w:rPr>
              <w:t>m</w:t>
            </w:r>
          </w:p>
        </w:tc>
        <w:tc>
          <w:tcPr>
            <w:tcW w:w="2127" w:type="dxa"/>
          </w:tcPr>
          <w:p w:rsidR="00C17DB5" w:rsidRPr="000E4076" w:rsidRDefault="00C17DB5" w:rsidP="000E4076">
            <w:pPr>
              <w:jc w:val="center"/>
              <w:rPr>
                <w:rFonts w:ascii="Verdana" w:eastAsia="Calibri" w:hAnsi="Verdana"/>
                <w:sz w:val="20"/>
                <w:szCs w:val="20"/>
              </w:rPr>
            </w:pPr>
            <w:r w:rsidRPr="000E4076">
              <w:rPr>
                <w:rFonts w:ascii="Verdana" w:eastAsia="Calibri" w:hAnsi="Verdana"/>
                <w:sz w:val="20"/>
                <w:szCs w:val="20"/>
              </w:rPr>
              <w:t>32.1</w:t>
            </w:r>
          </w:p>
        </w:tc>
      </w:tr>
      <w:tr w:rsidR="00C17DB5" w:rsidRPr="000E4076" w:rsidTr="00026F8F">
        <w:trPr>
          <w:jc w:val="center"/>
        </w:trPr>
        <w:tc>
          <w:tcPr>
            <w:tcW w:w="1838" w:type="dxa"/>
          </w:tcPr>
          <w:p w:rsidR="00C17DB5" w:rsidRPr="000E4076" w:rsidRDefault="00C17DB5" w:rsidP="000E4076">
            <w:pPr>
              <w:jc w:val="center"/>
              <w:rPr>
                <w:rFonts w:ascii="Verdana" w:eastAsia="Calibri" w:hAnsi="Verdana"/>
                <w:sz w:val="20"/>
                <w:szCs w:val="20"/>
              </w:rPr>
            </w:pPr>
            <w:r w:rsidRPr="000E4076">
              <w:rPr>
                <w:rFonts w:ascii="Verdana" w:eastAsia="Calibri" w:hAnsi="Verdana"/>
                <w:sz w:val="20"/>
                <w:szCs w:val="20"/>
              </w:rPr>
              <w:t>Total</w:t>
            </w:r>
          </w:p>
        </w:tc>
        <w:tc>
          <w:tcPr>
            <w:tcW w:w="1418" w:type="dxa"/>
          </w:tcPr>
          <w:p w:rsidR="00C17DB5" w:rsidRPr="000E4076" w:rsidRDefault="00C17DB5" w:rsidP="000E4076">
            <w:pPr>
              <w:jc w:val="center"/>
              <w:rPr>
                <w:rFonts w:ascii="Verdana" w:eastAsia="Calibri" w:hAnsi="Verdana"/>
                <w:sz w:val="20"/>
                <w:szCs w:val="20"/>
              </w:rPr>
            </w:pPr>
          </w:p>
        </w:tc>
        <w:tc>
          <w:tcPr>
            <w:tcW w:w="1701" w:type="dxa"/>
          </w:tcPr>
          <w:p w:rsidR="00C17DB5" w:rsidRDefault="00C17DB5" w:rsidP="006B697E">
            <w:pPr>
              <w:jc w:val="center"/>
              <w:rPr>
                <w:rFonts w:ascii="Verdana" w:eastAsia="Calibri" w:hAnsi="Verdana"/>
                <w:sz w:val="20"/>
                <w:szCs w:val="20"/>
              </w:rPr>
            </w:pPr>
          </w:p>
          <w:p w:rsidR="00A9560E" w:rsidRPr="000E4076" w:rsidRDefault="00A9560E" w:rsidP="006B697E">
            <w:pPr>
              <w:jc w:val="center"/>
              <w:rPr>
                <w:rFonts w:ascii="Verdana" w:eastAsia="Calibri" w:hAnsi="Verdana"/>
                <w:sz w:val="20"/>
                <w:szCs w:val="20"/>
              </w:rPr>
            </w:pPr>
            <w:r>
              <w:rPr>
                <w:rFonts w:ascii="Verdana" w:eastAsia="Calibri" w:hAnsi="Verdana"/>
                <w:sz w:val="20"/>
                <w:szCs w:val="20"/>
              </w:rPr>
              <w:t>-</w:t>
            </w:r>
          </w:p>
        </w:tc>
        <w:tc>
          <w:tcPr>
            <w:tcW w:w="1842" w:type="dxa"/>
          </w:tcPr>
          <w:p w:rsidR="00C17DB5" w:rsidRPr="000E4076" w:rsidRDefault="00C17DB5" w:rsidP="006B697E">
            <w:pPr>
              <w:jc w:val="center"/>
              <w:rPr>
                <w:rFonts w:ascii="Verdana" w:eastAsia="Calibri" w:hAnsi="Verdana"/>
                <w:sz w:val="20"/>
                <w:szCs w:val="20"/>
              </w:rPr>
            </w:pPr>
            <w:r w:rsidRPr="000E4076">
              <w:rPr>
                <w:rFonts w:ascii="Verdana" w:eastAsia="Calibri" w:hAnsi="Verdana"/>
                <w:sz w:val="20"/>
                <w:szCs w:val="20"/>
              </w:rPr>
              <w:t>48</w:t>
            </w:r>
            <w:r w:rsidR="006B697E">
              <w:rPr>
                <w:rFonts w:ascii="Verdana" w:eastAsia="Calibri" w:hAnsi="Verdana"/>
                <w:sz w:val="20"/>
                <w:szCs w:val="20"/>
              </w:rPr>
              <w:t>4</w:t>
            </w:r>
            <w:r w:rsidRPr="000E4076">
              <w:rPr>
                <w:rFonts w:ascii="Verdana" w:eastAsia="Calibri" w:hAnsi="Verdana"/>
                <w:sz w:val="20"/>
                <w:szCs w:val="20"/>
              </w:rPr>
              <w:t>m</w:t>
            </w:r>
          </w:p>
        </w:tc>
        <w:tc>
          <w:tcPr>
            <w:tcW w:w="2127" w:type="dxa"/>
          </w:tcPr>
          <w:p w:rsidR="00C17DB5" w:rsidRPr="000E4076" w:rsidRDefault="00C17DB5" w:rsidP="000E4076">
            <w:pPr>
              <w:jc w:val="center"/>
              <w:rPr>
                <w:rFonts w:ascii="Verdana" w:eastAsia="Calibri" w:hAnsi="Verdana"/>
                <w:sz w:val="20"/>
                <w:szCs w:val="20"/>
              </w:rPr>
            </w:pPr>
            <w:r w:rsidRPr="000E4076">
              <w:rPr>
                <w:rFonts w:ascii="Verdana" w:eastAsia="Calibri" w:hAnsi="Verdana"/>
                <w:sz w:val="20"/>
                <w:szCs w:val="20"/>
              </w:rPr>
              <w:t>100%</w:t>
            </w:r>
          </w:p>
        </w:tc>
      </w:tr>
    </w:tbl>
    <w:p w:rsidR="00C17DB5" w:rsidRPr="004F5F2B" w:rsidRDefault="00C17DB5" w:rsidP="00C17DB5">
      <w:pPr>
        <w:jc w:val="both"/>
        <w:rPr>
          <w:rFonts w:ascii="Verdana" w:eastAsia="Calibri" w:hAnsi="Verdana"/>
          <w:sz w:val="20"/>
          <w:szCs w:val="20"/>
        </w:rPr>
      </w:pPr>
    </w:p>
    <w:p w:rsidR="000B06AD" w:rsidRDefault="000B06AD" w:rsidP="00C17DB5">
      <w:pPr>
        <w:jc w:val="both"/>
        <w:rPr>
          <w:rFonts w:ascii="Verdana" w:eastAsia="Calibri" w:hAnsi="Verdana"/>
          <w:sz w:val="22"/>
          <w:szCs w:val="22"/>
        </w:rPr>
      </w:pPr>
    </w:p>
    <w:p w:rsidR="00C17DB5" w:rsidRPr="000E4076" w:rsidRDefault="00C17DB5" w:rsidP="00C17DB5">
      <w:pPr>
        <w:jc w:val="both"/>
        <w:rPr>
          <w:rFonts w:ascii="Verdana" w:eastAsia="Calibri" w:hAnsi="Verdana"/>
          <w:sz w:val="22"/>
          <w:szCs w:val="22"/>
        </w:rPr>
      </w:pPr>
      <w:r w:rsidRPr="000E4076">
        <w:rPr>
          <w:rFonts w:ascii="Verdana" w:eastAsia="Calibri" w:hAnsi="Verdana"/>
          <w:sz w:val="22"/>
          <w:szCs w:val="22"/>
        </w:rPr>
        <w:t>Figure 1 below shows in map form the polycentric nature of the continent’s urban system.</w:t>
      </w:r>
    </w:p>
    <w:p w:rsidR="00C17DB5" w:rsidRPr="004F5F2B" w:rsidRDefault="00C17DB5" w:rsidP="00C17DB5">
      <w:pPr>
        <w:jc w:val="both"/>
        <w:rPr>
          <w:rFonts w:ascii="Verdana" w:eastAsia="Calibri" w:hAnsi="Verdana"/>
          <w:sz w:val="20"/>
          <w:szCs w:val="20"/>
        </w:rPr>
      </w:pPr>
    </w:p>
    <w:p w:rsidR="00C17DB5" w:rsidRPr="00A30018" w:rsidRDefault="00C17DB5" w:rsidP="00C17DB5">
      <w:pPr>
        <w:pStyle w:val="Legenda"/>
        <w:keepNext/>
        <w:jc w:val="both"/>
        <w:rPr>
          <w:rFonts w:ascii="Verdana" w:hAnsi="Verdana"/>
          <w:sz w:val="22"/>
          <w:szCs w:val="22"/>
        </w:rPr>
      </w:pPr>
      <w:r w:rsidRPr="00A30018">
        <w:rPr>
          <w:rFonts w:ascii="Verdana" w:hAnsi="Verdana"/>
          <w:sz w:val="22"/>
          <w:szCs w:val="22"/>
        </w:rPr>
        <w:t xml:space="preserve">Figure </w:t>
      </w:r>
      <w:r w:rsidR="00565EF9" w:rsidRPr="00A30018">
        <w:rPr>
          <w:rFonts w:ascii="Verdana" w:hAnsi="Verdana"/>
          <w:sz w:val="22"/>
          <w:szCs w:val="22"/>
        </w:rPr>
        <w:fldChar w:fldCharType="begin"/>
      </w:r>
      <w:r w:rsidRPr="00A30018">
        <w:rPr>
          <w:rFonts w:ascii="Verdana" w:hAnsi="Verdana"/>
          <w:sz w:val="22"/>
          <w:szCs w:val="22"/>
        </w:rPr>
        <w:instrText xml:space="preserve"> </w:instrText>
      </w:r>
      <w:r w:rsidR="00E465D9" w:rsidRPr="00A30018">
        <w:rPr>
          <w:rFonts w:ascii="Verdana" w:hAnsi="Verdana"/>
          <w:sz w:val="22"/>
          <w:szCs w:val="22"/>
        </w:rPr>
        <w:instrText>SEQ</w:instrText>
      </w:r>
      <w:r w:rsidRPr="00A30018">
        <w:rPr>
          <w:rFonts w:ascii="Verdana" w:hAnsi="Verdana"/>
          <w:sz w:val="22"/>
          <w:szCs w:val="22"/>
        </w:rPr>
        <w:instrText xml:space="preserve"> Figure \* ARABIC </w:instrText>
      </w:r>
      <w:r w:rsidR="00565EF9" w:rsidRPr="00A30018">
        <w:rPr>
          <w:rFonts w:ascii="Verdana" w:hAnsi="Verdana"/>
          <w:sz w:val="22"/>
          <w:szCs w:val="22"/>
        </w:rPr>
        <w:fldChar w:fldCharType="separate"/>
      </w:r>
      <w:r w:rsidR="00E00F86">
        <w:rPr>
          <w:rFonts w:ascii="Verdana" w:hAnsi="Verdana"/>
          <w:noProof/>
          <w:sz w:val="22"/>
          <w:szCs w:val="22"/>
        </w:rPr>
        <w:t>1</w:t>
      </w:r>
      <w:r w:rsidR="00565EF9" w:rsidRPr="00A30018">
        <w:rPr>
          <w:rFonts w:ascii="Verdana" w:hAnsi="Verdana"/>
          <w:sz w:val="22"/>
          <w:szCs w:val="22"/>
        </w:rPr>
        <w:fldChar w:fldCharType="end"/>
      </w:r>
      <w:r w:rsidRPr="00A30018">
        <w:rPr>
          <w:rFonts w:ascii="Verdana" w:hAnsi="Verdana"/>
          <w:sz w:val="22"/>
          <w:szCs w:val="22"/>
        </w:rPr>
        <w:t>: Typology of European functional Urban Areas</w:t>
      </w:r>
      <w:r w:rsidR="006B697E">
        <w:rPr>
          <w:rStyle w:val="Odwoanieprzypisudolnego"/>
          <w:rFonts w:ascii="Verdana" w:hAnsi="Verdana"/>
          <w:sz w:val="22"/>
          <w:szCs w:val="22"/>
        </w:rPr>
        <w:footnoteReference w:id="9"/>
      </w:r>
      <w:r w:rsidRPr="00A30018">
        <w:rPr>
          <w:rFonts w:ascii="Verdana" w:hAnsi="Verdana"/>
          <w:sz w:val="22"/>
          <w:szCs w:val="22"/>
        </w:rPr>
        <w:t xml:space="preserve"> </w:t>
      </w:r>
    </w:p>
    <w:p w:rsidR="00C17DB5" w:rsidRPr="004F5F2B" w:rsidRDefault="00EF40E4" w:rsidP="00C17DB5">
      <w:pPr>
        <w:autoSpaceDE w:val="0"/>
        <w:autoSpaceDN w:val="0"/>
        <w:adjustRightInd w:val="0"/>
        <w:spacing w:after="2"/>
        <w:jc w:val="both"/>
        <w:rPr>
          <w:rFonts w:ascii="Verdana" w:hAnsi="Verdana"/>
          <w:sz w:val="20"/>
          <w:szCs w:val="20"/>
        </w:rPr>
      </w:pPr>
      <w:r w:rsidRPr="004F5F2B">
        <w:rPr>
          <w:noProof/>
          <w:lang w:val="pl-PL" w:eastAsia="pl-PL"/>
        </w:rPr>
        <w:drawing>
          <wp:inline distT="0" distB="0" distL="0" distR="0" wp14:anchorId="7FE0EEEF" wp14:editId="733B3EDB">
            <wp:extent cx="5757545" cy="7114540"/>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cstate="print"/>
                    <a:srcRect/>
                    <a:stretch>
                      <a:fillRect/>
                    </a:stretch>
                  </pic:blipFill>
                  <pic:spPr bwMode="auto">
                    <a:xfrm>
                      <a:off x="0" y="0"/>
                      <a:ext cx="5757545" cy="7114540"/>
                    </a:xfrm>
                    <a:prstGeom prst="rect">
                      <a:avLst/>
                    </a:prstGeom>
                    <a:noFill/>
                    <a:ln w="9525">
                      <a:noFill/>
                      <a:miter lim="800000"/>
                      <a:headEnd/>
                      <a:tailEnd/>
                    </a:ln>
                  </pic:spPr>
                </pic:pic>
              </a:graphicData>
            </a:graphic>
          </wp:inline>
        </w:drawing>
      </w:r>
    </w:p>
    <w:p w:rsidR="00C17DB5" w:rsidRPr="004F5F2B" w:rsidRDefault="00C17DB5" w:rsidP="00C17DB5">
      <w:pPr>
        <w:autoSpaceDE w:val="0"/>
        <w:autoSpaceDN w:val="0"/>
        <w:adjustRightInd w:val="0"/>
        <w:spacing w:after="2"/>
        <w:jc w:val="both"/>
        <w:rPr>
          <w:rFonts w:ascii="Verdana" w:hAnsi="Verdana"/>
          <w:sz w:val="20"/>
          <w:szCs w:val="20"/>
        </w:rPr>
      </w:pPr>
    </w:p>
    <w:p w:rsidR="00C17DB5" w:rsidRPr="004F5F2B" w:rsidRDefault="00C17DB5" w:rsidP="00C17DB5">
      <w:pPr>
        <w:autoSpaceDE w:val="0"/>
        <w:autoSpaceDN w:val="0"/>
        <w:adjustRightInd w:val="0"/>
        <w:spacing w:after="2"/>
        <w:jc w:val="both"/>
        <w:rPr>
          <w:rFonts w:ascii="Verdana" w:hAnsi="Verdana"/>
          <w:sz w:val="20"/>
          <w:szCs w:val="20"/>
        </w:rPr>
      </w:pPr>
    </w:p>
    <w:p w:rsidR="00C17DB5" w:rsidRPr="004F5F2B" w:rsidRDefault="00C17DB5" w:rsidP="00C17DB5">
      <w:pPr>
        <w:pStyle w:val="Nagwek4"/>
      </w:pPr>
    </w:p>
    <w:p w:rsidR="00276D3A" w:rsidRPr="004F5F2B" w:rsidRDefault="00276D3A">
      <w:pPr>
        <w:spacing w:after="200" w:line="276" w:lineRule="auto"/>
        <w:rPr>
          <w:rFonts w:ascii="Verdana" w:eastAsia="Calibri" w:hAnsi="Verdana"/>
          <w:b/>
          <w:sz w:val="20"/>
          <w:szCs w:val="20"/>
          <w:lang w:eastAsia="en-US"/>
        </w:rPr>
      </w:pPr>
      <w:r w:rsidRPr="004F5F2B">
        <w:br w:type="page"/>
      </w:r>
    </w:p>
    <w:p w:rsidR="00C17DB5" w:rsidRPr="000E4076" w:rsidRDefault="00C17DB5" w:rsidP="00A30018">
      <w:pPr>
        <w:pStyle w:val="Nagwek4"/>
        <w:spacing w:after="120"/>
        <w:rPr>
          <w:sz w:val="22"/>
          <w:szCs w:val="22"/>
        </w:rPr>
      </w:pPr>
      <w:r w:rsidRPr="000E4076">
        <w:rPr>
          <w:sz w:val="22"/>
          <w:szCs w:val="22"/>
        </w:rPr>
        <w:t>Functio</w:t>
      </w:r>
      <w:r w:rsidR="00A30018">
        <w:rPr>
          <w:sz w:val="22"/>
          <w:szCs w:val="22"/>
        </w:rPr>
        <w:t>nal versus administrative areas</w:t>
      </w:r>
    </w:p>
    <w:p w:rsidR="00C17DB5" w:rsidRPr="000E4076" w:rsidRDefault="00C17DB5" w:rsidP="00A30018">
      <w:pPr>
        <w:autoSpaceDE w:val="0"/>
        <w:autoSpaceDN w:val="0"/>
        <w:adjustRightInd w:val="0"/>
        <w:spacing w:after="120" w:line="276" w:lineRule="auto"/>
        <w:jc w:val="both"/>
        <w:rPr>
          <w:rFonts w:ascii="Verdana" w:hAnsi="Verdana"/>
          <w:sz w:val="22"/>
          <w:szCs w:val="22"/>
        </w:rPr>
      </w:pPr>
      <w:r w:rsidRPr="000E4076">
        <w:rPr>
          <w:rFonts w:ascii="Verdana" w:hAnsi="Verdana"/>
          <w:sz w:val="22"/>
          <w:szCs w:val="22"/>
        </w:rPr>
        <w:t>The functional city corresponds to territorial or socio-economic realities</w:t>
      </w:r>
      <w:r w:rsidR="00194481" w:rsidRPr="000E4076">
        <w:rPr>
          <w:rFonts w:ascii="Verdana" w:hAnsi="Verdana"/>
          <w:sz w:val="22"/>
          <w:szCs w:val="22"/>
        </w:rPr>
        <w:t xml:space="preserve"> </w:t>
      </w:r>
      <w:r w:rsidRPr="000E4076">
        <w:rPr>
          <w:rFonts w:ascii="Verdana" w:hAnsi="Verdana"/>
          <w:sz w:val="22"/>
          <w:szCs w:val="22"/>
        </w:rPr>
        <w:t>which rarely correspond with the administrative city. Most European city regions are fragmented and comprise many municipalities with complex relationships between them. This raises many issues related for example to the strengthening of urban-rural linkages within an urban area.</w:t>
      </w:r>
    </w:p>
    <w:p w:rsidR="00C17DB5" w:rsidRPr="000E4076" w:rsidRDefault="00721521" w:rsidP="00A30018">
      <w:pPr>
        <w:autoSpaceDE w:val="0"/>
        <w:autoSpaceDN w:val="0"/>
        <w:adjustRightInd w:val="0"/>
        <w:spacing w:after="120" w:line="276" w:lineRule="auto"/>
        <w:jc w:val="both"/>
        <w:rPr>
          <w:rFonts w:ascii="Verdana" w:hAnsi="Verdana"/>
          <w:sz w:val="22"/>
          <w:szCs w:val="22"/>
        </w:rPr>
      </w:pPr>
      <w:r w:rsidRPr="000E4076">
        <w:rPr>
          <w:rFonts w:ascii="Verdana" w:hAnsi="Verdana"/>
          <w:sz w:val="22"/>
          <w:szCs w:val="22"/>
        </w:rPr>
        <w:t>Figure</w:t>
      </w:r>
      <w:r w:rsidR="00C17DB5" w:rsidRPr="000E4076">
        <w:rPr>
          <w:rFonts w:ascii="Verdana" w:hAnsi="Verdana"/>
          <w:sz w:val="22"/>
          <w:szCs w:val="22"/>
        </w:rPr>
        <w:t xml:space="preserve"> 2 below illustrates the problem in 18 large European cities for which comparable data is available. The Morphological Urban Area (MUA) depicts the continuity of the built-up space with a defined level of density.  A Functional Urban Area (FUA) can be described by its labour market basin and by the mobility pattern of commuters, and includes the wider urban system of nearby towns and villages that are economically and socially dependent on an urban centre.  The ratio of the population of the FUA to administrative area varies from just over 1 in Bucharest, Berlin and Rome to over 5 in Paris, Katowice, Manchester, Liverpool and Lisbon with Lille close behind. Managing urban systems at lower levels is difficult for tax, transport, the economy, social inclusion and the environment.  </w:t>
      </w:r>
    </w:p>
    <w:p w:rsidR="00C17DB5" w:rsidRPr="000E4076" w:rsidRDefault="00721521" w:rsidP="00A30018">
      <w:pPr>
        <w:spacing w:after="120" w:line="276" w:lineRule="auto"/>
        <w:jc w:val="both"/>
        <w:rPr>
          <w:rFonts w:ascii="Verdana" w:hAnsi="Verdana"/>
          <w:i/>
          <w:iCs/>
          <w:sz w:val="22"/>
          <w:szCs w:val="22"/>
        </w:rPr>
      </w:pPr>
      <w:r w:rsidRPr="000E4076">
        <w:rPr>
          <w:rFonts w:ascii="Verdana" w:hAnsi="Verdana"/>
          <w:i/>
          <w:iCs/>
          <w:sz w:val="22"/>
          <w:szCs w:val="22"/>
        </w:rPr>
        <w:t>Figure</w:t>
      </w:r>
      <w:r w:rsidR="00C17DB5" w:rsidRPr="000E4076">
        <w:rPr>
          <w:rFonts w:ascii="Verdana" w:hAnsi="Verdana"/>
          <w:i/>
          <w:iCs/>
          <w:sz w:val="22"/>
          <w:szCs w:val="22"/>
        </w:rPr>
        <w:t xml:space="preserve"> </w:t>
      </w:r>
      <w:r w:rsidR="00565EF9" w:rsidRPr="000E4076">
        <w:rPr>
          <w:rFonts w:ascii="Verdana" w:hAnsi="Verdana"/>
          <w:i/>
          <w:iCs/>
          <w:sz w:val="22"/>
          <w:szCs w:val="22"/>
        </w:rPr>
        <w:fldChar w:fldCharType="begin"/>
      </w:r>
      <w:r w:rsidR="00C17DB5" w:rsidRPr="000E4076">
        <w:rPr>
          <w:rFonts w:ascii="Verdana" w:hAnsi="Verdana"/>
          <w:i/>
          <w:iCs/>
          <w:sz w:val="22"/>
          <w:szCs w:val="22"/>
        </w:rPr>
        <w:instrText xml:space="preserve"> </w:instrText>
      </w:r>
      <w:r w:rsidR="00E465D9" w:rsidRPr="000E4076">
        <w:rPr>
          <w:rFonts w:ascii="Verdana" w:hAnsi="Verdana"/>
          <w:i/>
          <w:iCs/>
          <w:sz w:val="22"/>
          <w:szCs w:val="22"/>
        </w:rPr>
        <w:instrText>SEQ</w:instrText>
      </w:r>
      <w:r w:rsidR="00C17DB5" w:rsidRPr="000E4076">
        <w:rPr>
          <w:rFonts w:ascii="Verdana" w:hAnsi="Verdana"/>
          <w:i/>
          <w:iCs/>
          <w:sz w:val="22"/>
          <w:szCs w:val="22"/>
        </w:rPr>
        <w:instrText xml:space="preserve"> Table \* ARABIC </w:instrText>
      </w:r>
      <w:r w:rsidR="00565EF9" w:rsidRPr="000E4076">
        <w:rPr>
          <w:rFonts w:ascii="Verdana" w:hAnsi="Verdana"/>
          <w:i/>
          <w:iCs/>
          <w:sz w:val="22"/>
          <w:szCs w:val="22"/>
        </w:rPr>
        <w:fldChar w:fldCharType="separate"/>
      </w:r>
      <w:r w:rsidR="00E00F86">
        <w:rPr>
          <w:rFonts w:ascii="Verdana" w:hAnsi="Verdana"/>
          <w:i/>
          <w:iCs/>
          <w:noProof/>
          <w:sz w:val="22"/>
          <w:szCs w:val="22"/>
        </w:rPr>
        <w:t>2</w:t>
      </w:r>
      <w:r w:rsidR="00565EF9" w:rsidRPr="000E4076">
        <w:rPr>
          <w:rFonts w:ascii="Verdana" w:hAnsi="Verdana"/>
          <w:i/>
          <w:iCs/>
          <w:sz w:val="22"/>
          <w:szCs w:val="22"/>
        </w:rPr>
        <w:fldChar w:fldCharType="end"/>
      </w:r>
      <w:r w:rsidR="00C17DB5" w:rsidRPr="000E4076">
        <w:rPr>
          <w:rFonts w:ascii="Verdana" w:hAnsi="Verdana"/>
          <w:i/>
          <w:iCs/>
          <w:sz w:val="22"/>
          <w:szCs w:val="22"/>
        </w:rPr>
        <w:t>: European administrative, morphological and functional urban area ratios for 18 city regions</w:t>
      </w:r>
      <w:r w:rsidR="00C17DB5" w:rsidRPr="000E4076">
        <w:rPr>
          <w:rStyle w:val="Odwoanieprzypisudolnego"/>
          <w:rFonts w:ascii="Verdana" w:eastAsia="SimSun" w:hAnsi="Verdana"/>
          <w:i/>
          <w:iCs/>
          <w:sz w:val="22"/>
          <w:szCs w:val="22"/>
        </w:rPr>
        <w:footnoteReference w:id="10"/>
      </w:r>
      <w:r w:rsidR="00C17DB5" w:rsidRPr="000E4076">
        <w:rPr>
          <w:rFonts w:ascii="Verdana" w:hAnsi="Verdana"/>
          <w:i/>
          <w:iCs/>
          <w:sz w:val="22"/>
          <w:szCs w:val="22"/>
        </w:rPr>
        <w:t xml:space="preserve"> </w:t>
      </w:r>
    </w:p>
    <w:p w:rsidR="00C17DB5" w:rsidRPr="004F5F2B" w:rsidRDefault="00EF40E4" w:rsidP="00A72D85">
      <w:pPr>
        <w:jc w:val="center"/>
        <w:rPr>
          <w:rFonts w:ascii="Verdana" w:hAnsi="Verdana"/>
          <w:sz w:val="20"/>
          <w:szCs w:val="20"/>
        </w:rPr>
      </w:pPr>
      <w:r w:rsidRPr="004F5F2B">
        <w:rPr>
          <w:rFonts w:ascii="Verdana" w:hAnsi="Verdana"/>
          <w:noProof/>
          <w:sz w:val="20"/>
          <w:szCs w:val="20"/>
          <w:lang w:val="pl-PL" w:eastAsia="pl-PL"/>
        </w:rPr>
        <w:drawing>
          <wp:inline distT="0" distB="0" distL="0" distR="0" wp14:anchorId="42E75750" wp14:editId="400D665D">
            <wp:extent cx="4832985" cy="3617595"/>
            <wp:effectExtent l="19050" t="0" r="571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4832985" cy="3617595"/>
                    </a:xfrm>
                    <a:prstGeom prst="rect">
                      <a:avLst/>
                    </a:prstGeom>
                    <a:noFill/>
                    <a:ln w="9525">
                      <a:noFill/>
                      <a:miter lim="800000"/>
                      <a:headEnd/>
                      <a:tailEnd/>
                    </a:ln>
                  </pic:spPr>
                </pic:pic>
              </a:graphicData>
            </a:graphic>
          </wp:inline>
        </w:drawing>
      </w:r>
    </w:p>
    <w:p w:rsidR="00A72D85" w:rsidRDefault="00A72D85" w:rsidP="00A30018">
      <w:pPr>
        <w:pStyle w:val="Nagwek4"/>
        <w:spacing w:after="120"/>
        <w:rPr>
          <w:sz w:val="22"/>
          <w:szCs w:val="22"/>
        </w:rPr>
      </w:pPr>
    </w:p>
    <w:p w:rsidR="007210A0" w:rsidRDefault="007210A0">
      <w:pPr>
        <w:rPr>
          <w:rFonts w:ascii="Verdana" w:eastAsia="Calibri" w:hAnsi="Verdana"/>
          <w:b/>
          <w:sz w:val="22"/>
          <w:szCs w:val="22"/>
        </w:rPr>
      </w:pPr>
      <w:r>
        <w:rPr>
          <w:sz w:val="22"/>
          <w:szCs w:val="22"/>
        </w:rPr>
        <w:br w:type="page"/>
      </w:r>
    </w:p>
    <w:p w:rsidR="00C17DB5" w:rsidRPr="000E4076" w:rsidRDefault="00C17DB5" w:rsidP="00A30018">
      <w:pPr>
        <w:pStyle w:val="Nagwek4"/>
        <w:spacing w:after="120"/>
        <w:rPr>
          <w:sz w:val="22"/>
          <w:szCs w:val="22"/>
        </w:rPr>
      </w:pPr>
      <w:r w:rsidRPr="000E4076">
        <w:rPr>
          <w:sz w:val="22"/>
          <w:szCs w:val="22"/>
        </w:rPr>
        <w:t>The thematic challenges of cities</w:t>
      </w:r>
    </w:p>
    <w:p w:rsidR="00C17DB5" w:rsidRPr="000E4076" w:rsidRDefault="00C17DB5" w:rsidP="00A30018">
      <w:pPr>
        <w:autoSpaceDE w:val="0"/>
        <w:autoSpaceDN w:val="0"/>
        <w:adjustRightInd w:val="0"/>
        <w:spacing w:after="120" w:line="276" w:lineRule="auto"/>
        <w:jc w:val="both"/>
        <w:rPr>
          <w:rFonts w:ascii="Verdana" w:hAnsi="Verdana"/>
          <w:sz w:val="22"/>
          <w:szCs w:val="22"/>
        </w:rPr>
      </w:pPr>
      <w:r w:rsidRPr="000E4076">
        <w:rPr>
          <w:rFonts w:ascii="Verdana" w:hAnsi="Verdana"/>
          <w:sz w:val="22"/>
          <w:szCs w:val="22"/>
        </w:rPr>
        <w:t xml:space="preserve">URBACT III will set out to </w:t>
      </w:r>
      <w:r w:rsidR="00F239EE" w:rsidRPr="000E4076">
        <w:rPr>
          <w:rFonts w:ascii="Verdana" w:hAnsi="Verdana"/>
          <w:sz w:val="22"/>
          <w:szCs w:val="22"/>
        </w:rPr>
        <w:t xml:space="preserve">build the capacity of urban authorities </w:t>
      </w:r>
      <w:r w:rsidRPr="000E4076">
        <w:rPr>
          <w:rFonts w:ascii="Verdana" w:hAnsi="Verdana"/>
          <w:sz w:val="22"/>
          <w:szCs w:val="22"/>
        </w:rPr>
        <w:t>tackl</w:t>
      </w:r>
      <w:r w:rsidR="00DA75CF" w:rsidRPr="000E4076">
        <w:rPr>
          <w:rFonts w:ascii="Verdana" w:hAnsi="Verdana"/>
          <w:sz w:val="22"/>
          <w:szCs w:val="22"/>
        </w:rPr>
        <w:t>ing</w:t>
      </w:r>
      <w:r w:rsidRPr="000E4076">
        <w:rPr>
          <w:rFonts w:ascii="Verdana" w:hAnsi="Verdana"/>
          <w:sz w:val="22"/>
          <w:szCs w:val="22"/>
        </w:rPr>
        <w:t xml:space="preserve"> key challenges that are facing European cities by undertaking actions and activities to achieve results. Cities are key generators of national growth within Member States but they are also the place where the highest unemployment rates can be found. Many cities face a widening of inequalities as well as an increase in exclusion and segregation.  Cities are also both producers of many carbon emissions, for example, through housing, industry and transport.  Yet they are also the place in which efforts take place to drive forward carbon reduction, through new technologies and service innovation.</w:t>
      </w:r>
    </w:p>
    <w:p w:rsidR="00C17DB5" w:rsidRPr="000E4076" w:rsidRDefault="00C17DB5" w:rsidP="00A30018">
      <w:pPr>
        <w:spacing w:after="120" w:line="276" w:lineRule="auto"/>
        <w:jc w:val="both"/>
        <w:rPr>
          <w:rFonts w:ascii="Verdana" w:hAnsi="Verdana"/>
          <w:color w:val="000000"/>
          <w:sz w:val="22"/>
          <w:szCs w:val="22"/>
        </w:rPr>
      </w:pPr>
      <w:r w:rsidRPr="000E4076">
        <w:rPr>
          <w:rFonts w:ascii="Verdana" w:hAnsi="Verdana"/>
          <w:color w:val="000000"/>
          <w:sz w:val="22"/>
          <w:szCs w:val="22"/>
        </w:rPr>
        <w:t>The global economic and financial crisis has had a significant impact on Europe’s cities. An URBACT survey in 2010 reported that 80% were experiencing severe impacts</w:t>
      </w:r>
      <w:r w:rsidRPr="000E4076">
        <w:rPr>
          <w:rStyle w:val="Odwoanieprzypisudolnego"/>
          <w:rFonts w:ascii="Verdana" w:eastAsia="SimSun" w:hAnsi="Verdana"/>
          <w:sz w:val="22"/>
          <w:szCs w:val="22"/>
        </w:rPr>
        <w:footnoteReference w:id="11"/>
      </w:r>
      <w:r w:rsidR="00A30018">
        <w:rPr>
          <w:rFonts w:ascii="Verdana" w:hAnsi="Verdana"/>
          <w:color w:val="000000"/>
          <w:sz w:val="22"/>
          <w:szCs w:val="22"/>
        </w:rPr>
        <w:t>.</w:t>
      </w:r>
    </w:p>
    <w:p w:rsidR="00C17DB5" w:rsidRPr="000E4076" w:rsidRDefault="00C17DB5" w:rsidP="00A30018">
      <w:pPr>
        <w:spacing w:after="120" w:line="276" w:lineRule="auto"/>
        <w:jc w:val="both"/>
        <w:rPr>
          <w:rFonts w:ascii="Verdana" w:hAnsi="Verdana"/>
          <w:color w:val="000000"/>
          <w:sz w:val="22"/>
          <w:szCs w:val="22"/>
        </w:rPr>
      </w:pPr>
      <w:r w:rsidRPr="000E4076">
        <w:rPr>
          <w:rFonts w:ascii="Verdana" w:hAnsi="Verdana"/>
          <w:color w:val="000000"/>
          <w:sz w:val="22"/>
          <w:szCs w:val="22"/>
        </w:rPr>
        <w:t>Whereas prior to 2007 only 4 capital cities had unemployment rates higher than 8% by 2009 there were 11.  Among noncapital cities, the number with unemployment levels higher than 10% rose significantly between 2007 and 2009</w:t>
      </w:r>
      <w:r w:rsidRPr="000E4076">
        <w:rPr>
          <w:rStyle w:val="Odwoanieprzypisudolnego"/>
          <w:rFonts w:ascii="Verdana" w:eastAsia="SimSun" w:hAnsi="Verdana"/>
          <w:sz w:val="22"/>
          <w:szCs w:val="22"/>
        </w:rPr>
        <w:footnoteReference w:id="12"/>
      </w:r>
      <w:r w:rsidRPr="000E4076">
        <w:rPr>
          <w:rFonts w:ascii="Verdana" w:hAnsi="Verdana"/>
          <w:color w:val="000000"/>
          <w:sz w:val="22"/>
          <w:szCs w:val="22"/>
        </w:rPr>
        <w:t xml:space="preserve">.  Many cities now face austerity measures to meet debt reduction targets of national governments. Cities also face declining tax incomes from citizens with lower income and from firms that are struggling to survive.  </w:t>
      </w:r>
    </w:p>
    <w:p w:rsidR="00C17DB5" w:rsidRPr="000E4076" w:rsidRDefault="00C17DB5" w:rsidP="00A30018">
      <w:pPr>
        <w:spacing w:after="120" w:line="276" w:lineRule="auto"/>
        <w:jc w:val="both"/>
        <w:rPr>
          <w:rFonts w:ascii="Verdana" w:hAnsi="Verdana"/>
          <w:color w:val="414042"/>
          <w:sz w:val="22"/>
          <w:szCs w:val="22"/>
        </w:rPr>
      </w:pPr>
      <w:r w:rsidRPr="000E4076">
        <w:rPr>
          <w:rFonts w:ascii="Verdana" w:hAnsi="Verdana"/>
          <w:color w:val="000000"/>
          <w:sz w:val="22"/>
          <w:szCs w:val="22"/>
        </w:rPr>
        <w:t>Between 1950 and 2009, the European urban population grew by 90%</w:t>
      </w:r>
      <w:r w:rsidRPr="000E4076">
        <w:rPr>
          <w:rStyle w:val="Odwoanieprzypisudolnego"/>
          <w:rFonts w:ascii="Verdana" w:eastAsia="SimSun" w:hAnsi="Verdana"/>
          <w:sz w:val="22"/>
          <w:szCs w:val="22"/>
        </w:rPr>
        <w:footnoteReference w:id="13"/>
      </w:r>
      <w:r w:rsidRPr="000E4076">
        <w:rPr>
          <w:rFonts w:ascii="Verdana" w:hAnsi="Verdana"/>
          <w:color w:val="000000"/>
          <w:sz w:val="22"/>
          <w:szCs w:val="22"/>
        </w:rPr>
        <w:t xml:space="preserve">. While </w:t>
      </w:r>
      <w:r w:rsidRPr="000E4076">
        <w:rPr>
          <w:rFonts w:ascii="Verdana" w:hAnsi="Verdana"/>
          <w:sz w:val="22"/>
          <w:szCs w:val="22"/>
        </w:rPr>
        <w:t>European urbanisation is increasing, according to the recent report by URBACT the population of 40% of European cities is shrinking especially in Germany, Central and Eastern Europe and in remote regions.</w:t>
      </w:r>
      <w:r w:rsidRPr="000E4076">
        <w:rPr>
          <w:rFonts w:ascii="Verdana" w:hAnsi="Verdana"/>
          <w:sz w:val="22"/>
          <w:szCs w:val="22"/>
          <w:vertAlign w:val="superscript"/>
        </w:rPr>
        <w:footnoteReference w:id="14"/>
      </w:r>
      <w:r w:rsidRPr="000E4076">
        <w:rPr>
          <w:rFonts w:ascii="Verdana" w:hAnsi="Verdana"/>
          <w:sz w:val="22"/>
          <w:szCs w:val="22"/>
          <w:vertAlign w:val="superscript"/>
        </w:rPr>
        <w:t xml:space="preserve"> </w:t>
      </w:r>
      <w:r w:rsidRPr="000E4076">
        <w:rPr>
          <w:rFonts w:ascii="Verdana" w:hAnsi="Verdana"/>
          <w:sz w:val="22"/>
          <w:szCs w:val="22"/>
        </w:rPr>
        <w:t>This apparent paradox is driven by a combination of factors including low birth rates, migration often caused by economic decline but also in many countries migration from the core city to surrounding municipalities and suburbs. Over the long term demographic change will have a major impact on European cities with an increase of elderly people.  There will be a dramatic increase of very old people: those aged 80 or more will represent more than 10% of the population in many cities by 2050.</w:t>
      </w:r>
    </w:p>
    <w:p w:rsidR="00C17DB5" w:rsidRPr="000E4076" w:rsidRDefault="00EF40E4" w:rsidP="00A30018">
      <w:pPr>
        <w:spacing w:after="120" w:line="276" w:lineRule="auto"/>
        <w:jc w:val="both"/>
        <w:rPr>
          <w:rFonts w:ascii="Verdana" w:hAnsi="Verdana"/>
          <w:bCs/>
          <w:sz w:val="22"/>
          <w:szCs w:val="22"/>
        </w:rPr>
      </w:pPr>
      <w:r w:rsidRPr="000E4076">
        <w:rPr>
          <w:rFonts w:ascii="Verdana" w:hAnsi="Verdana"/>
          <w:noProof/>
          <w:sz w:val="22"/>
          <w:szCs w:val="22"/>
          <w:lang w:val="pl-PL" w:eastAsia="pl-PL"/>
        </w:rPr>
        <w:drawing>
          <wp:inline distT="0" distB="0" distL="0" distR="0" wp14:anchorId="5D1CD081" wp14:editId="3577D315">
            <wp:extent cx="10160" cy="191135"/>
            <wp:effectExtent l="0" t="0" r="0" b="0"/>
            <wp:docPr id="5" name="Image 6" descr="http://www.berlin-institut.org/cle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www.berlin-institut.org/clear.gif"/>
                    <pic:cNvPicPr>
                      <a:picLocks noChangeAspect="1" noChangeArrowheads="1"/>
                    </pic:cNvPicPr>
                  </pic:nvPicPr>
                  <pic:blipFill>
                    <a:blip r:embed="rId26"/>
                    <a:srcRect/>
                    <a:stretch>
                      <a:fillRect/>
                    </a:stretch>
                  </pic:blipFill>
                  <pic:spPr bwMode="auto">
                    <a:xfrm>
                      <a:off x="0" y="0"/>
                      <a:ext cx="10160" cy="191135"/>
                    </a:xfrm>
                    <a:prstGeom prst="rect">
                      <a:avLst/>
                    </a:prstGeom>
                    <a:noFill/>
                    <a:ln w="9525">
                      <a:noFill/>
                      <a:miter lim="800000"/>
                      <a:headEnd/>
                      <a:tailEnd/>
                    </a:ln>
                  </pic:spPr>
                </pic:pic>
              </a:graphicData>
            </a:graphic>
          </wp:inline>
        </w:drawing>
      </w:r>
      <w:r w:rsidR="00C17DB5" w:rsidRPr="000E4076">
        <w:rPr>
          <w:rFonts w:ascii="Verdana" w:hAnsi="Verdana"/>
          <w:sz w:val="22"/>
          <w:szCs w:val="22"/>
        </w:rPr>
        <w:t>Studies</w:t>
      </w:r>
      <w:r w:rsidR="00C17DB5" w:rsidRPr="000E4076">
        <w:rPr>
          <w:rStyle w:val="Odwoanieprzypisudolnego"/>
          <w:rFonts w:ascii="Verdana" w:eastAsia="SimSun" w:hAnsi="Verdana"/>
          <w:sz w:val="22"/>
          <w:szCs w:val="22"/>
        </w:rPr>
        <w:footnoteReference w:id="15"/>
      </w:r>
      <w:r w:rsidR="00C17DB5" w:rsidRPr="000E4076">
        <w:rPr>
          <w:rFonts w:ascii="Verdana" w:hAnsi="Verdana"/>
          <w:sz w:val="22"/>
          <w:szCs w:val="22"/>
        </w:rPr>
        <w:t xml:space="preserve"> reveal that the working age population is forecast to decline and that in the absence of international migration this decline would be even larger. These trends will impact on services especially health and social care, housing and on the provision of city infrastructure.  City administrations and those agencies and organisations providing other services within cities will play the leading</w:t>
      </w:r>
      <w:r w:rsidR="00C17DB5" w:rsidRPr="000E4076">
        <w:rPr>
          <w:rFonts w:ascii="Verdana" w:hAnsi="Verdana"/>
          <w:bCs/>
          <w:sz w:val="22"/>
          <w:szCs w:val="22"/>
        </w:rPr>
        <w:t xml:space="preserve"> role in integrating migrants.  </w:t>
      </w:r>
    </w:p>
    <w:p w:rsidR="00C17DB5" w:rsidRPr="000E4076" w:rsidRDefault="00C17DB5" w:rsidP="00A30018">
      <w:pPr>
        <w:spacing w:after="120" w:line="276" w:lineRule="auto"/>
        <w:jc w:val="both"/>
        <w:rPr>
          <w:rFonts w:ascii="Verdana" w:hAnsi="Verdana"/>
          <w:bCs/>
          <w:sz w:val="22"/>
          <w:szCs w:val="22"/>
        </w:rPr>
      </w:pPr>
      <w:r w:rsidRPr="000E4076">
        <w:rPr>
          <w:rFonts w:ascii="Verdana" w:hAnsi="Verdana"/>
          <w:color w:val="000000"/>
          <w:sz w:val="22"/>
          <w:szCs w:val="22"/>
        </w:rPr>
        <w:t xml:space="preserve">In this context cities have to find answers </w:t>
      </w:r>
      <w:r w:rsidRPr="000E4076">
        <w:rPr>
          <w:rFonts w:ascii="Verdana" w:hAnsi="Verdana"/>
          <w:bCs/>
          <w:sz w:val="22"/>
          <w:szCs w:val="22"/>
        </w:rPr>
        <w:t xml:space="preserve">to how to promote economic development, maintain competitiveness, create jobs while addressing growing social polarisation, combat poverty and deal with the depletion of natural resources. </w:t>
      </w:r>
    </w:p>
    <w:p w:rsidR="00C17DB5" w:rsidRPr="000E4076" w:rsidRDefault="00C17DB5" w:rsidP="00A30018">
      <w:pPr>
        <w:spacing w:after="120" w:line="276" w:lineRule="auto"/>
        <w:jc w:val="both"/>
        <w:rPr>
          <w:rFonts w:ascii="Verdana" w:hAnsi="Verdana"/>
          <w:sz w:val="22"/>
          <w:szCs w:val="22"/>
        </w:rPr>
      </w:pPr>
      <w:bookmarkStart w:id="5" w:name="_Toc364010002"/>
      <w:bookmarkStart w:id="6" w:name="_Toc297030781"/>
      <w:r w:rsidRPr="000E4076">
        <w:rPr>
          <w:rFonts w:ascii="Verdana" w:hAnsi="Verdana"/>
          <w:i/>
          <w:sz w:val="22"/>
          <w:szCs w:val="22"/>
        </w:rPr>
        <w:t>Economic development and competitiveness</w:t>
      </w:r>
      <w:bookmarkEnd w:id="5"/>
      <w:bookmarkEnd w:id="6"/>
      <w:r w:rsidRPr="000E4076">
        <w:rPr>
          <w:rFonts w:ascii="Verdana" w:hAnsi="Verdana"/>
          <w:sz w:val="22"/>
          <w:szCs w:val="22"/>
        </w:rPr>
        <w:t>: Many cities are facing economic challenges but they face very different trajectories depending on their size and role in the urban hierarchy, the structure of their economy, and their capacity to establish and implement a strategic vision of development.</w:t>
      </w:r>
      <w:r w:rsidRPr="000E4076">
        <w:rPr>
          <w:rStyle w:val="Rfrenceintense1"/>
          <w:sz w:val="22"/>
          <w:szCs w:val="22"/>
        </w:rPr>
        <w:t xml:space="preserve"> </w:t>
      </w:r>
      <w:r w:rsidRPr="000E4076">
        <w:rPr>
          <w:rStyle w:val="Rfrenceintense1"/>
          <w:b w:val="0"/>
          <w:sz w:val="22"/>
          <w:szCs w:val="22"/>
        </w:rPr>
        <w:t xml:space="preserve">These challenges have increased with the financial and economic crisis since 2008. In this context </w:t>
      </w:r>
      <w:r w:rsidRPr="000E4076">
        <w:rPr>
          <w:rFonts w:ascii="Verdana" w:hAnsi="Verdana"/>
          <w:sz w:val="22"/>
          <w:szCs w:val="22"/>
        </w:rPr>
        <w:t xml:space="preserve">it is important that cities: </w:t>
      </w:r>
    </w:p>
    <w:p w:rsidR="00C17DB5" w:rsidRPr="000E4076" w:rsidRDefault="00C17DB5" w:rsidP="00D67ECF">
      <w:pPr>
        <w:pStyle w:val="Paragraphedeliste3"/>
        <w:numPr>
          <w:ilvl w:val="0"/>
          <w:numId w:val="2"/>
        </w:numPr>
        <w:spacing w:after="120"/>
        <w:jc w:val="both"/>
        <w:rPr>
          <w:rStyle w:val="Rfrenceintense1"/>
          <w:b w:val="0"/>
        </w:rPr>
      </w:pPr>
      <w:r w:rsidRPr="000E4076">
        <w:rPr>
          <w:rFonts w:ascii="Verdana" w:hAnsi="Verdana"/>
        </w:rPr>
        <w:t xml:space="preserve">develop strategies that enable </w:t>
      </w:r>
      <w:r w:rsidRPr="000E4076">
        <w:rPr>
          <w:rStyle w:val="Rfrenceintense1"/>
          <w:b w:val="0"/>
        </w:rPr>
        <w:t>and encourage job creation and increase residents’ employability</w:t>
      </w:r>
      <w:r w:rsidRPr="000E4076">
        <w:rPr>
          <w:rStyle w:val="Odwoanieprzypisudolnego"/>
          <w:rFonts w:ascii="Verdana" w:hAnsi="Verdana"/>
        </w:rPr>
        <w:footnoteReference w:id="16"/>
      </w:r>
      <w:r w:rsidRPr="000E4076">
        <w:rPr>
          <w:rStyle w:val="Rfrenceintense1"/>
          <w:b w:val="0"/>
        </w:rPr>
        <w:t xml:space="preserve"> ; </w:t>
      </w:r>
    </w:p>
    <w:p w:rsidR="00C17DB5" w:rsidRPr="000E4076" w:rsidRDefault="00C17DB5" w:rsidP="00D67ECF">
      <w:pPr>
        <w:pStyle w:val="Paragraphedeliste3"/>
        <w:numPr>
          <w:ilvl w:val="0"/>
          <w:numId w:val="2"/>
        </w:numPr>
        <w:spacing w:after="120"/>
        <w:jc w:val="both"/>
        <w:rPr>
          <w:rStyle w:val="Rfrenceintense1"/>
          <w:b w:val="0"/>
        </w:rPr>
      </w:pPr>
      <w:r w:rsidRPr="000E4076">
        <w:rPr>
          <w:rStyle w:val="Rfrenceintense1"/>
          <w:b w:val="0"/>
        </w:rPr>
        <w:t xml:space="preserve">draw together sectoral actors to put in place entrepreneurial initiatives and innovation including social innovation ecosystems </w:t>
      </w:r>
    </w:p>
    <w:p w:rsidR="00C17DB5" w:rsidRPr="000E4076" w:rsidRDefault="00C17DB5" w:rsidP="00D67ECF">
      <w:pPr>
        <w:pStyle w:val="Paragraphedeliste3"/>
        <w:numPr>
          <w:ilvl w:val="0"/>
          <w:numId w:val="2"/>
        </w:numPr>
        <w:spacing w:after="120"/>
        <w:jc w:val="both"/>
        <w:rPr>
          <w:rFonts w:ascii="Verdana" w:hAnsi="Verdana"/>
        </w:rPr>
      </w:pPr>
      <w:r w:rsidRPr="000E4076">
        <w:rPr>
          <w:rStyle w:val="Rfrenceintense1"/>
          <w:b w:val="0"/>
        </w:rPr>
        <w:t>take into account the necessity to develop a low carbon economy, which</w:t>
      </w:r>
      <w:r w:rsidRPr="000E4076">
        <w:rPr>
          <w:rFonts w:ascii="Verdana" w:hAnsi="Verdana"/>
        </w:rPr>
        <w:t xml:space="preserve"> can be a driver of socially inclusive economic development for cities. </w:t>
      </w:r>
    </w:p>
    <w:p w:rsidR="00C17DB5" w:rsidRPr="000E4076" w:rsidRDefault="00C17DB5" w:rsidP="00A30018">
      <w:pPr>
        <w:spacing w:after="120" w:line="276" w:lineRule="auto"/>
        <w:jc w:val="both"/>
        <w:rPr>
          <w:rFonts w:ascii="Verdana" w:hAnsi="Verdana"/>
          <w:color w:val="000000"/>
          <w:sz w:val="22"/>
          <w:szCs w:val="22"/>
        </w:rPr>
      </w:pPr>
      <w:bookmarkStart w:id="7" w:name="_Toc364010003"/>
      <w:r w:rsidRPr="000E4076">
        <w:rPr>
          <w:rFonts w:ascii="Verdana" w:hAnsi="Verdana"/>
          <w:i/>
          <w:sz w:val="22"/>
          <w:szCs w:val="22"/>
        </w:rPr>
        <w:t>Social exclusion and spatial polarisation</w:t>
      </w:r>
      <w:bookmarkEnd w:id="7"/>
      <w:r w:rsidRPr="000E4076">
        <w:rPr>
          <w:rFonts w:ascii="Verdana" w:hAnsi="Verdana"/>
          <w:color w:val="000000"/>
          <w:sz w:val="22"/>
          <w:szCs w:val="22"/>
        </w:rPr>
        <w:t>: The Cities of Tomorrow</w:t>
      </w:r>
      <w:r w:rsidR="00DA75CF" w:rsidRPr="000E4076">
        <w:rPr>
          <w:rStyle w:val="Odwoanieprzypisudolnego"/>
          <w:rFonts w:ascii="Verdana" w:hAnsi="Verdana"/>
          <w:sz w:val="22"/>
          <w:szCs w:val="22"/>
        </w:rPr>
        <w:footnoteReference w:id="17"/>
      </w:r>
      <w:r w:rsidRPr="000E4076">
        <w:rPr>
          <w:rFonts w:ascii="Verdana" w:hAnsi="Verdana"/>
          <w:color w:val="000000"/>
          <w:sz w:val="22"/>
          <w:szCs w:val="22"/>
        </w:rPr>
        <w:t xml:space="preserve"> report has highlighted the extent and the scope of exclusion, which affects parts of urban territories and their inhabitants, and in particular certain groups such as young people</w:t>
      </w:r>
      <w:r w:rsidR="00DA75CF" w:rsidRPr="000E4076">
        <w:rPr>
          <w:rStyle w:val="Odwoanieprzypisudolnego"/>
          <w:rFonts w:ascii="Verdana" w:hAnsi="Verdana"/>
          <w:sz w:val="22"/>
          <w:szCs w:val="22"/>
        </w:rPr>
        <w:footnoteReference w:id="18"/>
      </w:r>
      <w:r w:rsidR="0029014E" w:rsidRPr="000E4076">
        <w:rPr>
          <w:rStyle w:val="Rfrenceintense1"/>
          <w:b w:val="0"/>
          <w:sz w:val="22"/>
          <w:szCs w:val="22"/>
        </w:rPr>
        <w:t>;</w:t>
      </w:r>
      <w:r w:rsidRPr="000E4076">
        <w:rPr>
          <w:rFonts w:ascii="Verdana" w:hAnsi="Verdana"/>
          <w:color w:val="000000"/>
          <w:sz w:val="22"/>
          <w:szCs w:val="22"/>
        </w:rPr>
        <w:t xml:space="preserve"> migrants and ethnic minorities. In order to tackle exclusion and polarisation cities must continue to address the needs of such groups, whilst also </w:t>
      </w:r>
      <w:r w:rsidRPr="000E4076">
        <w:rPr>
          <w:rFonts w:ascii="Verdana" w:hAnsi="Verdana"/>
          <w:bCs/>
          <w:iCs/>
          <w:color w:val="000000"/>
          <w:sz w:val="22"/>
          <w:szCs w:val="22"/>
        </w:rPr>
        <w:t xml:space="preserve">addressing social cohesion and </w:t>
      </w:r>
      <w:r w:rsidR="000565D8" w:rsidRPr="000E4076">
        <w:rPr>
          <w:rFonts w:ascii="Verdana" w:hAnsi="Verdana"/>
          <w:bCs/>
          <w:iCs/>
          <w:color w:val="000000"/>
          <w:sz w:val="22"/>
          <w:szCs w:val="22"/>
        </w:rPr>
        <w:t>combating</w:t>
      </w:r>
      <w:r w:rsidRPr="000E4076">
        <w:rPr>
          <w:rFonts w:ascii="Verdana" w:hAnsi="Verdana"/>
          <w:bCs/>
          <w:iCs/>
          <w:color w:val="000000"/>
          <w:sz w:val="22"/>
          <w:szCs w:val="22"/>
        </w:rPr>
        <w:t xml:space="preserve"> urban poverty in the broader urban fabric and environment</w:t>
      </w:r>
      <w:r w:rsidRPr="000E4076">
        <w:rPr>
          <w:rFonts w:ascii="Verdana" w:hAnsi="Verdana"/>
          <w:bCs/>
          <w:i/>
          <w:iCs/>
          <w:sz w:val="22"/>
          <w:szCs w:val="22"/>
        </w:rPr>
        <w:t xml:space="preserve">. </w:t>
      </w:r>
      <w:r w:rsidRPr="000E4076">
        <w:rPr>
          <w:rFonts w:ascii="Verdana" w:hAnsi="Verdana"/>
          <w:bCs/>
          <w:iCs/>
          <w:sz w:val="22"/>
          <w:szCs w:val="22"/>
        </w:rPr>
        <w:t>Evidence based findings from URBACT II confirm that</w:t>
      </w:r>
      <w:r w:rsidRPr="000E4076">
        <w:rPr>
          <w:rFonts w:ascii="Verdana" w:hAnsi="Verdana"/>
          <w:bCs/>
          <w:iCs/>
          <w:sz w:val="22"/>
          <w:szCs w:val="22"/>
          <w:vertAlign w:val="superscript"/>
        </w:rPr>
        <w:footnoteReference w:id="19"/>
      </w:r>
      <w:r w:rsidRPr="000E4076">
        <w:rPr>
          <w:rFonts w:ascii="Verdana" w:hAnsi="Verdana"/>
          <w:color w:val="000000"/>
          <w:sz w:val="22"/>
          <w:szCs w:val="22"/>
        </w:rPr>
        <w:t xml:space="preserve"> actions on the city level should be combined with area-based interventions when possible to avoid deprived neighbourhoods becoming ghettos. Cities need to act in a comprehensive way, coordinating policies (e.g. spatial intervention on housing, urban planning, mobility with cultural, social and economic interventions), and the work with the</w:t>
      </w:r>
      <w:r w:rsidRPr="000E4076">
        <w:rPr>
          <w:rFonts w:ascii="Verdana" w:hAnsi="Verdana"/>
          <w:sz w:val="22"/>
          <w:szCs w:val="22"/>
        </w:rPr>
        <w:t xml:space="preserve"> </w:t>
      </w:r>
      <w:r w:rsidRPr="000E4076">
        <w:rPr>
          <w:rFonts w:ascii="Verdana" w:hAnsi="Verdana"/>
          <w:color w:val="000000"/>
          <w:sz w:val="22"/>
          <w:szCs w:val="22"/>
        </w:rPr>
        <w:t xml:space="preserve">community, civil society organisations, with the private sector and other key stakeholders. </w:t>
      </w:r>
    </w:p>
    <w:p w:rsidR="00C17DB5" w:rsidRPr="000E4076" w:rsidRDefault="002E5CA7" w:rsidP="00A30018">
      <w:pPr>
        <w:spacing w:after="120" w:line="276" w:lineRule="auto"/>
        <w:jc w:val="both"/>
        <w:rPr>
          <w:rFonts w:ascii="Verdana" w:hAnsi="Verdana"/>
          <w:b/>
          <w:color w:val="000000"/>
          <w:sz w:val="22"/>
          <w:szCs w:val="22"/>
        </w:rPr>
      </w:pPr>
      <w:bookmarkStart w:id="8" w:name="_Toc364010004"/>
      <w:r w:rsidRPr="000E4076">
        <w:rPr>
          <w:rFonts w:ascii="Verdana" w:hAnsi="Verdana"/>
          <w:i/>
          <w:sz w:val="22"/>
          <w:szCs w:val="22"/>
        </w:rPr>
        <w:t>Attractiveness</w:t>
      </w:r>
      <w:r w:rsidR="00C17DB5" w:rsidRPr="000E4076">
        <w:rPr>
          <w:rFonts w:ascii="Verdana" w:hAnsi="Verdana"/>
          <w:i/>
          <w:sz w:val="22"/>
          <w:szCs w:val="22"/>
        </w:rPr>
        <w:t xml:space="preserve"> and natural resources</w:t>
      </w:r>
      <w:bookmarkEnd w:id="8"/>
      <w:r w:rsidR="00C17DB5" w:rsidRPr="000E4076">
        <w:rPr>
          <w:rFonts w:ascii="Verdana" w:hAnsi="Verdana"/>
          <w:sz w:val="22"/>
          <w:szCs w:val="22"/>
        </w:rPr>
        <w:t>: Cities contribute to the quality of life of inhabitants in all its senses: environmental, cultural and social.</w:t>
      </w:r>
      <w:r w:rsidR="00DA75CF" w:rsidRPr="000E4076">
        <w:rPr>
          <w:rFonts w:ascii="Verdana" w:hAnsi="Verdana"/>
          <w:sz w:val="22"/>
          <w:szCs w:val="22"/>
        </w:rPr>
        <w:t xml:space="preserve"> </w:t>
      </w:r>
      <w:r w:rsidR="00C17DB5" w:rsidRPr="000E4076">
        <w:rPr>
          <w:rFonts w:ascii="Verdana" w:hAnsi="Verdana"/>
          <w:sz w:val="22"/>
          <w:szCs w:val="22"/>
        </w:rPr>
        <w:t>They are providers or facilitators of the main services that their inhabitants need: water, energy, housing, transport, culture, health, green and urban spaces, etc</w:t>
      </w:r>
      <w:r w:rsidR="0029014E" w:rsidRPr="000E4076">
        <w:rPr>
          <w:rFonts w:ascii="Verdana" w:hAnsi="Verdana"/>
          <w:sz w:val="22"/>
          <w:szCs w:val="22"/>
        </w:rPr>
        <w:t>...</w:t>
      </w:r>
      <w:r w:rsidR="00C17DB5" w:rsidRPr="000E4076">
        <w:rPr>
          <w:rFonts w:ascii="Verdana" w:hAnsi="Verdana"/>
          <w:sz w:val="22"/>
          <w:szCs w:val="22"/>
        </w:rPr>
        <w:t xml:space="preserve"> To an extent their economic wealth depends on the quality of these services which make their attractiveness for inhabitants and enterprises; in the international competition between cities these services are considered to be key factors for success.</w:t>
      </w:r>
      <w:r w:rsidR="00C17DB5" w:rsidRPr="000E4076">
        <w:rPr>
          <w:rFonts w:ascii="Verdana" w:hAnsi="Verdana"/>
          <w:color w:val="000000"/>
          <w:sz w:val="22"/>
          <w:szCs w:val="22"/>
        </w:rPr>
        <w:t xml:space="preserve"> To tackle all these challenges, the city needs a holistic approach bringing together economic opportunity, </w:t>
      </w:r>
      <w:r w:rsidR="00C17DB5" w:rsidRPr="000E4076">
        <w:rPr>
          <w:rStyle w:val="Rfrenceintense1"/>
          <w:b w:val="0"/>
          <w:sz w:val="22"/>
          <w:szCs w:val="22"/>
        </w:rPr>
        <w:t xml:space="preserve">multimodal mobility, </w:t>
      </w:r>
      <w:r w:rsidR="00E36D34" w:rsidRPr="000E4076">
        <w:rPr>
          <w:rStyle w:val="Rfrenceintense1"/>
          <w:b w:val="0"/>
          <w:sz w:val="22"/>
          <w:szCs w:val="22"/>
        </w:rPr>
        <w:t xml:space="preserve">energy efficiency and renewability, </w:t>
      </w:r>
      <w:r w:rsidR="00C17DB5" w:rsidRPr="000E4076">
        <w:rPr>
          <w:rStyle w:val="Rfrenceintense1"/>
          <w:b w:val="0"/>
          <w:sz w:val="22"/>
          <w:szCs w:val="22"/>
        </w:rPr>
        <w:t>quality of the natural and built environment and promotion of the cultural heritage</w:t>
      </w:r>
      <w:r w:rsidR="00C17DB5" w:rsidRPr="000E4076">
        <w:rPr>
          <w:rFonts w:ascii="Verdana" w:hAnsi="Verdana"/>
          <w:b/>
          <w:color w:val="000000"/>
          <w:sz w:val="22"/>
          <w:szCs w:val="22"/>
        </w:rPr>
        <w:t xml:space="preserve">, </w:t>
      </w:r>
      <w:r w:rsidR="00C17DB5" w:rsidRPr="000E4076">
        <w:rPr>
          <w:rFonts w:ascii="Verdana" w:hAnsi="Verdana"/>
          <w:color w:val="000000"/>
          <w:sz w:val="22"/>
          <w:szCs w:val="22"/>
        </w:rPr>
        <w:t>development of</w:t>
      </w:r>
      <w:r w:rsidR="00C17DB5" w:rsidRPr="000E4076">
        <w:rPr>
          <w:rFonts w:ascii="Verdana" w:hAnsi="Verdana"/>
          <w:b/>
          <w:color w:val="000000"/>
          <w:sz w:val="22"/>
          <w:szCs w:val="22"/>
        </w:rPr>
        <w:t xml:space="preserve"> </w:t>
      </w:r>
      <w:r w:rsidR="00C17DB5" w:rsidRPr="000E4076">
        <w:rPr>
          <w:rStyle w:val="Rfrenceintense1"/>
          <w:b w:val="0"/>
          <w:sz w:val="22"/>
          <w:szCs w:val="22"/>
        </w:rPr>
        <w:t>strong public services and amenities in a sustainable an inclusive way.  This requires coordinated policies for urban renewal and control of urban sprawl</w:t>
      </w:r>
      <w:r w:rsidR="00C17DB5" w:rsidRPr="000E4076">
        <w:rPr>
          <w:rFonts w:ascii="Verdana" w:hAnsi="Verdana"/>
          <w:b/>
          <w:color w:val="000000"/>
          <w:sz w:val="22"/>
          <w:szCs w:val="22"/>
        </w:rPr>
        <w:t xml:space="preserve">. </w:t>
      </w:r>
    </w:p>
    <w:p w:rsidR="000565D8" w:rsidRPr="000E4076" w:rsidRDefault="000565D8" w:rsidP="00A30018">
      <w:pPr>
        <w:pStyle w:val="Nagwek4"/>
        <w:spacing w:after="120"/>
        <w:rPr>
          <w:sz w:val="22"/>
          <w:szCs w:val="22"/>
        </w:rPr>
      </w:pPr>
    </w:p>
    <w:p w:rsidR="00C17DB5" w:rsidRPr="000E4076" w:rsidRDefault="00C17DB5" w:rsidP="00A30018">
      <w:pPr>
        <w:pStyle w:val="Nagwek4"/>
        <w:spacing w:after="120"/>
        <w:rPr>
          <w:sz w:val="22"/>
          <w:szCs w:val="22"/>
        </w:rPr>
      </w:pPr>
      <w:r w:rsidRPr="000E4076">
        <w:rPr>
          <w:sz w:val="22"/>
          <w:szCs w:val="22"/>
        </w:rPr>
        <w:t>What do cities need when implementing sustainable and integrated urban development?</w:t>
      </w:r>
    </w:p>
    <w:p w:rsidR="00C17DB5" w:rsidRPr="000E4076" w:rsidRDefault="00C17DB5" w:rsidP="00A30018">
      <w:pPr>
        <w:spacing w:after="120" w:line="276" w:lineRule="auto"/>
        <w:jc w:val="both"/>
        <w:rPr>
          <w:rFonts w:ascii="Verdana" w:hAnsi="Verdana"/>
          <w:sz w:val="22"/>
          <w:szCs w:val="22"/>
        </w:rPr>
      </w:pPr>
      <w:r w:rsidRPr="000E4076">
        <w:rPr>
          <w:rFonts w:ascii="Verdana" w:hAnsi="Verdana"/>
          <w:sz w:val="22"/>
          <w:szCs w:val="22"/>
        </w:rPr>
        <w:t xml:space="preserve">Europe has been developing its thinking about urban development and specifically about integrated approaches for 25 years since the start of the Urban Pilot Projects in 1989.  </w:t>
      </w:r>
    </w:p>
    <w:p w:rsidR="00E73A82" w:rsidRPr="000E4076" w:rsidRDefault="00C17DB5" w:rsidP="00A30018">
      <w:pPr>
        <w:spacing w:after="120" w:line="276" w:lineRule="auto"/>
        <w:jc w:val="both"/>
        <w:rPr>
          <w:rFonts w:ascii="Verdana" w:hAnsi="Verdana"/>
          <w:sz w:val="22"/>
          <w:szCs w:val="22"/>
        </w:rPr>
      </w:pPr>
      <w:r w:rsidRPr="000E4076">
        <w:rPr>
          <w:rFonts w:ascii="Verdana" w:hAnsi="Verdana"/>
          <w:sz w:val="22"/>
          <w:szCs w:val="22"/>
        </w:rPr>
        <w:t>Other key policy landmarks that have informed these approaches include</w:t>
      </w:r>
      <w:r w:rsidR="00F239EE" w:rsidRPr="000E4076">
        <w:rPr>
          <w:rFonts w:ascii="Verdana" w:hAnsi="Verdana"/>
          <w:sz w:val="22"/>
          <w:szCs w:val="22"/>
        </w:rPr>
        <w:t xml:space="preserve"> the </w:t>
      </w:r>
      <w:r w:rsidRPr="000E4076">
        <w:rPr>
          <w:rFonts w:ascii="Verdana" w:hAnsi="Verdana"/>
          <w:sz w:val="22"/>
          <w:szCs w:val="22"/>
        </w:rPr>
        <w:t xml:space="preserve">URBAN 1 </w:t>
      </w:r>
      <w:r w:rsidR="0047572C" w:rsidRPr="000E4076">
        <w:rPr>
          <w:rFonts w:ascii="Verdana" w:hAnsi="Verdana"/>
          <w:sz w:val="22"/>
          <w:szCs w:val="22"/>
        </w:rPr>
        <w:t xml:space="preserve">(1994-1999) </w:t>
      </w:r>
      <w:r w:rsidR="00F239EE" w:rsidRPr="000E4076">
        <w:rPr>
          <w:rFonts w:ascii="Verdana" w:hAnsi="Verdana"/>
          <w:sz w:val="22"/>
          <w:szCs w:val="22"/>
        </w:rPr>
        <w:t xml:space="preserve">and URBAN 2 </w:t>
      </w:r>
      <w:r w:rsidR="0047572C" w:rsidRPr="000E4076">
        <w:rPr>
          <w:rFonts w:ascii="Verdana" w:hAnsi="Verdana"/>
          <w:sz w:val="22"/>
          <w:szCs w:val="22"/>
        </w:rPr>
        <w:t xml:space="preserve">(2000-2006) </w:t>
      </w:r>
      <w:r w:rsidR="00F20AAB" w:rsidRPr="000E4076">
        <w:rPr>
          <w:rFonts w:ascii="Verdana" w:hAnsi="Verdana"/>
          <w:sz w:val="22"/>
          <w:szCs w:val="22"/>
        </w:rPr>
        <w:t>community initiatives</w:t>
      </w:r>
      <w:r w:rsidR="00F239EE" w:rsidRPr="000E4076">
        <w:rPr>
          <w:rFonts w:ascii="Verdana" w:hAnsi="Verdana"/>
          <w:sz w:val="22"/>
          <w:szCs w:val="22"/>
        </w:rPr>
        <w:t xml:space="preserve">, the </w:t>
      </w:r>
      <w:r w:rsidRPr="000E4076">
        <w:rPr>
          <w:rFonts w:ascii="Verdana" w:hAnsi="Verdana"/>
          <w:sz w:val="22"/>
          <w:szCs w:val="22"/>
        </w:rPr>
        <w:t xml:space="preserve">“URBAN Acquis” of 2004, </w:t>
      </w:r>
      <w:r w:rsidR="00F239EE" w:rsidRPr="000E4076">
        <w:rPr>
          <w:rFonts w:ascii="Verdana" w:hAnsi="Verdana"/>
          <w:sz w:val="22"/>
          <w:szCs w:val="22"/>
        </w:rPr>
        <w:t>t</w:t>
      </w:r>
      <w:r w:rsidRPr="000E4076">
        <w:rPr>
          <w:rFonts w:ascii="Verdana" w:hAnsi="Verdana"/>
          <w:sz w:val="22"/>
          <w:szCs w:val="22"/>
        </w:rPr>
        <w:t>he 2005 Bristol Accord</w:t>
      </w:r>
      <w:r w:rsidR="00F239EE" w:rsidRPr="000E4076">
        <w:rPr>
          <w:rFonts w:ascii="Verdana" w:hAnsi="Verdana"/>
          <w:sz w:val="22"/>
          <w:szCs w:val="22"/>
        </w:rPr>
        <w:t>, the</w:t>
      </w:r>
      <w:r w:rsidRPr="000E4076">
        <w:rPr>
          <w:rFonts w:ascii="Verdana" w:hAnsi="Verdana"/>
          <w:sz w:val="22"/>
          <w:szCs w:val="22"/>
        </w:rPr>
        <w:t xml:space="preserve"> URBACT II programme 2007-2013</w:t>
      </w:r>
      <w:r w:rsidR="00F239EE" w:rsidRPr="000E4076">
        <w:rPr>
          <w:rFonts w:ascii="Verdana" w:hAnsi="Verdana"/>
          <w:sz w:val="22"/>
          <w:szCs w:val="22"/>
        </w:rPr>
        <w:t>, the</w:t>
      </w:r>
      <w:r w:rsidRPr="000E4076">
        <w:rPr>
          <w:rFonts w:ascii="Verdana" w:hAnsi="Verdana"/>
          <w:sz w:val="22"/>
          <w:szCs w:val="22"/>
        </w:rPr>
        <w:t xml:space="preserve">  Leipzig Charter on Sustainable European Cities of 2007</w:t>
      </w:r>
      <w:r w:rsidR="00F239EE" w:rsidRPr="000E4076">
        <w:rPr>
          <w:rFonts w:ascii="Verdana" w:hAnsi="Verdana"/>
          <w:sz w:val="22"/>
          <w:szCs w:val="22"/>
        </w:rPr>
        <w:t xml:space="preserve"> about integrated urban policy</w:t>
      </w:r>
      <w:r w:rsidRPr="000E4076">
        <w:rPr>
          <w:rFonts w:ascii="Verdana" w:hAnsi="Verdana"/>
          <w:sz w:val="22"/>
          <w:szCs w:val="22"/>
        </w:rPr>
        <w:t>,</w:t>
      </w:r>
      <w:r w:rsidR="00F239EE" w:rsidRPr="000E4076">
        <w:rPr>
          <w:rFonts w:ascii="Verdana" w:hAnsi="Verdana"/>
          <w:sz w:val="22"/>
          <w:szCs w:val="22"/>
        </w:rPr>
        <w:t xml:space="preserve"> t</w:t>
      </w:r>
      <w:r w:rsidRPr="000E4076">
        <w:rPr>
          <w:rFonts w:ascii="Verdana" w:hAnsi="Verdana"/>
          <w:sz w:val="22"/>
          <w:szCs w:val="22"/>
        </w:rPr>
        <w:t>he 2007 Territorial Agenda</w:t>
      </w:r>
      <w:r w:rsidR="00F239EE" w:rsidRPr="000E4076">
        <w:rPr>
          <w:rFonts w:ascii="Verdana" w:hAnsi="Verdana"/>
          <w:sz w:val="22"/>
          <w:szCs w:val="22"/>
        </w:rPr>
        <w:t xml:space="preserve"> about</w:t>
      </w:r>
      <w:r w:rsidRPr="000E4076">
        <w:rPr>
          <w:rFonts w:ascii="Verdana" w:hAnsi="Verdana"/>
          <w:sz w:val="22"/>
          <w:szCs w:val="22"/>
        </w:rPr>
        <w:t xml:space="preserve"> territorial cohesion</w:t>
      </w:r>
      <w:r w:rsidR="00F239EE" w:rsidRPr="000E4076">
        <w:rPr>
          <w:rFonts w:ascii="Verdana" w:hAnsi="Verdana"/>
          <w:sz w:val="22"/>
          <w:szCs w:val="22"/>
        </w:rPr>
        <w:t>, t</w:t>
      </w:r>
      <w:r w:rsidRPr="000E4076">
        <w:rPr>
          <w:rFonts w:ascii="Verdana" w:hAnsi="Verdana"/>
          <w:sz w:val="22"/>
          <w:szCs w:val="22"/>
        </w:rPr>
        <w:t>he 2008 Marseilles Statement</w:t>
      </w:r>
      <w:r w:rsidR="0047572C" w:rsidRPr="000E4076">
        <w:rPr>
          <w:rFonts w:ascii="Verdana" w:hAnsi="Verdana"/>
          <w:sz w:val="22"/>
          <w:szCs w:val="22"/>
        </w:rPr>
        <w:t xml:space="preserve"> which launched</w:t>
      </w:r>
      <w:r w:rsidRPr="000E4076">
        <w:rPr>
          <w:rFonts w:ascii="Verdana" w:hAnsi="Verdana"/>
          <w:sz w:val="22"/>
          <w:szCs w:val="22"/>
        </w:rPr>
        <w:t xml:space="preserve"> </w:t>
      </w:r>
      <w:r w:rsidR="0047572C" w:rsidRPr="000E4076">
        <w:rPr>
          <w:rFonts w:ascii="Verdana" w:hAnsi="Verdana"/>
          <w:sz w:val="22"/>
          <w:szCs w:val="22"/>
        </w:rPr>
        <w:t xml:space="preserve">the </w:t>
      </w:r>
      <w:r w:rsidRPr="000E4076">
        <w:rPr>
          <w:rFonts w:ascii="Verdana" w:hAnsi="Verdana"/>
          <w:sz w:val="22"/>
          <w:szCs w:val="22"/>
        </w:rPr>
        <w:t xml:space="preserve">European Reference Framework for Sustainable Cities; </w:t>
      </w:r>
      <w:r w:rsidR="0047572C" w:rsidRPr="000E4076">
        <w:rPr>
          <w:rFonts w:ascii="Verdana" w:hAnsi="Verdana"/>
          <w:sz w:val="22"/>
          <w:szCs w:val="22"/>
        </w:rPr>
        <w:t>t</w:t>
      </w:r>
      <w:r w:rsidRPr="000E4076">
        <w:rPr>
          <w:rFonts w:ascii="Verdana" w:hAnsi="Verdana"/>
          <w:sz w:val="22"/>
          <w:szCs w:val="22"/>
        </w:rPr>
        <w:t>he 2008 Barca Report</w:t>
      </w:r>
      <w:r w:rsidRPr="000E4076">
        <w:rPr>
          <w:rFonts w:ascii="Verdana" w:hAnsi="Verdana"/>
          <w:sz w:val="22"/>
          <w:szCs w:val="22"/>
          <w:vertAlign w:val="superscript"/>
        </w:rPr>
        <w:footnoteReference w:id="20"/>
      </w:r>
      <w:r w:rsidRPr="000E4076">
        <w:rPr>
          <w:rFonts w:ascii="Verdana" w:hAnsi="Verdana"/>
          <w:sz w:val="22"/>
          <w:szCs w:val="22"/>
        </w:rPr>
        <w:t xml:space="preserve"> </w:t>
      </w:r>
      <w:r w:rsidR="0047572C" w:rsidRPr="000E4076">
        <w:rPr>
          <w:rFonts w:ascii="Verdana" w:hAnsi="Verdana"/>
          <w:sz w:val="22"/>
          <w:szCs w:val="22"/>
        </w:rPr>
        <w:t xml:space="preserve">on </w:t>
      </w:r>
      <w:r w:rsidRPr="000E4076">
        <w:rPr>
          <w:rFonts w:ascii="Verdana" w:hAnsi="Verdana"/>
          <w:sz w:val="22"/>
          <w:szCs w:val="22"/>
        </w:rPr>
        <w:t>‘place based’ approaches in regional development</w:t>
      </w:r>
      <w:r w:rsidR="0047572C" w:rsidRPr="000E4076">
        <w:rPr>
          <w:rFonts w:ascii="Verdana" w:hAnsi="Verdana"/>
          <w:sz w:val="22"/>
          <w:szCs w:val="22"/>
        </w:rPr>
        <w:t>, t</w:t>
      </w:r>
      <w:r w:rsidRPr="000E4076">
        <w:rPr>
          <w:rFonts w:ascii="Verdana" w:hAnsi="Verdana"/>
          <w:sz w:val="22"/>
          <w:szCs w:val="22"/>
        </w:rPr>
        <w:t xml:space="preserve">he 2010 Toledo Declaration, </w:t>
      </w:r>
      <w:r w:rsidR="0047572C" w:rsidRPr="000E4076">
        <w:rPr>
          <w:rFonts w:ascii="Verdana" w:hAnsi="Verdana"/>
          <w:sz w:val="22"/>
          <w:szCs w:val="22"/>
        </w:rPr>
        <w:t>t</w:t>
      </w:r>
      <w:r w:rsidRPr="000E4076">
        <w:rPr>
          <w:rFonts w:ascii="Verdana" w:hAnsi="Verdana"/>
          <w:sz w:val="22"/>
          <w:szCs w:val="22"/>
        </w:rPr>
        <w:t>he Europe 2020</w:t>
      </w:r>
      <w:r w:rsidR="0047572C" w:rsidRPr="000E4076">
        <w:rPr>
          <w:rFonts w:ascii="Verdana" w:hAnsi="Verdana"/>
          <w:sz w:val="22"/>
          <w:szCs w:val="22"/>
        </w:rPr>
        <w:t xml:space="preserve">, the </w:t>
      </w:r>
      <w:r w:rsidRPr="000E4076">
        <w:rPr>
          <w:rFonts w:ascii="Verdana" w:hAnsi="Verdana"/>
          <w:sz w:val="22"/>
          <w:szCs w:val="22"/>
        </w:rPr>
        <w:t>2011</w:t>
      </w:r>
      <w:r w:rsidR="0047572C" w:rsidRPr="000E4076">
        <w:rPr>
          <w:rFonts w:ascii="Verdana" w:hAnsi="Verdana"/>
          <w:sz w:val="22"/>
          <w:szCs w:val="22"/>
        </w:rPr>
        <w:t xml:space="preserve"> </w:t>
      </w:r>
      <w:r w:rsidRPr="000E4076">
        <w:rPr>
          <w:rFonts w:ascii="Verdana" w:hAnsi="Verdana"/>
          <w:sz w:val="22"/>
          <w:szCs w:val="22"/>
        </w:rPr>
        <w:t>report Cities of Tomorrow – Challenges, Visions and Ways forward</w:t>
      </w:r>
      <w:r w:rsidR="0047572C" w:rsidRPr="000E4076">
        <w:rPr>
          <w:rFonts w:ascii="Verdana" w:hAnsi="Verdana"/>
          <w:sz w:val="22"/>
          <w:szCs w:val="22"/>
        </w:rPr>
        <w:t>.</w:t>
      </w:r>
    </w:p>
    <w:p w:rsidR="00C17DB5" w:rsidRPr="000E4076" w:rsidRDefault="00C17DB5" w:rsidP="00A30018">
      <w:pPr>
        <w:spacing w:after="120" w:line="276" w:lineRule="auto"/>
        <w:jc w:val="both"/>
        <w:rPr>
          <w:rFonts w:ascii="Verdana" w:hAnsi="Verdana"/>
          <w:sz w:val="22"/>
          <w:szCs w:val="22"/>
        </w:rPr>
      </w:pPr>
      <w:r w:rsidRPr="000E4076">
        <w:rPr>
          <w:rFonts w:ascii="Verdana" w:hAnsi="Verdana"/>
          <w:sz w:val="22"/>
          <w:szCs w:val="22"/>
        </w:rPr>
        <w:t>Translating th</w:t>
      </w:r>
      <w:r w:rsidR="00194481" w:rsidRPr="000E4076">
        <w:rPr>
          <w:rFonts w:ascii="Verdana" w:hAnsi="Verdana"/>
          <w:sz w:val="22"/>
          <w:szCs w:val="22"/>
        </w:rPr>
        <w:t>ese</w:t>
      </w:r>
      <w:r w:rsidRPr="000E4076">
        <w:rPr>
          <w:rFonts w:ascii="Verdana" w:hAnsi="Verdana"/>
          <w:sz w:val="22"/>
          <w:szCs w:val="22"/>
        </w:rPr>
        <w:t xml:space="preserve"> </w:t>
      </w:r>
      <w:r w:rsidR="004077C9" w:rsidRPr="000E4076">
        <w:rPr>
          <w:rFonts w:ascii="Verdana" w:hAnsi="Verdana"/>
          <w:sz w:val="22"/>
          <w:szCs w:val="22"/>
        </w:rPr>
        <w:t xml:space="preserve">general principles of sustainable urban development agreed at EU level into daily practice of urban management </w:t>
      </w:r>
      <w:r w:rsidRPr="000E4076">
        <w:rPr>
          <w:rFonts w:ascii="Verdana" w:hAnsi="Verdana"/>
          <w:sz w:val="22"/>
          <w:szCs w:val="22"/>
        </w:rPr>
        <w:t xml:space="preserve">has proved to be challenging for the cities themselves. A number of reports for the URBACT programme reveal that the cities which the programme engages have very specific needs. </w:t>
      </w:r>
    </w:p>
    <w:p w:rsidR="00C17DB5" w:rsidRPr="000E4076" w:rsidRDefault="00C17DB5" w:rsidP="008166DD">
      <w:pPr>
        <w:pStyle w:val="Paragraphedeliste3"/>
        <w:numPr>
          <w:ilvl w:val="0"/>
          <w:numId w:val="19"/>
        </w:numPr>
        <w:spacing w:after="120"/>
        <w:ind w:left="924" w:hanging="357"/>
        <w:jc w:val="both"/>
        <w:rPr>
          <w:rFonts w:ascii="Verdana" w:hAnsi="Verdana"/>
        </w:rPr>
      </w:pPr>
      <w:r w:rsidRPr="000E4076">
        <w:rPr>
          <w:rFonts w:ascii="Verdana" w:hAnsi="Verdana"/>
        </w:rPr>
        <w:t>The interim evaluation</w:t>
      </w:r>
      <w:r w:rsidRPr="000E4076">
        <w:rPr>
          <w:rStyle w:val="Odwoanieprzypisudolnego"/>
          <w:rFonts w:ascii="Verdana" w:hAnsi="Verdana"/>
        </w:rPr>
        <w:footnoteReference w:id="21"/>
      </w:r>
      <w:r w:rsidRPr="000E4076">
        <w:rPr>
          <w:rFonts w:ascii="Verdana" w:hAnsi="Verdana"/>
        </w:rPr>
        <w:t xml:space="preserve"> emphasised that first round action plans were struggling  to find funding in ERDF operational programmes </w:t>
      </w:r>
    </w:p>
    <w:p w:rsidR="00C17DB5" w:rsidRPr="000E4076" w:rsidRDefault="00C17DB5" w:rsidP="008166DD">
      <w:pPr>
        <w:pStyle w:val="Paragraphedeliste3"/>
        <w:numPr>
          <w:ilvl w:val="0"/>
          <w:numId w:val="19"/>
        </w:numPr>
        <w:spacing w:after="120"/>
        <w:ind w:left="924" w:hanging="357"/>
        <w:jc w:val="both"/>
        <w:rPr>
          <w:rFonts w:ascii="Verdana" w:hAnsi="Verdana"/>
        </w:rPr>
      </w:pPr>
      <w:r w:rsidRPr="000E4076">
        <w:rPr>
          <w:rFonts w:ascii="Verdana" w:hAnsi="Verdana"/>
        </w:rPr>
        <w:t xml:space="preserve">An URBACT study on local action plans made two years after completion found that 90% of first round action plans were at least partially implemented. More had deployed local finance than had accessed EU funds. The study highlighted the benefit of the involvement of local stakeholders and of the participation of several departments of the municipality in the preparation of the action plans. </w:t>
      </w:r>
    </w:p>
    <w:p w:rsidR="00C17DB5" w:rsidRPr="000E4076" w:rsidRDefault="00C17DB5" w:rsidP="00A30018">
      <w:pPr>
        <w:spacing w:after="120" w:line="276" w:lineRule="auto"/>
        <w:jc w:val="both"/>
        <w:rPr>
          <w:rFonts w:ascii="Verdana" w:hAnsi="Verdana"/>
          <w:sz w:val="22"/>
          <w:szCs w:val="22"/>
        </w:rPr>
      </w:pPr>
      <w:r w:rsidRPr="000E4076">
        <w:rPr>
          <w:rFonts w:ascii="Verdana" w:hAnsi="Verdana"/>
          <w:sz w:val="22"/>
          <w:szCs w:val="22"/>
        </w:rPr>
        <w:t>URBACT surveyed cities in 2012</w:t>
      </w:r>
      <w:r w:rsidRPr="000E4076">
        <w:rPr>
          <w:rStyle w:val="Odwoanieprzypisudolnego"/>
          <w:rFonts w:ascii="Verdana" w:eastAsia="SimSun" w:hAnsi="Verdana"/>
          <w:sz w:val="22"/>
          <w:szCs w:val="22"/>
        </w:rPr>
        <w:footnoteReference w:id="22"/>
      </w:r>
      <w:r w:rsidRPr="000E4076">
        <w:rPr>
          <w:rFonts w:ascii="Verdana" w:hAnsi="Verdana"/>
          <w:sz w:val="22"/>
          <w:szCs w:val="22"/>
        </w:rPr>
        <w:t xml:space="preserve"> to identify needs. This survey found that </w:t>
      </w:r>
      <w:r w:rsidRPr="000E4076">
        <w:rPr>
          <w:rFonts w:ascii="Verdana" w:hAnsi="Verdana"/>
          <w:bCs/>
          <w:sz w:val="22"/>
          <w:szCs w:val="22"/>
        </w:rPr>
        <w:t>cities want to keep the focus on networks of cities for exchange as the core engine of the programme. They also expressed a clear need to build their capacities in developing and implementing integrated urban policies and to increase expert support at local level. Finally they asked for mechanisms to increase the Local Action Plans implementation rate, including concrete links with funds available: Operational Programmes, public private financing (</w:t>
      </w:r>
      <w:r w:rsidRPr="000E4076">
        <w:rPr>
          <w:rFonts w:ascii="Verdana" w:hAnsi="Verdana"/>
          <w:sz w:val="22"/>
          <w:szCs w:val="22"/>
        </w:rPr>
        <w:t>revolving funds, JESSICA).</w:t>
      </w:r>
    </w:p>
    <w:p w:rsidR="00C17DB5" w:rsidRPr="000E4076" w:rsidRDefault="00C17DB5" w:rsidP="00A30018">
      <w:pPr>
        <w:spacing w:after="120" w:line="276" w:lineRule="auto"/>
        <w:rPr>
          <w:rFonts w:ascii="Verdana" w:hAnsi="Verdana"/>
          <w:sz w:val="22"/>
          <w:szCs w:val="22"/>
        </w:rPr>
      </w:pPr>
      <w:r w:rsidRPr="000E4076">
        <w:rPr>
          <w:rFonts w:ascii="Verdana" w:hAnsi="Verdana"/>
          <w:sz w:val="22"/>
          <w:szCs w:val="22"/>
        </w:rPr>
        <w:t>Based on these lessons four main areas of need have been identified; these areas will require an extension of activities for URBACT III.</w:t>
      </w:r>
    </w:p>
    <w:p w:rsidR="000565D8" w:rsidRPr="000E4076" w:rsidRDefault="000565D8" w:rsidP="00A30018">
      <w:pPr>
        <w:pStyle w:val="Nagwek5"/>
        <w:spacing w:after="120"/>
        <w:rPr>
          <w:rFonts w:ascii="Verdana" w:hAnsi="Verdana"/>
          <w:sz w:val="22"/>
          <w:szCs w:val="22"/>
        </w:rPr>
      </w:pPr>
    </w:p>
    <w:p w:rsidR="00C17DB5" w:rsidRPr="00A72D85" w:rsidRDefault="00C17DB5" w:rsidP="00A30018">
      <w:pPr>
        <w:pStyle w:val="Nagwek5"/>
        <w:spacing w:after="120"/>
        <w:rPr>
          <w:rFonts w:ascii="Verdana" w:hAnsi="Verdana"/>
          <w:b/>
          <w:sz w:val="22"/>
          <w:szCs w:val="22"/>
        </w:rPr>
      </w:pPr>
      <w:r w:rsidRPr="00A72D85">
        <w:rPr>
          <w:rFonts w:ascii="Verdana" w:hAnsi="Verdana"/>
          <w:b/>
          <w:sz w:val="22"/>
          <w:szCs w:val="22"/>
        </w:rPr>
        <w:t xml:space="preserve">1 Cities need to improve their capacity to develop and implement integrated urban </w:t>
      </w:r>
      <w:r w:rsidR="00194481" w:rsidRPr="00A72D85">
        <w:rPr>
          <w:rFonts w:ascii="Verdana" w:hAnsi="Verdana"/>
          <w:b/>
          <w:sz w:val="22"/>
          <w:szCs w:val="22"/>
        </w:rPr>
        <w:t>strategies and actions</w:t>
      </w:r>
    </w:p>
    <w:p w:rsidR="00A30018" w:rsidRDefault="00A30018" w:rsidP="00A30018">
      <w:pPr>
        <w:spacing w:after="120" w:line="276" w:lineRule="auto"/>
        <w:jc w:val="both"/>
        <w:rPr>
          <w:rFonts w:ascii="Verdana" w:hAnsi="Verdana"/>
          <w:sz w:val="22"/>
          <w:szCs w:val="22"/>
        </w:rPr>
      </w:pPr>
    </w:p>
    <w:p w:rsidR="00C17DB5" w:rsidRPr="000E4076" w:rsidRDefault="00C17DB5" w:rsidP="00A30018">
      <w:pPr>
        <w:spacing w:after="120" w:line="276" w:lineRule="auto"/>
        <w:jc w:val="both"/>
        <w:rPr>
          <w:rFonts w:ascii="Verdana" w:hAnsi="Verdana"/>
          <w:sz w:val="22"/>
          <w:szCs w:val="22"/>
        </w:rPr>
      </w:pPr>
      <w:r w:rsidRPr="000E4076">
        <w:rPr>
          <w:rFonts w:ascii="Verdana" w:hAnsi="Verdana"/>
          <w:sz w:val="22"/>
          <w:szCs w:val="22"/>
        </w:rPr>
        <w:t xml:space="preserve">Cities need to build their capacities </w:t>
      </w:r>
      <w:r w:rsidRPr="000E4076">
        <w:rPr>
          <w:rFonts w:ascii="Verdana" w:hAnsi="Verdana"/>
          <w:color w:val="000000"/>
          <w:sz w:val="22"/>
          <w:szCs w:val="22"/>
        </w:rPr>
        <w:t xml:space="preserve">to lead and to implement territorial strategy with a large range of partners, who often represent contradictory interests. </w:t>
      </w:r>
      <w:r w:rsidRPr="000E4076">
        <w:rPr>
          <w:rFonts w:ascii="Verdana" w:hAnsi="Verdana"/>
          <w:sz w:val="22"/>
          <w:szCs w:val="22"/>
        </w:rPr>
        <w:t xml:space="preserve">Capacity gaps are particularly severe among small and medium sized authorities across Europe and especially in the Southern </w:t>
      </w:r>
      <w:r w:rsidR="004077C9" w:rsidRPr="000E4076">
        <w:rPr>
          <w:rFonts w:ascii="Verdana" w:hAnsi="Verdana"/>
          <w:sz w:val="22"/>
          <w:szCs w:val="22"/>
        </w:rPr>
        <w:t xml:space="preserve">less developed </w:t>
      </w:r>
      <w:r w:rsidRPr="000E4076">
        <w:rPr>
          <w:rFonts w:ascii="Verdana" w:hAnsi="Verdana"/>
          <w:sz w:val="22"/>
          <w:szCs w:val="22"/>
        </w:rPr>
        <w:t>regions and in the EU1</w:t>
      </w:r>
      <w:r w:rsidR="00136AC6" w:rsidRPr="000E4076">
        <w:rPr>
          <w:rFonts w:ascii="Verdana" w:hAnsi="Verdana"/>
          <w:sz w:val="22"/>
          <w:szCs w:val="22"/>
        </w:rPr>
        <w:t>3</w:t>
      </w:r>
      <w:r w:rsidRPr="000E4076">
        <w:rPr>
          <w:rFonts w:ascii="Verdana" w:hAnsi="Verdana"/>
          <w:sz w:val="22"/>
          <w:szCs w:val="22"/>
        </w:rPr>
        <w:t xml:space="preserve"> outside the capital cities. There is a need to increase the capacity for action planning and implementation </w:t>
      </w:r>
      <w:r w:rsidR="009C5C8F">
        <w:rPr>
          <w:rFonts w:ascii="Verdana" w:hAnsi="Verdana"/>
          <w:sz w:val="22"/>
          <w:szCs w:val="22"/>
        </w:rPr>
        <w:t>from</w:t>
      </w:r>
      <w:r w:rsidRPr="000E4076">
        <w:rPr>
          <w:rFonts w:ascii="Verdana" w:hAnsi="Verdana"/>
          <w:sz w:val="22"/>
          <w:szCs w:val="22"/>
        </w:rPr>
        <w:t xml:space="preserve"> practitioners, city managers, elected people, other stakeholders involved in local support groups</w:t>
      </w:r>
      <w:r w:rsidR="009210ED" w:rsidRPr="000E4076">
        <w:rPr>
          <w:rStyle w:val="Odwoanieprzypisudolnego"/>
          <w:rFonts w:ascii="Verdana" w:hAnsi="Verdana"/>
          <w:sz w:val="22"/>
          <w:szCs w:val="22"/>
        </w:rPr>
        <w:footnoteReference w:id="23"/>
      </w:r>
      <w:r w:rsidRPr="000E4076">
        <w:rPr>
          <w:rStyle w:val="Odwoanieprzypisudolnego"/>
          <w:rFonts w:ascii="Verdana" w:eastAsia="SimSun" w:hAnsi="Verdana"/>
          <w:sz w:val="22"/>
          <w:szCs w:val="22"/>
        </w:rPr>
        <w:footnoteReference w:id="24"/>
      </w:r>
      <w:r w:rsidR="00FB4A24" w:rsidRPr="000E4076">
        <w:rPr>
          <w:rFonts w:ascii="Verdana" w:hAnsi="Verdana"/>
          <w:sz w:val="22"/>
          <w:szCs w:val="22"/>
        </w:rPr>
        <w:t>.</w:t>
      </w:r>
    </w:p>
    <w:p w:rsidR="00C17DB5" w:rsidRPr="000E4076" w:rsidRDefault="00C17DB5" w:rsidP="00A30018">
      <w:pPr>
        <w:spacing w:after="120" w:line="276" w:lineRule="auto"/>
        <w:jc w:val="both"/>
        <w:rPr>
          <w:rFonts w:ascii="Verdana" w:hAnsi="Verdana"/>
          <w:sz w:val="22"/>
          <w:szCs w:val="22"/>
        </w:rPr>
      </w:pPr>
      <w:r w:rsidRPr="000E4076">
        <w:rPr>
          <w:rFonts w:ascii="Verdana" w:hAnsi="Verdana"/>
          <w:sz w:val="22"/>
          <w:szCs w:val="22"/>
        </w:rPr>
        <w:t xml:space="preserve">Due to the specificity of urban issues, city teams need to become adept at breaking down silos and developing integrated and place-based solutions that cross the boundaries of government bodies, disciplines, or municipal borders. This will often involve developing new organisational models within the municipalities (new integrated management structures, flatter hierarchies, team working, etc.). </w:t>
      </w:r>
    </w:p>
    <w:p w:rsidR="00C17DB5" w:rsidRPr="000E4076" w:rsidRDefault="00C17DB5" w:rsidP="00A30018">
      <w:pPr>
        <w:spacing w:after="120" w:line="276" w:lineRule="auto"/>
        <w:jc w:val="both"/>
        <w:rPr>
          <w:rFonts w:ascii="Verdana" w:hAnsi="Verdana"/>
          <w:sz w:val="22"/>
          <w:szCs w:val="22"/>
        </w:rPr>
      </w:pPr>
      <w:r w:rsidRPr="000E4076">
        <w:rPr>
          <w:rFonts w:ascii="Verdana" w:hAnsi="Verdana"/>
          <w:sz w:val="22"/>
          <w:szCs w:val="22"/>
        </w:rPr>
        <w:t>City teams need to develop methods and processes to involve relevant stakeholders in policy making, in the preparation of strategies and local action plans.  There are many techniques for facilitating participation being used by cities across Europe but there is still a need to bring this body of knowledge together at European level and make it more widely available.</w:t>
      </w:r>
    </w:p>
    <w:p w:rsidR="00A72D85" w:rsidRDefault="00A72D85">
      <w:pPr>
        <w:rPr>
          <w:rFonts w:ascii="Verdana" w:hAnsi="Verdana"/>
          <w:bCs/>
          <w:sz w:val="22"/>
          <w:szCs w:val="22"/>
        </w:rPr>
      </w:pPr>
      <w:r>
        <w:rPr>
          <w:rFonts w:ascii="Verdana" w:hAnsi="Verdana"/>
          <w:bCs/>
          <w:sz w:val="22"/>
          <w:szCs w:val="22"/>
        </w:rPr>
        <w:br w:type="page"/>
      </w:r>
    </w:p>
    <w:p w:rsidR="00C17DB5" w:rsidRPr="00A72D85" w:rsidRDefault="00C17DB5" w:rsidP="00A30018">
      <w:pPr>
        <w:pStyle w:val="Nagwek5"/>
        <w:spacing w:after="120"/>
        <w:rPr>
          <w:rFonts w:ascii="Verdana" w:hAnsi="Verdana"/>
          <w:b/>
          <w:sz w:val="22"/>
          <w:szCs w:val="22"/>
        </w:rPr>
      </w:pPr>
      <w:r w:rsidRPr="00A72D85">
        <w:rPr>
          <w:rFonts w:ascii="Verdana" w:hAnsi="Verdana"/>
          <w:b/>
          <w:sz w:val="22"/>
          <w:szCs w:val="22"/>
        </w:rPr>
        <w:t>2 Cities need integrated urban strategies and action</w:t>
      </w:r>
      <w:r w:rsidR="00895F00" w:rsidRPr="00A72D85">
        <w:rPr>
          <w:rFonts w:ascii="Verdana" w:hAnsi="Verdana"/>
          <w:b/>
          <w:sz w:val="22"/>
          <w:szCs w:val="22"/>
        </w:rPr>
        <w:t>s</w:t>
      </w:r>
      <w:r w:rsidRPr="00A72D85">
        <w:rPr>
          <w:rFonts w:ascii="Verdana" w:hAnsi="Verdana"/>
          <w:b/>
          <w:sz w:val="22"/>
          <w:szCs w:val="22"/>
        </w:rPr>
        <w:t xml:space="preserve"> for sustainable development.</w:t>
      </w:r>
    </w:p>
    <w:p w:rsidR="00C17DB5" w:rsidRPr="000E4076" w:rsidRDefault="00C17DB5" w:rsidP="00A30018">
      <w:pPr>
        <w:spacing w:after="120" w:line="276" w:lineRule="auto"/>
        <w:jc w:val="both"/>
        <w:rPr>
          <w:rFonts w:ascii="Verdana" w:hAnsi="Verdana"/>
          <w:color w:val="000000"/>
          <w:sz w:val="22"/>
          <w:szCs w:val="22"/>
        </w:rPr>
      </w:pPr>
    </w:p>
    <w:p w:rsidR="00C17DB5" w:rsidRPr="000E4076" w:rsidRDefault="00412A4C" w:rsidP="00A30018">
      <w:pPr>
        <w:spacing w:after="120" w:line="276" w:lineRule="auto"/>
        <w:jc w:val="both"/>
        <w:rPr>
          <w:rFonts w:ascii="Verdana" w:hAnsi="Verdana"/>
          <w:sz w:val="22"/>
          <w:szCs w:val="22"/>
        </w:rPr>
      </w:pPr>
      <w:r w:rsidRPr="000E4076">
        <w:rPr>
          <w:rFonts w:ascii="Verdana" w:hAnsi="Verdana"/>
          <w:sz w:val="22"/>
          <w:szCs w:val="22"/>
        </w:rPr>
        <w:t>The Leipzig Charter with its emphasis on strategies for integrated and participative sustainable development was received positively by urban local authorities; meanwhile a strong need to develop these strategies at local level remains.</w:t>
      </w:r>
      <w:r w:rsidRPr="000E4076">
        <w:rPr>
          <w:rStyle w:val="Odwoaniedokomentarza"/>
          <w:rFonts w:ascii="Verdana" w:eastAsia="Calibri" w:hAnsi="Verdana"/>
          <w:sz w:val="22"/>
          <w:szCs w:val="22"/>
          <w:lang w:eastAsia="en-US"/>
        </w:rPr>
        <w:t xml:space="preserve"> </w:t>
      </w:r>
      <w:r w:rsidRPr="000E4076">
        <w:rPr>
          <w:rFonts w:ascii="Verdana" w:hAnsi="Verdana"/>
          <w:sz w:val="22"/>
          <w:szCs w:val="22"/>
        </w:rPr>
        <w:t>UR</w:t>
      </w:r>
      <w:r w:rsidR="00C17DB5" w:rsidRPr="000E4076">
        <w:rPr>
          <w:rFonts w:ascii="Verdana" w:hAnsi="Verdana"/>
          <w:sz w:val="22"/>
          <w:szCs w:val="22"/>
        </w:rPr>
        <w:t>BACT II has been working to fill the gap through its local support groups which develop integrated local action plans. The quality of local strategies and action plans and the links with the mainstream programmes have still to be enhanced.</w:t>
      </w:r>
    </w:p>
    <w:p w:rsidR="00C17DB5" w:rsidRPr="000E4076" w:rsidRDefault="00C17DB5" w:rsidP="00A30018">
      <w:pPr>
        <w:spacing w:after="120" w:line="276" w:lineRule="auto"/>
        <w:jc w:val="both"/>
        <w:rPr>
          <w:rFonts w:ascii="Verdana" w:hAnsi="Verdana"/>
          <w:sz w:val="22"/>
          <w:szCs w:val="22"/>
        </w:rPr>
      </w:pPr>
      <w:r w:rsidRPr="000E4076">
        <w:rPr>
          <w:rFonts w:ascii="Verdana" w:hAnsi="Verdana"/>
          <w:sz w:val="22"/>
          <w:szCs w:val="22"/>
        </w:rPr>
        <w:t xml:space="preserve">To achieve quality, local strategies and action plans have to be designed based on a horizontal and vertical integration of actions and policies with more empowerment and participation of local stakeholders. </w:t>
      </w:r>
    </w:p>
    <w:p w:rsidR="00C17DB5" w:rsidRPr="000E4076" w:rsidRDefault="00C17DB5" w:rsidP="00A30018">
      <w:pPr>
        <w:spacing w:after="120" w:line="276" w:lineRule="auto"/>
        <w:jc w:val="both"/>
        <w:rPr>
          <w:rFonts w:ascii="Verdana" w:hAnsi="Verdana"/>
          <w:color w:val="000000"/>
          <w:sz w:val="22"/>
          <w:szCs w:val="22"/>
        </w:rPr>
      </w:pPr>
      <w:r w:rsidRPr="000E4076">
        <w:rPr>
          <w:rFonts w:ascii="Verdana" w:hAnsi="Verdana"/>
          <w:color w:val="000000"/>
          <w:sz w:val="22"/>
          <w:szCs w:val="22"/>
        </w:rPr>
        <w:t xml:space="preserve">Due to the complexity of urban challenges there is a need for a horizontal integration of the different social, economic, environmental and spatial dimensions. This requires a different type of working between departments within municipalities and among professions with more inter-disciplinary teams and decentralised decision making. </w:t>
      </w:r>
    </w:p>
    <w:p w:rsidR="00C17DB5" w:rsidRPr="000E4076" w:rsidRDefault="00C17DB5" w:rsidP="00A30018">
      <w:pPr>
        <w:spacing w:after="120" w:line="276" w:lineRule="auto"/>
        <w:jc w:val="both"/>
        <w:rPr>
          <w:rFonts w:ascii="Verdana" w:hAnsi="Verdana"/>
          <w:color w:val="000000"/>
          <w:sz w:val="22"/>
          <w:szCs w:val="22"/>
        </w:rPr>
      </w:pPr>
      <w:r w:rsidRPr="000E4076">
        <w:rPr>
          <w:rFonts w:ascii="Verdana" w:hAnsi="Verdana"/>
          <w:color w:val="000000"/>
          <w:sz w:val="22"/>
          <w:szCs w:val="22"/>
        </w:rPr>
        <w:t xml:space="preserve">Due to the increased </w:t>
      </w:r>
      <w:r w:rsidR="00C01195" w:rsidRPr="000E4076">
        <w:rPr>
          <w:rFonts w:ascii="Verdana" w:hAnsi="Verdana"/>
          <w:color w:val="000000"/>
          <w:sz w:val="22"/>
          <w:szCs w:val="22"/>
        </w:rPr>
        <w:t>inter</w:t>
      </w:r>
      <w:r w:rsidRPr="000E4076">
        <w:rPr>
          <w:rFonts w:ascii="Verdana" w:hAnsi="Verdana"/>
          <w:color w:val="000000"/>
          <w:sz w:val="22"/>
          <w:szCs w:val="22"/>
        </w:rPr>
        <w:t>dependence of city</w:t>
      </w:r>
      <w:r w:rsidR="00C01195" w:rsidRPr="000E4076">
        <w:rPr>
          <w:rFonts w:ascii="Verdana" w:hAnsi="Verdana"/>
          <w:color w:val="000000"/>
          <w:sz w:val="22"/>
          <w:szCs w:val="22"/>
        </w:rPr>
        <w:t>,</w:t>
      </w:r>
      <w:r w:rsidRPr="000E4076">
        <w:rPr>
          <w:rFonts w:ascii="Verdana" w:hAnsi="Verdana"/>
          <w:color w:val="000000"/>
          <w:sz w:val="22"/>
          <w:szCs w:val="22"/>
        </w:rPr>
        <w:t xml:space="preserve"> regional </w:t>
      </w:r>
      <w:r w:rsidR="00123559" w:rsidRPr="000E4076">
        <w:rPr>
          <w:rFonts w:ascii="Verdana" w:hAnsi="Verdana"/>
          <w:color w:val="000000"/>
          <w:sz w:val="22"/>
          <w:szCs w:val="22"/>
        </w:rPr>
        <w:t>and</w:t>
      </w:r>
      <w:r w:rsidRPr="000E4076">
        <w:rPr>
          <w:rFonts w:ascii="Verdana" w:hAnsi="Verdana"/>
          <w:color w:val="000000"/>
          <w:sz w:val="22"/>
          <w:szCs w:val="22"/>
        </w:rPr>
        <w:t xml:space="preserve"> metropolitan level</w:t>
      </w:r>
      <w:r w:rsidR="00123559" w:rsidRPr="000E4076">
        <w:rPr>
          <w:rFonts w:ascii="Verdana" w:hAnsi="Verdana"/>
          <w:color w:val="000000"/>
          <w:sz w:val="22"/>
          <w:szCs w:val="22"/>
        </w:rPr>
        <w:t>s</w:t>
      </w:r>
      <w:r w:rsidRPr="000E4076">
        <w:rPr>
          <w:rFonts w:ascii="Verdana" w:hAnsi="Verdana"/>
          <w:color w:val="000000"/>
          <w:sz w:val="22"/>
          <w:szCs w:val="22"/>
        </w:rPr>
        <w:t xml:space="preserve">, and </w:t>
      </w:r>
      <w:r w:rsidR="00C77F3F" w:rsidRPr="000E4076">
        <w:rPr>
          <w:rFonts w:ascii="Verdana" w:hAnsi="Verdana"/>
          <w:color w:val="000000"/>
          <w:sz w:val="22"/>
          <w:szCs w:val="22"/>
        </w:rPr>
        <w:t xml:space="preserve">of </w:t>
      </w:r>
      <w:r w:rsidRPr="000E4076">
        <w:rPr>
          <w:rFonts w:ascii="Verdana" w:hAnsi="Verdana"/>
          <w:color w:val="000000"/>
          <w:sz w:val="22"/>
          <w:szCs w:val="22"/>
        </w:rPr>
        <w:t xml:space="preserve">the core urban city </w:t>
      </w:r>
      <w:r w:rsidR="00C77F3F" w:rsidRPr="000E4076">
        <w:rPr>
          <w:rFonts w:ascii="Verdana" w:hAnsi="Verdana"/>
          <w:color w:val="000000"/>
          <w:sz w:val="22"/>
          <w:szCs w:val="22"/>
        </w:rPr>
        <w:t xml:space="preserve">with </w:t>
      </w:r>
      <w:r w:rsidRPr="000E4076">
        <w:rPr>
          <w:rFonts w:ascii="Verdana" w:hAnsi="Verdana"/>
          <w:color w:val="000000"/>
          <w:sz w:val="22"/>
          <w:szCs w:val="22"/>
        </w:rPr>
        <w:t>its more rural surrounding, there is a need of vertical integration. Beyond administrative borders, new ways of working are necessary based on the identification of common challenges.</w:t>
      </w:r>
    </w:p>
    <w:p w:rsidR="00C17DB5" w:rsidRPr="000E4076" w:rsidRDefault="00C17DB5" w:rsidP="00A30018">
      <w:pPr>
        <w:spacing w:after="120" w:line="276" w:lineRule="auto"/>
        <w:jc w:val="both"/>
        <w:rPr>
          <w:rFonts w:ascii="Verdana" w:hAnsi="Verdana"/>
          <w:sz w:val="22"/>
          <w:szCs w:val="22"/>
        </w:rPr>
      </w:pPr>
    </w:p>
    <w:p w:rsidR="00C17DB5" w:rsidRPr="00A72D85" w:rsidRDefault="00C17DB5" w:rsidP="00A30018">
      <w:pPr>
        <w:pStyle w:val="Nagwek5"/>
        <w:spacing w:after="120"/>
        <w:rPr>
          <w:rFonts w:ascii="Verdana" w:hAnsi="Verdana"/>
          <w:b/>
          <w:sz w:val="22"/>
          <w:szCs w:val="22"/>
        </w:rPr>
      </w:pPr>
      <w:r w:rsidRPr="00A72D85">
        <w:rPr>
          <w:rFonts w:ascii="Verdana" w:hAnsi="Verdana"/>
          <w:b/>
          <w:sz w:val="22"/>
          <w:szCs w:val="22"/>
        </w:rPr>
        <w:t xml:space="preserve">3 Cities need support for implementation of their integrated urban strategies and actions. </w:t>
      </w:r>
    </w:p>
    <w:p w:rsidR="00C17DB5" w:rsidRPr="000E4076" w:rsidRDefault="00C17DB5" w:rsidP="00A30018">
      <w:pPr>
        <w:spacing w:after="120" w:line="276" w:lineRule="auto"/>
        <w:jc w:val="both"/>
        <w:rPr>
          <w:rFonts w:ascii="Verdana" w:hAnsi="Verdana"/>
          <w:sz w:val="22"/>
          <w:szCs w:val="22"/>
        </w:rPr>
      </w:pPr>
    </w:p>
    <w:p w:rsidR="00C17DB5" w:rsidRPr="000E4076" w:rsidRDefault="00C17DB5" w:rsidP="00A30018">
      <w:pPr>
        <w:spacing w:after="120" w:line="276" w:lineRule="auto"/>
        <w:jc w:val="both"/>
        <w:rPr>
          <w:rFonts w:ascii="Verdana" w:hAnsi="Verdana"/>
          <w:sz w:val="22"/>
          <w:szCs w:val="22"/>
        </w:rPr>
      </w:pPr>
      <w:r w:rsidRPr="000E4076">
        <w:rPr>
          <w:rFonts w:ascii="Verdana" w:hAnsi="Verdana"/>
          <w:sz w:val="22"/>
          <w:szCs w:val="22"/>
        </w:rPr>
        <w:t xml:space="preserve">Cities need support not only to plan their strategy and actions; they also need support to improve the implementation of integrated urban strategies and actions. This relates to all </w:t>
      </w:r>
      <w:r w:rsidR="00C77F3F" w:rsidRPr="000E4076">
        <w:rPr>
          <w:rFonts w:ascii="Verdana" w:hAnsi="Verdana"/>
          <w:sz w:val="22"/>
          <w:szCs w:val="22"/>
        </w:rPr>
        <w:t xml:space="preserve">types of </w:t>
      </w:r>
      <w:r w:rsidRPr="000E4076">
        <w:rPr>
          <w:rFonts w:ascii="Verdana" w:hAnsi="Verdana"/>
          <w:sz w:val="22"/>
          <w:szCs w:val="22"/>
        </w:rPr>
        <w:t xml:space="preserve">cities in Europe which are mobilizing public or private, local, regional or national resources to implement their strategies. </w:t>
      </w:r>
    </w:p>
    <w:p w:rsidR="00C17DB5" w:rsidRPr="000E4076" w:rsidRDefault="00C17DB5" w:rsidP="00A30018">
      <w:pPr>
        <w:spacing w:after="120" w:line="276" w:lineRule="auto"/>
        <w:jc w:val="both"/>
        <w:rPr>
          <w:rFonts w:ascii="Verdana" w:hAnsi="Verdana"/>
          <w:sz w:val="22"/>
          <w:szCs w:val="22"/>
        </w:rPr>
      </w:pPr>
    </w:p>
    <w:p w:rsidR="00C17DB5" w:rsidRPr="000E4076" w:rsidRDefault="00C17DB5" w:rsidP="00A30018">
      <w:pPr>
        <w:spacing w:after="120" w:line="276" w:lineRule="auto"/>
        <w:jc w:val="both"/>
        <w:rPr>
          <w:rFonts w:ascii="Verdana" w:hAnsi="Verdana"/>
          <w:sz w:val="22"/>
          <w:szCs w:val="22"/>
        </w:rPr>
      </w:pPr>
      <w:r w:rsidRPr="000E4076">
        <w:rPr>
          <w:rFonts w:ascii="Verdana" w:hAnsi="Verdana"/>
          <w:sz w:val="22"/>
          <w:szCs w:val="22"/>
        </w:rPr>
        <w:t>Furthermore, with the new opportunities linked with the urban dimension, especially the article 7 of the ERDF regulation which requires a minimum of 5% of the national ERDF allocation to be put towards integrated sustainable urban development actions, a lot of cities will need support for a successful implementation of their strategies and actions in terms of speed, quality of execution, participatory process.</w:t>
      </w:r>
    </w:p>
    <w:p w:rsidR="00C17DB5" w:rsidRPr="000E4076" w:rsidRDefault="00C17DB5" w:rsidP="00A30018">
      <w:pPr>
        <w:pStyle w:val="Nagwek5"/>
        <w:spacing w:after="120"/>
        <w:rPr>
          <w:rFonts w:ascii="Verdana" w:hAnsi="Verdana"/>
          <w:sz w:val="22"/>
          <w:szCs w:val="22"/>
        </w:rPr>
      </w:pPr>
    </w:p>
    <w:p w:rsidR="00A72D85" w:rsidRDefault="00A72D85" w:rsidP="00A30018">
      <w:pPr>
        <w:pStyle w:val="Nagwek5"/>
        <w:spacing w:after="120"/>
        <w:rPr>
          <w:rFonts w:ascii="Verdana" w:hAnsi="Verdana"/>
          <w:b/>
          <w:sz w:val="22"/>
          <w:szCs w:val="22"/>
        </w:rPr>
      </w:pPr>
    </w:p>
    <w:p w:rsidR="00A72D85" w:rsidRDefault="00A72D85" w:rsidP="00A30018">
      <w:pPr>
        <w:pStyle w:val="Nagwek5"/>
        <w:spacing w:after="120"/>
        <w:rPr>
          <w:rFonts w:ascii="Verdana" w:hAnsi="Verdana"/>
          <w:b/>
          <w:sz w:val="22"/>
          <w:szCs w:val="22"/>
        </w:rPr>
      </w:pPr>
    </w:p>
    <w:p w:rsidR="00C17DB5" w:rsidRPr="00A72D85" w:rsidRDefault="00C17DB5" w:rsidP="00A30018">
      <w:pPr>
        <w:pStyle w:val="Nagwek5"/>
        <w:spacing w:after="120"/>
        <w:rPr>
          <w:rFonts w:ascii="Verdana" w:hAnsi="Verdana"/>
          <w:b/>
          <w:iCs/>
          <w:sz w:val="22"/>
          <w:szCs w:val="22"/>
        </w:rPr>
      </w:pPr>
      <w:r w:rsidRPr="00A72D85">
        <w:rPr>
          <w:rFonts w:ascii="Verdana" w:hAnsi="Verdana"/>
          <w:b/>
          <w:sz w:val="22"/>
          <w:szCs w:val="22"/>
        </w:rPr>
        <w:t xml:space="preserve">4 </w:t>
      </w:r>
      <w:r w:rsidRPr="00A72D85">
        <w:rPr>
          <w:rFonts w:ascii="Verdana" w:hAnsi="Verdana"/>
          <w:b/>
          <w:iCs/>
          <w:sz w:val="22"/>
          <w:szCs w:val="22"/>
        </w:rPr>
        <w:t>Practitioners and decisions makers</w:t>
      </w:r>
      <w:r w:rsidRPr="00A72D85">
        <w:rPr>
          <w:rFonts w:ascii="Verdana" w:hAnsi="Verdana"/>
          <w:b/>
          <w:sz w:val="22"/>
          <w:szCs w:val="22"/>
        </w:rPr>
        <w:t xml:space="preserve"> </w:t>
      </w:r>
      <w:r w:rsidRPr="00A72D85">
        <w:rPr>
          <w:rFonts w:ascii="Verdana" w:hAnsi="Verdana"/>
          <w:b/>
          <w:iCs/>
          <w:sz w:val="22"/>
          <w:szCs w:val="22"/>
        </w:rPr>
        <w:t xml:space="preserve">of cities, national, regional and EU </w:t>
      </w:r>
      <w:r w:rsidR="001510A9" w:rsidRPr="00A72D85">
        <w:rPr>
          <w:rFonts w:ascii="Verdana" w:hAnsi="Verdana"/>
          <w:b/>
          <w:iCs/>
          <w:sz w:val="22"/>
          <w:szCs w:val="22"/>
        </w:rPr>
        <w:t xml:space="preserve">need to </w:t>
      </w:r>
      <w:r w:rsidRPr="00A72D85">
        <w:rPr>
          <w:rFonts w:ascii="Verdana" w:hAnsi="Verdana"/>
          <w:b/>
          <w:iCs/>
          <w:sz w:val="22"/>
          <w:szCs w:val="22"/>
        </w:rPr>
        <w:t>have access and share relevant knowledge to foster sustainable urban development</w:t>
      </w:r>
    </w:p>
    <w:p w:rsidR="00C17DB5" w:rsidRPr="000E4076" w:rsidRDefault="00C17DB5" w:rsidP="00A30018">
      <w:pPr>
        <w:spacing w:after="120" w:line="276" w:lineRule="auto"/>
        <w:rPr>
          <w:rFonts w:ascii="Verdana" w:hAnsi="Verdana"/>
          <w:sz w:val="22"/>
          <w:szCs w:val="22"/>
        </w:rPr>
      </w:pPr>
    </w:p>
    <w:p w:rsidR="00C17DB5" w:rsidRPr="000E4076" w:rsidRDefault="00C17DB5" w:rsidP="00A30018">
      <w:pPr>
        <w:spacing w:after="120" w:line="276" w:lineRule="auto"/>
        <w:jc w:val="both"/>
        <w:rPr>
          <w:rFonts w:ascii="Verdana" w:hAnsi="Verdana"/>
          <w:color w:val="000000"/>
          <w:sz w:val="22"/>
          <w:szCs w:val="22"/>
        </w:rPr>
      </w:pPr>
      <w:r w:rsidRPr="000E4076">
        <w:rPr>
          <w:rFonts w:ascii="Verdana" w:hAnsi="Verdana"/>
          <w:color w:val="000000"/>
          <w:sz w:val="22"/>
          <w:szCs w:val="22"/>
        </w:rPr>
        <w:t>Cities cannot work alone. They need to develop their strategies together with other cities, with actors such as managing authorities, as well with those at the regional, national and European levels.</w:t>
      </w:r>
    </w:p>
    <w:p w:rsidR="00C17DB5" w:rsidRPr="000E4076" w:rsidRDefault="00C17DB5" w:rsidP="00A30018">
      <w:pPr>
        <w:spacing w:after="120" w:line="276" w:lineRule="auto"/>
        <w:jc w:val="both"/>
        <w:rPr>
          <w:rFonts w:ascii="Verdana" w:hAnsi="Verdana"/>
          <w:sz w:val="22"/>
          <w:szCs w:val="22"/>
        </w:rPr>
      </w:pPr>
      <w:r w:rsidRPr="000E4076">
        <w:rPr>
          <w:rFonts w:ascii="Verdana" w:hAnsi="Verdana"/>
          <w:sz w:val="22"/>
          <w:szCs w:val="22"/>
        </w:rPr>
        <w:t>At programme level, URBACT II has been able to draw on the experience of cities through capitalisation activities to build deeper understanding of issues in urban development</w:t>
      </w:r>
      <w:r w:rsidRPr="000E4076">
        <w:rPr>
          <w:rStyle w:val="Odwoanieprzypisudolnego"/>
          <w:rFonts w:ascii="Verdana" w:eastAsia="SimSun" w:hAnsi="Verdana"/>
          <w:sz w:val="22"/>
          <w:szCs w:val="22"/>
        </w:rPr>
        <w:footnoteReference w:id="25"/>
      </w:r>
      <w:r w:rsidRPr="000E4076">
        <w:rPr>
          <w:rFonts w:ascii="Verdana" w:hAnsi="Verdana"/>
          <w:sz w:val="22"/>
          <w:szCs w:val="22"/>
        </w:rPr>
        <w:t xml:space="preserve">. </w:t>
      </w:r>
    </w:p>
    <w:p w:rsidR="00C17DB5" w:rsidRPr="000E4076" w:rsidRDefault="00C17DB5" w:rsidP="00A30018">
      <w:pPr>
        <w:spacing w:after="120" w:line="276" w:lineRule="auto"/>
        <w:jc w:val="both"/>
        <w:rPr>
          <w:rFonts w:ascii="Verdana" w:hAnsi="Verdana"/>
          <w:color w:val="000000"/>
          <w:sz w:val="22"/>
          <w:szCs w:val="22"/>
        </w:rPr>
      </w:pPr>
      <w:r w:rsidRPr="000E4076">
        <w:rPr>
          <w:rFonts w:ascii="Verdana" w:hAnsi="Verdana"/>
          <w:sz w:val="22"/>
          <w:szCs w:val="22"/>
        </w:rPr>
        <w:t xml:space="preserve">It is crucial that </w:t>
      </w:r>
      <w:r w:rsidRPr="000E4076">
        <w:rPr>
          <w:rFonts w:ascii="Verdana" w:hAnsi="Verdana"/>
          <w:color w:val="000000"/>
          <w:sz w:val="22"/>
          <w:szCs w:val="22"/>
        </w:rPr>
        <w:t>capitalisation and dissemination of knowledge and know-how acquired in URBACT, especially through networking activities but also through an enhanced link with urban research, contribute to a common understanding of integrated urban development at EU, national, regional and local level, beyond cities directly involved in URBACT networks.</w:t>
      </w:r>
    </w:p>
    <w:p w:rsidR="00C17DB5" w:rsidRPr="000E4076" w:rsidRDefault="00C17DB5" w:rsidP="00A30018">
      <w:pPr>
        <w:spacing w:after="120" w:line="276" w:lineRule="auto"/>
        <w:jc w:val="both"/>
        <w:rPr>
          <w:rFonts w:ascii="Verdana" w:hAnsi="Verdana"/>
          <w:b/>
          <w:sz w:val="22"/>
          <w:szCs w:val="22"/>
        </w:rPr>
      </w:pPr>
    </w:p>
    <w:p w:rsidR="00C17DB5" w:rsidRPr="00334700" w:rsidRDefault="00C17DB5" w:rsidP="00334700">
      <w:pPr>
        <w:pStyle w:val="Nagwek2"/>
        <w:ind w:left="57"/>
      </w:pPr>
      <w:bookmarkStart w:id="9" w:name="_Toc401325783"/>
      <w:r w:rsidRPr="00334700">
        <w:t>1.1.3 Strategy</w:t>
      </w:r>
      <w:bookmarkEnd w:id="9"/>
    </w:p>
    <w:p w:rsidR="00A30018" w:rsidRDefault="00A30018" w:rsidP="00A30018">
      <w:pPr>
        <w:spacing w:after="120" w:line="276" w:lineRule="auto"/>
        <w:jc w:val="both"/>
        <w:textAlignment w:val="top"/>
        <w:rPr>
          <w:rFonts w:ascii="Verdana" w:hAnsi="Verdana"/>
          <w:sz w:val="22"/>
          <w:szCs w:val="22"/>
          <w:lang w:eastAsia="ar-SA"/>
        </w:rPr>
      </w:pPr>
    </w:p>
    <w:p w:rsidR="00C17DB5" w:rsidRPr="000E4076" w:rsidRDefault="00C17DB5" w:rsidP="00A30018">
      <w:pPr>
        <w:spacing w:after="120" w:line="276" w:lineRule="auto"/>
        <w:jc w:val="both"/>
        <w:textAlignment w:val="top"/>
        <w:rPr>
          <w:color w:val="000000"/>
          <w:sz w:val="22"/>
          <w:szCs w:val="22"/>
        </w:rPr>
      </w:pPr>
      <w:r w:rsidRPr="000E4076">
        <w:rPr>
          <w:rFonts w:ascii="Verdana" w:hAnsi="Verdana"/>
          <w:sz w:val="22"/>
          <w:szCs w:val="22"/>
          <w:lang w:eastAsia="ar-SA"/>
        </w:rPr>
        <w:t xml:space="preserve">To </w:t>
      </w:r>
      <w:r w:rsidRPr="000E4076">
        <w:rPr>
          <w:rFonts w:ascii="Verdana" w:hAnsi="Verdana"/>
          <w:color w:val="000000"/>
          <w:sz w:val="22"/>
          <w:szCs w:val="22"/>
        </w:rPr>
        <w:t xml:space="preserve">respond to the manifold challenges they are facing, </w:t>
      </w:r>
      <w:r w:rsidRPr="000E4076">
        <w:rPr>
          <w:rFonts w:ascii="Verdana" w:hAnsi="Verdana"/>
          <w:sz w:val="22"/>
          <w:szCs w:val="22"/>
          <w:lang w:eastAsia="ar-SA"/>
        </w:rPr>
        <w:t xml:space="preserve">city administrations </w:t>
      </w:r>
      <w:r w:rsidRPr="000E4076">
        <w:rPr>
          <w:rFonts w:ascii="Verdana" w:hAnsi="Verdana"/>
          <w:color w:val="000000"/>
          <w:sz w:val="22"/>
          <w:szCs w:val="22"/>
        </w:rPr>
        <w:t>need to continually improve and build knowledge and skills to enable them to develop and implement sustainable integrated policy.</w:t>
      </w:r>
    </w:p>
    <w:p w:rsidR="00C17DB5" w:rsidRPr="000E4076" w:rsidRDefault="00C17DB5" w:rsidP="00A30018">
      <w:pPr>
        <w:spacing w:after="120" w:line="276" w:lineRule="auto"/>
        <w:jc w:val="both"/>
        <w:textAlignment w:val="top"/>
        <w:rPr>
          <w:rFonts w:ascii="Verdana" w:hAnsi="Verdana"/>
          <w:color w:val="000000"/>
          <w:sz w:val="22"/>
          <w:szCs w:val="22"/>
        </w:rPr>
      </w:pPr>
      <w:r w:rsidRPr="000E4076">
        <w:rPr>
          <w:rFonts w:ascii="Verdana" w:hAnsi="Verdana"/>
          <w:color w:val="000000"/>
          <w:sz w:val="22"/>
          <w:szCs w:val="22"/>
        </w:rPr>
        <w:t>This increase of capacity will have positive impacts for the implementation of the operational programmes in the programming period 2014-2020 when the urban dimension of the cohesion policy will be strengthened.</w:t>
      </w:r>
    </w:p>
    <w:p w:rsidR="000565D8" w:rsidRPr="000E4076" w:rsidRDefault="000565D8" w:rsidP="00A30018">
      <w:pPr>
        <w:spacing w:after="120" w:line="276" w:lineRule="auto"/>
        <w:jc w:val="both"/>
        <w:rPr>
          <w:rFonts w:ascii="Verdana" w:hAnsi="Verdana"/>
          <w:color w:val="000000"/>
          <w:sz w:val="22"/>
          <w:szCs w:val="22"/>
        </w:rPr>
      </w:pPr>
    </w:p>
    <w:p w:rsidR="00C17DB5" w:rsidRPr="000E4076" w:rsidRDefault="00C17DB5" w:rsidP="00A30018">
      <w:pPr>
        <w:spacing w:after="120" w:line="276" w:lineRule="auto"/>
        <w:jc w:val="both"/>
        <w:rPr>
          <w:rFonts w:ascii="Verdana" w:hAnsi="Verdana"/>
          <w:color w:val="000000"/>
          <w:sz w:val="22"/>
          <w:szCs w:val="22"/>
        </w:rPr>
      </w:pPr>
      <w:r w:rsidRPr="000E4076">
        <w:rPr>
          <w:rFonts w:ascii="Verdana" w:hAnsi="Verdana"/>
          <w:color w:val="000000"/>
          <w:sz w:val="22"/>
          <w:szCs w:val="22"/>
        </w:rPr>
        <w:t>URBACT III is in a position to use its resources and know-how to strengthen the capacity in cities to deliver integrated urban strategy and actions on the thematic objectives corresponding to their challenges.</w:t>
      </w:r>
    </w:p>
    <w:p w:rsidR="00C17DB5" w:rsidRPr="000E4076" w:rsidRDefault="00C17DB5" w:rsidP="00A30018">
      <w:pPr>
        <w:pStyle w:val="Tekstkomentarza"/>
        <w:spacing w:after="120" w:line="276" w:lineRule="auto"/>
        <w:jc w:val="both"/>
        <w:rPr>
          <w:sz w:val="22"/>
          <w:szCs w:val="22"/>
        </w:rPr>
      </w:pPr>
      <w:r w:rsidRPr="000E4076">
        <w:rPr>
          <w:rFonts w:ascii="Verdana" w:hAnsi="Verdana"/>
          <w:color w:val="000000"/>
          <w:sz w:val="22"/>
          <w:szCs w:val="22"/>
        </w:rPr>
        <w:t xml:space="preserve">URBACT does not directly invest in urban development (such as road building or science park construction). Instead the programme enables exchange and learning between elected officials, officers and other city stakeholders; it contributes to the improvement of the quality of planning and implementation of integrated urban plans and programmes in cities, through policy learning on sustainable urban development, through the setting up of Local Support Groups and the Local Action Plans that they produce. URBACT </w:t>
      </w:r>
      <w:r w:rsidR="00123559" w:rsidRPr="000E4076">
        <w:rPr>
          <w:rFonts w:ascii="Verdana" w:hAnsi="Verdana"/>
          <w:color w:val="000000"/>
          <w:sz w:val="22"/>
          <w:szCs w:val="22"/>
        </w:rPr>
        <w:t xml:space="preserve">aims to have </w:t>
      </w:r>
      <w:r w:rsidRPr="000E4076">
        <w:rPr>
          <w:rFonts w:ascii="Verdana" w:hAnsi="Verdana"/>
          <w:color w:val="000000"/>
          <w:sz w:val="22"/>
          <w:szCs w:val="22"/>
        </w:rPr>
        <w:t>an indirect effect on the implementation</w:t>
      </w:r>
      <w:r w:rsidR="00ED1288" w:rsidRPr="000E4076">
        <w:rPr>
          <w:rFonts w:ascii="Verdana" w:hAnsi="Verdana"/>
          <w:color w:val="000000"/>
          <w:sz w:val="22"/>
          <w:szCs w:val="22"/>
        </w:rPr>
        <w:t xml:space="preserve"> in mainstream Operational Programmes.</w:t>
      </w:r>
      <w:r w:rsidRPr="000E4076">
        <w:rPr>
          <w:rFonts w:ascii="Verdana" w:hAnsi="Verdana"/>
          <w:color w:val="000000"/>
          <w:sz w:val="22"/>
          <w:szCs w:val="22"/>
        </w:rPr>
        <w:t xml:space="preserve"> </w:t>
      </w:r>
    </w:p>
    <w:p w:rsidR="00C17DB5" w:rsidRPr="000E4076" w:rsidRDefault="00C17DB5" w:rsidP="00A30018">
      <w:pPr>
        <w:spacing w:after="120" w:line="276" w:lineRule="auto"/>
        <w:jc w:val="both"/>
        <w:rPr>
          <w:rFonts w:ascii="Verdana" w:hAnsi="Verdana"/>
          <w:color w:val="000000"/>
          <w:sz w:val="22"/>
          <w:szCs w:val="22"/>
        </w:rPr>
      </w:pPr>
      <w:r w:rsidRPr="000E4076">
        <w:rPr>
          <w:rFonts w:ascii="Verdana" w:hAnsi="Verdana"/>
          <w:color w:val="000000"/>
          <w:sz w:val="22"/>
          <w:szCs w:val="22"/>
        </w:rPr>
        <w:t>This is the reason why the most appropriate option is to position all the activities of the programme under a specific investment priority dedicated to URBACT III within the thematic objective 11 “enhancing institutional capacity and efficient public administration”.</w:t>
      </w:r>
    </w:p>
    <w:p w:rsidR="00230C42" w:rsidRPr="000E4076" w:rsidRDefault="00C17DB5" w:rsidP="00A30018">
      <w:pPr>
        <w:spacing w:after="120" w:line="276" w:lineRule="auto"/>
        <w:jc w:val="both"/>
        <w:rPr>
          <w:rFonts w:ascii="Verdana" w:hAnsi="Verdana"/>
          <w:color w:val="000000"/>
          <w:sz w:val="22"/>
          <w:szCs w:val="22"/>
        </w:rPr>
      </w:pPr>
      <w:r w:rsidRPr="000E4076">
        <w:rPr>
          <w:rFonts w:ascii="Verdana" w:hAnsi="Verdana"/>
          <w:color w:val="000000"/>
          <w:sz w:val="22"/>
          <w:szCs w:val="22"/>
        </w:rPr>
        <w:t xml:space="preserve">The four specific objectives </w:t>
      </w:r>
      <w:r w:rsidR="00230C42" w:rsidRPr="000E4076">
        <w:rPr>
          <w:rFonts w:ascii="Verdana" w:hAnsi="Verdana"/>
          <w:color w:val="000000"/>
          <w:sz w:val="22"/>
          <w:szCs w:val="22"/>
        </w:rPr>
        <w:t xml:space="preserve">(section 2) </w:t>
      </w:r>
      <w:r w:rsidRPr="000E4076">
        <w:rPr>
          <w:rFonts w:ascii="Verdana" w:hAnsi="Verdana"/>
          <w:color w:val="000000"/>
          <w:sz w:val="22"/>
          <w:szCs w:val="22"/>
        </w:rPr>
        <w:t xml:space="preserve">of the unique investment priority of URBACT are related to </w:t>
      </w:r>
      <w:r w:rsidR="00230C42" w:rsidRPr="000E4076">
        <w:rPr>
          <w:rFonts w:ascii="Verdana" w:hAnsi="Verdana"/>
          <w:color w:val="000000"/>
          <w:sz w:val="22"/>
          <w:szCs w:val="22"/>
        </w:rPr>
        <w:t xml:space="preserve">the four </w:t>
      </w:r>
      <w:r w:rsidRPr="000E4076">
        <w:rPr>
          <w:rFonts w:ascii="Verdana" w:hAnsi="Verdana"/>
          <w:color w:val="000000"/>
          <w:sz w:val="22"/>
          <w:szCs w:val="22"/>
        </w:rPr>
        <w:t>needs</w:t>
      </w:r>
      <w:r w:rsidR="00230C42" w:rsidRPr="000E4076">
        <w:rPr>
          <w:rFonts w:ascii="Verdana" w:hAnsi="Verdana"/>
          <w:color w:val="000000"/>
          <w:sz w:val="22"/>
          <w:szCs w:val="22"/>
        </w:rPr>
        <w:t xml:space="preserve"> (paragraph 1.1.2)</w:t>
      </w:r>
      <w:r w:rsidRPr="000E4076">
        <w:rPr>
          <w:rFonts w:ascii="Verdana" w:hAnsi="Verdana"/>
          <w:color w:val="000000"/>
          <w:sz w:val="22"/>
          <w:szCs w:val="22"/>
        </w:rPr>
        <w:t xml:space="preserve"> where URBACT can provide a European platform for exchange, learning, capitalisation and dissemination</w:t>
      </w:r>
      <w:r w:rsidR="00230C42" w:rsidRPr="000E4076">
        <w:rPr>
          <w:rFonts w:ascii="Verdana" w:hAnsi="Verdana"/>
          <w:color w:val="000000"/>
          <w:sz w:val="22"/>
          <w:szCs w:val="22"/>
        </w:rPr>
        <w:t>:</w:t>
      </w:r>
    </w:p>
    <w:p w:rsidR="00721521" w:rsidRPr="000E4076" w:rsidRDefault="00721521" w:rsidP="00A30018">
      <w:pPr>
        <w:spacing w:after="120" w:line="276" w:lineRule="auto"/>
        <w:jc w:val="both"/>
        <w:rPr>
          <w:rFonts w:ascii="Verdana" w:hAnsi="Verdana"/>
          <w:sz w:val="22"/>
          <w:szCs w:val="22"/>
        </w:rPr>
      </w:pPr>
    </w:p>
    <w:p w:rsidR="00C17DB5" w:rsidRPr="000E4076" w:rsidRDefault="00C17DB5" w:rsidP="008166DD">
      <w:pPr>
        <w:pStyle w:val="Akapitzlist"/>
        <w:numPr>
          <w:ilvl w:val="0"/>
          <w:numId w:val="20"/>
        </w:numPr>
        <w:spacing w:after="120"/>
        <w:ind w:left="924" w:hanging="357"/>
        <w:jc w:val="both"/>
        <w:rPr>
          <w:rFonts w:ascii="Verdana" w:hAnsi="Verdana"/>
        </w:rPr>
      </w:pPr>
      <w:r w:rsidRPr="000E4076">
        <w:rPr>
          <w:rFonts w:ascii="Verdana" w:hAnsi="Verdana"/>
        </w:rPr>
        <w:t>Cities need to improve their capacity to develop and implement integrated urban</w:t>
      </w:r>
      <w:r w:rsidR="007270F8" w:rsidRPr="000E4076">
        <w:rPr>
          <w:rFonts w:ascii="Verdana" w:hAnsi="Verdana"/>
        </w:rPr>
        <w:t xml:space="preserve"> strategies and actions</w:t>
      </w:r>
      <w:r w:rsidRPr="000E4076">
        <w:rPr>
          <w:rFonts w:ascii="Verdana" w:hAnsi="Verdana"/>
        </w:rPr>
        <w:t>.</w:t>
      </w:r>
    </w:p>
    <w:p w:rsidR="00724AF5" w:rsidRPr="000E4076" w:rsidRDefault="00724AF5" w:rsidP="008166DD">
      <w:pPr>
        <w:pStyle w:val="Paragraphedeliste3"/>
        <w:numPr>
          <w:ilvl w:val="0"/>
          <w:numId w:val="20"/>
        </w:numPr>
        <w:spacing w:after="120"/>
        <w:ind w:left="924" w:hanging="357"/>
        <w:contextualSpacing w:val="0"/>
        <w:jc w:val="both"/>
        <w:rPr>
          <w:rFonts w:ascii="Verdana" w:hAnsi="Verdana"/>
        </w:rPr>
      </w:pPr>
      <w:r w:rsidRPr="000E4076">
        <w:rPr>
          <w:rFonts w:ascii="Verdana" w:hAnsi="Verdana"/>
        </w:rPr>
        <w:t>Cities need integrated urban strategies and actions for sustainable development.</w:t>
      </w:r>
    </w:p>
    <w:p w:rsidR="00C17DB5" w:rsidRPr="000E4076" w:rsidRDefault="00C17DB5" w:rsidP="008166DD">
      <w:pPr>
        <w:pStyle w:val="Paragraphedeliste3"/>
        <w:numPr>
          <w:ilvl w:val="0"/>
          <w:numId w:val="20"/>
        </w:numPr>
        <w:spacing w:after="120"/>
        <w:ind w:left="924" w:hanging="357"/>
        <w:contextualSpacing w:val="0"/>
        <w:jc w:val="both"/>
        <w:rPr>
          <w:rFonts w:ascii="Verdana" w:hAnsi="Verdana"/>
        </w:rPr>
      </w:pPr>
      <w:r w:rsidRPr="000E4076">
        <w:rPr>
          <w:rFonts w:ascii="Verdana" w:hAnsi="Verdana"/>
        </w:rPr>
        <w:t xml:space="preserve">Cities need support for implementation of their integrated urban strategies and actions. </w:t>
      </w:r>
    </w:p>
    <w:p w:rsidR="00C17DB5" w:rsidRPr="000E4076" w:rsidRDefault="00C17DB5" w:rsidP="008166DD">
      <w:pPr>
        <w:pStyle w:val="Paragraphedeliste3"/>
        <w:numPr>
          <w:ilvl w:val="0"/>
          <w:numId w:val="20"/>
        </w:numPr>
        <w:spacing w:after="120"/>
        <w:ind w:left="924" w:hanging="357"/>
        <w:contextualSpacing w:val="0"/>
        <w:jc w:val="both"/>
        <w:rPr>
          <w:rFonts w:ascii="Verdana" w:hAnsi="Verdana"/>
        </w:rPr>
      </w:pPr>
      <w:r w:rsidRPr="000E4076">
        <w:rPr>
          <w:rFonts w:ascii="Verdana" w:hAnsi="Verdana"/>
          <w:iCs/>
        </w:rPr>
        <w:t>Practitioners and decisions makers</w:t>
      </w:r>
      <w:r w:rsidRPr="000E4076">
        <w:rPr>
          <w:rFonts w:ascii="Verdana" w:hAnsi="Verdana"/>
        </w:rPr>
        <w:t xml:space="preserve"> </w:t>
      </w:r>
      <w:r w:rsidRPr="000E4076">
        <w:rPr>
          <w:rFonts w:ascii="Verdana" w:hAnsi="Verdana"/>
          <w:iCs/>
        </w:rPr>
        <w:t xml:space="preserve">of cities, national, regional and EU </w:t>
      </w:r>
      <w:r w:rsidR="00360662" w:rsidRPr="000E4076">
        <w:rPr>
          <w:rFonts w:ascii="Verdana" w:hAnsi="Verdana"/>
          <w:iCs/>
        </w:rPr>
        <w:t>need to</w:t>
      </w:r>
      <w:r w:rsidRPr="000E4076">
        <w:rPr>
          <w:rFonts w:ascii="Verdana" w:hAnsi="Verdana"/>
          <w:iCs/>
        </w:rPr>
        <w:t xml:space="preserve"> have access and share relevant knowledge to foster sustainable urban development</w:t>
      </w:r>
    </w:p>
    <w:p w:rsidR="00C17DB5" w:rsidRPr="000E4076" w:rsidRDefault="00C17DB5" w:rsidP="00A30018">
      <w:pPr>
        <w:spacing w:after="120" w:line="276" w:lineRule="auto"/>
        <w:jc w:val="both"/>
        <w:rPr>
          <w:rFonts w:ascii="Verdana" w:hAnsi="Verdana"/>
          <w:sz w:val="22"/>
          <w:szCs w:val="22"/>
        </w:rPr>
      </w:pPr>
      <w:r w:rsidRPr="000E4076">
        <w:rPr>
          <w:rFonts w:ascii="Verdana" w:hAnsi="Verdana"/>
          <w:sz w:val="22"/>
          <w:szCs w:val="22"/>
        </w:rPr>
        <w:t xml:space="preserve">With its four specific objectives URBACT will contribute to answer to the needs of all stakeholders at every stage of the delivery of urban policy and action. This in turn requires targeted and high quality capacity building, the exchange of good practices and a continuous learning culture at city, regional and EU levels.  </w:t>
      </w:r>
    </w:p>
    <w:p w:rsidR="00C17DB5" w:rsidRPr="000E4076" w:rsidRDefault="00C17DB5" w:rsidP="00A30018">
      <w:pPr>
        <w:spacing w:after="120" w:line="276" w:lineRule="auto"/>
        <w:jc w:val="both"/>
        <w:rPr>
          <w:rFonts w:ascii="Verdana" w:hAnsi="Verdana"/>
          <w:sz w:val="22"/>
          <w:szCs w:val="22"/>
        </w:rPr>
      </w:pPr>
      <w:r w:rsidRPr="000E4076">
        <w:rPr>
          <w:rFonts w:ascii="Verdana" w:hAnsi="Verdana"/>
          <w:sz w:val="22"/>
          <w:szCs w:val="22"/>
        </w:rPr>
        <w:t xml:space="preserve">The promotion of good ideas and practices for cities beyond the national limits at European level is essential for the innovation for cities. Indeed cities are part of a very fragmented public sector with high levels of hysteresis and path dependency.  Cities (especially small and medium sized ones) lack the resources to identify and exchange European good practice by themselves this problem is exacerbated in a period of austerity.  URBACT can provide a relatively low cost access to the latest thinking and practice for all cities across Europe and combine this know-how with an action oriented method. </w:t>
      </w:r>
    </w:p>
    <w:p w:rsidR="00276D3A" w:rsidRPr="000E4076" w:rsidRDefault="00276D3A" w:rsidP="00A30018">
      <w:pPr>
        <w:spacing w:after="120" w:line="276" w:lineRule="auto"/>
        <w:jc w:val="both"/>
        <w:rPr>
          <w:rFonts w:ascii="Verdana" w:hAnsi="Verdana"/>
          <w:sz w:val="22"/>
          <w:szCs w:val="22"/>
        </w:rPr>
      </w:pPr>
    </w:p>
    <w:p w:rsidR="00C17DB5" w:rsidRPr="000E4076" w:rsidRDefault="00C17DB5" w:rsidP="00A30018">
      <w:pPr>
        <w:spacing w:after="120" w:line="276" w:lineRule="auto"/>
        <w:jc w:val="both"/>
        <w:rPr>
          <w:rFonts w:ascii="Verdana" w:hAnsi="Verdana"/>
          <w:sz w:val="22"/>
          <w:szCs w:val="22"/>
        </w:rPr>
      </w:pPr>
      <w:r w:rsidRPr="000E4076">
        <w:rPr>
          <w:rFonts w:ascii="Verdana" w:hAnsi="Verdana"/>
          <w:sz w:val="22"/>
          <w:szCs w:val="22"/>
        </w:rPr>
        <w:t xml:space="preserve">Cities which will benefit from ERDF will have many opportunities to work with URBACT when designing and implementing integrated urban strategy and actions plans; indeed they will have the opportunity to participate in its networks, capacity building and capitalisation activities. Therefore bridges will be made between the URBACT mostly small-scale innovatory actions and mainstream structural investments in cities. </w:t>
      </w:r>
    </w:p>
    <w:p w:rsidR="00C17DB5" w:rsidRDefault="00C17DB5" w:rsidP="00A30018">
      <w:pPr>
        <w:spacing w:after="120" w:line="276" w:lineRule="auto"/>
        <w:jc w:val="both"/>
        <w:rPr>
          <w:rFonts w:ascii="Verdana" w:hAnsi="Verdana"/>
          <w:b/>
          <w:sz w:val="22"/>
          <w:szCs w:val="22"/>
        </w:rPr>
      </w:pPr>
    </w:p>
    <w:p w:rsidR="00A72D85" w:rsidRPr="000E4076" w:rsidRDefault="00A72D85" w:rsidP="00A30018">
      <w:pPr>
        <w:spacing w:after="120" w:line="276" w:lineRule="auto"/>
        <w:jc w:val="both"/>
        <w:rPr>
          <w:rFonts w:ascii="Verdana" w:hAnsi="Verdana"/>
          <w:b/>
          <w:sz w:val="22"/>
          <w:szCs w:val="22"/>
        </w:rPr>
      </w:pPr>
    </w:p>
    <w:p w:rsidR="00C17DB5" w:rsidRPr="000E4076" w:rsidRDefault="00C17DB5" w:rsidP="00A30018">
      <w:pPr>
        <w:spacing w:after="120" w:line="276" w:lineRule="auto"/>
        <w:jc w:val="both"/>
        <w:rPr>
          <w:rFonts w:ascii="Verdana" w:hAnsi="Verdana"/>
          <w:b/>
          <w:sz w:val="22"/>
          <w:szCs w:val="22"/>
        </w:rPr>
      </w:pPr>
      <w:r w:rsidRPr="000E4076">
        <w:rPr>
          <w:rFonts w:ascii="Verdana" w:hAnsi="Verdana"/>
          <w:b/>
          <w:sz w:val="22"/>
          <w:szCs w:val="22"/>
        </w:rPr>
        <w:t>Table 1: A synthetic overview of the justification for the selection of thematic objectives and investment priorities:</w:t>
      </w:r>
    </w:p>
    <w:p w:rsidR="00276D3A" w:rsidRPr="004F5F2B" w:rsidRDefault="00276D3A" w:rsidP="00C17DB5">
      <w:pPr>
        <w:jc w:val="both"/>
        <w:rPr>
          <w:rFonts w:ascii="Verdana" w:hAnsi="Verdana"/>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2"/>
        <w:gridCol w:w="3461"/>
        <w:gridCol w:w="4341"/>
      </w:tblGrid>
      <w:tr w:rsidR="00C17DB5" w:rsidRPr="004F5F2B" w:rsidTr="000E4076">
        <w:tc>
          <w:tcPr>
            <w:tcW w:w="0" w:type="auto"/>
            <w:shd w:val="clear" w:color="auto" w:fill="C6D9F1"/>
          </w:tcPr>
          <w:p w:rsidR="00C17DB5" w:rsidRPr="004F5F2B" w:rsidRDefault="00C17DB5" w:rsidP="00C17DB5">
            <w:pPr>
              <w:spacing w:before="120" w:after="120"/>
              <w:jc w:val="both"/>
              <w:rPr>
                <w:rFonts w:ascii="Verdana" w:hAnsi="Verdana"/>
                <w:b/>
                <w:sz w:val="20"/>
                <w:szCs w:val="20"/>
                <w:lang w:eastAsia="fr-BE"/>
              </w:rPr>
            </w:pPr>
            <w:r w:rsidRPr="004F5F2B">
              <w:rPr>
                <w:rFonts w:ascii="Verdana" w:hAnsi="Verdana"/>
                <w:b/>
                <w:sz w:val="20"/>
                <w:szCs w:val="20"/>
                <w:lang w:eastAsia="fr-BE"/>
              </w:rPr>
              <w:t>Selected thematic objective</w:t>
            </w:r>
          </w:p>
        </w:tc>
        <w:tc>
          <w:tcPr>
            <w:tcW w:w="3461" w:type="dxa"/>
            <w:shd w:val="clear" w:color="auto" w:fill="C6D9F1"/>
          </w:tcPr>
          <w:p w:rsidR="00C17DB5" w:rsidRPr="004F5F2B" w:rsidRDefault="00C17DB5" w:rsidP="00C17DB5">
            <w:pPr>
              <w:spacing w:before="120" w:after="120"/>
              <w:jc w:val="both"/>
              <w:rPr>
                <w:rFonts w:ascii="Verdana" w:hAnsi="Verdana"/>
                <w:b/>
                <w:sz w:val="20"/>
                <w:szCs w:val="20"/>
                <w:lang w:eastAsia="fr-BE"/>
              </w:rPr>
            </w:pPr>
            <w:r w:rsidRPr="004F5F2B">
              <w:rPr>
                <w:rFonts w:ascii="Verdana" w:hAnsi="Verdana"/>
                <w:b/>
                <w:sz w:val="20"/>
                <w:szCs w:val="20"/>
                <w:lang w:eastAsia="fr-BE"/>
              </w:rPr>
              <w:t>Selected investment priority</w:t>
            </w:r>
          </w:p>
        </w:tc>
        <w:tc>
          <w:tcPr>
            <w:tcW w:w="4341" w:type="dxa"/>
            <w:shd w:val="clear" w:color="auto" w:fill="C6D9F1"/>
          </w:tcPr>
          <w:p w:rsidR="00C17DB5" w:rsidRPr="004F5F2B" w:rsidRDefault="00C17DB5" w:rsidP="00C17DB5">
            <w:pPr>
              <w:spacing w:before="120" w:after="120"/>
              <w:jc w:val="both"/>
              <w:rPr>
                <w:rFonts w:ascii="Verdana" w:hAnsi="Verdana"/>
                <w:b/>
                <w:sz w:val="20"/>
                <w:szCs w:val="20"/>
                <w:lang w:eastAsia="fr-BE"/>
              </w:rPr>
            </w:pPr>
            <w:r w:rsidRPr="004F5F2B">
              <w:rPr>
                <w:rFonts w:ascii="Verdana" w:hAnsi="Verdana"/>
                <w:b/>
                <w:sz w:val="20"/>
                <w:szCs w:val="20"/>
                <w:lang w:eastAsia="fr-BE"/>
              </w:rPr>
              <w:t>Justification for selection</w:t>
            </w:r>
          </w:p>
          <w:p w:rsidR="00C17DB5" w:rsidRPr="004F5F2B" w:rsidRDefault="00C17DB5" w:rsidP="00C17DB5">
            <w:pPr>
              <w:pStyle w:val="Text1"/>
              <w:spacing w:before="120" w:after="120"/>
              <w:ind w:left="0"/>
              <w:rPr>
                <w:rFonts w:ascii="Verdana" w:hAnsi="Verdana"/>
                <w:sz w:val="20"/>
                <w:lang w:eastAsia="en-US"/>
              </w:rPr>
            </w:pPr>
          </w:p>
        </w:tc>
      </w:tr>
      <w:tr w:rsidR="00C17DB5" w:rsidRPr="004F5F2B" w:rsidTr="000E4076">
        <w:tc>
          <w:tcPr>
            <w:tcW w:w="0" w:type="auto"/>
          </w:tcPr>
          <w:p w:rsidR="00C17DB5" w:rsidRPr="004F5F2B" w:rsidRDefault="00C17DB5" w:rsidP="00C17DB5">
            <w:pPr>
              <w:jc w:val="both"/>
              <w:rPr>
                <w:rFonts w:ascii="Verdana" w:hAnsi="Verdana"/>
                <w:sz w:val="20"/>
                <w:szCs w:val="20"/>
                <w:lang w:eastAsia="fr-BE"/>
              </w:rPr>
            </w:pPr>
          </w:p>
          <w:p w:rsidR="00C17DB5" w:rsidRPr="004F5F2B" w:rsidRDefault="00C17DB5" w:rsidP="00C17DB5">
            <w:pPr>
              <w:jc w:val="both"/>
              <w:rPr>
                <w:rFonts w:ascii="Verdana" w:hAnsi="Verdana"/>
                <w:sz w:val="20"/>
                <w:szCs w:val="20"/>
                <w:lang w:eastAsia="fr-BE"/>
              </w:rPr>
            </w:pPr>
            <w:r w:rsidRPr="004F5F2B">
              <w:rPr>
                <w:rFonts w:ascii="Verdana" w:hAnsi="Verdana"/>
                <w:sz w:val="20"/>
                <w:szCs w:val="20"/>
                <w:lang w:eastAsia="fr-BE"/>
              </w:rPr>
              <w:t>Thematic Objective 11:</w:t>
            </w:r>
          </w:p>
          <w:p w:rsidR="00C17DB5" w:rsidRPr="004F5F2B" w:rsidRDefault="00C17DB5" w:rsidP="00C17DB5">
            <w:pPr>
              <w:jc w:val="both"/>
              <w:rPr>
                <w:rFonts w:ascii="Verdana" w:hAnsi="Verdana"/>
                <w:sz w:val="20"/>
                <w:szCs w:val="20"/>
                <w:lang w:eastAsia="fr-BE"/>
              </w:rPr>
            </w:pPr>
            <w:r w:rsidRPr="004F5F2B">
              <w:rPr>
                <w:rFonts w:ascii="Verdana" w:hAnsi="Verdana"/>
                <w:color w:val="000000"/>
                <w:sz w:val="20"/>
                <w:szCs w:val="20"/>
              </w:rPr>
              <w:t>Enhancing institutional capacity and efficient public administration</w:t>
            </w:r>
          </w:p>
          <w:p w:rsidR="00C17DB5" w:rsidRPr="004F5F2B" w:rsidRDefault="00C17DB5" w:rsidP="00C17DB5">
            <w:pPr>
              <w:jc w:val="both"/>
              <w:rPr>
                <w:rFonts w:ascii="Verdana" w:hAnsi="Verdana"/>
                <w:sz w:val="20"/>
                <w:szCs w:val="20"/>
                <w:lang w:eastAsia="fr-BE"/>
              </w:rPr>
            </w:pPr>
          </w:p>
        </w:tc>
        <w:tc>
          <w:tcPr>
            <w:tcW w:w="3461" w:type="dxa"/>
          </w:tcPr>
          <w:p w:rsidR="00C17DB5" w:rsidRPr="004F5F2B" w:rsidRDefault="00C17DB5" w:rsidP="00C17DB5">
            <w:pPr>
              <w:jc w:val="both"/>
              <w:rPr>
                <w:rFonts w:ascii="Verdana" w:hAnsi="Verdana"/>
                <w:sz w:val="20"/>
                <w:szCs w:val="20"/>
                <w:lang w:eastAsia="fr-BE"/>
              </w:rPr>
            </w:pPr>
          </w:p>
          <w:p w:rsidR="00C17DB5" w:rsidRPr="004F5F2B" w:rsidRDefault="00C17DB5" w:rsidP="00C17DB5">
            <w:pPr>
              <w:jc w:val="both"/>
              <w:rPr>
                <w:rFonts w:ascii="Verdana" w:hAnsi="Verdana"/>
                <w:sz w:val="20"/>
                <w:szCs w:val="20"/>
                <w:lang w:eastAsia="fr-BE"/>
              </w:rPr>
            </w:pPr>
            <w:r w:rsidRPr="004F5F2B">
              <w:rPr>
                <w:rFonts w:ascii="Verdana" w:hAnsi="Verdana"/>
                <w:iCs/>
                <w:sz w:val="20"/>
                <w:szCs w:val="20"/>
                <w:lang w:eastAsia="fr-BE"/>
              </w:rPr>
              <w:t>Disseminating good practice and expertise and capitalising on results of the exchange of experience on sustainable urban development, including urban-rural linkages</w:t>
            </w:r>
          </w:p>
          <w:p w:rsidR="00C17DB5" w:rsidRPr="004F5F2B" w:rsidRDefault="00C17DB5" w:rsidP="00C17DB5">
            <w:pPr>
              <w:jc w:val="both"/>
              <w:rPr>
                <w:rFonts w:ascii="Verdana" w:hAnsi="Verdana"/>
                <w:sz w:val="20"/>
                <w:szCs w:val="20"/>
                <w:lang w:eastAsia="fr-BE"/>
              </w:rPr>
            </w:pPr>
          </w:p>
        </w:tc>
        <w:tc>
          <w:tcPr>
            <w:tcW w:w="4341" w:type="dxa"/>
          </w:tcPr>
          <w:p w:rsidR="00C17DB5" w:rsidRPr="004F5F2B" w:rsidRDefault="00C17DB5" w:rsidP="00C17DB5">
            <w:pPr>
              <w:jc w:val="both"/>
              <w:rPr>
                <w:rFonts w:ascii="Verdana" w:hAnsi="Verdana"/>
                <w:iCs/>
                <w:sz w:val="20"/>
                <w:szCs w:val="20"/>
                <w:lang w:eastAsia="fr-BE"/>
              </w:rPr>
            </w:pPr>
            <w:r w:rsidRPr="004F5F2B">
              <w:rPr>
                <w:rFonts w:ascii="Verdana" w:hAnsi="Verdana"/>
                <w:iCs/>
                <w:sz w:val="20"/>
                <w:szCs w:val="20"/>
                <w:lang w:eastAsia="fr-BE"/>
              </w:rPr>
              <w:t xml:space="preserve">URBACT is primarily a capacity building programme through exchange of experience for cities which have to address the following needs: </w:t>
            </w:r>
          </w:p>
          <w:p w:rsidR="00C17DB5" w:rsidRPr="004F5F2B" w:rsidRDefault="00C17DB5" w:rsidP="00C17DB5">
            <w:pPr>
              <w:jc w:val="both"/>
              <w:rPr>
                <w:rFonts w:ascii="Verdana" w:hAnsi="Verdana"/>
                <w:sz w:val="20"/>
                <w:szCs w:val="20"/>
                <w:lang w:eastAsia="fr-BE"/>
              </w:rPr>
            </w:pPr>
            <w:r w:rsidRPr="004F5F2B">
              <w:rPr>
                <w:rFonts w:ascii="Verdana" w:hAnsi="Verdana"/>
                <w:sz w:val="20"/>
                <w:szCs w:val="20"/>
                <w:lang w:eastAsia="fr-BE"/>
              </w:rPr>
              <w:t xml:space="preserve">1) Cities need to improve their capacity to develop and implement integrated urban </w:t>
            </w:r>
            <w:r w:rsidR="00724AF5" w:rsidRPr="004F5F2B">
              <w:rPr>
                <w:rFonts w:ascii="Verdana" w:hAnsi="Verdana"/>
                <w:sz w:val="20"/>
                <w:szCs w:val="20"/>
                <w:lang w:eastAsia="fr-BE"/>
              </w:rPr>
              <w:t>strategies and actions</w:t>
            </w:r>
            <w:r w:rsidRPr="004F5F2B">
              <w:rPr>
                <w:rFonts w:ascii="Verdana" w:hAnsi="Verdana"/>
                <w:sz w:val="20"/>
                <w:szCs w:val="20"/>
                <w:lang w:eastAsia="fr-BE"/>
              </w:rPr>
              <w:t xml:space="preserve">. </w:t>
            </w:r>
          </w:p>
          <w:p w:rsidR="00C17DB5" w:rsidRPr="004F5F2B" w:rsidRDefault="00C17DB5" w:rsidP="00C17DB5">
            <w:pPr>
              <w:jc w:val="both"/>
              <w:rPr>
                <w:rFonts w:ascii="Verdana" w:hAnsi="Verdana"/>
                <w:sz w:val="20"/>
                <w:szCs w:val="20"/>
                <w:lang w:eastAsia="fr-BE"/>
              </w:rPr>
            </w:pPr>
            <w:r w:rsidRPr="004F5F2B">
              <w:rPr>
                <w:rFonts w:ascii="Verdana" w:hAnsi="Verdana"/>
                <w:sz w:val="20"/>
                <w:szCs w:val="20"/>
                <w:lang w:eastAsia="fr-BE"/>
              </w:rPr>
              <w:t>2) Cities need integrated urban strategies and action</w:t>
            </w:r>
            <w:r w:rsidR="00895F00" w:rsidRPr="004F5F2B">
              <w:rPr>
                <w:rFonts w:ascii="Verdana" w:hAnsi="Verdana"/>
                <w:sz w:val="20"/>
                <w:szCs w:val="20"/>
                <w:lang w:eastAsia="fr-BE"/>
              </w:rPr>
              <w:t xml:space="preserve">s </w:t>
            </w:r>
            <w:r w:rsidRPr="004F5F2B">
              <w:rPr>
                <w:rFonts w:ascii="Verdana" w:hAnsi="Verdana"/>
                <w:sz w:val="20"/>
                <w:szCs w:val="20"/>
                <w:lang w:eastAsia="fr-BE"/>
              </w:rPr>
              <w:t>for sustainable development</w:t>
            </w:r>
            <w:r w:rsidRPr="004F5F2B" w:rsidDel="007410D6">
              <w:rPr>
                <w:rFonts w:ascii="Verdana" w:hAnsi="Verdana"/>
                <w:sz w:val="20"/>
                <w:szCs w:val="20"/>
                <w:lang w:eastAsia="fr-BE"/>
              </w:rPr>
              <w:t xml:space="preserve"> </w:t>
            </w:r>
          </w:p>
          <w:p w:rsidR="00C17DB5" w:rsidRPr="004F5F2B" w:rsidRDefault="00C17DB5" w:rsidP="00C17DB5">
            <w:pPr>
              <w:jc w:val="both"/>
              <w:rPr>
                <w:rFonts w:ascii="Verdana" w:hAnsi="Verdana"/>
                <w:sz w:val="20"/>
                <w:szCs w:val="20"/>
                <w:lang w:eastAsia="fr-BE"/>
              </w:rPr>
            </w:pPr>
            <w:r w:rsidRPr="004F5F2B">
              <w:rPr>
                <w:rFonts w:ascii="Verdana" w:hAnsi="Verdana"/>
                <w:sz w:val="20"/>
                <w:szCs w:val="20"/>
                <w:lang w:eastAsia="fr-BE"/>
              </w:rPr>
              <w:t xml:space="preserve">3) Cities need support for implementation of their integrated urban strategies and actions. </w:t>
            </w:r>
          </w:p>
          <w:p w:rsidR="00C17DB5" w:rsidRDefault="00C17DB5" w:rsidP="00C17DB5">
            <w:pPr>
              <w:jc w:val="both"/>
              <w:rPr>
                <w:rFonts w:ascii="Verdana" w:hAnsi="Verdana"/>
                <w:iCs/>
                <w:sz w:val="20"/>
                <w:szCs w:val="20"/>
                <w:lang w:eastAsia="fr-BE"/>
              </w:rPr>
            </w:pPr>
            <w:r w:rsidRPr="004F5F2B">
              <w:rPr>
                <w:rFonts w:ascii="Verdana" w:hAnsi="Verdana"/>
                <w:sz w:val="20"/>
                <w:szCs w:val="20"/>
                <w:lang w:eastAsia="fr-BE"/>
              </w:rPr>
              <w:t xml:space="preserve">4) </w:t>
            </w:r>
            <w:r w:rsidRPr="004F5F2B">
              <w:rPr>
                <w:rFonts w:ascii="Verdana" w:hAnsi="Verdana"/>
                <w:iCs/>
                <w:sz w:val="20"/>
                <w:szCs w:val="20"/>
                <w:lang w:eastAsia="fr-BE"/>
              </w:rPr>
              <w:t>Practitioners and decisions makers</w:t>
            </w:r>
            <w:r w:rsidRPr="004F5F2B">
              <w:rPr>
                <w:rFonts w:ascii="Verdana" w:hAnsi="Verdana"/>
                <w:sz w:val="20"/>
                <w:szCs w:val="20"/>
                <w:lang w:eastAsia="fr-BE"/>
              </w:rPr>
              <w:t xml:space="preserve"> </w:t>
            </w:r>
            <w:r w:rsidRPr="004F5F2B">
              <w:rPr>
                <w:rFonts w:ascii="Verdana" w:hAnsi="Verdana"/>
                <w:iCs/>
                <w:sz w:val="20"/>
                <w:szCs w:val="20"/>
                <w:lang w:eastAsia="fr-BE"/>
              </w:rPr>
              <w:t xml:space="preserve">of cities, national, regional and EU </w:t>
            </w:r>
            <w:r w:rsidR="004B01BB">
              <w:rPr>
                <w:rFonts w:ascii="Verdana" w:hAnsi="Verdana"/>
                <w:iCs/>
                <w:sz w:val="20"/>
                <w:szCs w:val="20"/>
                <w:lang w:eastAsia="fr-BE"/>
              </w:rPr>
              <w:t xml:space="preserve">need to </w:t>
            </w:r>
            <w:r w:rsidRPr="004F5F2B">
              <w:rPr>
                <w:rFonts w:ascii="Verdana" w:hAnsi="Verdana"/>
                <w:iCs/>
                <w:sz w:val="20"/>
                <w:szCs w:val="20"/>
                <w:lang w:eastAsia="fr-BE"/>
              </w:rPr>
              <w:t>have access and share relevant knowledge to foster sustainable urban development</w:t>
            </w:r>
          </w:p>
          <w:p w:rsidR="008823AD" w:rsidRPr="004F5F2B" w:rsidRDefault="008823AD" w:rsidP="00C17DB5">
            <w:pPr>
              <w:jc w:val="both"/>
              <w:rPr>
                <w:rFonts w:ascii="Verdana" w:hAnsi="Verdana"/>
                <w:sz w:val="20"/>
                <w:szCs w:val="20"/>
              </w:rPr>
            </w:pPr>
            <w:r>
              <w:rPr>
                <w:rFonts w:ascii="Verdana" w:hAnsi="Verdana"/>
                <w:iCs/>
                <w:sz w:val="20"/>
                <w:szCs w:val="20"/>
                <w:lang w:eastAsia="fr-BE"/>
              </w:rPr>
              <w:t>To address these needs, city administrations continually have to improve their knowledge and skills in order to develop and implement sustainable integrated policy. Therefore the most appropriate option is to position all the programme activities under a specific investment priority within the thematic objective 11 “Enhancing institutional capacity and efficient public administration”.</w:t>
            </w:r>
          </w:p>
        </w:tc>
      </w:tr>
    </w:tbl>
    <w:p w:rsidR="00C17DB5" w:rsidRPr="004F5F2B" w:rsidRDefault="00C17DB5" w:rsidP="00C17DB5">
      <w:pPr>
        <w:jc w:val="both"/>
        <w:rPr>
          <w:rFonts w:ascii="Verdana" w:hAnsi="Verdana"/>
          <w:sz w:val="20"/>
          <w:szCs w:val="20"/>
        </w:rPr>
      </w:pPr>
    </w:p>
    <w:p w:rsidR="00A30018" w:rsidRPr="00334700" w:rsidRDefault="00A30018" w:rsidP="00334700"/>
    <w:p w:rsidR="00C17DB5" w:rsidRPr="004F5F2B" w:rsidRDefault="00C17DB5" w:rsidP="00A532C7">
      <w:pPr>
        <w:pStyle w:val="Nagwek2"/>
      </w:pPr>
      <w:bookmarkStart w:id="10" w:name="_Toc401325784"/>
      <w:r w:rsidRPr="004F5F2B">
        <w:t>1.2</w:t>
      </w:r>
      <w:r w:rsidRPr="004F5F2B">
        <w:tab/>
        <w:t>Justification of the financial allocation</w:t>
      </w:r>
      <w:bookmarkEnd w:id="10"/>
      <w:r w:rsidRPr="004F5F2B">
        <w:t> </w:t>
      </w:r>
    </w:p>
    <w:p w:rsidR="00C17DB5" w:rsidRPr="000E4076" w:rsidRDefault="00C17DB5" w:rsidP="00C17DB5">
      <w:pPr>
        <w:jc w:val="both"/>
        <w:rPr>
          <w:rFonts w:ascii="Verdana" w:hAnsi="Verdana"/>
          <w:i/>
          <w:color w:val="000000"/>
          <w:sz w:val="22"/>
          <w:szCs w:val="22"/>
        </w:rPr>
      </w:pPr>
      <w:r w:rsidRPr="000E4076">
        <w:rPr>
          <w:rFonts w:ascii="Verdana" w:hAnsi="Verdana"/>
          <w:iCs/>
          <w:sz w:val="22"/>
          <w:szCs w:val="22"/>
          <w:lang w:eastAsia="fr-BE"/>
        </w:rPr>
        <w:t>In the new programming period 2014-2020 URBACT III will operate under a s</w:t>
      </w:r>
      <w:r w:rsidRPr="000E4076">
        <w:rPr>
          <w:rFonts w:ascii="Verdana" w:hAnsi="Verdana"/>
          <w:color w:val="000000"/>
          <w:sz w:val="22"/>
          <w:szCs w:val="22"/>
        </w:rPr>
        <w:t>pecific investment priority within the thematic objective 11: “enhancing institutional capacity and efficient public administration”.</w:t>
      </w:r>
    </w:p>
    <w:p w:rsidR="00C17DB5" w:rsidRPr="000E4076" w:rsidRDefault="00C17DB5" w:rsidP="00C17DB5">
      <w:pPr>
        <w:pStyle w:val="ListBullet1"/>
        <w:tabs>
          <w:tab w:val="clear" w:pos="360"/>
          <w:tab w:val="left" w:pos="708"/>
        </w:tabs>
        <w:spacing w:after="0"/>
        <w:ind w:left="0"/>
        <w:rPr>
          <w:rFonts w:ascii="Verdana" w:hAnsi="Verdana"/>
          <w:iCs/>
          <w:sz w:val="22"/>
          <w:szCs w:val="22"/>
          <w:lang w:val="en-GB" w:eastAsia="fr-BE"/>
        </w:rPr>
      </w:pPr>
      <w:r w:rsidRPr="000E4076">
        <w:rPr>
          <w:rFonts w:ascii="Verdana" w:hAnsi="Verdana"/>
          <w:iCs/>
          <w:sz w:val="22"/>
          <w:szCs w:val="22"/>
          <w:lang w:val="en-GB" w:eastAsia="fr-BE"/>
        </w:rPr>
        <w:t xml:space="preserve">According to EC Regulation support from ERDF to the ETC goal Article </w:t>
      </w:r>
      <w:r w:rsidR="0083070E">
        <w:rPr>
          <w:rFonts w:ascii="Verdana" w:hAnsi="Verdana"/>
          <w:iCs/>
          <w:sz w:val="22"/>
          <w:szCs w:val="22"/>
          <w:lang w:val="en-GB" w:eastAsia="fr-BE"/>
        </w:rPr>
        <w:t>6</w:t>
      </w:r>
      <w:r w:rsidRPr="000E4076">
        <w:rPr>
          <w:rFonts w:ascii="Verdana" w:hAnsi="Verdana"/>
          <w:iCs/>
          <w:sz w:val="22"/>
          <w:szCs w:val="22"/>
          <w:lang w:val="en-GB" w:eastAsia="fr-BE"/>
        </w:rPr>
        <w:t xml:space="preserve"> (</w:t>
      </w:r>
      <w:r w:rsidR="0083070E">
        <w:rPr>
          <w:rFonts w:ascii="Verdana" w:hAnsi="Verdana"/>
          <w:iCs/>
          <w:sz w:val="22"/>
          <w:szCs w:val="22"/>
          <w:lang w:val="en-GB" w:eastAsia="fr-BE"/>
        </w:rPr>
        <w:t>2</w:t>
      </w:r>
      <w:r w:rsidRPr="000E4076">
        <w:rPr>
          <w:rFonts w:ascii="Verdana" w:hAnsi="Verdana"/>
          <w:iCs/>
          <w:sz w:val="22"/>
          <w:szCs w:val="22"/>
          <w:lang w:val="en-GB" w:eastAsia="fr-BE"/>
        </w:rPr>
        <w:t>) “all thematic objectives may be selected for interregional cooperation programmes”.  The proposed structure with one thematic objective is justified for the following reasons:</w:t>
      </w:r>
    </w:p>
    <w:p w:rsidR="00C17DB5" w:rsidRPr="000E4076" w:rsidRDefault="00C17DB5" w:rsidP="00C17DB5">
      <w:pPr>
        <w:pStyle w:val="ListBullet1"/>
        <w:tabs>
          <w:tab w:val="clear" w:pos="360"/>
          <w:tab w:val="left" w:pos="708"/>
        </w:tabs>
        <w:spacing w:after="0"/>
        <w:ind w:left="0"/>
        <w:rPr>
          <w:rFonts w:ascii="Verdana" w:hAnsi="Verdana"/>
          <w:iCs/>
          <w:sz w:val="22"/>
          <w:szCs w:val="22"/>
          <w:lang w:val="en-GB" w:eastAsia="fr-BE"/>
        </w:rPr>
      </w:pPr>
    </w:p>
    <w:p w:rsidR="00C17DB5" w:rsidRPr="000E4076" w:rsidRDefault="00C17DB5" w:rsidP="008166DD">
      <w:pPr>
        <w:pStyle w:val="ListBullet1"/>
        <w:numPr>
          <w:ilvl w:val="0"/>
          <w:numId w:val="21"/>
        </w:numPr>
        <w:spacing w:after="120" w:line="276" w:lineRule="auto"/>
        <w:ind w:left="924" w:hanging="357"/>
        <w:rPr>
          <w:rFonts w:ascii="Verdana" w:hAnsi="Verdana"/>
          <w:iCs/>
          <w:sz w:val="22"/>
          <w:szCs w:val="22"/>
          <w:lang w:val="en-GB" w:eastAsia="fr-BE"/>
        </w:rPr>
      </w:pPr>
      <w:r w:rsidRPr="000E4076">
        <w:rPr>
          <w:rFonts w:ascii="Verdana" w:hAnsi="Verdana"/>
          <w:iCs/>
          <w:sz w:val="22"/>
          <w:szCs w:val="22"/>
          <w:lang w:val="en-GB" w:eastAsia="fr-BE"/>
        </w:rPr>
        <w:t>URBACT is primarily a capacity building programme through exchange of experience</w:t>
      </w:r>
    </w:p>
    <w:p w:rsidR="00C17DB5" w:rsidRPr="000E4076" w:rsidRDefault="00C17DB5" w:rsidP="008166DD">
      <w:pPr>
        <w:pStyle w:val="ListBullet1"/>
        <w:numPr>
          <w:ilvl w:val="0"/>
          <w:numId w:val="21"/>
        </w:numPr>
        <w:spacing w:after="120" w:line="276" w:lineRule="auto"/>
        <w:ind w:left="924" w:hanging="357"/>
        <w:rPr>
          <w:rFonts w:ascii="Verdana" w:hAnsi="Verdana"/>
          <w:iCs/>
          <w:sz w:val="22"/>
          <w:szCs w:val="22"/>
          <w:lang w:val="en-GB" w:eastAsia="fr-BE"/>
        </w:rPr>
      </w:pPr>
      <w:r w:rsidRPr="000E4076">
        <w:rPr>
          <w:rFonts w:ascii="Verdana" w:hAnsi="Verdana"/>
          <w:iCs/>
          <w:sz w:val="22"/>
          <w:szCs w:val="22"/>
          <w:lang w:val="en-GB" w:eastAsia="fr-BE"/>
        </w:rPr>
        <w:t>To respond to the great variety of challenges of cities in Europe (par.  1.1.2)</w:t>
      </w:r>
    </w:p>
    <w:p w:rsidR="00C17DB5" w:rsidRPr="000E4076" w:rsidRDefault="00C17DB5" w:rsidP="008166DD">
      <w:pPr>
        <w:pStyle w:val="ListBullet1"/>
        <w:numPr>
          <w:ilvl w:val="0"/>
          <w:numId w:val="21"/>
        </w:numPr>
        <w:spacing w:after="120" w:line="276" w:lineRule="auto"/>
        <w:ind w:left="924" w:hanging="357"/>
        <w:rPr>
          <w:rFonts w:ascii="Verdana" w:hAnsi="Verdana"/>
          <w:iCs/>
          <w:sz w:val="22"/>
          <w:szCs w:val="22"/>
          <w:lang w:val="en-GB" w:eastAsia="fr-BE"/>
        </w:rPr>
      </w:pPr>
      <w:r w:rsidRPr="000E4076">
        <w:rPr>
          <w:rFonts w:ascii="Verdana" w:hAnsi="Verdana"/>
          <w:iCs/>
          <w:sz w:val="22"/>
          <w:szCs w:val="22"/>
          <w:lang w:val="en-GB" w:eastAsia="fr-BE"/>
        </w:rPr>
        <w:t>To ensure that the core element of the URBACT programme, to address urban challenges in an integrated and sustainable way, is maintained</w:t>
      </w:r>
    </w:p>
    <w:p w:rsidR="00C17DB5" w:rsidRPr="000E4076" w:rsidRDefault="00C17DB5" w:rsidP="008166DD">
      <w:pPr>
        <w:pStyle w:val="ListBullet1"/>
        <w:numPr>
          <w:ilvl w:val="0"/>
          <w:numId w:val="21"/>
        </w:numPr>
        <w:spacing w:after="120" w:line="276" w:lineRule="auto"/>
        <w:ind w:left="924" w:hanging="357"/>
        <w:rPr>
          <w:rFonts w:ascii="Verdana" w:hAnsi="Verdana"/>
          <w:iCs/>
          <w:sz w:val="22"/>
          <w:szCs w:val="22"/>
          <w:lang w:val="en-GB" w:eastAsia="fr-BE"/>
        </w:rPr>
      </w:pPr>
      <w:r w:rsidRPr="000E4076">
        <w:rPr>
          <w:rFonts w:ascii="Verdana" w:hAnsi="Verdana"/>
          <w:iCs/>
          <w:sz w:val="22"/>
          <w:szCs w:val="22"/>
          <w:lang w:val="en-GB" w:eastAsia="fr-BE"/>
        </w:rPr>
        <w:t>To address the demands of the European Commission to reduce the administrative burden for beneficiaries</w:t>
      </w:r>
    </w:p>
    <w:p w:rsidR="00AE6ED6" w:rsidRPr="000E4076" w:rsidRDefault="00AE6ED6" w:rsidP="00C17DB5">
      <w:pPr>
        <w:pStyle w:val="Nagwek4"/>
        <w:rPr>
          <w:sz w:val="22"/>
          <w:szCs w:val="22"/>
        </w:rPr>
      </w:pPr>
    </w:p>
    <w:p w:rsidR="00C17DB5" w:rsidRPr="000E4076" w:rsidRDefault="00C17DB5" w:rsidP="00312A5F">
      <w:pPr>
        <w:pStyle w:val="Nagwek4"/>
        <w:spacing w:after="120"/>
        <w:rPr>
          <w:sz w:val="22"/>
          <w:szCs w:val="22"/>
        </w:rPr>
      </w:pPr>
      <w:r w:rsidRPr="000E4076">
        <w:rPr>
          <w:sz w:val="22"/>
          <w:szCs w:val="22"/>
        </w:rPr>
        <w:t>Focusing on thematic priorities in a flexible way</w:t>
      </w:r>
    </w:p>
    <w:p w:rsidR="00C17DB5" w:rsidRPr="000E4076" w:rsidRDefault="00C17DB5" w:rsidP="00312A5F">
      <w:pPr>
        <w:spacing w:after="120" w:line="276" w:lineRule="auto"/>
        <w:jc w:val="both"/>
        <w:rPr>
          <w:rFonts w:ascii="Verdana" w:hAnsi="Verdana"/>
          <w:sz w:val="22"/>
          <w:szCs w:val="22"/>
        </w:rPr>
      </w:pPr>
      <w:r w:rsidRPr="000E4076">
        <w:rPr>
          <w:rFonts w:ascii="Verdana" w:hAnsi="Verdana"/>
          <w:sz w:val="22"/>
          <w:szCs w:val="22"/>
        </w:rPr>
        <w:t>The most important urban issues vary considerably depending on the cities. For example for cities from the EU1</w:t>
      </w:r>
      <w:r w:rsidR="00136AC6" w:rsidRPr="000E4076">
        <w:rPr>
          <w:rFonts w:ascii="Verdana" w:hAnsi="Verdana"/>
          <w:sz w:val="22"/>
          <w:szCs w:val="22"/>
        </w:rPr>
        <w:t>3</w:t>
      </w:r>
      <w:r w:rsidRPr="000E4076">
        <w:rPr>
          <w:rFonts w:ascii="Verdana" w:hAnsi="Verdana"/>
          <w:sz w:val="22"/>
          <w:szCs w:val="22"/>
        </w:rPr>
        <w:t>, measures for physical improvement, for transportation infrastructure, for urban renewal, for the reuse of derelict land, for the improvement of the housing stock, etc., are major issues while some of them are less problematic in cities of the EU15.</w:t>
      </w:r>
    </w:p>
    <w:p w:rsidR="00C17DB5" w:rsidRPr="000E4076" w:rsidRDefault="00C17DB5" w:rsidP="00312A5F">
      <w:pPr>
        <w:tabs>
          <w:tab w:val="left" w:pos="6480"/>
        </w:tabs>
        <w:spacing w:after="120" w:line="276" w:lineRule="auto"/>
        <w:jc w:val="both"/>
        <w:rPr>
          <w:rFonts w:ascii="Verdana" w:hAnsi="Verdana"/>
          <w:sz w:val="22"/>
          <w:szCs w:val="22"/>
        </w:rPr>
      </w:pPr>
      <w:r w:rsidRPr="000E4076">
        <w:rPr>
          <w:rFonts w:ascii="Verdana" w:hAnsi="Verdana"/>
          <w:color w:val="000000"/>
          <w:sz w:val="22"/>
          <w:szCs w:val="22"/>
        </w:rPr>
        <w:t xml:space="preserve">Meanwhile the necessity to answer to the various needs of cities with a wide coverage of thematic objectives and investment priorities must be balanced with the necessity to concentrate programme resources to </w:t>
      </w:r>
      <w:r w:rsidRPr="000E4076">
        <w:rPr>
          <w:rFonts w:ascii="Verdana" w:hAnsi="Verdana"/>
          <w:sz w:val="22"/>
          <w:szCs w:val="22"/>
        </w:rPr>
        <w:t>achieve Europe 2020 goals on the most relevant thematic objectives for the cities in Europe.</w:t>
      </w:r>
    </w:p>
    <w:p w:rsidR="00C17DB5" w:rsidRPr="000E4076" w:rsidRDefault="00AE6ED6" w:rsidP="00312A5F">
      <w:pPr>
        <w:spacing w:after="120" w:line="276" w:lineRule="auto"/>
        <w:jc w:val="both"/>
        <w:rPr>
          <w:rFonts w:ascii="Verdana" w:hAnsi="Verdana"/>
          <w:color w:val="000000"/>
          <w:sz w:val="22"/>
          <w:szCs w:val="22"/>
        </w:rPr>
      </w:pPr>
      <w:r w:rsidRPr="000E4076">
        <w:rPr>
          <w:rFonts w:ascii="Verdana" w:hAnsi="Verdana"/>
          <w:color w:val="000000"/>
          <w:sz w:val="22"/>
          <w:szCs w:val="22"/>
        </w:rPr>
        <w:t>T</w:t>
      </w:r>
      <w:r w:rsidR="00C17DB5" w:rsidRPr="000E4076">
        <w:rPr>
          <w:rFonts w:ascii="Verdana" w:hAnsi="Verdana"/>
          <w:color w:val="000000"/>
          <w:sz w:val="22"/>
          <w:szCs w:val="22"/>
        </w:rPr>
        <w:t>herefore</w:t>
      </w:r>
      <w:r w:rsidRPr="000E4076">
        <w:rPr>
          <w:rFonts w:ascii="Verdana" w:hAnsi="Verdana"/>
          <w:color w:val="000000"/>
          <w:sz w:val="22"/>
          <w:szCs w:val="22"/>
        </w:rPr>
        <w:t xml:space="preserve"> URBACT III will be programmed under “enhancing institutional capacity and efficient public administration” (TO11) but with a focus on issues related the five following thematic objectives on which </w:t>
      </w:r>
      <w:r w:rsidR="00C17DB5" w:rsidRPr="000E4076">
        <w:rPr>
          <w:rFonts w:ascii="Verdana" w:hAnsi="Verdana"/>
          <w:color w:val="000000"/>
          <w:sz w:val="22"/>
          <w:szCs w:val="22"/>
        </w:rPr>
        <w:t xml:space="preserve">the greatest part (70%) of the resources of the programme </w:t>
      </w:r>
      <w:r w:rsidRPr="000E4076">
        <w:rPr>
          <w:rFonts w:ascii="Verdana" w:hAnsi="Verdana"/>
          <w:color w:val="000000"/>
          <w:sz w:val="22"/>
          <w:szCs w:val="22"/>
        </w:rPr>
        <w:t>for exchange and learning will be concentrated:</w:t>
      </w:r>
    </w:p>
    <w:p w:rsidR="00C17DB5" w:rsidRPr="00312A5F" w:rsidRDefault="00C17DB5" w:rsidP="008166DD">
      <w:pPr>
        <w:pStyle w:val="Akapitzlist"/>
        <w:numPr>
          <w:ilvl w:val="0"/>
          <w:numId w:val="22"/>
        </w:numPr>
        <w:spacing w:after="120"/>
        <w:ind w:left="924" w:hanging="357"/>
        <w:contextualSpacing w:val="0"/>
        <w:jc w:val="both"/>
        <w:rPr>
          <w:rFonts w:ascii="Verdana" w:hAnsi="Verdana"/>
        </w:rPr>
      </w:pPr>
      <w:r w:rsidRPr="00312A5F">
        <w:rPr>
          <w:rFonts w:ascii="Verdana" w:hAnsi="Verdana"/>
        </w:rPr>
        <w:t>strengthening research, technological development and innovation (TO1)</w:t>
      </w:r>
    </w:p>
    <w:p w:rsidR="00C17DB5" w:rsidRPr="00312A5F" w:rsidRDefault="00C17DB5" w:rsidP="008166DD">
      <w:pPr>
        <w:pStyle w:val="Akapitzlist"/>
        <w:numPr>
          <w:ilvl w:val="0"/>
          <w:numId w:val="22"/>
        </w:numPr>
        <w:spacing w:after="120"/>
        <w:ind w:left="924" w:hanging="357"/>
        <w:contextualSpacing w:val="0"/>
        <w:jc w:val="both"/>
        <w:rPr>
          <w:rFonts w:ascii="Verdana" w:hAnsi="Verdana"/>
        </w:rPr>
      </w:pPr>
      <w:r w:rsidRPr="00312A5F">
        <w:rPr>
          <w:rFonts w:ascii="Verdana" w:hAnsi="Verdana"/>
        </w:rPr>
        <w:t>supporting the shift towards a low-carbon economy in all sectors (TO4)</w:t>
      </w:r>
    </w:p>
    <w:p w:rsidR="00C17DB5" w:rsidRPr="00312A5F" w:rsidRDefault="00C17DB5" w:rsidP="008166DD">
      <w:pPr>
        <w:pStyle w:val="Akapitzlist"/>
        <w:numPr>
          <w:ilvl w:val="0"/>
          <w:numId w:val="22"/>
        </w:numPr>
        <w:spacing w:after="120"/>
        <w:ind w:left="924" w:hanging="357"/>
        <w:contextualSpacing w:val="0"/>
        <w:jc w:val="both"/>
        <w:rPr>
          <w:rFonts w:ascii="Verdana" w:hAnsi="Verdana"/>
        </w:rPr>
      </w:pPr>
      <w:r w:rsidRPr="00312A5F">
        <w:rPr>
          <w:rFonts w:ascii="Verdana" w:hAnsi="Verdana"/>
        </w:rPr>
        <w:t>protecting the environment and promoting resource efficiency (T06)</w:t>
      </w:r>
    </w:p>
    <w:p w:rsidR="00360662" w:rsidRPr="00312A5F" w:rsidRDefault="00360662" w:rsidP="008166DD">
      <w:pPr>
        <w:pStyle w:val="Akapitzlist"/>
        <w:numPr>
          <w:ilvl w:val="0"/>
          <w:numId w:val="22"/>
        </w:numPr>
        <w:spacing w:after="120"/>
        <w:ind w:left="924" w:hanging="357"/>
        <w:contextualSpacing w:val="0"/>
        <w:jc w:val="both"/>
        <w:rPr>
          <w:rFonts w:ascii="Verdana" w:eastAsia="MS ??" w:hAnsi="Verdana"/>
        </w:rPr>
      </w:pPr>
      <w:r w:rsidRPr="00312A5F">
        <w:rPr>
          <w:rFonts w:ascii="Verdana" w:hAnsi="Verdana"/>
        </w:rPr>
        <w:t>promoting employment and supporting labour mobility (T08)</w:t>
      </w:r>
    </w:p>
    <w:p w:rsidR="00C17DB5" w:rsidRPr="00312A5F" w:rsidRDefault="00C17DB5" w:rsidP="008166DD">
      <w:pPr>
        <w:pStyle w:val="Akapitzlist"/>
        <w:numPr>
          <w:ilvl w:val="0"/>
          <w:numId w:val="22"/>
        </w:numPr>
        <w:spacing w:after="120"/>
        <w:ind w:left="924" w:hanging="357"/>
        <w:contextualSpacing w:val="0"/>
        <w:jc w:val="both"/>
        <w:rPr>
          <w:rFonts w:ascii="Verdana" w:eastAsia="MS ??" w:hAnsi="Verdana"/>
        </w:rPr>
      </w:pPr>
      <w:r w:rsidRPr="00312A5F">
        <w:rPr>
          <w:rFonts w:ascii="Verdana" w:hAnsi="Verdana"/>
        </w:rPr>
        <w:t>promoting social inclusion and combating poverty (T09)</w:t>
      </w:r>
    </w:p>
    <w:p w:rsidR="005C22F6" w:rsidRPr="005C22F6" w:rsidRDefault="005C22F6" w:rsidP="005C22F6">
      <w:pPr>
        <w:spacing w:after="120"/>
        <w:jc w:val="both"/>
        <w:rPr>
          <w:rFonts w:ascii="Verdana" w:hAnsi="Verdana"/>
          <w:sz w:val="22"/>
          <w:szCs w:val="22"/>
        </w:rPr>
      </w:pPr>
      <w:r w:rsidRPr="005C22F6">
        <w:rPr>
          <w:rFonts w:ascii="Verdana" w:hAnsi="Verdana"/>
          <w:sz w:val="22"/>
          <w:szCs w:val="22"/>
        </w:rPr>
        <w:t>Member States</w:t>
      </w:r>
      <w:r w:rsidR="00822ED1">
        <w:rPr>
          <w:rFonts w:ascii="Verdana" w:hAnsi="Verdana"/>
          <w:sz w:val="22"/>
          <w:szCs w:val="22"/>
        </w:rPr>
        <w:t xml:space="preserve"> were consulted in order to prioritize the thematic objectives presented in the EC Regulations. The result of this consultation process concluded </w:t>
      </w:r>
      <w:r w:rsidRPr="005C22F6">
        <w:rPr>
          <w:rFonts w:ascii="Verdana" w:hAnsi="Verdana"/>
          <w:sz w:val="22"/>
          <w:szCs w:val="22"/>
        </w:rPr>
        <w:t xml:space="preserve">that the five thematic objectives </w:t>
      </w:r>
      <w:r w:rsidR="00822ED1">
        <w:rPr>
          <w:rFonts w:ascii="Verdana" w:hAnsi="Verdana"/>
          <w:sz w:val="22"/>
          <w:szCs w:val="22"/>
        </w:rPr>
        <w:t>above were</w:t>
      </w:r>
      <w:r w:rsidRPr="005C22F6">
        <w:rPr>
          <w:rFonts w:ascii="Verdana" w:hAnsi="Verdana"/>
          <w:sz w:val="22"/>
          <w:szCs w:val="22"/>
        </w:rPr>
        <w:t xml:space="preserve"> the </w:t>
      </w:r>
      <w:r w:rsidR="00822ED1">
        <w:rPr>
          <w:rFonts w:ascii="Verdana" w:hAnsi="Verdana"/>
          <w:sz w:val="22"/>
          <w:szCs w:val="22"/>
        </w:rPr>
        <w:t xml:space="preserve">most appropriate </w:t>
      </w:r>
      <w:r w:rsidRPr="005C22F6">
        <w:rPr>
          <w:rFonts w:ascii="Verdana" w:hAnsi="Verdana"/>
          <w:sz w:val="22"/>
          <w:szCs w:val="22"/>
        </w:rPr>
        <w:t>to tackle the thematic challenges of cities.</w:t>
      </w:r>
    </w:p>
    <w:p w:rsidR="00C17DB5" w:rsidRPr="000E4076" w:rsidRDefault="00C17DB5" w:rsidP="00312A5F">
      <w:pPr>
        <w:spacing w:after="120" w:line="276" w:lineRule="auto"/>
        <w:jc w:val="both"/>
        <w:rPr>
          <w:rFonts w:ascii="Verdana" w:hAnsi="Verdana"/>
          <w:color w:val="000000"/>
          <w:sz w:val="22"/>
          <w:szCs w:val="22"/>
        </w:rPr>
      </w:pPr>
      <w:r w:rsidRPr="000E4076">
        <w:rPr>
          <w:rFonts w:ascii="Verdana" w:hAnsi="Verdana"/>
          <w:sz w:val="22"/>
          <w:szCs w:val="22"/>
        </w:rPr>
        <w:t>This concentration will be achieved through the targeting of the calls for proposals for URBACT III networks.</w:t>
      </w:r>
      <w:r w:rsidR="00B60653">
        <w:rPr>
          <w:rFonts w:ascii="Verdana" w:hAnsi="Verdana"/>
          <w:sz w:val="22"/>
          <w:szCs w:val="22"/>
        </w:rPr>
        <w:t xml:space="preserve"> Earmarking will be organised through a precise definition of the thematic objectives in the calls in relation with urban issues and through a close monitoring and assessment of the projects.</w:t>
      </w:r>
    </w:p>
    <w:p w:rsidR="00C17DB5" w:rsidRPr="000E4076" w:rsidRDefault="00C17DB5" w:rsidP="00312A5F">
      <w:pPr>
        <w:spacing w:after="120" w:line="276" w:lineRule="auto"/>
        <w:jc w:val="both"/>
        <w:rPr>
          <w:rFonts w:ascii="Verdana" w:hAnsi="Verdana"/>
          <w:color w:val="000000"/>
          <w:sz w:val="22"/>
          <w:szCs w:val="22"/>
        </w:rPr>
      </w:pPr>
      <w:r w:rsidRPr="000E4076">
        <w:rPr>
          <w:rFonts w:ascii="Verdana" w:hAnsi="Verdana"/>
          <w:color w:val="000000"/>
          <w:sz w:val="22"/>
          <w:szCs w:val="22"/>
        </w:rPr>
        <w:t>The remaining 30% of the budget for exchange and learning will be available for issues related to the remaining five thematic objectives in response to demand from the cities. These objectives are:</w:t>
      </w:r>
    </w:p>
    <w:p w:rsidR="00C17DB5" w:rsidRPr="000E4076" w:rsidRDefault="00C17DB5" w:rsidP="008166DD">
      <w:pPr>
        <w:pStyle w:val="Paragraphedeliste3"/>
        <w:numPr>
          <w:ilvl w:val="0"/>
          <w:numId w:val="23"/>
        </w:numPr>
        <w:spacing w:after="120"/>
        <w:ind w:left="924" w:hanging="357"/>
        <w:contextualSpacing w:val="0"/>
        <w:jc w:val="both"/>
        <w:rPr>
          <w:rFonts w:ascii="Verdana" w:hAnsi="Verdana"/>
          <w:color w:val="000000"/>
        </w:rPr>
      </w:pPr>
      <w:r w:rsidRPr="000E4076">
        <w:rPr>
          <w:rFonts w:ascii="Verdana" w:hAnsi="Verdana"/>
          <w:color w:val="000000"/>
        </w:rPr>
        <w:t>enhancing access to and use and quality of ICT (TO2)</w:t>
      </w:r>
    </w:p>
    <w:p w:rsidR="00C17DB5" w:rsidRPr="000E4076" w:rsidRDefault="00C17DB5" w:rsidP="008166DD">
      <w:pPr>
        <w:pStyle w:val="Paragraphedeliste3"/>
        <w:numPr>
          <w:ilvl w:val="0"/>
          <w:numId w:val="23"/>
        </w:numPr>
        <w:spacing w:after="120"/>
        <w:ind w:left="924" w:hanging="357"/>
        <w:contextualSpacing w:val="0"/>
        <w:jc w:val="both"/>
        <w:rPr>
          <w:rFonts w:ascii="Verdana" w:hAnsi="Verdana"/>
          <w:color w:val="000000"/>
        </w:rPr>
      </w:pPr>
      <w:r w:rsidRPr="000E4076">
        <w:rPr>
          <w:rFonts w:ascii="Verdana" w:hAnsi="Verdana"/>
          <w:color w:val="000000"/>
        </w:rPr>
        <w:t>enhancing the competitiveness of SMEs (TO3)</w:t>
      </w:r>
    </w:p>
    <w:p w:rsidR="00C17DB5" w:rsidRPr="000E4076" w:rsidRDefault="00C17DB5" w:rsidP="008166DD">
      <w:pPr>
        <w:pStyle w:val="Paragraphedeliste3"/>
        <w:numPr>
          <w:ilvl w:val="0"/>
          <w:numId w:val="23"/>
        </w:numPr>
        <w:spacing w:after="120"/>
        <w:ind w:left="924" w:hanging="357"/>
        <w:contextualSpacing w:val="0"/>
        <w:jc w:val="both"/>
        <w:rPr>
          <w:rFonts w:ascii="Verdana" w:hAnsi="Verdana"/>
          <w:color w:val="000000"/>
        </w:rPr>
      </w:pPr>
      <w:r w:rsidRPr="000E4076">
        <w:rPr>
          <w:rFonts w:ascii="Verdana" w:hAnsi="Verdana"/>
          <w:color w:val="000000"/>
        </w:rPr>
        <w:t>promoting climate change adaptation, risk prevention and management (TO5)</w:t>
      </w:r>
    </w:p>
    <w:p w:rsidR="00C17DB5" w:rsidRPr="000E4076" w:rsidRDefault="00C17DB5" w:rsidP="008166DD">
      <w:pPr>
        <w:pStyle w:val="Paragraphedeliste3"/>
        <w:numPr>
          <w:ilvl w:val="0"/>
          <w:numId w:val="23"/>
        </w:numPr>
        <w:spacing w:after="120"/>
        <w:ind w:left="924" w:hanging="357"/>
        <w:contextualSpacing w:val="0"/>
        <w:jc w:val="both"/>
        <w:rPr>
          <w:rFonts w:ascii="Verdana" w:hAnsi="Verdana"/>
          <w:color w:val="000000"/>
        </w:rPr>
      </w:pPr>
      <w:r w:rsidRPr="000E4076">
        <w:rPr>
          <w:rFonts w:ascii="Verdana" w:hAnsi="Verdana"/>
          <w:color w:val="000000"/>
        </w:rPr>
        <w:t>promoting sustainable transport and removing bottlenecks in key network infrastructures (TO7)</w:t>
      </w:r>
    </w:p>
    <w:p w:rsidR="00C17DB5" w:rsidRPr="000E4076" w:rsidRDefault="00C17DB5" w:rsidP="008166DD">
      <w:pPr>
        <w:pStyle w:val="Paragraphedeliste3"/>
        <w:numPr>
          <w:ilvl w:val="0"/>
          <w:numId w:val="23"/>
        </w:numPr>
        <w:spacing w:after="120"/>
        <w:ind w:left="924" w:hanging="357"/>
        <w:contextualSpacing w:val="0"/>
        <w:jc w:val="both"/>
        <w:rPr>
          <w:rFonts w:ascii="Verdana" w:hAnsi="Verdana"/>
          <w:color w:val="000000"/>
        </w:rPr>
      </w:pPr>
      <w:r w:rsidRPr="000E4076">
        <w:rPr>
          <w:rFonts w:ascii="Verdana" w:hAnsi="Verdana"/>
          <w:color w:val="000000"/>
        </w:rPr>
        <w:t>investing in education, skills and lifelong learning by developing education and training infrastructure (TO10)</w:t>
      </w:r>
    </w:p>
    <w:p w:rsidR="00C17DB5" w:rsidRPr="000E4076" w:rsidRDefault="00C17DB5" w:rsidP="00312A5F">
      <w:pPr>
        <w:spacing w:after="120" w:line="276" w:lineRule="auto"/>
        <w:jc w:val="both"/>
        <w:rPr>
          <w:rFonts w:ascii="Verdana" w:hAnsi="Verdana"/>
          <w:sz w:val="22"/>
          <w:szCs w:val="22"/>
        </w:rPr>
      </w:pPr>
      <w:r w:rsidRPr="000E4076">
        <w:rPr>
          <w:rFonts w:ascii="Verdana" w:hAnsi="Verdana"/>
          <w:color w:val="000000"/>
          <w:sz w:val="22"/>
          <w:szCs w:val="22"/>
        </w:rPr>
        <w:t xml:space="preserve">This will enable the programme to continue to foster the bottom up approach which is highly praised by cities. This structure for thematic objectives will have the positive </w:t>
      </w:r>
      <w:r w:rsidRPr="000E4076">
        <w:rPr>
          <w:rFonts w:ascii="Verdana" w:hAnsi="Verdana"/>
          <w:sz w:val="22"/>
          <w:szCs w:val="22"/>
        </w:rPr>
        <w:t>effect of helping to achieve the EU2020 goals through the Thematic Objectives and Investment Priorities and helping the URBACT Managing Authority to focus on key priorities for the future period whilst retaining sufficient flexibility to respond to the changing needs of European cities.</w:t>
      </w:r>
    </w:p>
    <w:p w:rsidR="00C17DB5" w:rsidRPr="000E4076" w:rsidRDefault="00C17DB5" w:rsidP="00312A5F">
      <w:pPr>
        <w:spacing w:after="120" w:line="276" w:lineRule="auto"/>
        <w:jc w:val="both"/>
        <w:rPr>
          <w:rFonts w:ascii="Verdana" w:hAnsi="Verdana"/>
          <w:sz w:val="22"/>
          <w:szCs w:val="22"/>
        </w:rPr>
        <w:sectPr w:rsidR="00C17DB5" w:rsidRPr="000E4076" w:rsidSect="00A3517F">
          <w:footerReference w:type="default" r:id="rId27"/>
          <w:pgSz w:w="11906" w:h="16838"/>
          <w:pgMar w:top="1417" w:right="707" w:bottom="1417" w:left="1417" w:header="708" w:footer="708" w:gutter="0"/>
          <w:cols w:space="708"/>
          <w:docGrid w:linePitch="360"/>
        </w:sectPr>
      </w:pPr>
    </w:p>
    <w:p w:rsidR="00C17DB5" w:rsidRDefault="00C17DB5" w:rsidP="00C17DB5">
      <w:pPr>
        <w:spacing w:before="60"/>
        <w:jc w:val="both"/>
        <w:rPr>
          <w:rFonts w:ascii="Verdana" w:hAnsi="Verdana"/>
          <w:b/>
          <w:bCs/>
          <w:sz w:val="22"/>
          <w:szCs w:val="22"/>
        </w:rPr>
      </w:pPr>
      <w:r w:rsidRPr="000E4076">
        <w:rPr>
          <w:rFonts w:ascii="Verdana" w:hAnsi="Verdana"/>
          <w:b/>
          <w:bCs/>
          <w:sz w:val="22"/>
          <w:szCs w:val="22"/>
        </w:rPr>
        <w:t>Table 2: Overview of the programme investment strategy</w:t>
      </w:r>
    </w:p>
    <w:tbl>
      <w:tblPr>
        <w:tblW w:w="13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1134"/>
        <w:gridCol w:w="992"/>
        <w:gridCol w:w="992"/>
        <w:gridCol w:w="1701"/>
        <w:gridCol w:w="1701"/>
        <w:gridCol w:w="1843"/>
        <w:gridCol w:w="1843"/>
      </w:tblGrid>
      <w:tr w:rsidR="00BB522E" w:rsidRPr="000E4076" w:rsidTr="00BB522E">
        <w:trPr>
          <w:trHeight w:val="522"/>
        </w:trPr>
        <w:tc>
          <w:tcPr>
            <w:tcW w:w="1418" w:type="dxa"/>
            <w:vMerge w:val="restart"/>
            <w:tcBorders>
              <w:top w:val="single" w:sz="4" w:space="0" w:color="auto"/>
              <w:left w:val="single" w:sz="4" w:space="0" w:color="auto"/>
              <w:bottom w:val="single" w:sz="4" w:space="0" w:color="auto"/>
              <w:right w:val="single" w:sz="4" w:space="0" w:color="auto"/>
            </w:tcBorders>
          </w:tcPr>
          <w:p w:rsidR="00BB522E" w:rsidRPr="000E4076" w:rsidRDefault="00BB522E" w:rsidP="00BB522E">
            <w:pPr>
              <w:spacing w:before="60"/>
              <w:jc w:val="center"/>
              <w:rPr>
                <w:rFonts w:ascii="Verdana" w:hAnsi="Verdana"/>
                <w:b/>
                <w:bCs/>
                <w:sz w:val="20"/>
                <w:szCs w:val="20"/>
              </w:rPr>
            </w:pPr>
            <w:r w:rsidRPr="000E4076">
              <w:rPr>
                <w:rFonts w:ascii="Verdana" w:hAnsi="Verdana"/>
                <w:b/>
                <w:bCs/>
                <w:sz w:val="20"/>
                <w:szCs w:val="20"/>
              </w:rPr>
              <w:t>Priority axis</w:t>
            </w:r>
          </w:p>
          <w:p w:rsidR="00BB522E" w:rsidRPr="00BB522E" w:rsidRDefault="00BB522E" w:rsidP="00BB522E">
            <w:pPr>
              <w:spacing w:before="60"/>
              <w:jc w:val="center"/>
              <w:rPr>
                <w:rFonts w:ascii="Verdana" w:hAnsi="Verdana"/>
                <w:b/>
                <w:bCs/>
                <w:sz w:val="20"/>
                <w:szCs w:val="20"/>
              </w:rPr>
            </w:pPr>
          </w:p>
        </w:tc>
        <w:tc>
          <w:tcPr>
            <w:tcW w:w="1418" w:type="dxa"/>
            <w:vMerge w:val="restart"/>
            <w:tcBorders>
              <w:top w:val="single" w:sz="4" w:space="0" w:color="auto"/>
              <w:left w:val="single" w:sz="4" w:space="0" w:color="auto"/>
              <w:bottom w:val="single" w:sz="4" w:space="0" w:color="auto"/>
              <w:right w:val="single" w:sz="4" w:space="0" w:color="auto"/>
            </w:tcBorders>
          </w:tcPr>
          <w:p w:rsidR="00BB522E" w:rsidRPr="000E4076" w:rsidRDefault="00BB522E" w:rsidP="00BB522E">
            <w:pPr>
              <w:spacing w:before="60"/>
              <w:jc w:val="center"/>
              <w:rPr>
                <w:rFonts w:ascii="Verdana" w:hAnsi="Verdana"/>
                <w:b/>
                <w:bCs/>
                <w:sz w:val="20"/>
                <w:szCs w:val="20"/>
              </w:rPr>
            </w:pPr>
            <w:r w:rsidRPr="000E4076">
              <w:rPr>
                <w:rFonts w:ascii="Verdana" w:hAnsi="Verdana"/>
                <w:b/>
                <w:bCs/>
                <w:sz w:val="20"/>
                <w:szCs w:val="20"/>
              </w:rPr>
              <w:t>ERDF support  - EUR</w:t>
            </w:r>
          </w:p>
        </w:tc>
        <w:tc>
          <w:tcPr>
            <w:tcW w:w="3118" w:type="dxa"/>
            <w:gridSpan w:val="3"/>
            <w:tcBorders>
              <w:top w:val="single" w:sz="4" w:space="0" w:color="auto"/>
              <w:left w:val="single" w:sz="4" w:space="0" w:color="auto"/>
              <w:bottom w:val="single" w:sz="4" w:space="0" w:color="auto"/>
              <w:right w:val="single" w:sz="4" w:space="0" w:color="auto"/>
            </w:tcBorders>
          </w:tcPr>
          <w:p w:rsidR="00BB522E" w:rsidRPr="000E4076" w:rsidRDefault="00BB522E" w:rsidP="00BB522E">
            <w:pPr>
              <w:spacing w:before="60"/>
              <w:jc w:val="center"/>
              <w:rPr>
                <w:rFonts w:ascii="Verdana" w:hAnsi="Verdana"/>
                <w:b/>
                <w:bCs/>
                <w:sz w:val="20"/>
                <w:szCs w:val="20"/>
              </w:rPr>
            </w:pPr>
            <w:r w:rsidRPr="000E4076">
              <w:rPr>
                <w:rFonts w:ascii="Verdana" w:hAnsi="Verdana"/>
                <w:b/>
                <w:bCs/>
                <w:sz w:val="20"/>
                <w:szCs w:val="20"/>
              </w:rPr>
              <w:t>Share (%) of the total Union support to the operational programme (by Fund)</w:t>
            </w:r>
          </w:p>
        </w:tc>
        <w:tc>
          <w:tcPr>
            <w:tcW w:w="1701" w:type="dxa"/>
            <w:vMerge w:val="restart"/>
            <w:tcBorders>
              <w:top w:val="single" w:sz="4" w:space="0" w:color="auto"/>
              <w:left w:val="single" w:sz="4" w:space="0" w:color="auto"/>
              <w:bottom w:val="single" w:sz="4" w:space="0" w:color="auto"/>
              <w:right w:val="single" w:sz="4" w:space="0" w:color="auto"/>
            </w:tcBorders>
          </w:tcPr>
          <w:p w:rsidR="00BB522E" w:rsidRPr="000E4076" w:rsidRDefault="00BB522E" w:rsidP="00BB522E">
            <w:pPr>
              <w:spacing w:before="60"/>
              <w:jc w:val="center"/>
              <w:rPr>
                <w:rFonts w:ascii="Verdana" w:hAnsi="Verdana"/>
                <w:b/>
                <w:bCs/>
                <w:sz w:val="20"/>
                <w:szCs w:val="20"/>
              </w:rPr>
            </w:pPr>
            <w:r w:rsidRPr="000E4076">
              <w:rPr>
                <w:rFonts w:ascii="Verdana" w:hAnsi="Verdana"/>
                <w:b/>
                <w:bCs/>
                <w:sz w:val="20"/>
                <w:szCs w:val="20"/>
              </w:rPr>
              <w:t>Thematic objective</w:t>
            </w:r>
          </w:p>
          <w:p w:rsidR="00BB522E" w:rsidRPr="000E4076" w:rsidRDefault="00BB522E" w:rsidP="00BB522E">
            <w:pPr>
              <w:spacing w:before="60"/>
              <w:jc w:val="center"/>
              <w:rPr>
                <w:rFonts w:ascii="Verdana" w:hAnsi="Verdana"/>
                <w:b/>
                <w:bCs/>
                <w:sz w:val="20"/>
                <w:szCs w:val="20"/>
              </w:rPr>
            </w:pPr>
          </w:p>
        </w:tc>
        <w:tc>
          <w:tcPr>
            <w:tcW w:w="1701" w:type="dxa"/>
            <w:vMerge w:val="restart"/>
            <w:tcBorders>
              <w:top w:val="single" w:sz="4" w:space="0" w:color="auto"/>
              <w:left w:val="single" w:sz="4" w:space="0" w:color="auto"/>
              <w:bottom w:val="single" w:sz="4" w:space="0" w:color="auto"/>
              <w:right w:val="single" w:sz="4" w:space="0" w:color="auto"/>
            </w:tcBorders>
          </w:tcPr>
          <w:p w:rsidR="00BB522E" w:rsidRPr="000E4076" w:rsidRDefault="00BB522E" w:rsidP="00BB522E">
            <w:pPr>
              <w:spacing w:before="60"/>
              <w:jc w:val="center"/>
              <w:rPr>
                <w:rFonts w:ascii="Verdana" w:hAnsi="Verdana"/>
                <w:b/>
                <w:bCs/>
                <w:sz w:val="20"/>
                <w:szCs w:val="20"/>
              </w:rPr>
            </w:pPr>
            <w:r w:rsidRPr="000E4076">
              <w:rPr>
                <w:rFonts w:ascii="Verdana" w:hAnsi="Verdana"/>
                <w:b/>
                <w:bCs/>
                <w:sz w:val="20"/>
                <w:szCs w:val="20"/>
              </w:rPr>
              <w:t>Investment Priority</w:t>
            </w:r>
          </w:p>
        </w:tc>
        <w:tc>
          <w:tcPr>
            <w:tcW w:w="1843" w:type="dxa"/>
            <w:vMerge w:val="restart"/>
            <w:tcBorders>
              <w:top w:val="single" w:sz="4" w:space="0" w:color="auto"/>
              <w:left w:val="single" w:sz="4" w:space="0" w:color="auto"/>
              <w:bottom w:val="single" w:sz="4" w:space="0" w:color="auto"/>
              <w:right w:val="single" w:sz="4" w:space="0" w:color="auto"/>
            </w:tcBorders>
          </w:tcPr>
          <w:p w:rsidR="00BB522E" w:rsidRPr="000E4076" w:rsidRDefault="00BB522E" w:rsidP="00BB522E">
            <w:pPr>
              <w:spacing w:before="60"/>
              <w:jc w:val="center"/>
              <w:rPr>
                <w:rFonts w:ascii="Verdana" w:hAnsi="Verdana"/>
                <w:b/>
                <w:bCs/>
                <w:sz w:val="20"/>
                <w:szCs w:val="20"/>
              </w:rPr>
            </w:pPr>
            <w:r>
              <w:rPr>
                <w:rFonts w:ascii="Verdana" w:hAnsi="Verdana"/>
                <w:b/>
                <w:bCs/>
                <w:sz w:val="20"/>
                <w:szCs w:val="20"/>
              </w:rPr>
              <w:t>Specific Objectives corresponding to the investment priorities</w:t>
            </w:r>
          </w:p>
        </w:tc>
        <w:tc>
          <w:tcPr>
            <w:tcW w:w="1843" w:type="dxa"/>
            <w:vMerge w:val="restart"/>
            <w:tcBorders>
              <w:top w:val="single" w:sz="4" w:space="0" w:color="auto"/>
              <w:left w:val="single" w:sz="4" w:space="0" w:color="auto"/>
              <w:bottom w:val="single" w:sz="4" w:space="0" w:color="auto"/>
              <w:right w:val="single" w:sz="4" w:space="0" w:color="auto"/>
            </w:tcBorders>
          </w:tcPr>
          <w:p w:rsidR="00BB522E" w:rsidRPr="000E4076" w:rsidRDefault="00BB522E" w:rsidP="00BB522E">
            <w:pPr>
              <w:spacing w:before="60"/>
              <w:jc w:val="center"/>
              <w:rPr>
                <w:rFonts w:ascii="Verdana" w:hAnsi="Verdana"/>
                <w:b/>
                <w:bCs/>
                <w:sz w:val="20"/>
                <w:szCs w:val="20"/>
              </w:rPr>
            </w:pPr>
            <w:r>
              <w:rPr>
                <w:rFonts w:ascii="Verdana" w:hAnsi="Verdana"/>
                <w:b/>
                <w:bCs/>
                <w:sz w:val="20"/>
                <w:szCs w:val="20"/>
              </w:rPr>
              <w:t>Result indicators corresponding to the specific objective</w:t>
            </w:r>
          </w:p>
        </w:tc>
      </w:tr>
      <w:tr w:rsidR="00BB522E" w:rsidRPr="000E4076" w:rsidTr="00BB522E">
        <w:trPr>
          <w:trHeight w:val="521"/>
        </w:trPr>
        <w:tc>
          <w:tcPr>
            <w:tcW w:w="1418" w:type="dxa"/>
            <w:vMerge/>
            <w:tcBorders>
              <w:top w:val="single" w:sz="4" w:space="0" w:color="auto"/>
              <w:left w:val="single" w:sz="4" w:space="0" w:color="auto"/>
              <w:bottom w:val="single" w:sz="4" w:space="0" w:color="auto"/>
              <w:right w:val="single" w:sz="4" w:space="0" w:color="auto"/>
            </w:tcBorders>
            <w:vAlign w:val="center"/>
          </w:tcPr>
          <w:p w:rsidR="00BB522E" w:rsidRPr="000E4076" w:rsidRDefault="00BB522E" w:rsidP="00BB522E">
            <w:pPr>
              <w:spacing w:before="60"/>
              <w:jc w:val="both"/>
              <w:rPr>
                <w:rFonts w:ascii="Verdana" w:hAnsi="Verdana"/>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BB522E" w:rsidRPr="000E4076" w:rsidRDefault="00BB522E" w:rsidP="00BB522E">
            <w:pPr>
              <w:spacing w:before="60"/>
              <w:jc w:val="both"/>
              <w:rPr>
                <w:rFonts w:ascii="Verdana" w:hAnsi="Verdana"/>
                <w:b/>
                <w:bCs/>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BB522E" w:rsidRPr="000E4076" w:rsidRDefault="00BB522E" w:rsidP="00BB522E">
            <w:pPr>
              <w:spacing w:before="60"/>
              <w:jc w:val="center"/>
              <w:rPr>
                <w:rFonts w:ascii="Verdana" w:hAnsi="Verdana"/>
                <w:b/>
                <w:bCs/>
                <w:sz w:val="20"/>
                <w:szCs w:val="20"/>
              </w:rPr>
            </w:pPr>
            <w:r w:rsidRPr="000E4076">
              <w:rPr>
                <w:rFonts w:ascii="Verdana" w:hAnsi="Verdana"/>
                <w:b/>
                <w:bCs/>
                <w:sz w:val="20"/>
                <w:szCs w:val="20"/>
              </w:rPr>
              <w:t>ERDF</w:t>
            </w:r>
          </w:p>
        </w:tc>
        <w:tc>
          <w:tcPr>
            <w:tcW w:w="992" w:type="dxa"/>
            <w:tcBorders>
              <w:top w:val="single" w:sz="4" w:space="0" w:color="auto"/>
              <w:left w:val="single" w:sz="4" w:space="0" w:color="auto"/>
              <w:bottom w:val="single" w:sz="4" w:space="0" w:color="auto"/>
              <w:right w:val="single" w:sz="4" w:space="0" w:color="auto"/>
            </w:tcBorders>
            <w:vAlign w:val="center"/>
          </w:tcPr>
          <w:p w:rsidR="00BB522E" w:rsidRPr="000E4076" w:rsidRDefault="00BB522E" w:rsidP="00BB522E">
            <w:pPr>
              <w:spacing w:before="60"/>
              <w:jc w:val="center"/>
              <w:rPr>
                <w:rFonts w:ascii="Verdana" w:hAnsi="Verdana"/>
                <w:b/>
                <w:bCs/>
                <w:sz w:val="20"/>
                <w:szCs w:val="20"/>
              </w:rPr>
            </w:pPr>
            <w:r w:rsidRPr="000E4076">
              <w:rPr>
                <w:rFonts w:ascii="Verdana" w:hAnsi="Verdana"/>
                <w:b/>
                <w:bCs/>
                <w:sz w:val="20"/>
                <w:szCs w:val="20"/>
              </w:rPr>
              <w:t>ENI</w:t>
            </w:r>
          </w:p>
        </w:tc>
        <w:tc>
          <w:tcPr>
            <w:tcW w:w="992" w:type="dxa"/>
            <w:tcBorders>
              <w:top w:val="single" w:sz="4" w:space="0" w:color="auto"/>
              <w:left w:val="single" w:sz="4" w:space="0" w:color="auto"/>
              <w:bottom w:val="single" w:sz="4" w:space="0" w:color="auto"/>
              <w:right w:val="single" w:sz="4" w:space="0" w:color="auto"/>
            </w:tcBorders>
            <w:vAlign w:val="center"/>
          </w:tcPr>
          <w:p w:rsidR="00BB522E" w:rsidRPr="000E4076" w:rsidRDefault="00BB522E" w:rsidP="00BB522E">
            <w:pPr>
              <w:spacing w:before="60"/>
              <w:jc w:val="center"/>
              <w:rPr>
                <w:rFonts w:ascii="Verdana" w:hAnsi="Verdana"/>
                <w:b/>
                <w:bCs/>
                <w:sz w:val="20"/>
                <w:szCs w:val="20"/>
              </w:rPr>
            </w:pPr>
            <w:r w:rsidRPr="000E4076">
              <w:rPr>
                <w:rFonts w:ascii="Verdana" w:hAnsi="Verdana"/>
                <w:b/>
                <w:bCs/>
                <w:sz w:val="20"/>
                <w:szCs w:val="20"/>
              </w:rPr>
              <w:t>IPA</w:t>
            </w:r>
          </w:p>
        </w:tc>
        <w:tc>
          <w:tcPr>
            <w:tcW w:w="1701" w:type="dxa"/>
            <w:vMerge/>
            <w:tcBorders>
              <w:top w:val="single" w:sz="4" w:space="0" w:color="auto"/>
              <w:left w:val="single" w:sz="4" w:space="0" w:color="auto"/>
              <w:bottom w:val="single" w:sz="4" w:space="0" w:color="auto"/>
              <w:right w:val="single" w:sz="4" w:space="0" w:color="auto"/>
            </w:tcBorders>
            <w:vAlign w:val="center"/>
          </w:tcPr>
          <w:p w:rsidR="00BB522E" w:rsidRPr="000E4076" w:rsidRDefault="00BB522E" w:rsidP="00BB522E">
            <w:pPr>
              <w:spacing w:before="60"/>
              <w:jc w:val="both"/>
              <w:rPr>
                <w:rFonts w:ascii="Verdana" w:hAnsi="Verdana"/>
                <w:b/>
                <w:bCs/>
                <w:sz w:val="20"/>
                <w:szCs w:val="20"/>
              </w:rPr>
            </w:pPr>
          </w:p>
        </w:tc>
        <w:tc>
          <w:tcPr>
            <w:tcW w:w="1701" w:type="dxa"/>
            <w:vMerge/>
            <w:tcBorders>
              <w:left w:val="single" w:sz="4" w:space="0" w:color="auto"/>
              <w:bottom w:val="single" w:sz="4" w:space="0" w:color="auto"/>
              <w:right w:val="single" w:sz="4" w:space="0" w:color="auto"/>
            </w:tcBorders>
          </w:tcPr>
          <w:p w:rsidR="00BB522E" w:rsidRPr="000E4076" w:rsidRDefault="00BB522E" w:rsidP="00BB522E">
            <w:pPr>
              <w:spacing w:before="60"/>
              <w:jc w:val="both"/>
              <w:rPr>
                <w:rFonts w:ascii="Verdana" w:hAnsi="Verdana"/>
                <w:b/>
                <w:bCs/>
                <w:sz w:val="20"/>
                <w:szCs w:val="20"/>
              </w:rPr>
            </w:pPr>
          </w:p>
        </w:tc>
        <w:tc>
          <w:tcPr>
            <w:tcW w:w="1843" w:type="dxa"/>
            <w:vMerge/>
            <w:tcBorders>
              <w:left w:val="single" w:sz="4" w:space="0" w:color="auto"/>
              <w:bottom w:val="single" w:sz="4" w:space="0" w:color="auto"/>
              <w:right w:val="single" w:sz="4" w:space="0" w:color="auto"/>
            </w:tcBorders>
          </w:tcPr>
          <w:p w:rsidR="00BB522E" w:rsidRPr="000E4076" w:rsidRDefault="00BB522E" w:rsidP="00BB522E">
            <w:pPr>
              <w:spacing w:before="60"/>
              <w:jc w:val="both"/>
              <w:rPr>
                <w:rFonts w:ascii="Verdana" w:hAnsi="Verdana"/>
                <w:b/>
                <w:bCs/>
                <w:sz w:val="20"/>
                <w:szCs w:val="20"/>
              </w:rPr>
            </w:pPr>
          </w:p>
        </w:tc>
        <w:tc>
          <w:tcPr>
            <w:tcW w:w="1843" w:type="dxa"/>
            <w:vMerge/>
            <w:tcBorders>
              <w:left w:val="single" w:sz="4" w:space="0" w:color="auto"/>
              <w:bottom w:val="single" w:sz="4" w:space="0" w:color="auto"/>
              <w:right w:val="single" w:sz="4" w:space="0" w:color="auto"/>
            </w:tcBorders>
          </w:tcPr>
          <w:p w:rsidR="00BB522E" w:rsidRPr="000E4076" w:rsidRDefault="00BB522E" w:rsidP="00BB522E">
            <w:pPr>
              <w:spacing w:before="60"/>
              <w:jc w:val="both"/>
              <w:rPr>
                <w:rFonts w:ascii="Verdana" w:hAnsi="Verdana"/>
                <w:b/>
                <w:bCs/>
                <w:sz w:val="20"/>
                <w:szCs w:val="20"/>
              </w:rPr>
            </w:pPr>
          </w:p>
        </w:tc>
      </w:tr>
      <w:tr w:rsidR="00BB522E" w:rsidRPr="000E4076" w:rsidTr="00BB522E">
        <w:trPr>
          <w:trHeight w:val="1287"/>
        </w:trPr>
        <w:tc>
          <w:tcPr>
            <w:tcW w:w="1418" w:type="dxa"/>
            <w:vMerge w:val="restart"/>
            <w:tcBorders>
              <w:top w:val="single" w:sz="4" w:space="0" w:color="auto"/>
              <w:left w:val="single" w:sz="4" w:space="0" w:color="auto"/>
              <w:right w:val="single" w:sz="4" w:space="0" w:color="auto"/>
            </w:tcBorders>
          </w:tcPr>
          <w:p w:rsidR="00BB522E" w:rsidRPr="000E4076" w:rsidRDefault="00BB522E" w:rsidP="00BB522E">
            <w:pPr>
              <w:spacing w:before="60"/>
              <w:jc w:val="center"/>
              <w:rPr>
                <w:rFonts w:ascii="Verdana" w:hAnsi="Verdana"/>
                <w:sz w:val="20"/>
                <w:szCs w:val="20"/>
              </w:rPr>
            </w:pPr>
            <w:r w:rsidRPr="000E4076">
              <w:rPr>
                <w:rFonts w:ascii="Verdana" w:hAnsi="Verdana"/>
                <w:sz w:val="20"/>
                <w:szCs w:val="20"/>
              </w:rPr>
              <w:t>1 Promoting Integrated Sustainable Urban Develop-ment</w:t>
            </w:r>
          </w:p>
        </w:tc>
        <w:tc>
          <w:tcPr>
            <w:tcW w:w="1418" w:type="dxa"/>
            <w:vMerge w:val="restart"/>
            <w:tcBorders>
              <w:top w:val="single" w:sz="4" w:space="0" w:color="auto"/>
              <w:left w:val="single" w:sz="4" w:space="0" w:color="auto"/>
              <w:right w:val="single" w:sz="4" w:space="0" w:color="auto"/>
            </w:tcBorders>
            <w:vAlign w:val="center"/>
          </w:tcPr>
          <w:p w:rsidR="00BB522E" w:rsidRPr="000E4076" w:rsidRDefault="00BB522E" w:rsidP="00E00F86">
            <w:pPr>
              <w:spacing w:before="60"/>
              <w:jc w:val="center"/>
              <w:rPr>
                <w:rFonts w:ascii="Verdana" w:hAnsi="Verdana"/>
                <w:sz w:val="20"/>
                <w:szCs w:val="20"/>
              </w:rPr>
            </w:pPr>
            <w:r w:rsidRPr="000E4076">
              <w:rPr>
                <w:rFonts w:ascii="Verdana" w:hAnsi="Verdana"/>
                <w:sz w:val="20"/>
                <w:szCs w:val="20"/>
              </w:rPr>
              <w:t>69 843 </w:t>
            </w:r>
            <w:r>
              <w:rPr>
                <w:rFonts w:ascii="Verdana" w:hAnsi="Verdana"/>
                <w:sz w:val="20"/>
                <w:szCs w:val="20"/>
              </w:rPr>
              <w:t>79</w:t>
            </w:r>
            <w:r w:rsidR="00E00F86">
              <w:rPr>
                <w:rFonts w:ascii="Verdana" w:hAnsi="Verdana"/>
                <w:sz w:val="20"/>
                <w:szCs w:val="20"/>
              </w:rPr>
              <w:t>5</w:t>
            </w:r>
            <w:r w:rsidRPr="000E4076">
              <w:rPr>
                <w:rFonts w:ascii="Verdana" w:hAnsi="Verdana"/>
                <w:sz w:val="20"/>
                <w:szCs w:val="20"/>
              </w:rPr>
              <w:t>€</w:t>
            </w:r>
          </w:p>
        </w:tc>
        <w:tc>
          <w:tcPr>
            <w:tcW w:w="1134" w:type="dxa"/>
            <w:vMerge w:val="restart"/>
            <w:tcBorders>
              <w:top w:val="single" w:sz="4" w:space="0" w:color="auto"/>
              <w:left w:val="single" w:sz="4" w:space="0" w:color="auto"/>
              <w:right w:val="single" w:sz="4" w:space="0" w:color="auto"/>
            </w:tcBorders>
            <w:vAlign w:val="center"/>
          </w:tcPr>
          <w:p w:rsidR="00BB522E" w:rsidRPr="000E4076" w:rsidRDefault="00BB522E" w:rsidP="00BB522E">
            <w:pPr>
              <w:spacing w:before="60"/>
              <w:jc w:val="center"/>
              <w:rPr>
                <w:rFonts w:ascii="Verdana" w:hAnsi="Verdana"/>
                <w:sz w:val="20"/>
                <w:szCs w:val="20"/>
              </w:rPr>
            </w:pPr>
            <w:r w:rsidRPr="000E4076">
              <w:rPr>
                <w:rFonts w:ascii="Verdana" w:hAnsi="Verdana"/>
                <w:sz w:val="20"/>
                <w:szCs w:val="20"/>
              </w:rPr>
              <w:t>94%</w:t>
            </w:r>
          </w:p>
        </w:tc>
        <w:tc>
          <w:tcPr>
            <w:tcW w:w="992" w:type="dxa"/>
            <w:vMerge w:val="restart"/>
            <w:tcBorders>
              <w:top w:val="single" w:sz="4" w:space="0" w:color="auto"/>
              <w:left w:val="single" w:sz="4" w:space="0" w:color="auto"/>
              <w:right w:val="single" w:sz="4" w:space="0" w:color="auto"/>
            </w:tcBorders>
          </w:tcPr>
          <w:p w:rsidR="00BB522E" w:rsidRPr="000E4076" w:rsidRDefault="00BB522E" w:rsidP="00BB522E">
            <w:pPr>
              <w:spacing w:before="60"/>
              <w:jc w:val="center"/>
              <w:rPr>
                <w:rFonts w:ascii="Verdana" w:hAnsi="Verdana"/>
                <w:sz w:val="20"/>
                <w:szCs w:val="20"/>
              </w:rPr>
            </w:pPr>
          </w:p>
        </w:tc>
        <w:tc>
          <w:tcPr>
            <w:tcW w:w="992" w:type="dxa"/>
            <w:vMerge w:val="restart"/>
            <w:tcBorders>
              <w:top w:val="single" w:sz="4" w:space="0" w:color="auto"/>
              <w:left w:val="single" w:sz="4" w:space="0" w:color="auto"/>
              <w:right w:val="single" w:sz="4" w:space="0" w:color="auto"/>
            </w:tcBorders>
          </w:tcPr>
          <w:p w:rsidR="00BB522E" w:rsidRPr="000E4076" w:rsidRDefault="00BB522E" w:rsidP="00BB522E">
            <w:pPr>
              <w:spacing w:before="60"/>
              <w:jc w:val="both"/>
              <w:rPr>
                <w:rFonts w:ascii="Verdana" w:hAnsi="Verdana"/>
                <w:sz w:val="20"/>
                <w:szCs w:val="20"/>
              </w:rPr>
            </w:pPr>
          </w:p>
        </w:tc>
        <w:tc>
          <w:tcPr>
            <w:tcW w:w="1701" w:type="dxa"/>
            <w:vMerge w:val="restart"/>
            <w:tcBorders>
              <w:top w:val="single" w:sz="4" w:space="0" w:color="auto"/>
              <w:left w:val="single" w:sz="4" w:space="0" w:color="auto"/>
              <w:right w:val="single" w:sz="4" w:space="0" w:color="auto"/>
            </w:tcBorders>
            <w:vAlign w:val="center"/>
          </w:tcPr>
          <w:p w:rsidR="00BB522E" w:rsidRPr="000E4076" w:rsidRDefault="00BB522E" w:rsidP="00BB522E">
            <w:pPr>
              <w:spacing w:before="60"/>
              <w:jc w:val="center"/>
              <w:rPr>
                <w:rFonts w:ascii="Verdana" w:hAnsi="Verdana"/>
                <w:sz w:val="20"/>
                <w:szCs w:val="20"/>
              </w:rPr>
            </w:pPr>
            <w:r w:rsidRPr="000E4076">
              <w:rPr>
                <w:rFonts w:ascii="Verdana" w:hAnsi="Verdana"/>
                <w:sz w:val="20"/>
                <w:szCs w:val="20"/>
              </w:rPr>
              <w:t>No. 11 Enhancing Institutional Capacity and efficient public administration</w:t>
            </w:r>
          </w:p>
        </w:tc>
        <w:tc>
          <w:tcPr>
            <w:tcW w:w="1701" w:type="dxa"/>
            <w:vMerge w:val="restart"/>
            <w:tcBorders>
              <w:top w:val="single" w:sz="4" w:space="0" w:color="auto"/>
              <w:left w:val="single" w:sz="4" w:space="0" w:color="auto"/>
              <w:right w:val="single" w:sz="4" w:space="0" w:color="auto"/>
            </w:tcBorders>
          </w:tcPr>
          <w:p w:rsidR="00BB522E" w:rsidRPr="000E4076" w:rsidRDefault="00BB522E" w:rsidP="00BB522E">
            <w:pPr>
              <w:spacing w:before="60"/>
              <w:jc w:val="center"/>
              <w:rPr>
                <w:rFonts w:ascii="Verdana" w:hAnsi="Verdana"/>
                <w:sz w:val="20"/>
                <w:szCs w:val="20"/>
              </w:rPr>
            </w:pPr>
          </w:p>
          <w:p w:rsidR="00BB522E" w:rsidRPr="000E4076" w:rsidRDefault="00BB522E" w:rsidP="00BB522E">
            <w:pPr>
              <w:spacing w:before="60"/>
              <w:jc w:val="center"/>
              <w:rPr>
                <w:rFonts w:ascii="Verdana" w:hAnsi="Verdana"/>
                <w:sz w:val="20"/>
                <w:szCs w:val="20"/>
              </w:rPr>
            </w:pPr>
            <w:r w:rsidRPr="000E4076">
              <w:rPr>
                <w:rFonts w:ascii="Verdana" w:hAnsi="Verdana"/>
                <w:iCs/>
                <w:color w:val="000000"/>
                <w:sz w:val="20"/>
                <w:szCs w:val="20"/>
              </w:rPr>
              <w:t>Disseminating good practice and expertise and capitalising on the results of the exchange of experience in relation to sustainable urban development, including urban-rural linkages’</w:t>
            </w:r>
          </w:p>
        </w:tc>
        <w:tc>
          <w:tcPr>
            <w:tcW w:w="1843" w:type="dxa"/>
            <w:tcBorders>
              <w:top w:val="single" w:sz="4" w:space="0" w:color="auto"/>
              <w:left w:val="single" w:sz="4" w:space="0" w:color="auto"/>
              <w:right w:val="single" w:sz="4" w:space="0" w:color="auto"/>
            </w:tcBorders>
          </w:tcPr>
          <w:p w:rsidR="00BB522E" w:rsidRPr="00BB522E" w:rsidRDefault="00185F6E" w:rsidP="00BB522E">
            <w:pPr>
              <w:spacing w:before="60"/>
              <w:jc w:val="center"/>
              <w:rPr>
                <w:rFonts w:ascii="Verdana" w:hAnsi="Verdana"/>
                <w:sz w:val="18"/>
                <w:szCs w:val="18"/>
              </w:rPr>
            </w:pPr>
            <w:r w:rsidRPr="00185F6E">
              <w:rPr>
                <w:rFonts w:ascii="Verdana" w:hAnsi="Verdana" w:cs="Arial"/>
                <w:sz w:val="18"/>
                <w:szCs w:val="18"/>
              </w:rPr>
              <w:t>To improve the capacity of cities to manage sustainable urban policies and practices in an integrated and participative way</w:t>
            </w:r>
          </w:p>
        </w:tc>
        <w:tc>
          <w:tcPr>
            <w:tcW w:w="1843" w:type="dxa"/>
            <w:tcBorders>
              <w:top w:val="single" w:sz="4" w:space="0" w:color="auto"/>
              <w:left w:val="single" w:sz="4" w:space="0" w:color="auto"/>
              <w:right w:val="single" w:sz="4" w:space="0" w:color="auto"/>
            </w:tcBorders>
          </w:tcPr>
          <w:p w:rsidR="00042598" w:rsidRPr="00B77FD4" w:rsidRDefault="00042598" w:rsidP="00042598">
            <w:pPr>
              <w:pStyle w:val="Paragraphedeliste3"/>
              <w:spacing w:before="120"/>
              <w:ind w:left="121"/>
              <w:rPr>
                <w:rFonts w:ascii="Verdana" w:hAnsi="Verdana"/>
                <w:sz w:val="16"/>
                <w:szCs w:val="16"/>
              </w:rPr>
            </w:pPr>
            <w:r w:rsidRPr="00B77FD4">
              <w:rPr>
                <w:rFonts w:ascii="Verdana" w:hAnsi="Verdana"/>
                <w:sz w:val="16"/>
                <w:szCs w:val="16"/>
              </w:rPr>
              <w:t>Participants in URBACT capacity-building activities who , in the field of sustainable urban development, have increased their knowledge and capacity in relation to:</w:t>
            </w:r>
          </w:p>
          <w:p w:rsidR="00042598" w:rsidRPr="00B77FD4" w:rsidRDefault="00042598" w:rsidP="008166DD">
            <w:pPr>
              <w:pStyle w:val="Paragraphedeliste3"/>
              <w:numPr>
                <w:ilvl w:val="0"/>
                <w:numId w:val="17"/>
              </w:numPr>
              <w:spacing w:before="120"/>
              <w:ind w:left="556" w:hanging="425"/>
              <w:jc w:val="both"/>
              <w:rPr>
                <w:rFonts w:ascii="Verdana" w:hAnsi="Verdana"/>
                <w:sz w:val="16"/>
                <w:szCs w:val="16"/>
              </w:rPr>
            </w:pPr>
            <w:r w:rsidRPr="00B77FD4">
              <w:rPr>
                <w:rFonts w:ascii="Verdana" w:hAnsi="Verdana"/>
                <w:sz w:val="16"/>
                <w:szCs w:val="16"/>
              </w:rPr>
              <w:t>integrated approach</w:t>
            </w:r>
          </w:p>
          <w:p w:rsidR="00042598" w:rsidRPr="00B77FD4" w:rsidRDefault="00042598" w:rsidP="008166DD">
            <w:pPr>
              <w:pStyle w:val="Paragraphedeliste3"/>
              <w:numPr>
                <w:ilvl w:val="0"/>
                <w:numId w:val="17"/>
              </w:numPr>
              <w:spacing w:before="120"/>
              <w:ind w:left="556" w:hanging="425"/>
              <w:rPr>
                <w:rFonts w:ascii="Verdana" w:hAnsi="Verdana"/>
                <w:sz w:val="16"/>
                <w:szCs w:val="16"/>
              </w:rPr>
            </w:pPr>
            <w:r w:rsidRPr="00B77FD4">
              <w:rPr>
                <w:rFonts w:ascii="Verdana" w:hAnsi="Verdana"/>
                <w:sz w:val="16"/>
                <w:szCs w:val="16"/>
              </w:rPr>
              <w:t>participatory action-planning</w:t>
            </w:r>
          </w:p>
          <w:p w:rsidR="00E5202D" w:rsidRDefault="00042598" w:rsidP="008166DD">
            <w:pPr>
              <w:pStyle w:val="Paragraphedeliste3"/>
              <w:numPr>
                <w:ilvl w:val="0"/>
                <w:numId w:val="17"/>
              </w:numPr>
              <w:spacing w:before="120"/>
              <w:ind w:left="556" w:hanging="425"/>
              <w:rPr>
                <w:rFonts w:ascii="Verdana" w:hAnsi="Verdana"/>
                <w:sz w:val="16"/>
                <w:szCs w:val="16"/>
              </w:rPr>
            </w:pPr>
            <w:r w:rsidRPr="00B77FD4">
              <w:rPr>
                <w:rFonts w:ascii="Verdana" w:hAnsi="Verdana"/>
                <w:sz w:val="16"/>
                <w:szCs w:val="16"/>
              </w:rPr>
              <w:t xml:space="preserve">working across departments and with relevant stakeholders </w:t>
            </w:r>
          </w:p>
          <w:p w:rsidR="001853C6" w:rsidRPr="00E5202D" w:rsidRDefault="00042598" w:rsidP="008166DD">
            <w:pPr>
              <w:pStyle w:val="Paragraphedeliste3"/>
              <w:numPr>
                <w:ilvl w:val="0"/>
                <w:numId w:val="17"/>
              </w:numPr>
              <w:spacing w:before="120"/>
              <w:ind w:left="556" w:hanging="425"/>
              <w:rPr>
                <w:rFonts w:ascii="Verdana" w:hAnsi="Verdana"/>
                <w:sz w:val="16"/>
                <w:szCs w:val="16"/>
              </w:rPr>
            </w:pPr>
            <w:r w:rsidRPr="00042598">
              <w:rPr>
                <w:rFonts w:ascii="Verdana" w:hAnsi="Verdana"/>
                <w:sz w:val="16"/>
                <w:szCs w:val="16"/>
              </w:rPr>
              <w:t>project managemen</w:t>
            </w:r>
            <w:r w:rsidR="00F4006D">
              <w:rPr>
                <w:rFonts w:ascii="Verdana" w:hAnsi="Verdana"/>
                <w:sz w:val="16"/>
                <w:szCs w:val="16"/>
              </w:rPr>
              <w:t>t</w:t>
            </w:r>
          </w:p>
        </w:tc>
      </w:tr>
      <w:tr w:rsidR="00BB522E" w:rsidRPr="000E4076" w:rsidTr="00BB522E">
        <w:trPr>
          <w:trHeight w:val="1286"/>
        </w:trPr>
        <w:tc>
          <w:tcPr>
            <w:tcW w:w="1418" w:type="dxa"/>
            <w:vMerge/>
            <w:tcBorders>
              <w:left w:val="single" w:sz="4" w:space="0" w:color="auto"/>
              <w:right w:val="single" w:sz="4" w:space="0" w:color="auto"/>
            </w:tcBorders>
          </w:tcPr>
          <w:p w:rsidR="00BB522E" w:rsidRPr="000E4076" w:rsidRDefault="00BB522E" w:rsidP="00BB522E">
            <w:pPr>
              <w:spacing w:before="60"/>
              <w:jc w:val="center"/>
              <w:rPr>
                <w:rFonts w:ascii="Verdana" w:hAnsi="Verdana"/>
                <w:sz w:val="20"/>
                <w:szCs w:val="20"/>
              </w:rPr>
            </w:pPr>
          </w:p>
        </w:tc>
        <w:tc>
          <w:tcPr>
            <w:tcW w:w="1418" w:type="dxa"/>
            <w:vMerge/>
            <w:tcBorders>
              <w:left w:val="single" w:sz="4" w:space="0" w:color="auto"/>
              <w:right w:val="single" w:sz="4" w:space="0" w:color="auto"/>
            </w:tcBorders>
            <w:vAlign w:val="center"/>
          </w:tcPr>
          <w:p w:rsidR="00BB522E" w:rsidRPr="000E4076" w:rsidRDefault="00BB522E" w:rsidP="00BB522E">
            <w:pPr>
              <w:spacing w:before="60"/>
              <w:jc w:val="center"/>
              <w:rPr>
                <w:rFonts w:ascii="Verdana" w:hAnsi="Verdana"/>
                <w:sz w:val="20"/>
                <w:szCs w:val="20"/>
              </w:rPr>
            </w:pPr>
          </w:p>
        </w:tc>
        <w:tc>
          <w:tcPr>
            <w:tcW w:w="1134" w:type="dxa"/>
            <w:vMerge/>
            <w:tcBorders>
              <w:left w:val="single" w:sz="4" w:space="0" w:color="auto"/>
              <w:right w:val="single" w:sz="4" w:space="0" w:color="auto"/>
            </w:tcBorders>
            <w:vAlign w:val="center"/>
          </w:tcPr>
          <w:p w:rsidR="00BB522E" w:rsidRPr="000E4076" w:rsidRDefault="00BB522E" w:rsidP="00BB522E">
            <w:pPr>
              <w:spacing w:before="60"/>
              <w:jc w:val="center"/>
              <w:rPr>
                <w:rFonts w:ascii="Verdana" w:hAnsi="Verdana"/>
                <w:sz w:val="20"/>
                <w:szCs w:val="20"/>
              </w:rPr>
            </w:pPr>
          </w:p>
        </w:tc>
        <w:tc>
          <w:tcPr>
            <w:tcW w:w="992" w:type="dxa"/>
            <w:vMerge/>
            <w:tcBorders>
              <w:left w:val="single" w:sz="4" w:space="0" w:color="auto"/>
              <w:right w:val="single" w:sz="4" w:space="0" w:color="auto"/>
            </w:tcBorders>
          </w:tcPr>
          <w:p w:rsidR="00BB522E" w:rsidRPr="000E4076" w:rsidRDefault="00BB522E" w:rsidP="00BB522E">
            <w:pPr>
              <w:spacing w:before="60"/>
              <w:jc w:val="center"/>
              <w:rPr>
                <w:rFonts w:ascii="Verdana" w:hAnsi="Verdana"/>
                <w:sz w:val="20"/>
                <w:szCs w:val="20"/>
              </w:rPr>
            </w:pPr>
          </w:p>
        </w:tc>
        <w:tc>
          <w:tcPr>
            <w:tcW w:w="992" w:type="dxa"/>
            <w:vMerge/>
            <w:tcBorders>
              <w:left w:val="single" w:sz="4" w:space="0" w:color="auto"/>
              <w:right w:val="single" w:sz="4" w:space="0" w:color="auto"/>
            </w:tcBorders>
          </w:tcPr>
          <w:p w:rsidR="00BB522E" w:rsidRPr="000E4076" w:rsidRDefault="00BB522E" w:rsidP="00BB522E">
            <w:pPr>
              <w:spacing w:before="60"/>
              <w:jc w:val="both"/>
              <w:rPr>
                <w:rFonts w:ascii="Verdana" w:hAnsi="Verdana"/>
                <w:sz w:val="20"/>
                <w:szCs w:val="20"/>
              </w:rPr>
            </w:pPr>
          </w:p>
        </w:tc>
        <w:tc>
          <w:tcPr>
            <w:tcW w:w="1701" w:type="dxa"/>
            <w:vMerge/>
            <w:tcBorders>
              <w:left w:val="single" w:sz="4" w:space="0" w:color="auto"/>
              <w:right w:val="single" w:sz="4" w:space="0" w:color="auto"/>
            </w:tcBorders>
            <w:vAlign w:val="center"/>
          </w:tcPr>
          <w:p w:rsidR="00BB522E" w:rsidRPr="000E4076" w:rsidRDefault="00BB522E" w:rsidP="00BB522E">
            <w:pPr>
              <w:spacing w:before="60"/>
              <w:jc w:val="center"/>
              <w:rPr>
                <w:rFonts w:ascii="Verdana" w:hAnsi="Verdana"/>
                <w:sz w:val="20"/>
                <w:szCs w:val="20"/>
              </w:rPr>
            </w:pPr>
          </w:p>
        </w:tc>
        <w:tc>
          <w:tcPr>
            <w:tcW w:w="1701" w:type="dxa"/>
            <w:vMerge/>
            <w:tcBorders>
              <w:left w:val="single" w:sz="4" w:space="0" w:color="auto"/>
              <w:right w:val="single" w:sz="4" w:space="0" w:color="auto"/>
            </w:tcBorders>
          </w:tcPr>
          <w:p w:rsidR="00BB522E" w:rsidRPr="000E4076" w:rsidRDefault="00BB522E" w:rsidP="00BB522E">
            <w:pPr>
              <w:spacing w:before="60"/>
              <w:jc w:val="center"/>
              <w:rPr>
                <w:rFonts w:ascii="Verdana" w:hAnsi="Verdana"/>
                <w:sz w:val="20"/>
                <w:szCs w:val="20"/>
              </w:rPr>
            </w:pPr>
          </w:p>
        </w:tc>
        <w:tc>
          <w:tcPr>
            <w:tcW w:w="1843" w:type="dxa"/>
            <w:tcBorders>
              <w:top w:val="single" w:sz="4" w:space="0" w:color="auto"/>
              <w:left w:val="single" w:sz="4" w:space="0" w:color="auto"/>
              <w:right w:val="single" w:sz="4" w:space="0" w:color="auto"/>
            </w:tcBorders>
          </w:tcPr>
          <w:p w:rsidR="00BB522E" w:rsidRPr="00BB522E" w:rsidRDefault="00185F6E" w:rsidP="00BB522E">
            <w:pPr>
              <w:spacing w:before="60"/>
              <w:jc w:val="center"/>
              <w:rPr>
                <w:rFonts w:ascii="Verdana" w:hAnsi="Verdana"/>
                <w:sz w:val="18"/>
                <w:szCs w:val="18"/>
              </w:rPr>
            </w:pPr>
            <w:r w:rsidRPr="00185F6E">
              <w:rPr>
                <w:rFonts w:ascii="Verdana" w:hAnsi="Verdana" w:cs="Arial"/>
                <w:sz w:val="18"/>
                <w:szCs w:val="18"/>
              </w:rPr>
              <w:t>To improve the design of sustainable urban strategies and action plans in cities</w:t>
            </w:r>
          </w:p>
        </w:tc>
        <w:tc>
          <w:tcPr>
            <w:tcW w:w="1843" w:type="dxa"/>
            <w:tcBorders>
              <w:left w:val="single" w:sz="4" w:space="0" w:color="auto"/>
              <w:right w:val="single" w:sz="4" w:space="0" w:color="auto"/>
            </w:tcBorders>
          </w:tcPr>
          <w:p w:rsidR="001853C6" w:rsidRDefault="00042598" w:rsidP="00042598">
            <w:pPr>
              <w:spacing w:before="60"/>
              <w:rPr>
                <w:rFonts w:ascii="Verdana" w:hAnsi="Verdana"/>
                <w:sz w:val="16"/>
                <w:szCs w:val="16"/>
              </w:rPr>
            </w:pPr>
            <w:r>
              <w:rPr>
                <w:rFonts w:ascii="Verdana" w:hAnsi="Verdana" w:cs="Arial"/>
                <w:sz w:val="16"/>
                <w:szCs w:val="16"/>
              </w:rPr>
              <w:t xml:space="preserve">Percentage of cities having produced </w:t>
            </w:r>
            <w:r w:rsidR="00185F6E" w:rsidRPr="00185F6E">
              <w:rPr>
                <w:rFonts w:ascii="Verdana" w:hAnsi="Verdana" w:cs="Arial"/>
                <w:sz w:val="16"/>
                <w:szCs w:val="16"/>
              </w:rPr>
              <w:t>integrated strategies and action plans with the URBACT method</w:t>
            </w:r>
          </w:p>
        </w:tc>
      </w:tr>
      <w:tr w:rsidR="00042598" w:rsidRPr="000E4076" w:rsidTr="00351D4D">
        <w:trPr>
          <w:trHeight w:val="8968"/>
        </w:trPr>
        <w:tc>
          <w:tcPr>
            <w:tcW w:w="1418" w:type="dxa"/>
            <w:vMerge/>
            <w:tcBorders>
              <w:left w:val="single" w:sz="4" w:space="0" w:color="auto"/>
              <w:right w:val="single" w:sz="4" w:space="0" w:color="auto"/>
            </w:tcBorders>
          </w:tcPr>
          <w:p w:rsidR="00042598" w:rsidRPr="000E4076" w:rsidRDefault="00042598" w:rsidP="00BB522E">
            <w:pPr>
              <w:spacing w:before="60"/>
              <w:jc w:val="center"/>
              <w:rPr>
                <w:rFonts w:ascii="Verdana" w:hAnsi="Verdana"/>
                <w:sz w:val="20"/>
                <w:szCs w:val="20"/>
              </w:rPr>
            </w:pPr>
          </w:p>
        </w:tc>
        <w:tc>
          <w:tcPr>
            <w:tcW w:w="1418" w:type="dxa"/>
            <w:vMerge/>
            <w:tcBorders>
              <w:left w:val="single" w:sz="4" w:space="0" w:color="auto"/>
              <w:right w:val="single" w:sz="4" w:space="0" w:color="auto"/>
            </w:tcBorders>
            <w:vAlign w:val="center"/>
          </w:tcPr>
          <w:p w:rsidR="00042598" w:rsidRPr="000E4076" w:rsidRDefault="00042598" w:rsidP="00BB522E">
            <w:pPr>
              <w:spacing w:before="60"/>
              <w:jc w:val="center"/>
              <w:rPr>
                <w:rFonts w:ascii="Verdana" w:hAnsi="Verdana"/>
                <w:sz w:val="20"/>
                <w:szCs w:val="20"/>
              </w:rPr>
            </w:pPr>
          </w:p>
        </w:tc>
        <w:tc>
          <w:tcPr>
            <w:tcW w:w="1134" w:type="dxa"/>
            <w:vMerge/>
            <w:tcBorders>
              <w:left w:val="single" w:sz="4" w:space="0" w:color="auto"/>
              <w:right w:val="single" w:sz="4" w:space="0" w:color="auto"/>
            </w:tcBorders>
            <w:vAlign w:val="center"/>
          </w:tcPr>
          <w:p w:rsidR="00042598" w:rsidRPr="000E4076" w:rsidRDefault="00042598" w:rsidP="00BB522E">
            <w:pPr>
              <w:spacing w:before="60"/>
              <w:jc w:val="center"/>
              <w:rPr>
                <w:rFonts w:ascii="Verdana" w:hAnsi="Verdana"/>
                <w:sz w:val="20"/>
                <w:szCs w:val="20"/>
              </w:rPr>
            </w:pPr>
          </w:p>
        </w:tc>
        <w:tc>
          <w:tcPr>
            <w:tcW w:w="992" w:type="dxa"/>
            <w:vMerge/>
            <w:tcBorders>
              <w:left w:val="single" w:sz="4" w:space="0" w:color="auto"/>
              <w:right w:val="single" w:sz="4" w:space="0" w:color="auto"/>
            </w:tcBorders>
          </w:tcPr>
          <w:p w:rsidR="00042598" w:rsidRPr="000E4076" w:rsidRDefault="00042598" w:rsidP="00BB522E">
            <w:pPr>
              <w:spacing w:before="60"/>
              <w:jc w:val="center"/>
              <w:rPr>
                <w:rFonts w:ascii="Verdana" w:hAnsi="Verdana"/>
                <w:sz w:val="20"/>
                <w:szCs w:val="20"/>
              </w:rPr>
            </w:pPr>
          </w:p>
        </w:tc>
        <w:tc>
          <w:tcPr>
            <w:tcW w:w="992" w:type="dxa"/>
            <w:vMerge/>
            <w:tcBorders>
              <w:left w:val="single" w:sz="4" w:space="0" w:color="auto"/>
              <w:right w:val="single" w:sz="4" w:space="0" w:color="auto"/>
            </w:tcBorders>
          </w:tcPr>
          <w:p w:rsidR="00042598" w:rsidRPr="000E4076" w:rsidRDefault="00042598" w:rsidP="00BB522E">
            <w:pPr>
              <w:spacing w:before="60"/>
              <w:jc w:val="both"/>
              <w:rPr>
                <w:rFonts w:ascii="Verdana" w:hAnsi="Verdana"/>
                <w:sz w:val="20"/>
                <w:szCs w:val="20"/>
              </w:rPr>
            </w:pPr>
          </w:p>
        </w:tc>
        <w:tc>
          <w:tcPr>
            <w:tcW w:w="1701" w:type="dxa"/>
            <w:vMerge/>
            <w:tcBorders>
              <w:left w:val="single" w:sz="4" w:space="0" w:color="auto"/>
              <w:right w:val="single" w:sz="4" w:space="0" w:color="auto"/>
            </w:tcBorders>
            <w:vAlign w:val="center"/>
          </w:tcPr>
          <w:p w:rsidR="00042598" w:rsidRPr="000E4076" w:rsidRDefault="00042598" w:rsidP="00BB522E">
            <w:pPr>
              <w:spacing w:before="60"/>
              <w:jc w:val="center"/>
              <w:rPr>
                <w:rFonts w:ascii="Verdana" w:hAnsi="Verdana"/>
                <w:sz w:val="20"/>
                <w:szCs w:val="20"/>
              </w:rPr>
            </w:pPr>
          </w:p>
        </w:tc>
        <w:tc>
          <w:tcPr>
            <w:tcW w:w="1701" w:type="dxa"/>
            <w:vMerge/>
            <w:tcBorders>
              <w:left w:val="single" w:sz="4" w:space="0" w:color="auto"/>
              <w:right w:val="single" w:sz="4" w:space="0" w:color="auto"/>
            </w:tcBorders>
          </w:tcPr>
          <w:p w:rsidR="00042598" w:rsidRPr="000E4076" w:rsidRDefault="00042598" w:rsidP="00BB522E">
            <w:pPr>
              <w:spacing w:before="60"/>
              <w:jc w:val="center"/>
              <w:rPr>
                <w:rFonts w:ascii="Verdana" w:hAnsi="Verdana"/>
                <w:sz w:val="20"/>
                <w:szCs w:val="20"/>
              </w:rPr>
            </w:pPr>
          </w:p>
        </w:tc>
        <w:tc>
          <w:tcPr>
            <w:tcW w:w="1843" w:type="dxa"/>
            <w:tcBorders>
              <w:top w:val="single" w:sz="4" w:space="0" w:color="auto"/>
              <w:left w:val="single" w:sz="4" w:space="0" w:color="auto"/>
              <w:right w:val="single" w:sz="4" w:space="0" w:color="auto"/>
            </w:tcBorders>
          </w:tcPr>
          <w:p w:rsidR="00042598" w:rsidRPr="00BB522E" w:rsidRDefault="00042598" w:rsidP="00752222">
            <w:pPr>
              <w:spacing w:before="60"/>
              <w:jc w:val="center"/>
              <w:rPr>
                <w:rFonts w:ascii="Verdana" w:hAnsi="Verdana"/>
                <w:sz w:val="18"/>
                <w:szCs w:val="18"/>
              </w:rPr>
            </w:pPr>
            <w:r w:rsidRPr="00185F6E">
              <w:rPr>
                <w:rFonts w:ascii="Verdana" w:hAnsi="Verdana" w:cs="Arial"/>
                <w:sz w:val="18"/>
                <w:szCs w:val="18"/>
              </w:rPr>
              <w:t xml:space="preserve">To improve the implementation of </w:t>
            </w:r>
            <w:r>
              <w:rPr>
                <w:rFonts w:ascii="Verdana" w:hAnsi="Verdana" w:cs="Arial"/>
                <w:sz w:val="18"/>
                <w:szCs w:val="18"/>
              </w:rPr>
              <w:t xml:space="preserve">Integrated Plans for </w:t>
            </w:r>
            <w:r w:rsidRPr="00185F6E">
              <w:rPr>
                <w:rFonts w:ascii="Verdana" w:hAnsi="Verdana" w:cs="Arial"/>
                <w:sz w:val="18"/>
                <w:szCs w:val="18"/>
              </w:rPr>
              <w:t xml:space="preserve">sustainable urban </w:t>
            </w:r>
            <w:r>
              <w:rPr>
                <w:rFonts w:ascii="Verdana" w:hAnsi="Verdana" w:cs="Arial"/>
                <w:sz w:val="18"/>
                <w:szCs w:val="18"/>
              </w:rPr>
              <w:t>development</w:t>
            </w:r>
          </w:p>
        </w:tc>
        <w:tc>
          <w:tcPr>
            <w:tcW w:w="1843" w:type="dxa"/>
            <w:tcBorders>
              <w:left w:val="single" w:sz="4" w:space="0" w:color="auto"/>
              <w:right w:val="single" w:sz="4" w:space="0" w:color="auto"/>
            </w:tcBorders>
          </w:tcPr>
          <w:p w:rsidR="00042598" w:rsidRDefault="00042598" w:rsidP="00752222">
            <w:pPr>
              <w:spacing w:after="120" w:line="276" w:lineRule="auto"/>
              <w:rPr>
                <w:rFonts w:ascii="Verdana" w:hAnsi="Verdana"/>
                <w:sz w:val="16"/>
                <w:szCs w:val="16"/>
              </w:rPr>
            </w:pPr>
          </w:p>
          <w:p w:rsidR="00E5202D" w:rsidRDefault="00042598">
            <w:pPr>
              <w:spacing w:before="120"/>
              <w:rPr>
                <w:rFonts w:ascii="Verdana" w:hAnsi="Verdana"/>
                <w:sz w:val="16"/>
                <w:szCs w:val="16"/>
              </w:rPr>
            </w:pPr>
            <w:r w:rsidRPr="00B77FD4">
              <w:rPr>
                <w:rFonts w:ascii="Verdana" w:hAnsi="Verdana"/>
                <w:sz w:val="16"/>
                <w:szCs w:val="16"/>
              </w:rPr>
              <w:t xml:space="preserve">Percentage of cities supported by URBACT III having </w:t>
            </w:r>
            <w:r w:rsidR="00DA481A">
              <w:rPr>
                <w:rFonts w:ascii="Verdana" w:hAnsi="Verdana"/>
                <w:sz w:val="16"/>
                <w:szCs w:val="16"/>
              </w:rPr>
              <w:t>demonstrated high</w:t>
            </w:r>
            <w:r w:rsidRPr="00B77FD4">
              <w:rPr>
                <w:rFonts w:ascii="Verdana" w:hAnsi="Verdana"/>
                <w:sz w:val="16"/>
                <w:szCs w:val="16"/>
              </w:rPr>
              <w:t xml:space="preserve"> performance for implementation of integrated strategies/ action plans for urban development, along 3 key dimensions: </w:t>
            </w:r>
            <w:r w:rsidR="00BF5FB8" w:rsidRPr="00BF5FB8">
              <w:rPr>
                <w:rFonts w:ascii="Verdana" w:hAnsi="Verdana"/>
                <w:sz w:val="16"/>
                <w:szCs w:val="16"/>
              </w:rPr>
              <w:t>Integration</w:t>
            </w:r>
            <w:r>
              <w:rPr>
                <w:rFonts w:ascii="Verdana" w:hAnsi="Verdana"/>
                <w:sz w:val="16"/>
                <w:szCs w:val="16"/>
              </w:rPr>
              <w:t xml:space="preserve">, </w:t>
            </w:r>
            <w:r w:rsidR="00BF5FB8" w:rsidRPr="00BF5FB8">
              <w:rPr>
                <w:rFonts w:ascii="Verdana" w:hAnsi="Verdana"/>
                <w:sz w:val="16"/>
                <w:szCs w:val="16"/>
              </w:rPr>
              <w:t>Participation</w:t>
            </w:r>
            <w:r>
              <w:rPr>
                <w:rFonts w:ascii="Verdana" w:hAnsi="Verdana"/>
                <w:sz w:val="16"/>
                <w:szCs w:val="16"/>
              </w:rPr>
              <w:t>, Project management (t</w:t>
            </w:r>
            <w:r w:rsidRPr="00B77FD4">
              <w:rPr>
                <w:rFonts w:ascii="Verdana" w:hAnsi="Verdana"/>
                <w:sz w:val="16"/>
                <w:szCs w:val="16"/>
              </w:rPr>
              <w:t>imeliness</w:t>
            </w:r>
            <w:r>
              <w:rPr>
                <w:rFonts w:ascii="Verdana" w:hAnsi="Verdana"/>
                <w:sz w:val="16"/>
                <w:szCs w:val="16"/>
              </w:rPr>
              <w:t>, etc.)</w:t>
            </w:r>
          </w:p>
          <w:p w:rsidR="00042598" w:rsidRDefault="00042598" w:rsidP="00351D4D">
            <w:pPr>
              <w:spacing w:before="60"/>
              <w:rPr>
                <w:rFonts w:ascii="Verdana" w:hAnsi="Verdana"/>
                <w:sz w:val="16"/>
                <w:szCs w:val="16"/>
              </w:rPr>
            </w:pPr>
          </w:p>
        </w:tc>
      </w:tr>
      <w:tr w:rsidR="00BB522E" w:rsidRPr="000E4076" w:rsidTr="00BB522E">
        <w:trPr>
          <w:trHeight w:val="1286"/>
        </w:trPr>
        <w:tc>
          <w:tcPr>
            <w:tcW w:w="1418" w:type="dxa"/>
            <w:vMerge/>
            <w:tcBorders>
              <w:left w:val="single" w:sz="4" w:space="0" w:color="auto"/>
              <w:bottom w:val="single" w:sz="4" w:space="0" w:color="auto"/>
              <w:right w:val="single" w:sz="4" w:space="0" w:color="auto"/>
            </w:tcBorders>
          </w:tcPr>
          <w:p w:rsidR="00BB522E" w:rsidRPr="000E4076" w:rsidRDefault="00BB522E" w:rsidP="00BB522E">
            <w:pPr>
              <w:spacing w:before="60"/>
              <w:jc w:val="center"/>
              <w:rPr>
                <w:rFonts w:ascii="Verdana" w:hAnsi="Verdana"/>
                <w:sz w:val="20"/>
                <w:szCs w:val="20"/>
              </w:rPr>
            </w:pPr>
          </w:p>
        </w:tc>
        <w:tc>
          <w:tcPr>
            <w:tcW w:w="1418" w:type="dxa"/>
            <w:vMerge/>
            <w:tcBorders>
              <w:left w:val="single" w:sz="4" w:space="0" w:color="auto"/>
              <w:right w:val="single" w:sz="4" w:space="0" w:color="auto"/>
            </w:tcBorders>
            <w:vAlign w:val="center"/>
          </w:tcPr>
          <w:p w:rsidR="00BB522E" w:rsidRPr="000E4076" w:rsidRDefault="00BB522E" w:rsidP="00BB522E">
            <w:pPr>
              <w:spacing w:before="60"/>
              <w:jc w:val="center"/>
              <w:rPr>
                <w:rFonts w:ascii="Verdana" w:hAnsi="Verdana"/>
                <w:sz w:val="20"/>
                <w:szCs w:val="20"/>
              </w:rPr>
            </w:pPr>
          </w:p>
        </w:tc>
        <w:tc>
          <w:tcPr>
            <w:tcW w:w="1134" w:type="dxa"/>
            <w:vMerge/>
            <w:tcBorders>
              <w:left w:val="single" w:sz="4" w:space="0" w:color="auto"/>
              <w:right w:val="single" w:sz="4" w:space="0" w:color="auto"/>
            </w:tcBorders>
            <w:vAlign w:val="center"/>
          </w:tcPr>
          <w:p w:rsidR="00BB522E" w:rsidRPr="000E4076" w:rsidRDefault="00BB522E" w:rsidP="00BB522E">
            <w:pPr>
              <w:spacing w:before="60"/>
              <w:jc w:val="center"/>
              <w:rPr>
                <w:rFonts w:ascii="Verdana" w:hAnsi="Verdana"/>
                <w:sz w:val="20"/>
                <w:szCs w:val="20"/>
              </w:rPr>
            </w:pPr>
          </w:p>
        </w:tc>
        <w:tc>
          <w:tcPr>
            <w:tcW w:w="992" w:type="dxa"/>
            <w:vMerge/>
            <w:tcBorders>
              <w:left w:val="single" w:sz="4" w:space="0" w:color="auto"/>
              <w:right w:val="single" w:sz="4" w:space="0" w:color="auto"/>
            </w:tcBorders>
          </w:tcPr>
          <w:p w:rsidR="00BB522E" w:rsidRPr="000E4076" w:rsidRDefault="00BB522E" w:rsidP="00BB522E">
            <w:pPr>
              <w:spacing w:before="60"/>
              <w:jc w:val="center"/>
              <w:rPr>
                <w:rFonts w:ascii="Verdana" w:hAnsi="Verdana"/>
                <w:sz w:val="20"/>
                <w:szCs w:val="20"/>
              </w:rPr>
            </w:pPr>
          </w:p>
        </w:tc>
        <w:tc>
          <w:tcPr>
            <w:tcW w:w="992" w:type="dxa"/>
            <w:vMerge/>
            <w:tcBorders>
              <w:left w:val="single" w:sz="4" w:space="0" w:color="auto"/>
              <w:right w:val="single" w:sz="4" w:space="0" w:color="auto"/>
            </w:tcBorders>
          </w:tcPr>
          <w:p w:rsidR="00BB522E" w:rsidRPr="000E4076" w:rsidRDefault="00BB522E" w:rsidP="00BB522E">
            <w:pPr>
              <w:spacing w:before="60"/>
              <w:jc w:val="both"/>
              <w:rPr>
                <w:rFonts w:ascii="Verdana" w:hAnsi="Verdana"/>
                <w:sz w:val="20"/>
                <w:szCs w:val="20"/>
              </w:rPr>
            </w:pPr>
          </w:p>
        </w:tc>
        <w:tc>
          <w:tcPr>
            <w:tcW w:w="1701" w:type="dxa"/>
            <w:vMerge/>
            <w:tcBorders>
              <w:left w:val="single" w:sz="4" w:space="0" w:color="auto"/>
              <w:right w:val="single" w:sz="4" w:space="0" w:color="auto"/>
            </w:tcBorders>
            <w:vAlign w:val="center"/>
          </w:tcPr>
          <w:p w:rsidR="00BB522E" w:rsidRPr="000E4076" w:rsidRDefault="00BB522E" w:rsidP="00BB522E">
            <w:pPr>
              <w:spacing w:before="60"/>
              <w:jc w:val="center"/>
              <w:rPr>
                <w:rFonts w:ascii="Verdana" w:hAnsi="Verdana"/>
                <w:sz w:val="20"/>
                <w:szCs w:val="20"/>
              </w:rPr>
            </w:pPr>
          </w:p>
        </w:tc>
        <w:tc>
          <w:tcPr>
            <w:tcW w:w="1701" w:type="dxa"/>
            <w:vMerge/>
            <w:tcBorders>
              <w:left w:val="single" w:sz="4" w:space="0" w:color="auto"/>
              <w:right w:val="single" w:sz="4" w:space="0" w:color="auto"/>
            </w:tcBorders>
          </w:tcPr>
          <w:p w:rsidR="00BB522E" w:rsidRPr="000E4076" w:rsidRDefault="00BB522E" w:rsidP="00BB522E">
            <w:pPr>
              <w:spacing w:before="60"/>
              <w:jc w:val="center"/>
              <w:rPr>
                <w:rFonts w:ascii="Verdana" w:hAnsi="Verdana"/>
                <w:sz w:val="20"/>
                <w:szCs w:val="20"/>
              </w:rPr>
            </w:pPr>
          </w:p>
        </w:tc>
        <w:tc>
          <w:tcPr>
            <w:tcW w:w="1843" w:type="dxa"/>
            <w:tcBorders>
              <w:top w:val="single" w:sz="4" w:space="0" w:color="auto"/>
              <w:left w:val="single" w:sz="4" w:space="0" w:color="auto"/>
              <w:right w:val="single" w:sz="4" w:space="0" w:color="auto"/>
            </w:tcBorders>
          </w:tcPr>
          <w:p w:rsidR="001853C6" w:rsidRDefault="00185F6E">
            <w:pPr>
              <w:spacing w:before="60"/>
              <w:rPr>
                <w:rFonts w:ascii="Verdana" w:hAnsi="Verdana"/>
                <w:sz w:val="18"/>
                <w:szCs w:val="18"/>
              </w:rPr>
            </w:pPr>
            <w:r w:rsidRPr="00185F6E">
              <w:rPr>
                <w:rFonts w:ascii="Verdana" w:hAnsi="Verdana"/>
                <w:sz w:val="18"/>
                <w:szCs w:val="18"/>
              </w:rPr>
              <w:t>To ensure that practitioners and decision-makers at all levels (EU, national, regional and local) have increased access to URBACT thematic knowledge and share know-how on all aspects of sustainable urban development in order to improve urban policies</w:t>
            </w:r>
          </w:p>
        </w:tc>
        <w:tc>
          <w:tcPr>
            <w:tcW w:w="1843" w:type="dxa"/>
            <w:tcBorders>
              <w:left w:val="single" w:sz="4" w:space="0" w:color="auto"/>
              <w:right w:val="single" w:sz="4" w:space="0" w:color="auto"/>
            </w:tcBorders>
          </w:tcPr>
          <w:p w:rsidR="001853C6" w:rsidRDefault="00185F6E">
            <w:pPr>
              <w:spacing w:before="60"/>
              <w:rPr>
                <w:rFonts w:ascii="Verdana" w:hAnsi="Verdana"/>
                <w:sz w:val="16"/>
                <w:szCs w:val="16"/>
              </w:rPr>
            </w:pPr>
            <w:r w:rsidRPr="00185F6E">
              <w:rPr>
                <w:rFonts w:ascii="Verdana" w:hAnsi="Verdana"/>
                <w:sz w:val="16"/>
                <w:szCs w:val="16"/>
              </w:rPr>
              <w:t>Number of decision-makers and practitioners at all levels (EU, national, regional and local) who have used URBACT thematic knowledge about sustainable urban development in their work</w:t>
            </w:r>
          </w:p>
        </w:tc>
      </w:tr>
      <w:tr w:rsidR="00BB522E" w:rsidRPr="000E4076" w:rsidTr="00BB522E">
        <w:trPr>
          <w:trHeight w:val="1417"/>
        </w:trPr>
        <w:tc>
          <w:tcPr>
            <w:tcW w:w="1418" w:type="dxa"/>
            <w:tcBorders>
              <w:top w:val="single" w:sz="4" w:space="0" w:color="auto"/>
              <w:left w:val="single" w:sz="4" w:space="0" w:color="auto"/>
              <w:right w:val="single" w:sz="4" w:space="0" w:color="auto"/>
            </w:tcBorders>
          </w:tcPr>
          <w:p w:rsidR="00BB522E" w:rsidRPr="000E4076" w:rsidRDefault="00BB522E" w:rsidP="00BB522E">
            <w:pPr>
              <w:spacing w:before="60"/>
              <w:jc w:val="center"/>
              <w:rPr>
                <w:rFonts w:ascii="Verdana" w:hAnsi="Verdana"/>
                <w:sz w:val="20"/>
                <w:szCs w:val="20"/>
              </w:rPr>
            </w:pPr>
            <w:r w:rsidRPr="000E4076">
              <w:rPr>
                <w:rFonts w:ascii="Verdana" w:hAnsi="Verdana"/>
                <w:sz w:val="20"/>
                <w:szCs w:val="20"/>
              </w:rPr>
              <w:t>2. Technical Assistance</w:t>
            </w:r>
          </w:p>
        </w:tc>
        <w:tc>
          <w:tcPr>
            <w:tcW w:w="1418" w:type="dxa"/>
            <w:tcBorders>
              <w:top w:val="single" w:sz="4" w:space="0" w:color="auto"/>
              <w:left w:val="single" w:sz="4" w:space="0" w:color="auto"/>
              <w:right w:val="single" w:sz="4" w:space="0" w:color="auto"/>
            </w:tcBorders>
            <w:vAlign w:val="center"/>
          </w:tcPr>
          <w:p w:rsidR="00BB522E" w:rsidRPr="000E4076" w:rsidRDefault="00BB522E" w:rsidP="00E00F86">
            <w:pPr>
              <w:spacing w:before="60"/>
              <w:jc w:val="center"/>
              <w:rPr>
                <w:rFonts w:ascii="Verdana" w:hAnsi="Verdana"/>
                <w:sz w:val="20"/>
                <w:szCs w:val="20"/>
              </w:rPr>
            </w:pPr>
            <w:r w:rsidRPr="000E4076">
              <w:rPr>
                <w:rFonts w:ascii="Verdana" w:hAnsi="Verdana"/>
                <w:sz w:val="20"/>
                <w:szCs w:val="20"/>
              </w:rPr>
              <w:t>4 458 1</w:t>
            </w:r>
            <w:r>
              <w:rPr>
                <w:rFonts w:ascii="Verdana" w:hAnsi="Verdana"/>
                <w:sz w:val="20"/>
                <w:szCs w:val="20"/>
              </w:rPr>
              <w:t>1</w:t>
            </w:r>
            <w:r w:rsidR="00E00F86">
              <w:rPr>
                <w:rFonts w:ascii="Verdana" w:hAnsi="Verdana"/>
                <w:sz w:val="20"/>
                <w:szCs w:val="20"/>
              </w:rPr>
              <w:t>4</w:t>
            </w:r>
            <w:r w:rsidRPr="000E4076">
              <w:rPr>
                <w:rFonts w:ascii="Verdana" w:hAnsi="Verdana"/>
                <w:sz w:val="20"/>
                <w:szCs w:val="20"/>
              </w:rPr>
              <w:t>€</w:t>
            </w:r>
          </w:p>
        </w:tc>
        <w:tc>
          <w:tcPr>
            <w:tcW w:w="1134" w:type="dxa"/>
            <w:tcBorders>
              <w:top w:val="single" w:sz="4" w:space="0" w:color="auto"/>
              <w:left w:val="single" w:sz="4" w:space="0" w:color="auto"/>
              <w:right w:val="single" w:sz="4" w:space="0" w:color="auto"/>
            </w:tcBorders>
            <w:vAlign w:val="center"/>
          </w:tcPr>
          <w:p w:rsidR="00BB522E" w:rsidRPr="000E4076" w:rsidRDefault="00BB522E" w:rsidP="00BB522E">
            <w:pPr>
              <w:spacing w:before="60"/>
              <w:jc w:val="center"/>
              <w:rPr>
                <w:rFonts w:ascii="Verdana" w:hAnsi="Verdana"/>
                <w:sz w:val="20"/>
                <w:szCs w:val="20"/>
              </w:rPr>
            </w:pPr>
            <w:r w:rsidRPr="000E4076">
              <w:rPr>
                <w:rFonts w:ascii="Verdana" w:hAnsi="Verdana"/>
                <w:sz w:val="20"/>
                <w:szCs w:val="20"/>
              </w:rPr>
              <w:t>6%</w:t>
            </w:r>
          </w:p>
        </w:tc>
        <w:tc>
          <w:tcPr>
            <w:tcW w:w="992" w:type="dxa"/>
            <w:tcBorders>
              <w:top w:val="single" w:sz="4" w:space="0" w:color="auto"/>
              <w:left w:val="single" w:sz="4" w:space="0" w:color="auto"/>
              <w:right w:val="single" w:sz="4" w:space="0" w:color="auto"/>
            </w:tcBorders>
          </w:tcPr>
          <w:p w:rsidR="00BB522E" w:rsidRPr="000E4076" w:rsidRDefault="00BB522E" w:rsidP="00BB522E">
            <w:pPr>
              <w:spacing w:before="60"/>
              <w:jc w:val="center"/>
              <w:rPr>
                <w:rFonts w:ascii="Verdana" w:hAnsi="Verdana"/>
                <w:sz w:val="20"/>
                <w:szCs w:val="20"/>
              </w:rPr>
            </w:pPr>
          </w:p>
        </w:tc>
        <w:tc>
          <w:tcPr>
            <w:tcW w:w="992" w:type="dxa"/>
            <w:tcBorders>
              <w:top w:val="single" w:sz="4" w:space="0" w:color="auto"/>
              <w:left w:val="single" w:sz="4" w:space="0" w:color="auto"/>
              <w:right w:val="single" w:sz="4" w:space="0" w:color="auto"/>
            </w:tcBorders>
          </w:tcPr>
          <w:p w:rsidR="00BB522E" w:rsidRPr="000E4076" w:rsidRDefault="00BB522E" w:rsidP="00BB522E">
            <w:pPr>
              <w:spacing w:before="60"/>
              <w:jc w:val="both"/>
              <w:rPr>
                <w:rFonts w:ascii="Verdana" w:hAnsi="Verdana"/>
                <w:sz w:val="20"/>
                <w:szCs w:val="20"/>
              </w:rPr>
            </w:pPr>
          </w:p>
        </w:tc>
        <w:tc>
          <w:tcPr>
            <w:tcW w:w="1701" w:type="dxa"/>
            <w:tcBorders>
              <w:top w:val="single" w:sz="4" w:space="0" w:color="auto"/>
              <w:left w:val="single" w:sz="4" w:space="0" w:color="auto"/>
              <w:right w:val="single" w:sz="4" w:space="0" w:color="auto"/>
            </w:tcBorders>
            <w:vAlign w:val="center"/>
          </w:tcPr>
          <w:p w:rsidR="00BB522E" w:rsidRPr="000E4076" w:rsidRDefault="00BB522E" w:rsidP="00BB522E">
            <w:pPr>
              <w:spacing w:before="60"/>
              <w:jc w:val="center"/>
              <w:rPr>
                <w:rFonts w:ascii="Verdana" w:hAnsi="Verdana"/>
                <w:sz w:val="20"/>
                <w:szCs w:val="20"/>
              </w:rPr>
            </w:pPr>
          </w:p>
        </w:tc>
        <w:tc>
          <w:tcPr>
            <w:tcW w:w="1701" w:type="dxa"/>
            <w:tcBorders>
              <w:top w:val="single" w:sz="4" w:space="0" w:color="auto"/>
              <w:left w:val="single" w:sz="4" w:space="0" w:color="auto"/>
              <w:right w:val="single" w:sz="4" w:space="0" w:color="auto"/>
            </w:tcBorders>
          </w:tcPr>
          <w:p w:rsidR="00BB522E" w:rsidRPr="000E4076" w:rsidRDefault="00BB522E" w:rsidP="00BB522E">
            <w:pPr>
              <w:spacing w:before="60"/>
              <w:jc w:val="center"/>
              <w:rPr>
                <w:rFonts w:ascii="Verdana" w:hAnsi="Verdana"/>
                <w:sz w:val="20"/>
                <w:szCs w:val="20"/>
              </w:rPr>
            </w:pPr>
          </w:p>
        </w:tc>
        <w:tc>
          <w:tcPr>
            <w:tcW w:w="1843" w:type="dxa"/>
            <w:tcBorders>
              <w:top w:val="single" w:sz="4" w:space="0" w:color="auto"/>
              <w:left w:val="single" w:sz="4" w:space="0" w:color="auto"/>
              <w:right w:val="single" w:sz="4" w:space="0" w:color="auto"/>
            </w:tcBorders>
          </w:tcPr>
          <w:p w:rsidR="00BB522E" w:rsidRPr="00BB522E" w:rsidRDefault="00185F6E" w:rsidP="00BB522E">
            <w:pPr>
              <w:spacing w:before="60"/>
              <w:jc w:val="center"/>
              <w:rPr>
                <w:rFonts w:ascii="Verdana" w:hAnsi="Verdana"/>
                <w:sz w:val="18"/>
                <w:szCs w:val="18"/>
              </w:rPr>
            </w:pPr>
            <w:r w:rsidRPr="00185F6E">
              <w:rPr>
                <w:rFonts w:ascii="Verdana" w:hAnsi="Verdana" w:cs="Arial"/>
                <w:sz w:val="18"/>
                <w:szCs w:val="18"/>
              </w:rPr>
              <w:t>To maximise the effectiveness and efficiency of the management and implementation of the URBACT III programme</w:t>
            </w:r>
          </w:p>
        </w:tc>
        <w:tc>
          <w:tcPr>
            <w:tcW w:w="1843" w:type="dxa"/>
            <w:tcBorders>
              <w:top w:val="single" w:sz="4" w:space="0" w:color="auto"/>
              <w:left w:val="single" w:sz="4" w:space="0" w:color="auto"/>
              <w:right w:val="single" w:sz="4" w:space="0" w:color="auto"/>
            </w:tcBorders>
          </w:tcPr>
          <w:p w:rsidR="00BB522E" w:rsidRPr="000E4076" w:rsidRDefault="00BB522E" w:rsidP="00BB522E">
            <w:pPr>
              <w:spacing w:before="60"/>
              <w:jc w:val="center"/>
              <w:rPr>
                <w:rFonts w:ascii="Verdana" w:hAnsi="Verdana"/>
                <w:sz w:val="20"/>
                <w:szCs w:val="20"/>
              </w:rPr>
            </w:pPr>
          </w:p>
        </w:tc>
      </w:tr>
    </w:tbl>
    <w:p w:rsidR="00BB522E" w:rsidRDefault="00BB522E"/>
    <w:p w:rsidR="00C17DB5" w:rsidRPr="004F5F2B" w:rsidRDefault="00C17DB5" w:rsidP="00C17DB5">
      <w:pPr>
        <w:spacing w:before="60"/>
        <w:jc w:val="both"/>
        <w:rPr>
          <w:rFonts w:ascii="Verdana" w:hAnsi="Verdana"/>
          <w:sz w:val="20"/>
          <w:szCs w:val="20"/>
        </w:rPr>
      </w:pPr>
    </w:p>
    <w:p w:rsidR="009921FD" w:rsidRPr="004F5F2B" w:rsidRDefault="009921FD" w:rsidP="00592786">
      <w:pPr>
        <w:ind w:firstLine="708"/>
        <w:rPr>
          <w:rFonts w:ascii="Verdana" w:hAnsi="Verdana"/>
        </w:rPr>
      </w:pPr>
    </w:p>
    <w:p w:rsidR="009400AD" w:rsidRPr="004F5F2B" w:rsidRDefault="009400AD" w:rsidP="00592786">
      <w:pPr>
        <w:ind w:firstLine="708"/>
        <w:rPr>
          <w:rFonts w:ascii="Verdana" w:hAnsi="Verdana"/>
        </w:rPr>
      </w:pPr>
    </w:p>
    <w:p w:rsidR="009400AD" w:rsidRPr="004F5F2B" w:rsidRDefault="009400AD" w:rsidP="00592786">
      <w:pPr>
        <w:ind w:firstLine="708"/>
        <w:rPr>
          <w:rFonts w:ascii="Verdana" w:hAnsi="Verdana"/>
        </w:rPr>
        <w:sectPr w:rsidR="009400AD" w:rsidRPr="004F5F2B" w:rsidSect="009921FD">
          <w:footerReference w:type="default" r:id="rId28"/>
          <w:pgSz w:w="16838" w:h="11906" w:orient="landscape"/>
          <w:pgMar w:top="1417" w:right="1417" w:bottom="1417" w:left="1417" w:header="708" w:footer="708" w:gutter="0"/>
          <w:cols w:space="708"/>
          <w:docGrid w:linePitch="360"/>
        </w:sectPr>
      </w:pPr>
    </w:p>
    <w:p w:rsidR="00E21452" w:rsidRPr="004F5F2B" w:rsidRDefault="00E21452" w:rsidP="00E21452">
      <w:pPr>
        <w:ind w:right="254"/>
        <w:jc w:val="both"/>
        <w:rPr>
          <w:rFonts w:ascii="Verdana" w:hAnsi="Verdana"/>
          <w:lang w:eastAsia="ar-SA"/>
        </w:rPr>
      </w:pPr>
      <w:bookmarkStart w:id="11" w:name="_Toc239760230"/>
    </w:p>
    <w:p w:rsidR="005C7439" w:rsidRPr="00CB6B70" w:rsidRDefault="005C7439" w:rsidP="00CB6B70"/>
    <w:p w:rsidR="005C7439" w:rsidRPr="00CB6B70" w:rsidRDefault="005C7439" w:rsidP="00CB6B70"/>
    <w:p w:rsidR="005C7439" w:rsidRPr="004F5F2B" w:rsidRDefault="005C7439" w:rsidP="005C7439">
      <w:pPr>
        <w:rPr>
          <w:lang w:eastAsia="ar-SA"/>
        </w:rPr>
      </w:pPr>
    </w:p>
    <w:p w:rsidR="005C7439" w:rsidRPr="004F5F2B" w:rsidRDefault="005C7439" w:rsidP="005C7439">
      <w:pPr>
        <w:rPr>
          <w:lang w:eastAsia="ar-SA"/>
        </w:rPr>
      </w:pPr>
    </w:p>
    <w:p w:rsidR="005C7439" w:rsidRPr="004F5F2B" w:rsidRDefault="005C7439" w:rsidP="005C7439">
      <w:pPr>
        <w:rPr>
          <w:lang w:eastAsia="ar-SA"/>
        </w:rPr>
      </w:pPr>
    </w:p>
    <w:p w:rsidR="00DC282F" w:rsidRPr="004F5F2B" w:rsidRDefault="00DC282F" w:rsidP="005C7439">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p>
    <w:p w:rsidR="005C7439" w:rsidRPr="004F5F2B" w:rsidRDefault="005C7439" w:rsidP="005C7439">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r w:rsidRPr="004F5F2B">
        <w:rPr>
          <w:rFonts w:ascii="Verdana" w:hAnsi="Verdana"/>
          <w:b/>
          <w:bCs/>
        </w:rPr>
        <w:t>SECTION TWO</w:t>
      </w:r>
    </w:p>
    <w:p w:rsidR="005C7439" w:rsidRPr="004F5F2B" w:rsidRDefault="005C7439" w:rsidP="005C7439">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p>
    <w:p w:rsidR="005C7439" w:rsidRPr="004F5F2B" w:rsidRDefault="005C7439" w:rsidP="005C7439">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p>
    <w:p w:rsidR="005C7439" w:rsidRPr="004F5F2B" w:rsidRDefault="00984137" w:rsidP="005C7439">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sz w:val="36"/>
          <w:szCs w:val="36"/>
        </w:rPr>
      </w:pPr>
      <w:r w:rsidRPr="004F5F2B">
        <w:rPr>
          <w:rFonts w:ascii="Verdana" w:hAnsi="Verdana"/>
          <w:b/>
          <w:bCs/>
          <w:sz w:val="36"/>
          <w:szCs w:val="36"/>
          <w:lang w:eastAsia="ar-SA"/>
        </w:rPr>
        <w:t>P</w:t>
      </w:r>
      <w:r w:rsidR="005C7439" w:rsidRPr="004F5F2B">
        <w:rPr>
          <w:rFonts w:ascii="Verdana" w:hAnsi="Verdana"/>
          <w:b/>
          <w:bCs/>
          <w:sz w:val="36"/>
          <w:szCs w:val="36"/>
          <w:lang w:eastAsia="ar-SA"/>
        </w:rPr>
        <w:t>riority axes</w:t>
      </w:r>
    </w:p>
    <w:p w:rsidR="005C7439" w:rsidRPr="004F5F2B" w:rsidRDefault="005C7439" w:rsidP="005C7439">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5C7439" w:rsidRPr="004F5F2B" w:rsidRDefault="005C7439" w:rsidP="005C7439">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5C7439" w:rsidRPr="004F5F2B" w:rsidRDefault="005C7439" w:rsidP="005C7439">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5C7439" w:rsidRPr="004F5F2B" w:rsidRDefault="006364B9" w:rsidP="005C7439">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iCs/>
          <w:lang w:eastAsia="ar-SA"/>
        </w:rPr>
      </w:pPr>
      <w:r w:rsidRPr="004F5F2B">
        <w:rPr>
          <w:rFonts w:ascii="Verdana" w:hAnsi="Verdana"/>
          <w:b/>
          <w:bCs/>
        </w:rPr>
        <w:t>2.A</w:t>
      </w:r>
      <w:r w:rsidR="00DC282F" w:rsidRPr="004F5F2B">
        <w:rPr>
          <w:rFonts w:ascii="Verdana" w:hAnsi="Verdana"/>
          <w:b/>
          <w:bCs/>
        </w:rPr>
        <w:tab/>
      </w:r>
      <w:r w:rsidR="00E62C08" w:rsidRPr="004F5F2B">
        <w:rPr>
          <w:rFonts w:ascii="Verdana" w:hAnsi="Verdana"/>
          <w:b/>
          <w:bCs/>
        </w:rPr>
        <w:t>P</w:t>
      </w:r>
      <w:r w:rsidRPr="004F5F2B">
        <w:rPr>
          <w:rFonts w:ascii="Verdana" w:hAnsi="Verdana"/>
          <w:b/>
          <w:bCs/>
        </w:rPr>
        <w:t>riority Ax</w:t>
      </w:r>
      <w:r w:rsidR="00DC282F" w:rsidRPr="004F5F2B">
        <w:rPr>
          <w:rFonts w:ascii="Verdana" w:hAnsi="Verdana"/>
          <w:b/>
          <w:bCs/>
        </w:rPr>
        <w:t>es</w:t>
      </w:r>
    </w:p>
    <w:p w:rsidR="005C7439" w:rsidRPr="004F5F2B" w:rsidRDefault="00DC282F" w:rsidP="005C7439">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r w:rsidRPr="004F5F2B">
        <w:rPr>
          <w:rFonts w:ascii="Verdana" w:hAnsi="Verdana"/>
          <w:b/>
          <w:bCs/>
        </w:rPr>
        <w:tab/>
        <w:t>2.A.1</w:t>
      </w:r>
      <w:r w:rsidRPr="004F5F2B">
        <w:rPr>
          <w:rFonts w:ascii="Verdana" w:hAnsi="Verdana"/>
          <w:b/>
          <w:bCs/>
        </w:rPr>
        <w:tab/>
      </w:r>
      <w:r w:rsidRPr="004F5F2B">
        <w:rPr>
          <w:rFonts w:ascii="Verdana" w:hAnsi="Verdana"/>
          <w:b/>
          <w:bCs/>
        </w:rPr>
        <w:tab/>
        <w:t>Priority Axis 1</w:t>
      </w:r>
    </w:p>
    <w:p w:rsidR="00DC282F" w:rsidRPr="004F5F2B" w:rsidRDefault="00DC282F" w:rsidP="005C7439">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r w:rsidRPr="004F5F2B">
        <w:rPr>
          <w:rFonts w:ascii="Verdana" w:hAnsi="Verdana"/>
          <w:b/>
          <w:bCs/>
        </w:rPr>
        <w:tab/>
        <w:t>2.A.2</w:t>
      </w:r>
      <w:r w:rsidRPr="004F5F2B">
        <w:rPr>
          <w:rFonts w:ascii="Verdana" w:hAnsi="Verdana"/>
          <w:b/>
          <w:bCs/>
        </w:rPr>
        <w:tab/>
      </w:r>
      <w:r w:rsidRPr="004F5F2B">
        <w:rPr>
          <w:rFonts w:ascii="Verdana" w:hAnsi="Verdana"/>
          <w:b/>
          <w:bCs/>
        </w:rPr>
        <w:tab/>
        <w:t>Specific Objectives</w:t>
      </w:r>
    </w:p>
    <w:p w:rsidR="00DC282F" w:rsidRPr="004F5F2B" w:rsidRDefault="00DC282F" w:rsidP="005C7439">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r w:rsidRPr="004F5F2B">
        <w:rPr>
          <w:rFonts w:ascii="Verdana" w:hAnsi="Verdana"/>
          <w:b/>
          <w:bCs/>
        </w:rPr>
        <w:tab/>
        <w:t>2.A.3</w:t>
      </w:r>
      <w:r w:rsidRPr="004F5F2B">
        <w:rPr>
          <w:rFonts w:ascii="Verdana" w:hAnsi="Verdana"/>
          <w:b/>
          <w:bCs/>
        </w:rPr>
        <w:tab/>
      </w:r>
      <w:r w:rsidRPr="004F5F2B">
        <w:rPr>
          <w:rFonts w:ascii="Verdana" w:hAnsi="Verdana"/>
          <w:b/>
          <w:bCs/>
        </w:rPr>
        <w:tab/>
        <w:t>Actions to be supported</w:t>
      </w:r>
    </w:p>
    <w:p w:rsidR="00DC282F" w:rsidRPr="004F5F2B" w:rsidRDefault="00DC282F" w:rsidP="005C7439">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r w:rsidRPr="004F5F2B">
        <w:rPr>
          <w:rFonts w:ascii="Verdana" w:hAnsi="Verdana"/>
          <w:b/>
          <w:bCs/>
        </w:rPr>
        <w:tab/>
        <w:t>2.A.4</w:t>
      </w:r>
      <w:r w:rsidRPr="004F5F2B">
        <w:rPr>
          <w:rFonts w:ascii="Verdana" w:hAnsi="Verdana"/>
          <w:b/>
          <w:bCs/>
        </w:rPr>
        <w:tab/>
      </w:r>
      <w:r w:rsidRPr="004F5F2B">
        <w:rPr>
          <w:rFonts w:ascii="Verdana" w:hAnsi="Verdana"/>
          <w:b/>
          <w:bCs/>
        </w:rPr>
        <w:tab/>
        <w:t>Performance Framework</w:t>
      </w:r>
    </w:p>
    <w:p w:rsidR="00DC282F" w:rsidRPr="004F5F2B" w:rsidRDefault="00DC282F" w:rsidP="005C7439">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r w:rsidRPr="004F5F2B">
        <w:rPr>
          <w:rFonts w:ascii="Verdana" w:hAnsi="Verdana"/>
          <w:b/>
          <w:bCs/>
        </w:rPr>
        <w:tab/>
        <w:t>2.A.5</w:t>
      </w:r>
      <w:r w:rsidRPr="004F5F2B">
        <w:rPr>
          <w:rFonts w:ascii="Verdana" w:hAnsi="Verdana"/>
          <w:b/>
          <w:bCs/>
        </w:rPr>
        <w:tab/>
      </w:r>
      <w:r w:rsidRPr="004F5F2B">
        <w:rPr>
          <w:rFonts w:ascii="Verdana" w:hAnsi="Verdana"/>
          <w:b/>
          <w:bCs/>
        </w:rPr>
        <w:tab/>
        <w:t>Categories of Intervention</w:t>
      </w:r>
    </w:p>
    <w:p w:rsidR="00DC282F" w:rsidRPr="004F5F2B" w:rsidRDefault="00DC282F" w:rsidP="005C7439">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5C7439" w:rsidRPr="004F5F2B" w:rsidRDefault="00E62C08" w:rsidP="005C7439">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r w:rsidRPr="004F5F2B">
        <w:rPr>
          <w:rFonts w:ascii="Verdana" w:hAnsi="Verdana"/>
          <w:b/>
          <w:bCs/>
        </w:rPr>
        <w:t>2.B</w:t>
      </w:r>
      <w:r w:rsidRPr="004F5F2B">
        <w:rPr>
          <w:rFonts w:ascii="Verdana" w:hAnsi="Verdana"/>
          <w:b/>
          <w:bCs/>
        </w:rPr>
        <w:tab/>
        <w:t>Technical Assistance</w:t>
      </w:r>
    </w:p>
    <w:p w:rsidR="00DC282F" w:rsidRPr="004F5F2B" w:rsidRDefault="00DC282F" w:rsidP="00DC282F">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r w:rsidRPr="004F5F2B">
        <w:rPr>
          <w:rFonts w:ascii="Verdana" w:hAnsi="Verdana"/>
          <w:b/>
          <w:bCs/>
        </w:rPr>
        <w:tab/>
        <w:t>2.B.1</w:t>
      </w:r>
      <w:r w:rsidRPr="004F5F2B">
        <w:rPr>
          <w:rFonts w:ascii="Verdana" w:hAnsi="Verdana"/>
          <w:b/>
          <w:bCs/>
        </w:rPr>
        <w:tab/>
      </w:r>
      <w:r w:rsidRPr="004F5F2B">
        <w:rPr>
          <w:rFonts w:ascii="Verdana" w:hAnsi="Verdana"/>
          <w:b/>
          <w:bCs/>
        </w:rPr>
        <w:tab/>
        <w:t>Specific Objectives and expected results</w:t>
      </w:r>
    </w:p>
    <w:p w:rsidR="00DC282F" w:rsidRPr="004F5F2B" w:rsidRDefault="00DC282F" w:rsidP="00DC282F">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r w:rsidRPr="004F5F2B">
        <w:rPr>
          <w:rFonts w:ascii="Verdana" w:hAnsi="Verdana"/>
          <w:b/>
          <w:bCs/>
        </w:rPr>
        <w:tab/>
        <w:t>2.B.2</w:t>
      </w:r>
      <w:r w:rsidRPr="004F5F2B">
        <w:rPr>
          <w:rFonts w:ascii="Verdana" w:hAnsi="Verdana"/>
          <w:b/>
          <w:bCs/>
        </w:rPr>
        <w:tab/>
      </w:r>
      <w:r w:rsidRPr="004F5F2B">
        <w:rPr>
          <w:rFonts w:ascii="Verdana" w:hAnsi="Verdana"/>
          <w:b/>
          <w:bCs/>
        </w:rPr>
        <w:tab/>
        <w:t>Result Indicators</w:t>
      </w:r>
    </w:p>
    <w:p w:rsidR="00DC282F" w:rsidRPr="004F5F2B" w:rsidRDefault="00DC282F" w:rsidP="00DC282F">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r w:rsidRPr="004F5F2B">
        <w:rPr>
          <w:rFonts w:ascii="Verdana" w:hAnsi="Verdana"/>
          <w:b/>
          <w:bCs/>
        </w:rPr>
        <w:tab/>
        <w:t>2.B.3</w:t>
      </w:r>
      <w:r w:rsidRPr="004F5F2B">
        <w:rPr>
          <w:rFonts w:ascii="Verdana" w:hAnsi="Verdana"/>
          <w:b/>
          <w:bCs/>
        </w:rPr>
        <w:tab/>
      </w:r>
      <w:r w:rsidRPr="004F5F2B">
        <w:rPr>
          <w:rFonts w:ascii="Verdana" w:hAnsi="Verdana"/>
          <w:b/>
          <w:bCs/>
        </w:rPr>
        <w:tab/>
        <w:t>Actions to be supported</w:t>
      </w:r>
    </w:p>
    <w:p w:rsidR="00DC282F" w:rsidRPr="004F5F2B" w:rsidRDefault="00DC282F" w:rsidP="00DC282F">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r w:rsidRPr="004F5F2B">
        <w:rPr>
          <w:rFonts w:ascii="Verdana" w:hAnsi="Verdana"/>
          <w:b/>
          <w:bCs/>
        </w:rPr>
        <w:tab/>
        <w:t>2.B.4</w:t>
      </w:r>
      <w:r w:rsidRPr="004F5F2B">
        <w:rPr>
          <w:rFonts w:ascii="Verdana" w:hAnsi="Verdana"/>
          <w:b/>
          <w:bCs/>
        </w:rPr>
        <w:tab/>
      </w:r>
      <w:r w:rsidRPr="004F5F2B">
        <w:rPr>
          <w:rFonts w:ascii="Verdana" w:hAnsi="Verdana"/>
          <w:b/>
          <w:bCs/>
        </w:rPr>
        <w:tab/>
        <w:t>Categories of Intervention</w:t>
      </w:r>
    </w:p>
    <w:p w:rsidR="005C7439" w:rsidRPr="004F5F2B" w:rsidRDefault="005C7439" w:rsidP="005C7439">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5C7439" w:rsidRPr="004F5F2B" w:rsidRDefault="005C7439" w:rsidP="005C7439">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5C7439" w:rsidRPr="004F5F2B" w:rsidRDefault="005C7439" w:rsidP="005C7439">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5C7439" w:rsidRPr="004F5F2B" w:rsidRDefault="005C7439" w:rsidP="005C7439">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5C7439" w:rsidRPr="004F5F2B" w:rsidRDefault="005C7439" w:rsidP="005C7439">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5C7439" w:rsidRPr="00CB6B70" w:rsidRDefault="005C7439" w:rsidP="00CB6B70"/>
    <w:p w:rsidR="005C7439" w:rsidRPr="004F5F2B" w:rsidRDefault="005C7439">
      <w:pPr>
        <w:spacing w:after="200" w:line="276" w:lineRule="auto"/>
        <w:rPr>
          <w:rFonts w:ascii="Verdana" w:eastAsia="Calibri" w:hAnsi="Verdana"/>
          <w:b/>
          <w:smallCaps/>
          <w:lang w:eastAsia="ar-SA"/>
        </w:rPr>
      </w:pPr>
      <w:r w:rsidRPr="004F5F2B">
        <w:rPr>
          <w:rFonts w:ascii="Verdana" w:hAnsi="Verdana"/>
          <w:bCs/>
          <w:lang w:eastAsia="ar-SA"/>
        </w:rPr>
        <w:br w:type="page"/>
      </w:r>
    </w:p>
    <w:p w:rsidR="00E21452" w:rsidRPr="004F5F2B" w:rsidRDefault="00E21452" w:rsidP="00A40420">
      <w:pPr>
        <w:pStyle w:val="StyleHeading1Hanging085cm"/>
      </w:pPr>
      <w:bookmarkStart w:id="12" w:name="_Toc401325785"/>
      <w:r w:rsidRPr="004F5F2B">
        <w:t>Section</w:t>
      </w:r>
      <w:r w:rsidR="00984137" w:rsidRPr="004F5F2B">
        <w:t xml:space="preserve"> 2.</w:t>
      </w:r>
      <w:r w:rsidR="00984137" w:rsidRPr="004F5F2B">
        <w:tab/>
        <w:t>P</w:t>
      </w:r>
      <w:r w:rsidRPr="004F5F2B">
        <w:t xml:space="preserve">riority axes </w:t>
      </w:r>
      <w:bookmarkEnd w:id="11"/>
      <w:bookmarkEnd w:id="12"/>
    </w:p>
    <w:p w:rsidR="00D4641C" w:rsidRPr="00CB6B70" w:rsidRDefault="00D4641C" w:rsidP="00CB6B70"/>
    <w:p w:rsidR="00E21452" w:rsidRPr="004F5F2B" w:rsidRDefault="00D4641C" w:rsidP="00D4641C">
      <w:pPr>
        <w:pStyle w:val="Nagwek2"/>
      </w:pPr>
      <w:bookmarkStart w:id="13" w:name="_Toc401325786"/>
      <w:bookmarkStart w:id="14" w:name="_Toc239760231"/>
      <w:r w:rsidRPr="004F5F2B">
        <w:t>2.A.</w:t>
      </w:r>
      <w:r w:rsidR="00984137" w:rsidRPr="004F5F2B">
        <w:t xml:space="preserve"> </w:t>
      </w:r>
      <w:r w:rsidR="00A97643">
        <w:tab/>
      </w:r>
      <w:r w:rsidR="00984137" w:rsidRPr="004F5F2B">
        <w:t>Description of Priority Axes</w:t>
      </w:r>
      <w:bookmarkEnd w:id="13"/>
    </w:p>
    <w:p w:rsidR="00E21452" w:rsidRPr="000E4076" w:rsidRDefault="00E21452" w:rsidP="00E21452">
      <w:pPr>
        <w:rPr>
          <w:rFonts w:ascii="Verdana" w:hAnsi="Verdana"/>
          <w:sz w:val="22"/>
          <w:szCs w:val="22"/>
        </w:rPr>
      </w:pPr>
    </w:p>
    <w:p w:rsidR="009F4C96" w:rsidRPr="000E4076" w:rsidRDefault="00E21452" w:rsidP="00E21452">
      <w:pPr>
        <w:ind w:right="254"/>
        <w:jc w:val="both"/>
        <w:rPr>
          <w:rFonts w:ascii="Verdana" w:hAnsi="Verdana"/>
          <w:color w:val="000000"/>
          <w:sz w:val="22"/>
          <w:szCs w:val="22"/>
        </w:rPr>
      </w:pPr>
      <w:r w:rsidRPr="000E4076">
        <w:rPr>
          <w:rFonts w:ascii="Verdana" w:hAnsi="Verdana"/>
          <w:iCs/>
          <w:sz w:val="22"/>
          <w:szCs w:val="22"/>
          <w:lang w:eastAsia="fr-BE"/>
        </w:rPr>
        <w:t>URBACT will operate under a unique and s</w:t>
      </w:r>
      <w:r w:rsidRPr="000E4076">
        <w:rPr>
          <w:rFonts w:ascii="Verdana" w:hAnsi="Verdana"/>
          <w:color w:val="000000"/>
          <w:sz w:val="22"/>
          <w:szCs w:val="22"/>
        </w:rPr>
        <w:t xml:space="preserve">pecific investment priority under thematic objective 11 (“Enhancing institutional capacity and efficient public administration”). </w:t>
      </w:r>
    </w:p>
    <w:p w:rsidR="009F4C96" w:rsidRPr="000E4076" w:rsidRDefault="009F4C96" w:rsidP="00E21452">
      <w:pPr>
        <w:ind w:right="254"/>
        <w:jc w:val="both"/>
        <w:rPr>
          <w:rFonts w:ascii="Verdana" w:hAnsi="Verdana"/>
          <w:color w:val="000000"/>
          <w:sz w:val="22"/>
          <w:szCs w:val="22"/>
        </w:rPr>
      </w:pPr>
    </w:p>
    <w:p w:rsidR="009F4C96" w:rsidRPr="000E4076" w:rsidRDefault="00E21452" w:rsidP="00E21452">
      <w:pPr>
        <w:ind w:right="254"/>
        <w:jc w:val="both"/>
        <w:rPr>
          <w:rFonts w:ascii="Verdana" w:hAnsi="Verdana"/>
          <w:b/>
          <w:sz w:val="22"/>
          <w:szCs w:val="22"/>
        </w:rPr>
      </w:pPr>
      <w:r w:rsidRPr="000E4076">
        <w:rPr>
          <w:rFonts w:ascii="Verdana" w:hAnsi="Verdana"/>
          <w:sz w:val="22"/>
          <w:szCs w:val="22"/>
        </w:rPr>
        <w:t>The URBACT III programme will cover all the 28 Member States of the European Union as well as two partner countries: Norway and Switzerland.</w:t>
      </w:r>
      <w:r w:rsidRPr="000E4076" w:rsidDel="00E30852">
        <w:rPr>
          <w:rFonts w:ascii="Verdana" w:hAnsi="Verdana"/>
          <w:b/>
          <w:sz w:val="22"/>
          <w:szCs w:val="22"/>
        </w:rPr>
        <w:t xml:space="preserve"> </w:t>
      </w:r>
    </w:p>
    <w:p w:rsidR="009F4C96" w:rsidRPr="000E4076" w:rsidRDefault="009F4C96" w:rsidP="00E21452">
      <w:pPr>
        <w:ind w:right="254"/>
        <w:jc w:val="both"/>
        <w:rPr>
          <w:rFonts w:ascii="Verdana" w:hAnsi="Verdana"/>
          <w:color w:val="000000"/>
          <w:sz w:val="22"/>
          <w:szCs w:val="22"/>
        </w:rPr>
      </w:pPr>
    </w:p>
    <w:p w:rsidR="00E21452" w:rsidRPr="000E4076" w:rsidRDefault="00E21452" w:rsidP="00E21452">
      <w:pPr>
        <w:rPr>
          <w:rFonts w:ascii="Verdana" w:hAnsi="Verdana"/>
          <w:sz w:val="22"/>
          <w:szCs w:val="22"/>
        </w:rPr>
      </w:pPr>
    </w:p>
    <w:p w:rsidR="00E21452" w:rsidRPr="004F5F2B" w:rsidRDefault="00E21452" w:rsidP="001F2159">
      <w:pPr>
        <w:pStyle w:val="Nagwek2"/>
        <w:rPr>
          <w:b w:val="0"/>
        </w:rPr>
      </w:pPr>
      <w:bookmarkStart w:id="15" w:name="_Toc401325787"/>
      <w:r w:rsidRPr="004F5F2B">
        <w:t>2.A.1</w:t>
      </w:r>
      <w:r w:rsidR="00944A9C" w:rsidRPr="004F5F2B">
        <w:t>.</w:t>
      </w:r>
      <w:bookmarkEnd w:id="14"/>
      <w:r w:rsidR="00944A9C" w:rsidRPr="004F5F2B">
        <w:rPr>
          <w:b w:val="0"/>
        </w:rPr>
        <w:t xml:space="preserve"> </w:t>
      </w:r>
      <w:r w:rsidR="00A97643">
        <w:rPr>
          <w:b w:val="0"/>
        </w:rPr>
        <w:tab/>
      </w:r>
      <w:r w:rsidRPr="004F5F2B">
        <w:t>Priority Axis 1</w:t>
      </w:r>
      <w:bookmarkEnd w:id="15"/>
      <w:r w:rsidRPr="004F5F2B">
        <w:rPr>
          <w:b w:val="0"/>
        </w:rPr>
        <w:t xml:space="preserve"> </w:t>
      </w:r>
    </w:p>
    <w:p w:rsidR="00E21452" w:rsidRPr="004F5F2B" w:rsidRDefault="00E21452" w:rsidP="00E21452">
      <w:pPr>
        <w:ind w:right="254"/>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961"/>
      </w:tblGrid>
      <w:tr w:rsidR="00E21452" w:rsidRPr="000E4076" w:rsidTr="005C7439">
        <w:tc>
          <w:tcPr>
            <w:tcW w:w="3936" w:type="dxa"/>
          </w:tcPr>
          <w:p w:rsidR="00E21452" w:rsidRPr="000E4076" w:rsidRDefault="00E21452" w:rsidP="00E21452">
            <w:pPr>
              <w:ind w:right="254"/>
              <w:rPr>
                <w:rFonts w:ascii="Verdana" w:hAnsi="Verdana"/>
                <w:sz w:val="22"/>
                <w:szCs w:val="22"/>
              </w:rPr>
            </w:pPr>
            <w:r w:rsidRPr="000E4076">
              <w:rPr>
                <w:rFonts w:ascii="Verdana" w:hAnsi="Verdana"/>
                <w:sz w:val="22"/>
                <w:szCs w:val="22"/>
              </w:rPr>
              <w:t>ID</w:t>
            </w:r>
          </w:p>
        </w:tc>
        <w:tc>
          <w:tcPr>
            <w:tcW w:w="4961" w:type="dxa"/>
          </w:tcPr>
          <w:p w:rsidR="00E21452" w:rsidRPr="000E4076" w:rsidRDefault="00E21452" w:rsidP="00E21452">
            <w:pPr>
              <w:ind w:right="254"/>
              <w:rPr>
                <w:rFonts w:ascii="Verdana" w:hAnsi="Verdana"/>
                <w:sz w:val="22"/>
                <w:szCs w:val="22"/>
              </w:rPr>
            </w:pPr>
          </w:p>
        </w:tc>
      </w:tr>
      <w:tr w:rsidR="00E21452" w:rsidRPr="000E4076" w:rsidTr="005C7439">
        <w:tc>
          <w:tcPr>
            <w:tcW w:w="3936" w:type="dxa"/>
          </w:tcPr>
          <w:p w:rsidR="00E21452" w:rsidRPr="000E4076" w:rsidRDefault="00E21452" w:rsidP="00E21452">
            <w:pPr>
              <w:ind w:right="254"/>
              <w:rPr>
                <w:rFonts w:ascii="Verdana" w:hAnsi="Verdana"/>
                <w:b/>
                <w:sz w:val="22"/>
                <w:szCs w:val="22"/>
              </w:rPr>
            </w:pPr>
            <w:r w:rsidRPr="000E4076">
              <w:rPr>
                <w:rFonts w:ascii="Verdana" w:hAnsi="Verdana"/>
                <w:b/>
                <w:sz w:val="22"/>
                <w:szCs w:val="22"/>
              </w:rPr>
              <w:t>Title</w:t>
            </w:r>
          </w:p>
        </w:tc>
        <w:tc>
          <w:tcPr>
            <w:tcW w:w="4961" w:type="dxa"/>
          </w:tcPr>
          <w:p w:rsidR="00E21452" w:rsidRPr="000E4076" w:rsidRDefault="006A4DFD" w:rsidP="006A4DFD">
            <w:pPr>
              <w:ind w:right="254"/>
              <w:rPr>
                <w:rFonts w:ascii="Verdana" w:hAnsi="Verdana"/>
                <w:b/>
                <w:sz w:val="22"/>
                <w:szCs w:val="22"/>
              </w:rPr>
            </w:pPr>
            <w:r>
              <w:rPr>
                <w:rFonts w:ascii="Verdana" w:hAnsi="Verdana"/>
                <w:b/>
                <w:sz w:val="22"/>
                <w:szCs w:val="22"/>
              </w:rPr>
              <w:t>Promot</w:t>
            </w:r>
            <w:r w:rsidR="00E21452" w:rsidRPr="000E4076">
              <w:rPr>
                <w:rFonts w:ascii="Verdana" w:hAnsi="Verdana"/>
                <w:b/>
                <w:sz w:val="22"/>
                <w:szCs w:val="22"/>
              </w:rPr>
              <w:t xml:space="preserve">ing </w:t>
            </w:r>
            <w:r>
              <w:rPr>
                <w:rFonts w:ascii="Verdana" w:hAnsi="Verdana"/>
                <w:b/>
                <w:sz w:val="22"/>
                <w:szCs w:val="22"/>
              </w:rPr>
              <w:t xml:space="preserve">Integrated </w:t>
            </w:r>
            <w:r w:rsidR="00E21452" w:rsidRPr="000E4076">
              <w:rPr>
                <w:rFonts w:ascii="Verdana" w:hAnsi="Verdana"/>
                <w:b/>
                <w:sz w:val="22"/>
                <w:szCs w:val="22"/>
              </w:rPr>
              <w:t>Sustainable Urban Development</w:t>
            </w:r>
          </w:p>
        </w:tc>
      </w:tr>
    </w:tbl>
    <w:p w:rsidR="00E21452" w:rsidRPr="000E4076" w:rsidRDefault="00E21452" w:rsidP="00E21452">
      <w:pPr>
        <w:ind w:right="254"/>
        <w:rPr>
          <w:rFonts w:ascii="Verdana" w:hAnsi="Verdan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961"/>
      </w:tblGrid>
      <w:tr w:rsidR="00E21452" w:rsidRPr="000E4076" w:rsidTr="005C7439">
        <w:tc>
          <w:tcPr>
            <w:tcW w:w="3936" w:type="dxa"/>
          </w:tcPr>
          <w:p w:rsidR="00E21452" w:rsidRPr="000E4076" w:rsidRDefault="00E21452" w:rsidP="00E21452">
            <w:pPr>
              <w:ind w:right="254"/>
              <w:rPr>
                <w:rFonts w:ascii="Verdana" w:hAnsi="Verdana"/>
                <w:b/>
                <w:sz w:val="22"/>
                <w:szCs w:val="22"/>
              </w:rPr>
            </w:pPr>
            <w:r w:rsidRPr="000E4076">
              <w:rPr>
                <w:rFonts w:ascii="Verdana" w:hAnsi="Verdana"/>
                <w:b/>
                <w:sz w:val="22"/>
                <w:szCs w:val="22"/>
              </w:rPr>
              <w:t>FUND</w:t>
            </w:r>
          </w:p>
        </w:tc>
        <w:tc>
          <w:tcPr>
            <w:tcW w:w="4961" w:type="dxa"/>
          </w:tcPr>
          <w:p w:rsidR="00E21452" w:rsidRPr="000E4076" w:rsidRDefault="00E21452" w:rsidP="00E21452">
            <w:pPr>
              <w:ind w:right="254"/>
              <w:rPr>
                <w:rFonts w:ascii="Verdana" w:hAnsi="Verdana"/>
                <w:b/>
                <w:sz w:val="22"/>
                <w:szCs w:val="22"/>
              </w:rPr>
            </w:pPr>
            <w:r w:rsidRPr="000E4076">
              <w:rPr>
                <w:rFonts w:ascii="Verdana" w:hAnsi="Verdana"/>
                <w:b/>
                <w:sz w:val="22"/>
                <w:szCs w:val="22"/>
              </w:rPr>
              <w:t>European Regional Development Fund</w:t>
            </w:r>
          </w:p>
        </w:tc>
      </w:tr>
    </w:tbl>
    <w:p w:rsidR="00E21452" w:rsidRPr="000E4076" w:rsidRDefault="00E21452" w:rsidP="00E21452">
      <w:pPr>
        <w:ind w:right="254"/>
        <w:rPr>
          <w:rFonts w:ascii="Verdana" w:hAnsi="Verdan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961"/>
      </w:tblGrid>
      <w:tr w:rsidR="00E21452" w:rsidRPr="000E4076" w:rsidTr="005C7439">
        <w:tc>
          <w:tcPr>
            <w:tcW w:w="3936" w:type="dxa"/>
          </w:tcPr>
          <w:p w:rsidR="00E21452" w:rsidRPr="000E4076" w:rsidRDefault="00E21452" w:rsidP="00E21452">
            <w:pPr>
              <w:ind w:right="254"/>
              <w:rPr>
                <w:rFonts w:ascii="Verdana" w:hAnsi="Verdana"/>
                <w:b/>
                <w:sz w:val="22"/>
                <w:szCs w:val="22"/>
              </w:rPr>
            </w:pPr>
            <w:r w:rsidRPr="000E4076">
              <w:rPr>
                <w:rFonts w:ascii="Verdana" w:hAnsi="Verdana"/>
                <w:b/>
                <w:sz w:val="22"/>
                <w:szCs w:val="22"/>
              </w:rPr>
              <w:t>INVESTMENT PRIORITY</w:t>
            </w:r>
          </w:p>
        </w:tc>
        <w:tc>
          <w:tcPr>
            <w:tcW w:w="4961" w:type="dxa"/>
          </w:tcPr>
          <w:p w:rsidR="00E21452" w:rsidRPr="000E4076" w:rsidRDefault="00E21452" w:rsidP="00E21452">
            <w:pPr>
              <w:ind w:right="254"/>
              <w:rPr>
                <w:rFonts w:ascii="Verdana" w:hAnsi="Verdana"/>
                <w:b/>
                <w:sz w:val="22"/>
                <w:szCs w:val="22"/>
              </w:rPr>
            </w:pPr>
            <w:r w:rsidRPr="000E4076">
              <w:rPr>
                <w:rFonts w:ascii="Verdana" w:hAnsi="Verdana"/>
                <w:b/>
                <w:sz w:val="22"/>
                <w:szCs w:val="22"/>
              </w:rPr>
              <w:t>Thematic Objective 11</w:t>
            </w:r>
          </w:p>
        </w:tc>
      </w:tr>
    </w:tbl>
    <w:p w:rsidR="00E21452" w:rsidRPr="000E4076" w:rsidRDefault="00E21452" w:rsidP="00E21452">
      <w:pPr>
        <w:ind w:right="254"/>
        <w:rPr>
          <w:rFonts w:ascii="Verdana" w:hAnsi="Verdan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961"/>
      </w:tblGrid>
      <w:tr w:rsidR="00E21452" w:rsidRPr="000E4076" w:rsidTr="005C7439">
        <w:tc>
          <w:tcPr>
            <w:tcW w:w="3936" w:type="dxa"/>
          </w:tcPr>
          <w:p w:rsidR="00E21452" w:rsidRPr="000E4076" w:rsidRDefault="00364438" w:rsidP="00E21452">
            <w:pPr>
              <w:ind w:right="254"/>
              <w:rPr>
                <w:rFonts w:ascii="Verdana" w:hAnsi="Verdana"/>
                <w:b/>
                <w:sz w:val="22"/>
                <w:szCs w:val="22"/>
              </w:rPr>
            </w:pPr>
            <w:r w:rsidRPr="000E4076">
              <w:rPr>
                <w:rFonts w:ascii="Verdana" w:hAnsi="Verdana"/>
                <w:b/>
                <w:sz w:val="22"/>
                <w:szCs w:val="22"/>
              </w:rPr>
              <w:t>CALCULATION BASIS FOR UNION SUPPORT</w:t>
            </w:r>
          </w:p>
        </w:tc>
        <w:tc>
          <w:tcPr>
            <w:tcW w:w="4961" w:type="dxa"/>
          </w:tcPr>
          <w:p w:rsidR="00E21452" w:rsidRPr="000E4076" w:rsidRDefault="00E21452" w:rsidP="00E21452">
            <w:pPr>
              <w:ind w:right="254"/>
              <w:rPr>
                <w:rFonts w:ascii="Verdana" w:hAnsi="Verdana"/>
                <w:b/>
                <w:sz w:val="22"/>
                <w:szCs w:val="22"/>
              </w:rPr>
            </w:pPr>
            <w:r w:rsidRPr="000E4076">
              <w:rPr>
                <w:rFonts w:ascii="Verdana" w:hAnsi="Verdana"/>
                <w:b/>
                <w:sz w:val="22"/>
                <w:szCs w:val="22"/>
              </w:rPr>
              <w:t>Total eligible cost</w:t>
            </w:r>
          </w:p>
        </w:tc>
      </w:tr>
    </w:tbl>
    <w:p w:rsidR="00E21452" w:rsidRPr="004F5F2B" w:rsidRDefault="00E21452" w:rsidP="00E21452">
      <w:pPr>
        <w:spacing w:after="160" w:line="259" w:lineRule="auto"/>
        <w:rPr>
          <w:rFonts w:ascii="Verdana" w:hAnsi="Verdana"/>
          <w:b/>
        </w:rPr>
      </w:pPr>
    </w:p>
    <w:p w:rsidR="00E21452" w:rsidRPr="004F5F2B" w:rsidRDefault="00944A9C" w:rsidP="001F2159">
      <w:pPr>
        <w:pStyle w:val="Nagwek2"/>
      </w:pPr>
      <w:bookmarkStart w:id="16" w:name="_Toc401325788"/>
      <w:r w:rsidRPr="004F5F2B">
        <w:t>2.</w:t>
      </w:r>
      <w:r w:rsidR="00E21452" w:rsidRPr="004F5F2B">
        <w:t>A.</w:t>
      </w:r>
      <w:r w:rsidR="006364B9" w:rsidRPr="004F5F2B">
        <w:t>2</w:t>
      </w:r>
      <w:r w:rsidR="00E21452" w:rsidRPr="004F5F2B">
        <w:t xml:space="preserve"> </w:t>
      </w:r>
      <w:r w:rsidR="00A97643">
        <w:tab/>
      </w:r>
      <w:r w:rsidR="00E21452" w:rsidRPr="004F5F2B">
        <w:t xml:space="preserve">Specific objectives corresponding to the investment priority and expected results – </w:t>
      </w:r>
      <w:bookmarkEnd w:id="16"/>
    </w:p>
    <w:p w:rsidR="00E21452" w:rsidRPr="000E4076" w:rsidRDefault="00E21452" w:rsidP="00E21452">
      <w:pPr>
        <w:ind w:right="254"/>
        <w:rPr>
          <w:rFonts w:ascii="Verdana" w:hAnsi="Verdana"/>
          <w:b/>
          <w:sz w:val="22"/>
          <w:szCs w:val="22"/>
        </w:rPr>
      </w:pPr>
    </w:p>
    <w:p w:rsidR="00E21452" w:rsidRPr="000E4076" w:rsidRDefault="00E21452" w:rsidP="00312A5F">
      <w:pPr>
        <w:spacing w:after="120" w:line="276" w:lineRule="auto"/>
        <w:ind w:right="254"/>
        <w:jc w:val="both"/>
        <w:rPr>
          <w:rFonts w:ascii="Verdana" w:hAnsi="Verdana" w:cs="Arial"/>
          <w:b/>
          <w:sz w:val="22"/>
          <w:szCs w:val="22"/>
        </w:rPr>
      </w:pPr>
      <w:r w:rsidRPr="00135F1C">
        <w:rPr>
          <w:rFonts w:ascii="Verdana" w:hAnsi="Verdana"/>
          <w:b/>
          <w:sz w:val="22"/>
          <w:szCs w:val="22"/>
          <w:u w:val="single"/>
        </w:rPr>
        <w:t>Specific Objective 1</w:t>
      </w:r>
      <w:r w:rsidRPr="000E4076">
        <w:rPr>
          <w:rFonts w:ascii="Verdana" w:hAnsi="Verdana"/>
          <w:b/>
          <w:sz w:val="22"/>
          <w:szCs w:val="22"/>
        </w:rPr>
        <w:t xml:space="preserve">: </w:t>
      </w:r>
      <w:r w:rsidRPr="000E4076">
        <w:rPr>
          <w:rFonts w:ascii="Verdana" w:hAnsi="Verdana" w:cs="Arial"/>
          <w:sz w:val="22"/>
          <w:szCs w:val="22"/>
        </w:rPr>
        <w:t>To improve the capacity of cities to manage sustainable urban policies and practices in an integrated and participative way</w:t>
      </w:r>
    </w:p>
    <w:p w:rsidR="00E21452" w:rsidRPr="00CF6D69" w:rsidRDefault="00E21452" w:rsidP="00312A5F">
      <w:pPr>
        <w:spacing w:after="120" w:line="276" w:lineRule="auto"/>
        <w:jc w:val="both"/>
        <w:rPr>
          <w:rFonts w:ascii="Verdana" w:hAnsi="Verdana"/>
          <w:sz w:val="22"/>
          <w:szCs w:val="22"/>
        </w:rPr>
      </w:pPr>
      <w:r w:rsidRPr="000E4076">
        <w:rPr>
          <w:rFonts w:ascii="Verdana" w:hAnsi="Verdana" w:cs="Arial"/>
          <w:b/>
          <w:sz w:val="22"/>
          <w:szCs w:val="22"/>
        </w:rPr>
        <w:t xml:space="preserve">Expected results: </w:t>
      </w:r>
      <w:r w:rsidRPr="000E4076">
        <w:rPr>
          <w:rFonts w:ascii="Verdana" w:hAnsi="Verdana" w:cs="Arial"/>
          <w:sz w:val="22"/>
          <w:szCs w:val="22"/>
        </w:rPr>
        <w:t>Urban practitioners in</w:t>
      </w:r>
      <w:r w:rsidRPr="000E4076">
        <w:rPr>
          <w:rFonts w:ascii="Verdana" w:hAnsi="Verdana" w:cs="Arial"/>
          <w:b/>
          <w:sz w:val="22"/>
          <w:szCs w:val="22"/>
        </w:rPr>
        <w:t xml:space="preserve"> </w:t>
      </w:r>
      <w:r w:rsidR="009F4C96" w:rsidRPr="000E4076">
        <w:rPr>
          <w:rFonts w:ascii="Verdana" w:hAnsi="Verdana" w:cs="Arial"/>
          <w:sz w:val="22"/>
          <w:szCs w:val="22"/>
        </w:rPr>
        <w:t>c</w:t>
      </w:r>
      <w:r w:rsidRPr="000E4076">
        <w:rPr>
          <w:rFonts w:ascii="Verdana" w:hAnsi="Verdana"/>
          <w:sz w:val="22"/>
          <w:szCs w:val="22"/>
        </w:rPr>
        <w:t>ities have increased their knowledge and capacity in relation to integrated approaches to sustainable urban development</w:t>
      </w:r>
      <w:r w:rsidR="009967D6">
        <w:rPr>
          <w:rFonts w:ascii="Verdana" w:hAnsi="Verdana"/>
          <w:sz w:val="22"/>
          <w:szCs w:val="22"/>
        </w:rPr>
        <w:t>.</w:t>
      </w:r>
      <w:r w:rsidRPr="000E4076">
        <w:rPr>
          <w:rFonts w:ascii="Verdana" w:hAnsi="Verdana"/>
          <w:sz w:val="22"/>
          <w:szCs w:val="22"/>
        </w:rPr>
        <w:t xml:space="preserve"> </w:t>
      </w:r>
      <w:r w:rsidRPr="00CF6D69">
        <w:rPr>
          <w:rFonts w:ascii="Verdana" w:hAnsi="Verdana"/>
          <w:sz w:val="22"/>
          <w:szCs w:val="22"/>
        </w:rPr>
        <w:t xml:space="preserve">This specific objective has </w:t>
      </w:r>
      <w:r w:rsidR="009F4C96" w:rsidRPr="00CF6D69">
        <w:rPr>
          <w:rFonts w:ascii="Verdana" w:hAnsi="Verdana"/>
          <w:sz w:val="22"/>
          <w:szCs w:val="22"/>
        </w:rPr>
        <w:t xml:space="preserve">one </w:t>
      </w:r>
      <w:r w:rsidRPr="00CF6D69">
        <w:rPr>
          <w:rFonts w:ascii="Verdana" w:hAnsi="Verdana"/>
          <w:sz w:val="22"/>
          <w:szCs w:val="22"/>
        </w:rPr>
        <w:t>result indicator:</w:t>
      </w:r>
    </w:p>
    <w:p w:rsidR="00CF6D69" w:rsidRPr="00CF6D69" w:rsidRDefault="00BF5FB8" w:rsidP="00CF6D69">
      <w:pPr>
        <w:pStyle w:val="Paragraphedeliste3"/>
        <w:spacing w:before="120"/>
        <w:ind w:left="121"/>
        <w:rPr>
          <w:rFonts w:ascii="Verdana" w:hAnsi="Verdana"/>
        </w:rPr>
      </w:pPr>
      <w:r w:rsidRPr="00BF5FB8">
        <w:rPr>
          <w:rFonts w:ascii="Verdana" w:hAnsi="Verdana"/>
        </w:rPr>
        <w:t>Participants in URBACT capacity-building activities with knowledge and capacity in the field of sustainable urban development, in relation to:</w:t>
      </w:r>
    </w:p>
    <w:p w:rsidR="00CF6D69" w:rsidRPr="00CF6D69" w:rsidRDefault="00BF5FB8" w:rsidP="008166DD">
      <w:pPr>
        <w:pStyle w:val="Paragraphedeliste3"/>
        <w:numPr>
          <w:ilvl w:val="0"/>
          <w:numId w:val="17"/>
        </w:numPr>
        <w:spacing w:before="120"/>
        <w:ind w:left="556" w:hanging="425"/>
        <w:jc w:val="both"/>
        <w:rPr>
          <w:rFonts w:ascii="Verdana" w:hAnsi="Verdana"/>
        </w:rPr>
      </w:pPr>
      <w:r w:rsidRPr="00BF5FB8">
        <w:rPr>
          <w:rFonts w:ascii="Verdana" w:hAnsi="Verdana"/>
        </w:rPr>
        <w:t>integrated approach</w:t>
      </w:r>
    </w:p>
    <w:p w:rsidR="00CF6D69" w:rsidRPr="00CF6D69" w:rsidRDefault="00BF5FB8" w:rsidP="008166DD">
      <w:pPr>
        <w:pStyle w:val="Paragraphedeliste3"/>
        <w:numPr>
          <w:ilvl w:val="0"/>
          <w:numId w:val="17"/>
        </w:numPr>
        <w:spacing w:before="120"/>
        <w:ind w:left="556" w:hanging="425"/>
        <w:rPr>
          <w:rFonts w:ascii="Verdana" w:hAnsi="Verdana"/>
        </w:rPr>
      </w:pPr>
      <w:r w:rsidRPr="00BF5FB8">
        <w:rPr>
          <w:rFonts w:ascii="Verdana" w:hAnsi="Verdana"/>
        </w:rPr>
        <w:t xml:space="preserve"> participatory action-planning</w:t>
      </w:r>
    </w:p>
    <w:p w:rsidR="00CF6D69" w:rsidRDefault="00BF5FB8" w:rsidP="008166DD">
      <w:pPr>
        <w:pStyle w:val="Paragraphedeliste3"/>
        <w:numPr>
          <w:ilvl w:val="0"/>
          <w:numId w:val="17"/>
        </w:numPr>
        <w:spacing w:before="120"/>
        <w:ind w:left="556" w:hanging="425"/>
        <w:rPr>
          <w:rFonts w:ascii="Verdana" w:hAnsi="Verdana"/>
        </w:rPr>
      </w:pPr>
      <w:r w:rsidRPr="00BF5FB8">
        <w:rPr>
          <w:rFonts w:ascii="Verdana" w:hAnsi="Verdana"/>
        </w:rPr>
        <w:t>working across departments and with relevant stakeholders</w:t>
      </w:r>
    </w:p>
    <w:p w:rsidR="00CF6D69" w:rsidRPr="00CF6D69" w:rsidRDefault="00BF5FB8" w:rsidP="008166DD">
      <w:pPr>
        <w:pStyle w:val="Paragraphedeliste3"/>
        <w:numPr>
          <w:ilvl w:val="0"/>
          <w:numId w:val="17"/>
        </w:numPr>
        <w:spacing w:before="120"/>
        <w:ind w:left="556" w:hanging="425"/>
        <w:rPr>
          <w:rFonts w:ascii="Verdana" w:hAnsi="Verdana"/>
        </w:rPr>
      </w:pPr>
      <w:r w:rsidRPr="00BF5FB8">
        <w:rPr>
          <w:rFonts w:ascii="Verdana" w:hAnsi="Verdana"/>
        </w:rPr>
        <w:t xml:space="preserve"> </w:t>
      </w:r>
    </w:p>
    <w:p w:rsidR="00CF6D69" w:rsidRDefault="00BF5FB8" w:rsidP="00CF6D69">
      <w:pPr>
        <w:pStyle w:val="Paragraphedeliste3"/>
        <w:spacing w:after="120"/>
        <w:ind w:right="254"/>
        <w:contextualSpacing w:val="0"/>
        <w:jc w:val="both"/>
        <w:rPr>
          <w:rFonts w:ascii="Verdana" w:hAnsi="Verdana"/>
        </w:rPr>
      </w:pPr>
      <w:r w:rsidRPr="00BF5FB8">
        <w:rPr>
          <w:rFonts w:ascii="Verdana" w:hAnsi="Verdana"/>
        </w:rPr>
        <w:t>project management.</w:t>
      </w:r>
    </w:p>
    <w:p w:rsidR="00E21452" w:rsidRPr="000E4076" w:rsidRDefault="00E21452" w:rsidP="00312A5F">
      <w:pPr>
        <w:spacing w:after="120" w:line="276" w:lineRule="auto"/>
        <w:jc w:val="both"/>
        <w:rPr>
          <w:rFonts w:ascii="Verdana" w:hAnsi="Verdana"/>
          <w:sz w:val="22"/>
          <w:szCs w:val="22"/>
        </w:rPr>
      </w:pPr>
      <w:r w:rsidRPr="000E4076">
        <w:rPr>
          <w:rFonts w:ascii="Verdana" w:hAnsi="Verdana"/>
          <w:sz w:val="22"/>
          <w:szCs w:val="22"/>
        </w:rPr>
        <w:t xml:space="preserve">The URBACT learning process implemented through transnational exchange activities in the three types of networks </w:t>
      </w:r>
      <w:r w:rsidR="009F4C96" w:rsidRPr="000E4076">
        <w:rPr>
          <w:rFonts w:ascii="Verdana" w:hAnsi="Verdana"/>
          <w:sz w:val="22"/>
          <w:szCs w:val="22"/>
        </w:rPr>
        <w:t xml:space="preserve">will be </w:t>
      </w:r>
      <w:r w:rsidRPr="000E4076">
        <w:rPr>
          <w:rFonts w:ascii="Verdana" w:hAnsi="Verdana"/>
          <w:sz w:val="22"/>
          <w:szCs w:val="22"/>
        </w:rPr>
        <w:t>complemented by capacity</w:t>
      </w:r>
      <w:r w:rsidR="009F4C96" w:rsidRPr="000E4076">
        <w:rPr>
          <w:rFonts w:ascii="Verdana" w:hAnsi="Verdana"/>
          <w:sz w:val="22"/>
          <w:szCs w:val="22"/>
        </w:rPr>
        <w:t>-</w:t>
      </w:r>
      <w:r w:rsidRPr="000E4076">
        <w:rPr>
          <w:rFonts w:ascii="Verdana" w:hAnsi="Verdana"/>
          <w:sz w:val="22"/>
          <w:szCs w:val="22"/>
        </w:rPr>
        <w:t>building</w:t>
      </w:r>
      <w:r w:rsidR="004B5EB8" w:rsidRPr="000E4076">
        <w:rPr>
          <w:rFonts w:ascii="Verdana" w:hAnsi="Verdana"/>
          <w:sz w:val="22"/>
          <w:szCs w:val="22"/>
        </w:rPr>
        <w:t xml:space="preserve"> </w:t>
      </w:r>
      <w:r w:rsidR="009F4C96" w:rsidRPr="000E4076">
        <w:rPr>
          <w:rFonts w:ascii="Verdana" w:hAnsi="Verdana"/>
          <w:sz w:val="22"/>
          <w:szCs w:val="22"/>
        </w:rPr>
        <w:t>actions</w:t>
      </w:r>
      <w:r w:rsidRPr="000E4076">
        <w:rPr>
          <w:rFonts w:ascii="Verdana" w:hAnsi="Verdana"/>
          <w:sz w:val="22"/>
          <w:szCs w:val="22"/>
        </w:rPr>
        <w:t xml:space="preserve">. Stakeholders at </w:t>
      </w:r>
      <w:r w:rsidR="005C22F6">
        <w:rPr>
          <w:rFonts w:ascii="Verdana" w:hAnsi="Verdana"/>
          <w:sz w:val="22"/>
          <w:szCs w:val="22"/>
        </w:rPr>
        <w:t>European, Nationa</w:t>
      </w:r>
      <w:r w:rsidR="007210A0">
        <w:rPr>
          <w:rFonts w:ascii="Verdana" w:hAnsi="Verdana"/>
          <w:sz w:val="22"/>
          <w:szCs w:val="22"/>
        </w:rPr>
        <w:t>l</w:t>
      </w:r>
      <w:r w:rsidR="005C22F6">
        <w:rPr>
          <w:rFonts w:ascii="Verdana" w:hAnsi="Verdana"/>
          <w:sz w:val="22"/>
          <w:szCs w:val="22"/>
        </w:rPr>
        <w:t xml:space="preserve">, Regional and City </w:t>
      </w:r>
      <w:r w:rsidRPr="000E4076">
        <w:rPr>
          <w:rFonts w:ascii="Verdana" w:hAnsi="Verdana"/>
          <w:sz w:val="22"/>
          <w:szCs w:val="22"/>
        </w:rPr>
        <w:t>levels (elected people, practitioners, members of local groups) can work together to increase their knowledge and capacity resulting in an improvement in the individual and collective ability to deliver integrated and sustainable urban development policies in cities.</w:t>
      </w:r>
    </w:p>
    <w:p w:rsidR="00E21452" w:rsidRPr="000E4076" w:rsidRDefault="00E21452" w:rsidP="00312A5F">
      <w:pPr>
        <w:spacing w:after="120" w:line="276" w:lineRule="auto"/>
        <w:rPr>
          <w:rFonts w:ascii="Verdana" w:hAnsi="Verdana"/>
          <w:sz w:val="22"/>
          <w:szCs w:val="22"/>
        </w:rPr>
      </w:pPr>
      <w:r w:rsidRPr="000E4076">
        <w:rPr>
          <w:rFonts w:ascii="Verdana" w:hAnsi="Verdana"/>
          <w:sz w:val="22"/>
          <w:szCs w:val="22"/>
        </w:rPr>
        <w:t>The activities proposed are presented in detail in section 2.A.2.</w:t>
      </w:r>
    </w:p>
    <w:p w:rsidR="00E21452" w:rsidRPr="000E4076" w:rsidRDefault="00E21452" w:rsidP="00312A5F">
      <w:pPr>
        <w:spacing w:after="120" w:line="276" w:lineRule="auto"/>
        <w:ind w:right="254"/>
        <w:rPr>
          <w:rFonts w:ascii="Verdana" w:hAnsi="Verdana"/>
          <w:b/>
          <w:sz w:val="22"/>
          <w:szCs w:val="22"/>
        </w:rPr>
      </w:pPr>
    </w:p>
    <w:p w:rsidR="00E21452" w:rsidRPr="000E4076" w:rsidRDefault="00E21452" w:rsidP="00312A5F">
      <w:pPr>
        <w:spacing w:after="120" w:line="276" w:lineRule="auto"/>
        <w:ind w:right="254"/>
        <w:jc w:val="both"/>
        <w:rPr>
          <w:rFonts w:ascii="Verdana" w:hAnsi="Verdana"/>
          <w:b/>
          <w:sz w:val="22"/>
          <w:szCs w:val="22"/>
        </w:rPr>
      </w:pPr>
      <w:r w:rsidRPr="00135F1C">
        <w:rPr>
          <w:rFonts w:ascii="Verdana" w:hAnsi="Verdana"/>
          <w:b/>
          <w:sz w:val="22"/>
          <w:szCs w:val="22"/>
          <w:u w:val="single"/>
        </w:rPr>
        <w:t>Specific Objective 2</w:t>
      </w:r>
      <w:r w:rsidRPr="000E4076">
        <w:rPr>
          <w:rFonts w:ascii="Verdana" w:hAnsi="Verdana"/>
          <w:b/>
          <w:sz w:val="22"/>
          <w:szCs w:val="22"/>
        </w:rPr>
        <w:t xml:space="preserve">: </w:t>
      </w:r>
      <w:r w:rsidRPr="000E4076">
        <w:rPr>
          <w:rFonts w:ascii="Verdana" w:hAnsi="Verdana" w:cs="Arial"/>
          <w:sz w:val="22"/>
          <w:szCs w:val="22"/>
        </w:rPr>
        <w:t xml:space="preserve">To improve the design of sustainable urban </w:t>
      </w:r>
      <w:r w:rsidR="002A1E5A" w:rsidRPr="000E4076">
        <w:rPr>
          <w:rFonts w:ascii="Verdana" w:hAnsi="Verdana" w:cs="Arial"/>
          <w:sz w:val="22"/>
          <w:szCs w:val="22"/>
        </w:rPr>
        <w:t xml:space="preserve">strategies and action plans </w:t>
      </w:r>
      <w:r w:rsidRPr="000E4076">
        <w:rPr>
          <w:rFonts w:ascii="Verdana" w:hAnsi="Verdana" w:cs="Arial"/>
          <w:sz w:val="22"/>
          <w:szCs w:val="22"/>
        </w:rPr>
        <w:t>in cities</w:t>
      </w:r>
      <w:r w:rsidR="002A1E5A" w:rsidRPr="000E4076">
        <w:rPr>
          <w:rFonts w:ascii="Verdana" w:hAnsi="Verdana" w:cs="Arial"/>
          <w:sz w:val="22"/>
          <w:szCs w:val="22"/>
        </w:rPr>
        <w:t>.</w:t>
      </w:r>
    </w:p>
    <w:p w:rsidR="00E21452" w:rsidRPr="000E4076" w:rsidRDefault="00E21452" w:rsidP="00312A5F">
      <w:pPr>
        <w:spacing w:after="120" w:line="276" w:lineRule="auto"/>
        <w:ind w:right="254"/>
        <w:jc w:val="both"/>
        <w:rPr>
          <w:rFonts w:ascii="Verdana" w:hAnsi="Verdana" w:cs="Arial"/>
          <w:sz w:val="22"/>
          <w:szCs w:val="22"/>
        </w:rPr>
      </w:pPr>
      <w:r w:rsidRPr="000E4076">
        <w:rPr>
          <w:rFonts w:ascii="Verdana" w:hAnsi="Verdana" w:cs="Arial"/>
          <w:b/>
          <w:sz w:val="22"/>
          <w:szCs w:val="22"/>
        </w:rPr>
        <w:t xml:space="preserve">Expected results: </w:t>
      </w:r>
      <w:r w:rsidRPr="000E4076">
        <w:rPr>
          <w:rFonts w:ascii="Verdana" w:hAnsi="Verdana" w:cs="Arial"/>
          <w:sz w:val="22"/>
          <w:szCs w:val="22"/>
        </w:rPr>
        <w:t>Cities have designed integrated strategies and action plans for sustainable urban development drawing on EU good practice.</w:t>
      </w:r>
    </w:p>
    <w:p w:rsidR="00E21452" w:rsidRPr="000E4076" w:rsidRDefault="00E21452" w:rsidP="00312A5F">
      <w:pPr>
        <w:spacing w:after="120" w:line="276" w:lineRule="auto"/>
        <w:jc w:val="both"/>
        <w:rPr>
          <w:rFonts w:ascii="Verdana" w:hAnsi="Verdana"/>
          <w:sz w:val="22"/>
          <w:szCs w:val="22"/>
        </w:rPr>
      </w:pPr>
      <w:r w:rsidRPr="000E4076">
        <w:rPr>
          <w:rFonts w:ascii="Verdana" w:hAnsi="Verdana"/>
          <w:sz w:val="22"/>
          <w:szCs w:val="22"/>
        </w:rPr>
        <w:t xml:space="preserve">This specific objective has </w:t>
      </w:r>
      <w:r w:rsidR="002E71E0">
        <w:rPr>
          <w:rFonts w:ascii="Verdana" w:hAnsi="Verdana"/>
          <w:sz w:val="22"/>
          <w:szCs w:val="22"/>
        </w:rPr>
        <w:t>one</w:t>
      </w:r>
      <w:r w:rsidRPr="000E4076">
        <w:rPr>
          <w:rFonts w:ascii="Verdana" w:hAnsi="Verdana"/>
          <w:sz w:val="22"/>
          <w:szCs w:val="22"/>
        </w:rPr>
        <w:t xml:space="preserve"> result indicator:</w:t>
      </w:r>
    </w:p>
    <w:p w:rsidR="00E21452" w:rsidRPr="000E4076" w:rsidRDefault="00BF5FB8" w:rsidP="00312A5F">
      <w:pPr>
        <w:spacing w:after="120" w:line="276" w:lineRule="auto"/>
        <w:ind w:right="254"/>
        <w:jc w:val="both"/>
        <w:rPr>
          <w:rFonts w:ascii="Verdana" w:hAnsi="Verdana"/>
          <w:sz w:val="22"/>
          <w:szCs w:val="22"/>
        </w:rPr>
      </w:pPr>
      <w:r w:rsidRPr="00BF5FB8">
        <w:rPr>
          <w:rFonts w:ascii="Verdana" w:eastAsia="Calibri" w:hAnsi="Verdana"/>
          <w:sz w:val="22"/>
          <w:szCs w:val="22"/>
          <w:lang w:eastAsia="en-US"/>
        </w:rPr>
        <w:t>Percentage of cities within URBACT Action Planning Networks having produced integrated strategies and action plans with the URBACT method</w:t>
      </w:r>
      <w:r w:rsidR="00E109E6" w:rsidRPr="00E109E6" w:rsidDel="00290400">
        <w:rPr>
          <w:rFonts w:ascii="Verdana" w:hAnsi="Verdana" w:cs="Arial"/>
        </w:rPr>
        <w:t xml:space="preserve"> </w:t>
      </w:r>
      <w:r w:rsidR="00E21452" w:rsidRPr="000E4076">
        <w:rPr>
          <w:rFonts w:ascii="Verdana" w:hAnsi="Verdana"/>
          <w:sz w:val="22"/>
          <w:szCs w:val="22"/>
        </w:rPr>
        <w:t>Due to the complexity of challenges facing urban areas, cities have to prepare their strategies and action</w:t>
      </w:r>
      <w:r w:rsidR="007735F9" w:rsidRPr="000E4076">
        <w:rPr>
          <w:rFonts w:ascii="Verdana" w:hAnsi="Verdana"/>
          <w:sz w:val="22"/>
          <w:szCs w:val="22"/>
        </w:rPr>
        <w:t xml:space="preserve"> plan</w:t>
      </w:r>
      <w:r w:rsidR="00E21452" w:rsidRPr="000E4076">
        <w:rPr>
          <w:rFonts w:ascii="Verdana" w:hAnsi="Verdana"/>
          <w:sz w:val="22"/>
          <w:szCs w:val="22"/>
        </w:rPr>
        <w:t xml:space="preserve">s in an integrated and sustainable way. There is a need for a horizontal and vertical integration of policies involving </w:t>
      </w:r>
      <w:r w:rsidR="007735F9" w:rsidRPr="000E4076">
        <w:rPr>
          <w:rFonts w:ascii="Verdana" w:hAnsi="Verdana"/>
          <w:sz w:val="22"/>
          <w:szCs w:val="22"/>
        </w:rPr>
        <w:t xml:space="preserve">a wide range of </w:t>
      </w:r>
      <w:r w:rsidR="00E21452" w:rsidRPr="000E4076">
        <w:rPr>
          <w:rFonts w:ascii="Verdana" w:hAnsi="Verdana"/>
          <w:sz w:val="22"/>
          <w:szCs w:val="22"/>
        </w:rPr>
        <w:t>stakeholders</w:t>
      </w:r>
      <w:r w:rsidR="007735F9" w:rsidRPr="000E4076">
        <w:rPr>
          <w:rFonts w:ascii="Verdana" w:hAnsi="Verdana"/>
          <w:sz w:val="22"/>
          <w:szCs w:val="22"/>
        </w:rPr>
        <w:t>, from different departments within the municipality, to different tiers of government playing a role in urban development policies (design, financing, delivery), and  beneficiaries or target groups of urban policies.</w:t>
      </w:r>
    </w:p>
    <w:p w:rsidR="00E21452" w:rsidRPr="000E4076" w:rsidRDefault="00E21452" w:rsidP="00312A5F">
      <w:pPr>
        <w:pStyle w:val="Tekstkomentarza"/>
        <w:spacing w:after="120" w:line="276" w:lineRule="auto"/>
        <w:ind w:right="254"/>
        <w:jc w:val="both"/>
        <w:rPr>
          <w:rFonts w:ascii="Verdana" w:hAnsi="Verdana"/>
          <w:sz w:val="22"/>
          <w:szCs w:val="22"/>
        </w:rPr>
      </w:pPr>
      <w:r w:rsidRPr="000E4076">
        <w:rPr>
          <w:rFonts w:ascii="Verdana" w:hAnsi="Verdana"/>
          <w:sz w:val="22"/>
          <w:szCs w:val="22"/>
        </w:rPr>
        <w:t xml:space="preserve">URBACT will support and stimulate the exchange of experience of cities preparing integrated and sustainable urban strategies and actions; there will be specific attention paid to improving the quality of the strategies and to the involvement of managing authorities. Improving the quality of urban development strategies and actions implies enhancing the diagnosis phase (especially through a stronger evidence base), strengthening the integration of the different policy areas contributing to address urban challenges, and ensuring a participatory approach through the involvement of the relevant stakeholders in the action-planning process. </w:t>
      </w:r>
    </w:p>
    <w:p w:rsidR="00E21452" w:rsidRPr="000E4076" w:rsidRDefault="00E21452" w:rsidP="00312A5F">
      <w:pPr>
        <w:pStyle w:val="Tekstkomentarza"/>
        <w:spacing w:after="120" w:line="276" w:lineRule="auto"/>
        <w:ind w:right="254"/>
        <w:jc w:val="both"/>
        <w:rPr>
          <w:rFonts w:ascii="Verdana" w:hAnsi="Verdana"/>
          <w:sz w:val="22"/>
          <w:szCs w:val="22"/>
        </w:rPr>
      </w:pPr>
      <w:r w:rsidRPr="000E4076">
        <w:rPr>
          <w:rFonts w:ascii="Verdana" w:hAnsi="Verdana"/>
          <w:sz w:val="22"/>
          <w:szCs w:val="22"/>
        </w:rPr>
        <w:t xml:space="preserve">Attention will be paid to the contribution of the actions plans produced within URBACT projects to the overall strategy of the city. Better strategies and action plans will enable cities to attract more funding to help tackle key urban challenges. Better </w:t>
      </w:r>
      <w:r w:rsidR="002D20E1" w:rsidRPr="000E4076">
        <w:rPr>
          <w:rFonts w:ascii="Verdana" w:hAnsi="Verdana"/>
          <w:sz w:val="22"/>
          <w:szCs w:val="22"/>
        </w:rPr>
        <w:t xml:space="preserve">strategies </w:t>
      </w:r>
      <w:r w:rsidRPr="000E4076">
        <w:rPr>
          <w:rFonts w:ascii="Verdana" w:hAnsi="Verdana"/>
          <w:sz w:val="22"/>
          <w:szCs w:val="22"/>
        </w:rPr>
        <w:t xml:space="preserve">and action plans will help cities involved in the “Action-planning networks” of the programme to address the economic, social and environmental challenges they are facing </w:t>
      </w:r>
      <w:r w:rsidR="006B26F7" w:rsidRPr="000E4076">
        <w:rPr>
          <w:rFonts w:ascii="Verdana" w:hAnsi="Verdana"/>
          <w:sz w:val="22"/>
          <w:szCs w:val="22"/>
        </w:rPr>
        <w:t xml:space="preserve">today </w:t>
      </w:r>
      <w:r w:rsidRPr="000E4076">
        <w:rPr>
          <w:rFonts w:ascii="Verdana" w:hAnsi="Verdana"/>
          <w:sz w:val="22"/>
          <w:szCs w:val="22"/>
        </w:rPr>
        <w:t xml:space="preserve">(see 1.1.2).  </w:t>
      </w:r>
    </w:p>
    <w:p w:rsidR="006B26F7" w:rsidRPr="000E4076" w:rsidRDefault="006B26F7" w:rsidP="00312A5F">
      <w:pPr>
        <w:pStyle w:val="Tekstkomentarza"/>
        <w:spacing w:after="120" w:line="276" w:lineRule="auto"/>
        <w:ind w:right="254"/>
        <w:jc w:val="both"/>
        <w:rPr>
          <w:rFonts w:ascii="Verdana" w:hAnsi="Verdana"/>
          <w:sz w:val="22"/>
          <w:szCs w:val="22"/>
        </w:rPr>
      </w:pPr>
    </w:p>
    <w:p w:rsidR="00E21452" w:rsidRPr="000E4076" w:rsidRDefault="00E21452" w:rsidP="00312A5F">
      <w:pPr>
        <w:spacing w:after="120" w:line="276" w:lineRule="auto"/>
        <w:jc w:val="both"/>
        <w:rPr>
          <w:rFonts w:ascii="Verdana" w:hAnsi="Verdana" w:cs="Arial"/>
          <w:sz w:val="22"/>
          <w:szCs w:val="22"/>
        </w:rPr>
      </w:pPr>
      <w:r w:rsidRPr="00135F1C">
        <w:rPr>
          <w:rFonts w:ascii="Verdana" w:hAnsi="Verdana"/>
          <w:b/>
          <w:sz w:val="22"/>
          <w:szCs w:val="22"/>
          <w:u w:val="single"/>
        </w:rPr>
        <w:t>Specific Objective 3</w:t>
      </w:r>
      <w:r w:rsidRPr="000E4076">
        <w:rPr>
          <w:rFonts w:ascii="Verdana" w:hAnsi="Verdana"/>
          <w:b/>
          <w:sz w:val="22"/>
          <w:szCs w:val="22"/>
        </w:rPr>
        <w:t xml:space="preserve">: </w:t>
      </w:r>
      <w:r w:rsidRPr="000E4076">
        <w:rPr>
          <w:rFonts w:ascii="Verdana" w:hAnsi="Verdana" w:cs="Arial"/>
          <w:sz w:val="22"/>
          <w:szCs w:val="22"/>
        </w:rPr>
        <w:t xml:space="preserve">To improve the implementation of </w:t>
      </w:r>
      <w:r w:rsidR="00752222">
        <w:rPr>
          <w:rFonts w:ascii="Verdana" w:hAnsi="Verdana" w:cs="Arial"/>
          <w:sz w:val="22"/>
          <w:szCs w:val="22"/>
        </w:rPr>
        <w:t>integrated plans for s</w:t>
      </w:r>
      <w:r w:rsidRPr="000E4076">
        <w:rPr>
          <w:rFonts w:ascii="Verdana" w:hAnsi="Verdana" w:cs="Arial"/>
          <w:sz w:val="22"/>
          <w:szCs w:val="22"/>
        </w:rPr>
        <w:t xml:space="preserve">ustainable urban </w:t>
      </w:r>
      <w:r w:rsidR="00752222">
        <w:rPr>
          <w:rFonts w:ascii="Verdana" w:hAnsi="Verdana" w:cs="Arial"/>
          <w:sz w:val="22"/>
          <w:szCs w:val="22"/>
        </w:rPr>
        <w:t>development</w:t>
      </w:r>
      <w:r w:rsidRPr="000E4076">
        <w:rPr>
          <w:rFonts w:ascii="Verdana" w:hAnsi="Verdana" w:cs="Arial"/>
          <w:sz w:val="22"/>
          <w:szCs w:val="22"/>
        </w:rPr>
        <w:t xml:space="preserve"> </w:t>
      </w:r>
    </w:p>
    <w:p w:rsidR="00E21452" w:rsidRPr="000E4076" w:rsidRDefault="00E21452" w:rsidP="00312A5F">
      <w:pPr>
        <w:spacing w:after="120" w:line="276" w:lineRule="auto"/>
        <w:jc w:val="both"/>
        <w:rPr>
          <w:rFonts w:ascii="Verdana" w:hAnsi="Verdana"/>
          <w:sz w:val="22"/>
          <w:szCs w:val="22"/>
        </w:rPr>
      </w:pPr>
      <w:r w:rsidRPr="000E4076">
        <w:rPr>
          <w:rFonts w:ascii="Verdana" w:hAnsi="Verdana" w:cs="Arial"/>
          <w:b/>
          <w:sz w:val="22"/>
          <w:szCs w:val="22"/>
        </w:rPr>
        <w:t xml:space="preserve">Expected results: </w:t>
      </w:r>
      <w:r w:rsidRPr="000E4076">
        <w:rPr>
          <w:rFonts w:ascii="Verdana" w:hAnsi="Verdana"/>
          <w:sz w:val="22"/>
          <w:szCs w:val="22"/>
        </w:rPr>
        <w:t>Cities improve the</w:t>
      </w:r>
      <w:r w:rsidR="00DA481A">
        <w:rPr>
          <w:rFonts w:ascii="Verdana" w:hAnsi="Verdana"/>
          <w:sz w:val="22"/>
          <w:szCs w:val="22"/>
        </w:rPr>
        <w:t>ir performance in regard to the</w:t>
      </w:r>
      <w:r w:rsidRPr="000E4076">
        <w:rPr>
          <w:rFonts w:ascii="Verdana" w:hAnsi="Verdana"/>
          <w:sz w:val="22"/>
          <w:szCs w:val="22"/>
        </w:rPr>
        <w:t xml:space="preserve"> implementation of integrated plans for sustainable urban development </w:t>
      </w:r>
    </w:p>
    <w:p w:rsidR="00E21452" w:rsidRPr="005D55B1" w:rsidRDefault="00E21452" w:rsidP="00312A5F">
      <w:pPr>
        <w:spacing w:after="120" w:line="276" w:lineRule="auto"/>
        <w:jc w:val="both"/>
        <w:rPr>
          <w:rFonts w:ascii="Verdana" w:hAnsi="Verdana"/>
          <w:sz w:val="22"/>
          <w:szCs w:val="22"/>
        </w:rPr>
      </w:pPr>
      <w:r w:rsidRPr="005D55B1">
        <w:rPr>
          <w:rFonts w:ascii="Verdana" w:hAnsi="Verdana"/>
          <w:sz w:val="22"/>
          <w:szCs w:val="22"/>
        </w:rPr>
        <w:t xml:space="preserve">This specific objective has </w:t>
      </w:r>
      <w:r w:rsidR="005D55B1">
        <w:rPr>
          <w:rFonts w:ascii="Verdana" w:hAnsi="Verdana"/>
          <w:sz w:val="22"/>
          <w:szCs w:val="22"/>
        </w:rPr>
        <w:t>one</w:t>
      </w:r>
      <w:r w:rsidRPr="005D55B1">
        <w:rPr>
          <w:rFonts w:ascii="Verdana" w:hAnsi="Verdana"/>
          <w:sz w:val="22"/>
          <w:szCs w:val="22"/>
        </w:rPr>
        <w:t xml:space="preserve"> result indicator:</w:t>
      </w:r>
    </w:p>
    <w:p w:rsidR="005D55B1" w:rsidRPr="005D55B1" w:rsidRDefault="00BF5FB8" w:rsidP="005D55B1">
      <w:pPr>
        <w:pStyle w:val="Paragraphedeliste3"/>
        <w:ind w:left="121"/>
        <w:rPr>
          <w:rFonts w:ascii="Verdana" w:hAnsi="Verdana"/>
        </w:rPr>
      </w:pPr>
      <w:r w:rsidRPr="00BF5FB8">
        <w:rPr>
          <w:rFonts w:ascii="Verdana" w:hAnsi="Verdana"/>
        </w:rPr>
        <w:t xml:space="preserve">Percentage of cities within URBACT Implementation Networks having demonstrated high performance in regard to implementation of integrated strategies/ action plans for urban development, along 3 key dimensions: </w:t>
      </w:r>
    </w:p>
    <w:p w:rsidR="005D55B1" w:rsidRPr="005D55B1" w:rsidRDefault="00BF5FB8" w:rsidP="008166DD">
      <w:pPr>
        <w:pStyle w:val="Akapitzlist"/>
        <w:numPr>
          <w:ilvl w:val="0"/>
          <w:numId w:val="64"/>
        </w:numPr>
        <w:spacing w:before="120"/>
        <w:contextualSpacing w:val="0"/>
        <w:jc w:val="both"/>
        <w:rPr>
          <w:rFonts w:ascii="Verdana" w:hAnsi="Verdana"/>
        </w:rPr>
      </w:pPr>
      <w:r w:rsidRPr="00BF5FB8">
        <w:rPr>
          <w:rFonts w:ascii="Verdana" w:hAnsi="Verdana"/>
        </w:rPr>
        <w:t>Integration</w:t>
      </w:r>
    </w:p>
    <w:p w:rsidR="00E5202D" w:rsidRDefault="00BF5FB8" w:rsidP="008166DD">
      <w:pPr>
        <w:pStyle w:val="Akapitzlist"/>
        <w:numPr>
          <w:ilvl w:val="0"/>
          <w:numId w:val="64"/>
        </w:numPr>
        <w:spacing w:before="120"/>
        <w:contextualSpacing w:val="0"/>
        <w:jc w:val="both"/>
        <w:rPr>
          <w:rFonts w:ascii="Verdana" w:hAnsi="Verdana"/>
        </w:rPr>
      </w:pPr>
      <w:r w:rsidRPr="00BF5FB8">
        <w:rPr>
          <w:rFonts w:ascii="Verdana" w:hAnsi="Verdana"/>
        </w:rPr>
        <w:t>Participation</w:t>
      </w:r>
    </w:p>
    <w:p w:rsidR="00E5202D" w:rsidRDefault="00BF5FB8" w:rsidP="008166DD">
      <w:pPr>
        <w:pStyle w:val="Akapitzlist"/>
        <w:numPr>
          <w:ilvl w:val="0"/>
          <w:numId w:val="64"/>
        </w:numPr>
        <w:spacing w:before="120"/>
        <w:contextualSpacing w:val="0"/>
        <w:jc w:val="both"/>
        <w:rPr>
          <w:rFonts w:ascii="Verdana" w:hAnsi="Verdana"/>
        </w:rPr>
      </w:pPr>
      <w:r w:rsidRPr="00BF5FB8">
        <w:rPr>
          <w:rFonts w:ascii="Verdana" w:hAnsi="Verdana"/>
        </w:rPr>
        <w:t>Project management (timeliness, etc.)</w:t>
      </w:r>
    </w:p>
    <w:p w:rsidR="00E21452" w:rsidRPr="000E4076" w:rsidRDefault="00E21452" w:rsidP="00312A5F">
      <w:pPr>
        <w:spacing w:after="120" w:line="276" w:lineRule="auto"/>
        <w:jc w:val="both"/>
        <w:rPr>
          <w:rFonts w:ascii="Verdana" w:hAnsi="Verdana"/>
          <w:sz w:val="22"/>
          <w:szCs w:val="22"/>
        </w:rPr>
      </w:pPr>
      <w:r w:rsidRPr="000E4076">
        <w:rPr>
          <w:rFonts w:ascii="Verdana" w:hAnsi="Verdana"/>
          <w:sz w:val="22"/>
          <w:szCs w:val="22"/>
        </w:rPr>
        <w:t xml:space="preserve">For all cities in Europe mobilizing public or private, local, regional or national resources the quality of the implementation phase of an integrated urban strategy and of the corresponding actions in terms of speed, quality of execution, participatory process is essential to achieve the results targeted in the planning phase. With the new opportunities for programming the urban dimension, especially under article 7 of the ERDF regulation which requires a minimum of 5% of the national ERDF allocation to go to integrated sustainable urban development actions </w:t>
      </w:r>
      <w:r w:rsidRPr="000E4076">
        <w:rPr>
          <w:rFonts w:ascii="Verdana" w:hAnsi="Verdana"/>
          <w:iCs/>
          <w:sz w:val="22"/>
          <w:szCs w:val="22"/>
        </w:rPr>
        <w:t xml:space="preserve">but also with other types of public or private funding, </w:t>
      </w:r>
      <w:r w:rsidRPr="000E4076">
        <w:rPr>
          <w:rFonts w:ascii="Verdana" w:hAnsi="Verdana"/>
          <w:sz w:val="22"/>
          <w:szCs w:val="22"/>
        </w:rPr>
        <w:t xml:space="preserve">a lot of cities will need support to improve the implementation of their action plans. </w:t>
      </w:r>
    </w:p>
    <w:p w:rsidR="00E21452" w:rsidRPr="000E4076" w:rsidRDefault="00E21452" w:rsidP="00312A5F">
      <w:pPr>
        <w:spacing w:after="120" w:line="276" w:lineRule="auto"/>
        <w:jc w:val="both"/>
        <w:rPr>
          <w:rFonts w:ascii="Verdana" w:hAnsi="Verdana"/>
          <w:sz w:val="22"/>
          <w:szCs w:val="22"/>
        </w:rPr>
      </w:pPr>
      <w:r w:rsidRPr="000E4076">
        <w:rPr>
          <w:rFonts w:ascii="Verdana" w:hAnsi="Verdana"/>
          <w:sz w:val="22"/>
          <w:szCs w:val="22"/>
        </w:rPr>
        <w:t>In this context, the programme will support transnational exchange of experience and good practice among cities implementing integrated strategies for sustainable urban development.</w:t>
      </w:r>
    </w:p>
    <w:p w:rsidR="00E21452" w:rsidRPr="000E4076" w:rsidRDefault="00E21452" w:rsidP="00312A5F">
      <w:pPr>
        <w:spacing w:after="120" w:line="276" w:lineRule="auto"/>
        <w:jc w:val="both"/>
        <w:rPr>
          <w:rFonts w:ascii="Verdana" w:hAnsi="Verdana"/>
          <w:b/>
          <w:sz w:val="22"/>
          <w:szCs w:val="22"/>
        </w:rPr>
      </w:pPr>
    </w:p>
    <w:p w:rsidR="006B5486" w:rsidRPr="000E4076" w:rsidRDefault="00E21452" w:rsidP="00312A5F">
      <w:pPr>
        <w:spacing w:after="120" w:line="276" w:lineRule="auto"/>
        <w:jc w:val="both"/>
        <w:rPr>
          <w:rFonts w:ascii="Verdana" w:hAnsi="Verdana"/>
          <w:sz w:val="22"/>
          <w:szCs w:val="22"/>
        </w:rPr>
      </w:pPr>
      <w:r w:rsidRPr="00135F1C">
        <w:rPr>
          <w:rFonts w:ascii="Verdana" w:hAnsi="Verdana"/>
          <w:b/>
          <w:sz w:val="22"/>
          <w:szCs w:val="22"/>
          <w:u w:val="single"/>
        </w:rPr>
        <w:t>Specific Objective 4</w:t>
      </w:r>
      <w:r w:rsidRPr="000E4076">
        <w:rPr>
          <w:rFonts w:ascii="Verdana" w:hAnsi="Verdana"/>
          <w:b/>
          <w:sz w:val="22"/>
          <w:szCs w:val="22"/>
        </w:rPr>
        <w:t xml:space="preserve">: </w:t>
      </w:r>
      <w:r w:rsidR="006B5486" w:rsidRPr="000E4076">
        <w:rPr>
          <w:rFonts w:ascii="Verdana" w:hAnsi="Verdana"/>
          <w:sz w:val="22"/>
          <w:szCs w:val="22"/>
        </w:rPr>
        <w:t>To ensure that practitioners and decision-makers at all levels (EU, national, regional and local) have increased access to URBACT thematic knowledge and share know-how on all aspects of sustainable urban development in order to improve urban policies.</w:t>
      </w:r>
    </w:p>
    <w:p w:rsidR="001E726A" w:rsidRPr="000E4076" w:rsidRDefault="001E726A" w:rsidP="00312A5F">
      <w:pPr>
        <w:spacing w:after="120" w:line="276" w:lineRule="auto"/>
        <w:jc w:val="both"/>
        <w:rPr>
          <w:rFonts w:ascii="Verdana" w:hAnsi="Verdana"/>
          <w:sz w:val="22"/>
          <w:szCs w:val="22"/>
        </w:rPr>
      </w:pPr>
      <w:r w:rsidRPr="000E4076">
        <w:rPr>
          <w:rFonts w:ascii="Verdana" w:hAnsi="Verdana" w:cs="Arial"/>
          <w:b/>
          <w:sz w:val="22"/>
          <w:szCs w:val="22"/>
        </w:rPr>
        <w:t xml:space="preserve">Expected results: </w:t>
      </w:r>
      <w:r w:rsidR="002E5CA7" w:rsidRPr="000E4076">
        <w:rPr>
          <w:rFonts w:ascii="Verdana" w:hAnsi="Verdana"/>
          <w:sz w:val="22"/>
          <w:szCs w:val="22"/>
        </w:rPr>
        <w:t>Practitioners and decision makers at all levels (EU, national, regional and local) have increased access to URBACT thematic knowledge on sustainable urban development</w:t>
      </w:r>
      <w:r w:rsidR="00DA481A">
        <w:rPr>
          <w:rFonts w:ascii="Verdana" w:hAnsi="Verdana"/>
          <w:sz w:val="22"/>
          <w:szCs w:val="22"/>
        </w:rPr>
        <w:t xml:space="preserve"> and make use of it.</w:t>
      </w:r>
    </w:p>
    <w:p w:rsidR="00E21452" w:rsidRPr="000E4076" w:rsidRDefault="00E21452" w:rsidP="00312A5F">
      <w:pPr>
        <w:spacing w:after="120" w:line="276" w:lineRule="auto"/>
        <w:jc w:val="both"/>
        <w:rPr>
          <w:rFonts w:ascii="Verdana" w:hAnsi="Verdana"/>
          <w:sz w:val="22"/>
          <w:szCs w:val="22"/>
        </w:rPr>
      </w:pPr>
      <w:r w:rsidRPr="000E4076">
        <w:rPr>
          <w:rFonts w:ascii="Verdana" w:hAnsi="Verdana"/>
          <w:sz w:val="22"/>
          <w:szCs w:val="22"/>
        </w:rPr>
        <w:t>This specific objective has one result indicator:</w:t>
      </w:r>
    </w:p>
    <w:p w:rsidR="005D55B1" w:rsidRPr="005D55B1" w:rsidRDefault="00BF5FB8" w:rsidP="005D55B1">
      <w:pPr>
        <w:pStyle w:val="Paragraphedeliste3"/>
        <w:ind w:left="121"/>
        <w:rPr>
          <w:rFonts w:ascii="Verdana" w:hAnsi="Verdana"/>
        </w:rPr>
      </w:pPr>
      <w:r w:rsidRPr="00BF5FB8">
        <w:rPr>
          <w:rFonts w:ascii="Verdana" w:hAnsi="Verdana"/>
        </w:rPr>
        <w:t>Number of decision-makers and practitioners at all levels (EU, national, regional and local) who have used URBACT thematic knowledge about sustainable urban development in their work</w:t>
      </w:r>
    </w:p>
    <w:p w:rsidR="00E21452" w:rsidRPr="000E4076" w:rsidRDefault="00E21452" w:rsidP="00312A5F">
      <w:pPr>
        <w:spacing w:after="120" w:line="276" w:lineRule="auto"/>
        <w:jc w:val="both"/>
        <w:rPr>
          <w:rFonts w:ascii="Verdana" w:hAnsi="Verdana"/>
          <w:color w:val="000000"/>
          <w:sz w:val="22"/>
          <w:szCs w:val="22"/>
        </w:rPr>
      </w:pPr>
      <w:r w:rsidRPr="000E4076">
        <w:rPr>
          <w:rFonts w:ascii="Verdana" w:hAnsi="Verdana" w:cs="Arial"/>
          <w:sz w:val="22"/>
          <w:szCs w:val="22"/>
        </w:rPr>
        <w:t xml:space="preserve">The collaboration </w:t>
      </w:r>
      <w:r w:rsidR="002C04CA" w:rsidRPr="000E4076">
        <w:rPr>
          <w:rFonts w:ascii="Verdana" w:hAnsi="Verdana" w:cs="Arial"/>
          <w:sz w:val="22"/>
          <w:szCs w:val="22"/>
        </w:rPr>
        <w:t xml:space="preserve">between </w:t>
      </w:r>
      <w:r w:rsidRPr="000E4076">
        <w:rPr>
          <w:rFonts w:ascii="Verdana" w:hAnsi="Verdana" w:cs="Arial"/>
          <w:sz w:val="22"/>
          <w:szCs w:val="22"/>
        </w:rPr>
        <w:t>elected people, city managers, practitioners</w:t>
      </w:r>
      <w:r w:rsidR="00FB4A24" w:rsidRPr="000E4076">
        <w:rPr>
          <w:rFonts w:ascii="Verdana" w:hAnsi="Verdana" w:cs="Arial"/>
          <w:sz w:val="22"/>
          <w:szCs w:val="22"/>
        </w:rPr>
        <w:t xml:space="preserve"> and</w:t>
      </w:r>
      <w:r w:rsidRPr="000E4076">
        <w:rPr>
          <w:rFonts w:ascii="Verdana" w:hAnsi="Verdana" w:cs="Arial"/>
          <w:sz w:val="22"/>
          <w:szCs w:val="22"/>
        </w:rPr>
        <w:t xml:space="preserve"> other local stakeholders, of </w:t>
      </w:r>
      <w:r w:rsidR="002C04CA" w:rsidRPr="000E4076">
        <w:rPr>
          <w:rFonts w:ascii="Verdana" w:hAnsi="Verdana" w:cs="Arial"/>
          <w:sz w:val="22"/>
          <w:szCs w:val="22"/>
        </w:rPr>
        <w:t>local</w:t>
      </w:r>
      <w:r w:rsidRPr="000E4076">
        <w:rPr>
          <w:rFonts w:ascii="Verdana" w:hAnsi="Verdana" w:cs="Arial"/>
          <w:sz w:val="22"/>
          <w:szCs w:val="22"/>
        </w:rPr>
        <w:t>, regional, national and European level</w:t>
      </w:r>
      <w:r w:rsidR="002C04CA" w:rsidRPr="000E4076">
        <w:rPr>
          <w:rFonts w:ascii="Verdana" w:hAnsi="Verdana" w:cs="Arial"/>
          <w:sz w:val="22"/>
          <w:szCs w:val="22"/>
        </w:rPr>
        <w:t>s</w:t>
      </w:r>
      <w:r w:rsidRPr="000E4076">
        <w:rPr>
          <w:rFonts w:ascii="Verdana" w:hAnsi="Verdana" w:cs="Arial"/>
          <w:sz w:val="22"/>
          <w:szCs w:val="22"/>
        </w:rPr>
        <w:t xml:space="preserve"> is essential for cities. </w:t>
      </w:r>
      <w:r w:rsidRPr="000E4076">
        <w:rPr>
          <w:rFonts w:ascii="Verdana" w:hAnsi="Verdana"/>
          <w:color w:val="000000"/>
          <w:sz w:val="22"/>
          <w:szCs w:val="22"/>
        </w:rPr>
        <w:t xml:space="preserve">Cities cannot work alone. They need to develop their strategies together with other cities and other actors such as managing authorities, as well as organisations working at local, regional, national and European levels. </w:t>
      </w:r>
    </w:p>
    <w:p w:rsidR="00E21452" w:rsidRPr="000E4076" w:rsidRDefault="00E21452" w:rsidP="00312A5F">
      <w:pPr>
        <w:spacing w:after="120" w:line="276" w:lineRule="auto"/>
        <w:jc w:val="both"/>
        <w:rPr>
          <w:rFonts w:ascii="Verdana" w:hAnsi="Verdana"/>
          <w:color w:val="000000"/>
          <w:sz w:val="22"/>
          <w:szCs w:val="22"/>
        </w:rPr>
      </w:pPr>
    </w:p>
    <w:p w:rsidR="00E21452" w:rsidRPr="000E4076" w:rsidRDefault="002E5CA7" w:rsidP="00312A5F">
      <w:pPr>
        <w:spacing w:after="120" w:line="276" w:lineRule="auto"/>
        <w:jc w:val="both"/>
        <w:rPr>
          <w:rFonts w:ascii="Verdana" w:hAnsi="Verdana" w:cs="Arial"/>
          <w:sz w:val="22"/>
          <w:szCs w:val="22"/>
        </w:rPr>
      </w:pPr>
      <w:r w:rsidRPr="000E4076">
        <w:rPr>
          <w:rFonts w:ascii="Verdana" w:hAnsi="Verdana"/>
          <w:color w:val="000000"/>
          <w:sz w:val="22"/>
          <w:szCs w:val="22"/>
        </w:rPr>
        <w:t xml:space="preserve">Facilitated access, for </w:t>
      </w:r>
      <w:r w:rsidRPr="000E4076">
        <w:rPr>
          <w:rFonts w:ascii="Verdana" w:hAnsi="Verdana" w:cs="Arial"/>
          <w:sz w:val="22"/>
          <w:szCs w:val="22"/>
        </w:rPr>
        <w:t xml:space="preserve">practitioners and decision makers at all levels, to knowledge and know-how on integrated and sustainable urban development is key to develop a common understanding and to enable efficient multi-level governance. Therefore it is essential to stimulate the transfer of good practices and policies into mainstreamed urban policy and practice for all practitioners and decision-makers beyond the direct beneficiaries of the programme; in order to facilitate the up-take of URBACT results and knowledge at all relevant levels playing a role in the design and implementation of sustainable urban policies, </w:t>
      </w:r>
      <w:r w:rsidRPr="000E4076">
        <w:rPr>
          <w:rFonts w:ascii="Verdana" w:hAnsi="Verdana"/>
          <w:sz w:val="22"/>
          <w:szCs w:val="22"/>
        </w:rPr>
        <w:t>links between European/programme level, national, regional level and city level (also using national languages), will be strengthened.</w:t>
      </w:r>
    </w:p>
    <w:p w:rsidR="00E21452" w:rsidRPr="000E4076" w:rsidRDefault="002E5CA7" w:rsidP="00312A5F">
      <w:pPr>
        <w:spacing w:after="120" w:line="276" w:lineRule="auto"/>
        <w:jc w:val="both"/>
        <w:rPr>
          <w:rFonts w:ascii="Verdana" w:hAnsi="Verdana"/>
          <w:sz w:val="22"/>
          <w:szCs w:val="22"/>
        </w:rPr>
      </w:pPr>
      <w:r w:rsidRPr="000E4076">
        <w:rPr>
          <w:rFonts w:ascii="Verdana" w:hAnsi="Verdana"/>
          <w:sz w:val="22"/>
          <w:szCs w:val="22"/>
        </w:rPr>
        <w:t>It is expected that through its activities, URBACT will strengthen the up-take of knowledge on sustainable urban development and increase the opportunities of exchange of know-how at all levels, also at national level in national languages. This will as a consequence help cities to improve their urban development policies, practitioners and decision makers of all levels sharing together common knowledge and practices.</w:t>
      </w:r>
    </w:p>
    <w:p w:rsidR="00E21452" w:rsidRPr="000E4076" w:rsidRDefault="00E21452" w:rsidP="00312A5F">
      <w:pPr>
        <w:spacing w:after="120" w:line="276" w:lineRule="auto"/>
        <w:rPr>
          <w:rFonts w:ascii="Verdana" w:hAnsi="Verdana"/>
          <w:b/>
          <w:sz w:val="22"/>
          <w:szCs w:val="22"/>
        </w:rPr>
        <w:sectPr w:rsidR="00E21452" w:rsidRPr="000E4076" w:rsidSect="00E21452">
          <w:footerReference w:type="default" r:id="rId29"/>
          <w:pgSz w:w="11906" w:h="16838"/>
          <w:pgMar w:top="1417" w:right="1417" w:bottom="1417" w:left="1417" w:header="709" w:footer="709" w:gutter="0"/>
          <w:cols w:space="708"/>
          <w:docGrid w:linePitch="360"/>
        </w:sectPr>
      </w:pPr>
    </w:p>
    <w:p w:rsidR="00E21452" w:rsidRDefault="00E21452" w:rsidP="00312A5F">
      <w:pPr>
        <w:spacing w:after="120" w:line="276" w:lineRule="auto"/>
        <w:rPr>
          <w:rFonts w:ascii="Verdana" w:hAnsi="Verdana"/>
          <w:b/>
          <w:sz w:val="22"/>
          <w:szCs w:val="22"/>
        </w:rPr>
      </w:pPr>
      <w:r w:rsidRPr="000E4076">
        <w:rPr>
          <w:rFonts w:ascii="Verdana" w:hAnsi="Verdana"/>
          <w:b/>
          <w:sz w:val="22"/>
          <w:szCs w:val="22"/>
        </w:rPr>
        <w:t xml:space="preserve">Table 3: Programme specific result indicators (by specific objective) </w:t>
      </w:r>
      <w:r w:rsidRPr="000E4076">
        <w:rPr>
          <w:rFonts w:ascii="Verdana" w:hAnsi="Verdana"/>
          <w:b/>
          <w:sz w:val="22"/>
          <w:szCs w:val="22"/>
        </w:rPr>
        <w:noBreakHyphen/>
        <w:t xml:space="preserve"> </w:t>
      </w:r>
    </w:p>
    <w:p w:rsidR="009967D6" w:rsidRPr="000E4076" w:rsidRDefault="009967D6" w:rsidP="009967D6">
      <w:pPr>
        <w:spacing w:after="120" w:line="276" w:lineRule="auto"/>
        <w:rPr>
          <w:rFonts w:ascii="Verdana" w:hAnsi="Verdana"/>
          <w:b/>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
        <w:gridCol w:w="1863"/>
        <w:gridCol w:w="1256"/>
        <w:gridCol w:w="836"/>
        <w:gridCol w:w="648"/>
        <w:gridCol w:w="1206"/>
        <w:gridCol w:w="1295"/>
        <w:gridCol w:w="884"/>
      </w:tblGrid>
      <w:tr w:rsidR="005D55B1" w:rsidRPr="00E60AC2" w:rsidTr="005D55B1">
        <w:trPr>
          <w:trHeight w:val="870"/>
        </w:trPr>
        <w:tc>
          <w:tcPr>
            <w:tcW w:w="700" w:type="pct"/>
            <w:tcBorders>
              <w:top w:val="single" w:sz="4" w:space="0" w:color="auto"/>
              <w:left w:val="single" w:sz="4" w:space="0" w:color="auto"/>
              <w:bottom w:val="single" w:sz="4" w:space="0" w:color="auto"/>
              <w:right w:val="single" w:sz="4" w:space="0" w:color="auto"/>
            </w:tcBorders>
            <w:vAlign w:val="center"/>
          </w:tcPr>
          <w:p w:rsidR="005D55B1" w:rsidRPr="00E60AC2" w:rsidRDefault="005D55B1" w:rsidP="005D55B1">
            <w:pPr>
              <w:jc w:val="center"/>
              <w:rPr>
                <w:rFonts w:ascii="Verdana" w:hAnsi="Verdana"/>
                <w:b/>
                <w:i/>
                <w:sz w:val="16"/>
                <w:szCs w:val="16"/>
              </w:rPr>
            </w:pPr>
            <w:r>
              <w:rPr>
                <w:rFonts w:ascii="Verdana" w:hAnsi="Verdana"/>
                <w:b/>
                <w:i/>
                <w:sz w:val="16"/>
                <w:szCs w:val="16"/>
              </w:rPr>
              <w:t>Expected</w:t>
            </w:r>
            <w:r w:rsidRPr="00E60AC2">
              <w:rPr>
                <w:rFonts w:ascii="Verdana" w:hAnsi="Verdana"/>
                <w:b/>
                <w:i/>
                <w:sz w:val="16"/>
                <w:szCs w:val="16"/>
              </w:rPr>
              <w:t xml:space="preserve"> Result</w:t>
            </w:r>
            <w:r>
              <w:rPr>
                <w:rFonts w:ascii="Verdana" w:hAnsi="Verdana"/>
                <w:b/>
                <w:i/>
                <w:sz w:val="16"/>
                <w:szCs w:val="16"/>
              </w:rPr>
              <w:t>s</w:t>
            </w:r>
          </w:p>
        </w:tc>
        <w:tc>
          <w:tcPr>
            <w:tcW w:w="1003" w:type="pct"/>
            <w:tcBorders>
              <w:top w:val="single" w:sz="4" w:space="0" w:color="auto"/>
              <w:left w:val="single" w:sz="4" w:space="0" w:color="auto"/>
              <w:bottom w:val="single" w:sz="4" w:space="0" w:color="auto"/>
              <w:right w:val="single" w:sz="4" w:space="0" w:color="auto"/>
            </w:tcBorders>
            <w:vAlign w:val="center"/>
          </w:tcPr>
          <w:p w:rsidR="005D55B1" w:rsidRPr="00E60AC2" w:rsidRDefault="005D55B1" w:rsidP="005D55B1">
            <w:pPr>
              <w:jc w:val="center"/>
              <w:rPr>
                <w:rFonts w:ascii="Verdana" w:hAnsi="Verdana"/>
                <w:b/>
                <w:i/>
                <w:sz w:val="16"/>
                <w:szCs w:val="16"/>
              </w:rPr>
            </w:pPr>
            <w:r w:rsidRPr="00E60AC2">
              <w:rPr>
                <w:rFonts w:ascii="Verdana" w:hAnsi="Verdana"/>
                <w:b/>
                <w:i/>
                <w:sz w:val="16"/>
                <w:szCs w:val="16"/>
              </w:rPr>
              <w:t>Indicator</w:t>
            </w:r>
          </w:p>
        </w:tc>
        <w:tc>
          <w:tcPr>
            <w:tcW w:w="676" w:type="pct"/>
            <w:tcBorders>
              <w:top w:val="single" w:sz="4" w:space="0" w:color="auto"/>
              <w:left w:val="single" w:sz="4" w:space="0" w:color="auto"/>
              <w:bottom w:val="single" w:sz="4" w:space="0" w:color="auto"/>
              <w:right w:val="single" w:sz="4" w:space="0" w:color="auto"/>
            </w:tcBorders>
            <w:vAlign w:val="center"/>
          </w:tcPr>
          <w:p w:rsidR="005D55B1" w:rsidRPr="00E60AC2" w:rsidRDefault="005D55B1" w:rsidP="005D55B1">
            <w:pPr>
              <w:jc w:val="center"/>
              <w:rPr>
                <w:rFonts w:ascii="Verdana" w:hAnsi="Verdana"/>
                <w:b/>
                <w:i/>
                <w:sz w:val="16"/>
                <w:szCs w:val="16"/>
              </w:rPr>
            </w:pPr>
            <w:r w:rsidRPr="00E60AC2">
              <w:rPr>
                <w:rFonts w:ascii="Verdana" w:hAnsi="Verdana"/>
                <w:b/>
                <w:i/>
                <w:sz w:val="16"/>
                <w:szCs w:val="16"/>
              </w:rPr>
              <w:t>Measurement Unit</w:t>
            </w:r>
          </w:p>
        </w:tc>
        <w:tc>
          <w:tcPr>
            <w:tcW w:w="450" w:type="pct"/>
            <w:tcBorders>
              <w:top w:val="single" w:sz="4" w:space="0" w:color="auto"/>
              <w:left w:val="single" w:sz="4" w:space="0" w:color="auto"/>
              <w:bottom w:val="single" w:sz="4" w:space="0" w:color="auto"/>
              <w:right w:val="single" w:sz="4" w:space="0" w:color="auto"/>
            </w:tcBorders>
            <w:vAlign w:val="center"/>
          </w:tcPr>
          <w:p w:rsidR="005D55B1" w:rsidRPr="00E60AC2" w:rsidRDefault="005D55B1" w:rsidP="005D55B1">
            <w:pPr>
              <w:jc w:val="center"/>
              <w:rPr>
                <w:rFonts w:ascii="Verdana" w:hAnsi="Verdana"/>
                <w:b/>
                <w:i/>
                <w:sz w:val="16"/>
                <w:szCs w:val="16"/>
              </w:rPr>
            </w:pPr>
            <w:r w:rsidRPr="00E60AC2">
              <w:rPr>
                <w:rFonts w:ascii="Verdana" w:hAnsi="Verdana"/>
                <w:b/>
                <w:i/>
                <w:sz w:val="16"/>
                <w:szCs w:val="16"/>
              </w:rPr>
              <w:t>Baseline Value</w:t>
            </w:r>
          </w:p>
        </w:tc>
        <w:tc>
          <w:tcPr>
            <w:tcW w:w="349" w:type="pct"/>
            <w:tcBorders>
              <w:top w:val="single" w:sz="4" w:space="0" w:color="auto"/>
              <w:left w:val="single" w:sz="4" w:space="0" w:color="auto"/>
              <w:bottom w:val="single" w:sz="4" w:space="0" w:color="auto"/>
              <w:right w:val="single" w:sz="4" w:space="0" w:color="auto"/>
            </w:tcBorders>
            <w:vAlign w:val="center"/>
          </w:tcPr>
          <w:p w:rsidR="005D55B1" w:rsidRPr="00E60AC2" w:rsidRDefault="005D55B1" w:rsidP="005D55B1">
            <w:pPr>
              <w:jc w:val="center"/>
              <w:rPr>
                <w:rFonts w:ascii="Verdana" w:hAnsi="Verdana"/>
                <w:b/>
                <w:i/>
                <w:sz w:val="16"/>
                <w:szCs w:val="16"/>
              </w:rPr>
            </w:pPr>
            <w:r w:rsidRPr="00E60AC2">
              <w:rPr>
                <w:rFonts w:ascii="Verdana" w:hAnsi="Verdana"/>
                <w:b/>
                <w:i/>
                <w:sz w:val="16"/>
                <w:szCs w:val="16"/>
              </w:rPr>
              <w:t>Baseline Year</w:t>
            </w:r>
          </w:p>
        </w:tc>
        <w:tc>
          <w:tcPr>
            <w:tcW w:w="649" w:type="pct"/>
            <w:tcBorders>
              <w:top w:val="single" w:sz="4" w:space="0" w:color="auto"/>
              <w:left w:val="single" w:sz="4" w:space="0" w:color="auto"/>
              <w:bottom w:val="single" w:sz="4" w:space="0" w:color="auto"/>
              <w:right w:val="single" w:sz="4" w:space="0" w:color="auto"/>
            </w:tcBorders>
            <w:vAlign w:val="center"/>
          </w:tcPr>
          <w:p w:rsidR="005D55B1" w:rsidRPr="00E60AC2" w:rsidRDefault="005D55B1" w:rsidP="005D55B1">
            <w:pPr>
              <w:jc w:val="center"/>
              <w:rPr>
                <w:rFonts w:ascii="Verdana" w:hAnsi="Verdana"/>
                <w:b/>
                <w:i/>
                <w:sz w:val="16"/>
                <w:szCs w:val="16"/>
              </w:rPr>
            </w:pPr>
            <w:r w:rsidRPr="00E60AC2">
              <w:rPr>
                <w:rFonts w:ascii="Verdana" w:hAnsi="Verdana"/>
                <w:b/>
                <w:i/>
                <w:sz w:val="16"/>
                <w:szCs w:val="16"/>
              </w:rPr>
              <w:t>Target Value (2022)</w:t>
            </w:r>
          </w:p>
        </w:tc>
        <w:tc>
          <w:tcPr>
            <w:tcW w:w="697" w:type="pct"/>
            <w:tcBorders>
              <w:top w:val="single" w:sz="4" w:space="0" w:color="auto"/>
              <w:left w:val="single" w:sz="4" w:space="0" w:color="auto"/>
              <w:bottom w:val="single" w:sz="4" w:space="0" w:color="auto"/>
              <w:right w:val="single" w:sz="4" w:space="0" w:color="auto"/>
            </w:tcBorders>
            <w:vAlign w:val="center"/>
          </w:tcPr>
          <w:p w:rsidR="005D55B1" w:rsidRPr="00E60AC2" w:rsidRDefault="005D55B1" w:rsidP="005D55B1">
            <w:pPr>
              <w:jc w:val="center"/>
              <w:rPr>
                <w:rFonts w:ascii="Verdana" w:hAnsi="Verdana"/>
                <w:b/>
                <w:i/>
                <w:sz w:val="16"/>
                <w:szCs w:val="16"/>
              </w:rPr>
            </w:pPr>
            <w:r w:rsidRPr="00E60AC2">
              <w:rPr>
                <w:rFonts w:ascii="Verdana" w:hAnsi="Verdana"/>
                <w:b/>
                <w:i/>
                <w:sz w:val="16"/>
                <w:szCs w:val="16"/>
              </w:rPr>
              <w:t>Source of Data</w:t>
            </w:r>
          </w:p>
        </w:tc>
        <w:tc>
          <w:tcPr>
            <w:tcW w:w="476" w:type="pct"/>
            <w:tcBorders>
              <w:top w:val="single" w:sz="4" w:space="0" w:color="auto"/>
              <w:left w:val="single" w:sz="4" w:space="0" w:color="auto"/>
              <w:bottom w:val="single" w:sz="4" w:space="0" w:color="auto"/>
              <w:right w:val="single" w:sz="4" w:space="0" w:color="auto"/>
            </w:tcBorders>
            <w:vAlign w:val="center"/>
          </w:tcPr>
          <w:p w:rsidR="005D55B1" w:rsidRPr="00E60AC2" w:rsidRDefault="005D55B1" w:rsidP="005D55B1">
            <w:pPr>
              <w:jc w:val="center"/>
              <w:rPr>
                <w:rFonts w:ascii="Verdana" w:hAnsi="Verdana"/>
                <w:b/>
                <w:i/>
                <w:sz w:val="16"/>
                <w:szCs w:val="16"/>
              </w:rPr>
            </w:pPr>
            <w:r w:rsidRPr="00E60AC2">
              <w:rPr>
                <w:rFonts w:ascii="Verdana" w:hAnsi="Verdana"/>
                <w:b/>
                <w:i/>
                <w:sz w:val="16"/>
                <w:szCs w:val="16"/>
              </w:rPr>
              <w:t>Frequency of reporting</w:t>
            </w:r>
          </w:p>
        </w:tc>
      </w:tr>
      <w:tr w:rsidR="005D55B1" w:rsidRPr="00B77FD4" w:rsidTr="005D55B1">
        <w:tc>
          <w:tcPr>
            <w:tcW w:w="700" w:type="pct"/>
            <w:tcBorders>
              <w:top w:val="single" w:sz="4" w:space="0" w:color="auto"/>
              <w:left w:val="single" w:sz="4" w:space="0" w:color="auto"/>
              <w:bottom w:val="single" w:sz="4" w:space="0" w:color="auto"/>
              <w:right w:val="single" w:sz="4" w:space="0" w:color="auto"/>
            </w:tcBorders>
          </w:tcPr>
          <w:p w:rsidR="005D55B1" w:rsidRPr="00B77FD4" w:rsidRDefault="005D55B1" w:rsidP="005D55B1">
            <w:pPr>
              <w:spacing w:before="120"/>
              <w:rPr>
                <w:rFonts w:ascii="Verdana" w:hAnsi="Verdana"/>
                <w:b/>
                <w:sz w:val="16"/>
                <w:szCs w:val="16"/>
              </w:rPr>
            </w:pPr>
            <w:r w:rsidRPr="00B77FD4">
              <w:rPr>
                <w:rFonts w:ascii="Verdana" w:hAnsi="Verdana"/>
                <w:b/>
                <w:sz w:val="16"/>
                <w:szCs w:val="16"/>
              </w:rPr>
              <w:t xml:space="preserve">1. Urban practitioners in cities have increased their knowledge and capacity in relation to integrated approaches to sustainable urban development. </w:t>
            </w:r>
          </w:p>
        </w:tc>
        <w:tc>
          <w:tcPr>
            <w:tcW w:w="1003" w:type="pct"/>
            <w:tcBorders>
              <w:top w:val="single" w:sz="4" w:space="0" w:color="auto"/>
              <w:left w:val="single" w:sz="4" w:space="0" w:color="auto"/>
              <w:bottom w:val="single" w:sz="4" w:space="0" w:color="auto"/>
              <w:right w:val="single" w:sz="4" w:space="0" w:color="auto"/>
            </w:tcBorders>
          </w:tcPr>
          <w:p w:rsidR="005D55B1" w:rsidRPr="00B77FD4" w:rsidRDefault="005D55B1" w:rsidP="005D55B1">
            <w:pPr>
              <w:pStyle w:val="Paragraphedeliste3"/>
              <w:spacing w:before="120"/>
              <w:ind w:left="121"/>
              <w:rPr>
                <w:rFonts w:ascii="Verdana" w:hAnsi="Verdana"/>
                <w:sz w:val="16"/>
                <w:szCs w:val="16"/>
              </w:rPr>
            </w:pPr>
            <w:r w:rsidRPr="00B77FD4">
              <w:rPr>
                <w:rFonts w:ascii="Verdana" w:hAnsi="Verdana"/>
                <w:sz w:val="16"/>
                <w:szCs w:val="16"/>
              </w:rPr>
              <w:t>Participants in URBACT capacity-building activities w</w:t>
            </w:r>
            <w:r>
              <w:rPr>
                <w:rFonts w:ascii="Verdana" w:hAnsi="Verdana"/>
                <w:sz w:val="16"/>
                <w:szCs w:val="16"/>
              </w:rPr>
              <w:t xml:space="preserve">ith </w:t>
            </w:r>
            <w:r w:rsidRPr="00B77FD4">
              <w:rPr>
                <w:rFonts w:ascii="Verdana" w:hAnsi="Verdana"/>
                <w:sz w:val="16"/>
                <w:szCs w:val="16"/>
              </w:rPr>
              <w:t>knowledge and capacity</w:t>
            </w:r>
            <w:r>
              <w:rPr>
                <w:rFonts w:ascii="Verdana" w:hAnsi="Verdana"/>
                <w:sz w:val="16"/>
                <w:szCs w:val="16"/>
              </w:rPr>
              <w:t xml:space="preserve"> </w:t>
            </w:r>
            <w:r w:rsidRPr="00B77FD4">
              <w:rPr>
                <w:rFonts w:ascii="Verdana" w:hAnsi="Verdana"/>
                <w:sz w:val="16"/>
                <w:szCs w:val="16"/>
              </w:rPr>
              <w:t>in the field of sustainable urban development, in relation to:</w:t>
            </w:r>
          </w:p>
          <w:p w:rsidR="005D55B1" w:rsidRPr="00B77FD4" w:rsidRDefault="005D55B1" w:rsidP="008166DD">
            <w:pPr>
              <w:pStyle w:val="Paragraphedeliste3"/>
              <w:numPr>
                <w:ilvl w:val="0"/>
                <w:numId w:val="17"/>
              </w:numPr>
              <w:spacing w:before="120"/>
              <w:ind w:left="556" w:hanging="425"/>
              <w:jc w:val="both"/>
              <w:rPr>
                <w:rFonts w:ascii="Verdana" w:hAnsi="Verdana"/>
                <w:sz w:val="16"/>
                <w:szCs w:val="16"/>
              </w:rPr>
            </w:pPr>
            <w:r w:rsidRPr="00B77FD4">
              <w:rPr>
                <w:rFonts w:ascii="Verdana" w:hAnsi="Verdana"/>
                <w:sz w:val="16"/>
                <w:szCs w:val="16"/>
              </w:rPr>
              <w:t>integrated approach</w:t>
            </w:r>
          </w:p>
          <w:p w:rsidR="005D55B1" w:rsidRPr="00B77FD4" w:rsidRDefault="005D55B1" w:rsidP="008166DD">
            <w:pPr>
              <w:pStyle w:val="Paragraphedeliste3"/>
              <w:numPr>
                <w:ilvl w:val="0"/>
                <w:numId w:val="17"/>
              </w:numPr>
              <w:spacing w:before="120"/>
              <w:ind w:left="556" w:hanging="425"/>
              <w:rPr>
                <w:rFonts w:ascii="Verdana" w:hAnsi="Verdana"/>
                <w:sz w:val="16"/>
                <w:szCs w:val="16"/>
              </w:rPr>
            </w:pPr>
            <w:r w:rsidRPr="00B77FD4">
              <w:rPr>
                <w:rFonts w:ascii="Verdana" w:hAnsi="Verdana"/>
                <w:sz w:val="16"/>
                <w:szCs w:val="16"/>
              </w:rPr>
              <w:t xml:space="preserve"> participatory action-planning</w:t>
            </w:r>
          </w:p>
          <w:p w:rsidR="005D55B1" w:rsidRPr="00B77FD4" w:rsidRDefault="005D55B1" w:rsidP="008166DD">
            <w:pPr>
              <w:pStyle w:val="Paragraphedeliste3"/>
              <w:numPr>
                <w:ilvl w:val="0"/>
                <w:numId w:val="17"/>
              </w:numPr>
              <w:spacing w:before="120"/>
              <w:ind w:left="556" w:hanging="425"/>
              <w:rPr>
                <w:rFonts w:ascii="Verdana" w:hAnsi="Verdana"/>
                <w:sz w:val="16"/>
                <w:szCs w:val="16"/>
              </w:rPr>
            </w:pPr>
            <w:r w:rsidRPr="00B77FD4">
              <w:rPr>
                <w:rFonts w:ascii="Verdana" w:hAnsi="Verdana"/>
                <w:sz w:val="16"/>
                <w:szCs w:val="16"/>
              </w:rPr>
              <w:t xml:space="preserve">working across departments and with relevant stakeholders </w:t>
            </w:r>
          </w:p>
          <w:p w:rsidR="005D55B1" w:rsidRPr="00B77FD4" w:rsidRDefault="005D55B1" w:rsidP="008166DD">
            <w:pPr>
              <w:pStyle w:val="Paragraphedeliste3"/>
              <w:numPr>
                <w:ilvl w:val="0"/>
                <w:numId w:val="17"/>
              </w:numPr>
              <w:spacing w:before="120"/>
              <w:ind w:left="556" w:hanging="425"/>
              <w:rPr>
                <w:rFonts w:ascii="Verdana" w:hAnsi="Verdana"/>
                <w:sz w:val="16"/>
                <w:szCs w:val="16"/>
              </w:rPr>
            </w:pPr>
            <w:r w:rsidRPr="00B77FD4">
              <w:rPr>
                <w:rFonts w:ascii="Verdana" w:hAnsi="Verdana"/>
                <w:sz w:val="16"/>
                <w:szCs w:val="16"/>
              </w:rPr>
              <w:t>project management.</w:t>
            </w:r>
          </w:p>
        </w:tc>
        <w:tc>
          <w:tcPr>
            <w:tcW w:w="676" w:type="pct"/>
            <w:tcBorders>
              <w:top w:val="single" w:sz="4" w:space="0" w:color="auto"/>
              <w:left w:val="single" w:sz="4" w:space="0" w:color="auto"/>
              <w:bottom w:val="single" w:sz="4" w:space="0" w:color="auto"/>
              <w:right w:val="single" w:sz="4" w:space="0" w:color="auto"/>
            </w:tcBorders>
          </w:tcPr>
          <w:p w:rsidR="005D55B1" w:rsidRPr="00B77FD4" w:rsidRDefault="005D55B1" w:rsidP="005D55B1">
            <w:pPr>
              <w:spacing w:before="120"/>
              <w:rPr>
                <w:rFonts w:ascii="Verdana" w:hAnsi="Verdana"/>
                <w:sz w:val="16"/>
                <w:szCs w:val="16"/>
              </w:rPr>
            </w:pPr>
            <w:r>
              <w:rPr>
                <w:rFonts w:ascii="Verdana" w:hAnsi="Verdana"/>
                <w:sz w:val="16"/>
                <w:szCs w:val="16"/>
              </w:rPr>
              <w:t xml:space="preserve">Percentage </w:t>
            </w:r>
            <w:r w:rsidRPr="00B77FD4">
              <w:rPr>
                <w:rFonts w:ascii="Verdana" w:hAnsi="Verdana"/>
                <w:sz w:val="16"/>
                <w:szCs w:val="16"/>
              </w:rPr>
              <w:t>of participants</w:t>
            </w:r>
            <w:r>
              <w:rPr>
                <w:rFonts w:ascii="Verdana" w:hAnsi="Verdana"/>
                <w:sz w:val="16"/>
                <w:szCs w:val="16"/>
              </w:rPr>
              <w:t xml:space="preserve"> </w:t>
            </w:r>
            <w:r w:rsidRPr="00B77FD4">
              <w:rPr>
                <w:rFonts w:ascii="Verdana" w:hAnsi="Verdana"/>
                <w:sz w:val="16"/>
                <w:szCs w:val="16"/>
              </w:rPr>
              <w:t>in URBACT capacity-building activities w</w:t>
            </w:r>
            <w:r>
              <w:rPr>
                <w:rFonts w:ascii="Verdana" w:hAnsi="Verdana"/>
                <w:sz w:val="16"/>
                <w:szCs w:val="16"/>
              </w:rPr>
              <w:t xml:space="preserve">ith </w:t>
            </w:r>
            <w:r w:rsidRPr="00B77FD4">
              <w:rPr>
                <w:rFonts w:ascii="Verdana" w:hAnsi="Verdana"/>
                <w:sz w:val="16"/>
                <w:szCs w:val="16"/>
              </w:rPr>
              <w:t>knowledge and capacity</w:t>
            </w:r>
            <w:r>
              <w:rPr>
                <w:rFonts w:ascii="Verdana" w:hAnsi="Verdana"/>
                <w:sz w:val="16"/>
                <w:szCs w:val="16"/>
              </w:rPr>
              <w:t xml:space="preserve"> </w:t>
            </w:r>
            <w:r w:rsidRPr="00B77FD4">
              <w:rPr>
                <w:rFonts w:ascii="Verdana" w:hAnsi="Verdana"/>
                <w:sz w:val="16"/>
                <w:szCs w:val="16"/>
              </w:rPr>
              <w:t>in the field of sustainable urban development</w:t>
            </w:r>
          </w:p>
        </w:tc>
        <w:tc>
          <w:tcPr>
            <w:tcW w:w="450" w:type="pct"/>
            <w:tcBorders>
              <w:top w:val="single" w:sz="4" w:space="0" w:color="auto"/>
              <w:left w:val="single" w:sz="4" w:space="0" w:color="auto"/>
              <w:bottom w:val="single" w:sz="4" w:space="0" w:color="auto"/>
              <w:right w:val="single" w:sz="4" w:space="0" w:color="auto"/>
            </w:tcBorders>
          </w:tcPr>
          <w:p w:rsidR="005D55B1" w:rsidRPr="00B77FD4" w:rsidRDefault="005D55B1" w:rsidP="005D55B1">
            <w:pPr>
              <w:spacing w:before="120"/>
              <w:rPr>
                <w:rFonts w:ascii="Verdana" w:hAnsi="Verdana"/>
                <w:sz w:val="16"/>
                <w:szCs w:val="16"/>
              </w:rPr>
            </w:pPr>
            <w:r w:rsidRPr="00B77FD4">
              <w:rPr>
                <w:rFonts w:ascii="Verdana" w:hAnsi="Verdana"/>
                <w:sz w:val="16"/>
                <w:szCs w:val="16"/>
              </w:rPr>
              <w:t xml:space="preserve">To be determined by means of analysis of </w:t>
            </w:r>
            <w:r>
              <w:rPr>
                <w:rFonts w:ascii="Verdana" w:hAnsi="Verdana"/>
                <w:sz w:val="16"/>
                <w:szCs w:val="16"/>
              </w:rPr>
              <w:t>knowledge and capacity of participants before attending to capacity building activities</w:t>
            </w:r>
          </w:p>
        </w:tc>
        <w:tc>
          <w:tcPr>
            <w:tcW w:w="349" w:type="pct"/>
            <w:tcBorders>
              <w:top w:val="single" w:sz="4" w:space="0" w:color="auto"/>
              <w:left w:val="single" w:sz="4" w:space="0" w:color="auto"/>
              <w:bottom w:val="single" w:sz="4" w:space="0" w:color="auto"/>
              <w:right w:val="single" w:sz="4" w:space="0" w:color="auto"/>
            </w:tcBorders>
          </w:tcPr>
          <w:p w:rsidR="005D55B1" w:rsidRPr="00B77FD4" w:rsidRDefault="005D55B1" w:rsidP="005D55B1">
            <w:pPr>
              <w:spacing w:before="120"/>
              <w:jc w:val="center"/>
              <w:rPr>
                <w:rFonts w:ascii="Verdana" w:hAnsi="Verdana"/>
                <w:sz w:val="16"/>
                <w:szCs w:val="16"/>
              </w:rPr>
            </w:pPr>
            <w:r w:rsidRPr="00B77FD4">
              <w:rPr>
                <w:rFonts w:ascii="Verdana" w:hAnsi="Verdana"/>
                <w:sz w:val="16"/>
                <w:szCs w:val="16"/>
              </w:rPr>
              <w:t>201</w:t>
            </w:r>
            <w:r>
              <w:rPr>
                <w:rFonts w:ascii="Verdana" w:hAnsi="Verdana"/>
                <w:sz w:val="16"/>
                <w:szCs w:val="16"/>
              </w:rPr>
              <w:t>6</w:t>
            </w:r>
          </w:p>
        </w:tc>
        <w:tc>
          <w:tcPr>
            <w:tcW w:w="649" w:type="pct"/>
            <w:tcBorders>
              <w:top w:val="single" w:sz="4" w:space="0" w:color="auto"/>
              <w:left w:val="single" w:sz="4" w:space="0" w:color="auto"/>
              <w:bottom w:val="single" w:sz="4" w:space="0" w:color="auto"/>
              <w:right w:val="single" w:sz="4" w:space="0" w:color="auto"/>
            </w:tcBorders>
          </w:tcPr>
          <w:p w:rsidR="005D55B1" w:rsidRDefault="005D55B1" w:rsidP="005D55B1">
            <w:pPr>
              <w:spacing w:before="120"/>
              <w:rPr>
                <w:rFonts w:ascii="Verdana" w:hAnsi="Verdana"/>
                <w:sz w:val="16"/>
                <w:szCs w:val="16"/>
              </w:rPr>
            </w:pPr>
            <w:r>
              <w:rPr>
                <w:rFonts w:ascii="Verdana" w:hAnsi="Verdana"/>
                <w:sz w:val="16"/>
                <w:szCs w:val="16"/>
              </w:rPr>
              <w:t>75%</w:t>
            </w:r>
          </w:p>
          <w:p w:rsidR="005D55B1" w:rsidRPr="00B77FD4" w:rsidRDefault="005D55B1" w:rsidP="005D55B1">
            <w:pPr>
              <w:spacing w:before="120"/>
              <w:rPr>
                <w:rFonts w:ascii="Verdana" w:hAnsi="Verdana"/>
                <w:sz w:val="16"/>
                <w:szCs w:val="16"/>
              </w:rPr>
            </w:pPr>
          </w:p>
        </w:tc>
        <w:tc>
          <w:tcPr>
            <w:tcW w:w="697" w:type="pct"/>
            <w:tcBorders>
              <w:top w:val="single" w:sz="4" w:space="0" w:color="auto"/>
              <w:left w:val="single" w:sz="4" w:space="0" w:color="auto"/>
              <w:bottom w:val="single" w:sz="4" w:space="0" w:color="auto"/>
              <w:right w:val="single" w:sz="4" w:space="0" w:color="auto"/>
            </w:tcBorders>
          </w:tcPr>
          <w:p w:rsidR="005D55B1" w:rsidRPr="00B77FD4" w:rsidRDefault="005D55B1" w:rsidP="005D55B1">
            <w:pPr>
              <w:rPr>
                <w:rFonts w:ascii="Verdana" w:hAnsi="Verdana"/>
                <w:sz w:val="16"/>
                <w:szCs w:val="16"/>
              </w:rPr>
            </w:pPr>
            <w:r>
              <w:rPr>
                <w:rFonts w:ascii="Verdana" w:hAnsi="Verdana"/>
                <w:sz w:val="16"/>
                <w:szCs w:val="16"/>
              </w:rPr>
              <w:t>External evaluation</w:t>
            </w:r>
            <w:r>
              <w:t xml:space="preserve"> </w:t>
            </w:r>
            <w:r w:rsidRPr="00B77FD4">
              <w:rPr>
                <w:rFonts w:ascii="Verdana" w:hAnsi="Verdana"/>
                <w:sz w:val="16"/>
                <w:szCs w:val="16"/>
              </w:rPr>
              <w:t xml:space="preserve">of </w:t>
            </w:r>
            <w:r>
              <w:rPr>
                <w:rFonts w:ascii="Verdana" w:hAnsi="Verdana"/>
                <w:sz w:val="16"/>
                <w:szCs w:val="16"/>
              </w:rPr>
              <w:t xml:space="preserve">the knowledge and capacity of </w:t>
            </w:r>
            <w:r w:rsidRPr="00B77FD4">
              <w:rPr>
                <w:rFonts w:ascii="Verdana" w:hAnsi="Verdana"/>
                <w:sz w:val="16"/>
                <w:szCs w:val="16"/>
              </w:rPr>
              <w:t xml:space="preserve">individuals involved  in capacity-building actions </w:t>
            </w:r>
            <w:r>
              <w:rPr>
                <w:rFonts w:ascii="Verdana" w:hAnsi="Verdana"/>
                <w:sz w:val="16"/>
                <w:szCs w:val="16"/>
              </w:rPr>
              <w:t>during the life of the programme</w:t>
            </w:r>
          </w:p>
        </w:tc>
        <w:tc>
          <w:tcPr>
            <w:tcW w:w="476" w:type="pct"/>
            <w:tcBorders>
              <w:top w:val="single" w:sz="4" w:space="0" w:color="auto"/>
              <w:left w:val="single" w:sz="4" w:space="0" w:color="auto"/>
              <w:bottom w:val="single" w:sz="4" w:space="0" w:color="auto"/>
              <w:right w:val="single" w:sz="4" w:space="0" w:color="auto"/>
            </w:tcBorders>
          </w:tcPr>
          <w:p w:rsidR="005D55B1" w:rsidRPr="00B77FD4" w:rsidRDefault="005D55B1" w:rsidP="005D55B1">
            <w:pPr>
              <w:spacing w:before="120"/>
              <w:rPr>
                <w:rFonts w:ascii="Verdana" w:hAnsi="Verdana"/>
                <w:sz w:val="16"/>
                <w:szCs w:val="16"/>
              </w:rPr>
            </w:pPr>
            <w:r w:rsidRPr="00B77FD4">
              <w:rPr>
                <w:rFonts w:ascii="Verdana" w:hAnsi="Verdana"/>
                <w:sz w:val="16"/>
                <w:szCs w:val="16"/>
              </w:rPr>
              <w:t>Every two years</w:t>
            </w:r>
          </w:p>
        </w:tc>
      </w:tr>
      <w:tr w:rsidR="005D55B1" w:rsidRPr="00B77FD4" w:rsidTr="005D55B1">
        <w:tc>
          <w:tcPr>
            <w:tcW w:w="700" w:type="pct"/>
            <w:tcBorders>
              <w:top w:val="single" w:sz="4" w:space="0" w:color="auto"/>
              <w:left w:val="single" w:sz="4" w:space="0" w:color="auto"/>
              <w:bottom w:val="single" w:sz="4" w:space="0" w:color="auto"/>
              <w:right w:val="single" w:sz="4" w:space="0" w:color="auto"/>
            </w:tcBorders>
          </w:tcPr>
          <w:p w:rsidR="005D55B1" w:rsidRPr="00B77FD4" w:rsidRDefault="005D55B1" w:rsidP="005D55B1">
            <w:pPr>
              <w:spacing w:before="120"/>
              <w:rPr>
                <w:rFonts w:ascii="Verdana" w:hAnsi="Verdana"/>
                <w:b/>
                <w:sz w:val="16"/>
                <w:szCs w:val="16"/>
              </w:rPr>
            </w:pPr>
            <w:r w:rsidRPr="00B77FD4">
              <w:rPr>
                <w:rFonts w:ascii="Verdana" w:hAnsi="Verdana"/>
                <w:b/>
                <w:sz w:val="16"/>
                <w:szCs w:val="16"/>
              </w:rPr>
              <w:t xml:space="preserve">2. Cities have designed integrated strategies and action plans for sustainable urban development drawing on EU good practice </w:t>
            </w:r>
          </w:p>
        </w:tc>
        <w:tc>
          <w:tcPr>
            <w:tcW w:w="1003" w:type="pct"/>
            <w:tcBorders>
              <w:top w:val="single" w:sz="4" w:space="0" w:color="auto"/>
              <w:left w:val="single" w:sz="4" w:space="0" w:color="auto"/>
              <w:bottom w:val="single" w:sz="4" w:space="0" w:color="auto"/>
              <w:right w:val="single" w:sz="4" w:space="0" w:color="auto"/>
            </w:tcBorders>
          </w:tcPr>
          <w:p w:rsidR="005D55B1" w:rsidRPr="00B77FD4" w:rsidRDefault="005D55B1" w:rsidP="005D55B1">
            <w:pPr>
              <w:pStyle w:val="Paragraphedeliste3"/>
              <w:ind w:left="121"/>
              <w:rPr>
                <w:rFonts w:ascii="Verdana" w:hAnsi="Verdana"/>
                <w:sz w:val="16"/>
                <w:szCs w:val="16"/>
              </w:rPr>
            </w:pPr>
            <w:r>
              <w:rPr>
                <w:rFonts w:ascii="Verdana" w:hAnsi="Verdana"/>
                <w:sz w:val="16"/>
                <w:szCs w:val="16"/>
              </w:rPr>
              <w:t>P</w:t>
            </w:r>
            <w:r w:rsidRPr="00B77FD4">
              <w:rPr>
                <w:rFonts w:ascii="Verdana" w:hAnsi="Verdana"/>
                <w:sz w:val="16"/>
                <w:szCs w:val="16"/>
              </w:rPr>
              <w:t xml:space="preserve">ercentage of cities </w:t>
            </w:r>
            <w:r>
              <w:rPr>
                <w:rFonts w:ascii="Verdana" w:hAnsi="Verdana"/>
                <w:sz w:val="16"/>
                <w:szCs w:val="16"/>
              </w:rPr>
              <w:t>within URBACT Action Planning Networks</w:t>
            </w:r>
            <w:r w:rsidRPr="00B77FD4">
              <w:rPr>
                <w:rFonts w:ascii="Verdana" w:hAnsi="Verdana"/>
                <w:sz w:val="16"/>
                <w:szCs w:val="16"/>
              </w:rPr>
              <w:t xml:space="preserve"> having produced integrated strategies and action plans with the URBACT method</w:t>
            </w:r>
            <w:r w:rsidRPr="005D55B1">
              <w:rPr>
                <w:rStyle w:val="Odwoanieprzypisudolnego"/>
                <w:rFonts w:ascii="Verdana" w:hAnsi="Verdana"/>
                <w:sz w:val="16"/>
                <w:szCs w:val="16"/>
                <w:vertAlign w:val="baseline"/>
              </w:rPr>
              <w:footnoteReference w:id="26"/>
            </w:r>
            <w:r w:rsidRPr="00B77FD4">
              <w:rPr>
                <w:rFonts w:ascii="Verdana" w:hAnsi="Verdana"/>
                <w:sz w:val="16"/>
                <w:szCs w:val="16"/>
              </w:rPr>
              <w:t>.</w:t>
            </w:r>
          </w:p>
          <w:p w:rsidR="005D55B1" w:rsidRPr="00B77FD4" w:rsidRDefault="005D55B1" w:rsidP="005D55B1">
            <w:pPr>
              <w:pStyle w:val="Paragraphedeliste3"/>
              <w:ind w:left="121"/>
              <w:rPr>
                <w:rFonts w:ascii="Verdana" w:hAnsi="Verdana"/>
                <w:sz w:val="16"/>
                <w:szCs w:val="16"/>
              </w:rPr>
            </w:pPr>
          </w:p>
          <w:p w:rsidR="005D55B1" w:rsidRPr="00B77FD4" w:rsidRDefault="005D55B1" w:rsidP="005D55B1">
            <w:pPr>
              <w:pStyle w:val="Paragraphedeliste3"/>
              <w:ind w:left="121"/>
              <w:rPr>
                <w:rFonts w:ascii="Verdana" w:hAnsi="Verdana"/>
                <w:sz w:val="16"/>
                <w:szCs w:val="16"/>
              </w:rPr>
            </w:pPr>
          </w:p>
        </w:tc>
        <w:tc>
          <w:tcPr>
            <w:tcW w:w="676" w:type="pct"/>
            <w:tcBorders>
              <w:top w:val="single" w:sz="4" w:space="0" w:color="auto"/>
              <w:left w:val="single" w:sz="4" w:space="0" w:color="auto"/>
              <w:bottom w:val="single" w:sz="4" w:space="0" w:color="auto"/>
              <w:right w:val="single" w:sz="4" w:space="0" w:color="auto"/>
            </w:tcBorders>
          </w:tcPr>
          <w:p w:rsidR="005D55B1" w:rsidRPr="00B77FD4" w:rsidRDefault="005D55B1" w:rsidP="005D55B1">
            <w:pPr>
              <w:spacing w:before="120"/>
              <w:rPr>
                <w:rFonts w:ascii="Verdana" w:hAnsi="Verdana"/>
                <w:sz w:val="16"/>
                <w:szCs w:val="16"/>
              </w:rPr>
            </w:pPr>
            <w:r w:rsidRPr="00B77FD4">
              <w:rPr>
                <w:rFonts w:ascii="Verdana" w:hAnsi="Verdana"/>
                <w:sz w:val="16"/>
                <w:szCs w:val="16"/>
              </w:rPr>
              <w:t xml:space="preserve">Percentage  of cities </w:t>
            </w:r>
            <w:r>
              <w:rPr>
                <w:rFonts w:ascii="Verdana" w:hAnsi="Verdana"/>
                <w:sz w:val="16"/>
                <w:szCs w:val="16"/>
              </w:rPr>
              <w:t xml:space="preserve">within URBACT Action Planning Networks </w:t>
            </w:r>
            <w:r w:rsidRPr="00B77FD4">
              <w:rPr>
                <w:rFonts w:ascii="Verdana" w:hAnsi="Verdana"/>
                <w:sz w:val="16"/>
                <w:szCs w:val="16"/>
              </w:rPr>
              <w:t>having produced integrated strategies and action plans with the URBACT method</w:t>
            </w:r>
          </w:p>
        </w:tc>
        <w:tc>
          <w:tcPr>
            <w:tcW w:w="450" w:type="pct"/>
            <w:tcBorders>
              <w:top w:val="single" w:sz="4" w:space="0" w:color="auto"/>
              <w:left w:val="single" w:sz="4" w:space="0" w:color="auto"/>
              <w:bottom w:val="single" w:sz="4" w:space="0" w:color="auto"/>
              <w:right w:val="single" w:sz="4" w:space="0" w:color="auto"/>
            </w:tcBorders>
          </w:tcPr>
          <w:p w:rsidR="005D55B1" w:rsidRPr="00B77FD4" w:rsidDel="004E4444" w:rsidRDefault="005D55B1" w:rsidP="005D55B1">
            <w:pPr>
              <w:spacing w:before="120"/>
              <w:rPr>
                <w:rFonts w:ascii="Verdana" w:hAnsi="Verdana"/>
                <w:sz w:val="16"/>
                <w:szCs w:val="16"/>
              </w:rPr>
            </w:pPr>
            <w:r w:rsidRPr="00B77FD4">
              <w:rPr>
                <w:rFonts w:ascii="Verdana" w:hAnsi="Verdana"/>
                <w:sz w:val="16"/>
                <w:szCs w:val="16"/>
              </w:rPr>
              <w:t>To be determined by means of analysis of cities’ baseline studies</w:t>
            </w:r>
            <w:r w:rsidRPr="005D55B1">
              <w:rPr>
                <w:rStyle w:val="Odwoanieprzypisudolnego"/>
                <w:rFonts w:ascii="Verdana" w:hAnsi="Verdana"/>
                <w:sz w:val="16"/>
                <w:szCs w:val="16"/>
                <w:vertAlign w:val="baseline"/>
              </w:rPr>
              <w:footnoteReference w:id="27"/>
            </w:r>
          </w:p>
          <w:p w:rsidR="005D55B1" w:rsidRPr="00B77FD4" w:rsidRDefault="005D55B1" w:rsidP="005D55B1">
            <w:pPr>
              <w:spacing w:before="120"/>
              <w:rPr>
                <w:rFonts w:ascii="Verdana" w:hAnsi="Verdana"/>
                <w:sz w:val="16"/>
                <w:szCs w:val="16"/>
              </w:rPr>
            </w:pPr>
          </w:p>
        </w:tc>
        <w:tc>
          <w:tcPr>
            <w:tcW w:w="349" w:type="pct"/>
            <w:tcBorders>
              <w:top w:val="single" w:sz="4" w:space="0" w:color="auto"/>
              <w:left w:val="single" w:sz="4" w:space="0" w:color="auto"/>
              <w:bottom w:val="single" w:sz="4" w:space="0" w:color="auto"/>
              <w:right w:val="single" w:sz="4" w:space="0" w:color="auto"/>
            </w:tcBorders>
          </w:tcPr>
          <w:p w:rsidR="005D55B1" w:rsidRPr="00B77FD4" w:rsidRDefault="005D55B1" w:rsidP="005D55B1">
            <w:pPr>
              <w:spacing w:before="120"/>
              <w:jc w:val="center"/>
              <w:rPr>
                <w:rFonts w:ascii="Verdana" w:hAnsi="Verdana"/>
                <w:sz w:val="16"/>
                <w:szCs w:val="16"/>
              </w:rPr>
            </w:pPr>
            <w:r w:rsidRPr="00B77FD4">
              <w:rPr>
                <w:rFonts w:ascii="Verdana" w:hAnsi="Verdana"/>
                <w:sz w:val="16"/>
                <w:szCs w:val="16"/>
              </w:rPr>
              <w:t>2016</w:t>
            </w:r>
          </w:p>
        </w:tc>
        <w:tc>
          <w:tcPr>
            <w:tcW w:w="649" w:type="pct"/>
            <w:tcBorders>
              <w:top w:val="single" w:sz="4" w:space="0" w:color="auto"/>
              <w:left w:val="single" w:sz="4" w:space="0" w:color="auto"/>
              <w:bottom w:val="single" w:sz="4" w:space="0" w:color="auto"/>
              <w:right w:val="single" w:sz="4" w:space="0" w:color="auto"/>
            </w:tcBorders>
          </w:tcPr>
          <w:p w:rsidR="005D55B1" w:rsidRPr="00B77FD4" w:rsidRDefault="005D55B1" w:rsidP="005D55B1">
            <w:pPr>
              <w:spacing w:before="120"/>
              <w:rPr>
                <w:rFonts w:ascii="Verdana" w:hAnsi="Verdana"/>
                <w:sz w:val="16"/>
                <w:szCs w:val="16"/>
              </w:rPr>
            </w:pPr>
            <w:r>
              <w:rPr>
                <w:rFonts w:ascii="Verdana" w:hAnsi="Verdana"/>
                <w:sz w:val="16"/>
                <w:szCs w:val="16"/>
              </w:rPr>
              <w:t>70%</w:t>
            </w:r>
          </w:p>
          <w:p w:rsidR="005D55B1" w:rsidRPr="00B77FD4" w:rsidRDefault="005D55B1" w:rsidP="005D55B1">
            <w:pPr>
              <w:spacing w:before="120"/>
              <w:rPr>
                <w:rFonts w:ascii="Verdana" w:hAnsi="Verdana"/>
                <w:sz w:val="16"/>
                <w:szCs w:val="16"/>
              </w:rPr>
            </w:pPr>
          </w:p>
        </w:tc>
        <w:tc>
          <w:tcPr>
            <w:tcW w:w="697" w:type="pct"/>
            <w:tcBorders>
              <w:top w:val="single" w:sz="4" w:space="0" w:color="auto"/>
              <w:left w:val="single" w:sz="4" w:space="0" w:color="auto"/>
              <w:bottom w:val="single" w:sz="4" w:space="0" w:color="auto"/>
              <w:right w:val="single" w:sz="4" w:space="0" w:color="auto"/>
            </w:tcBorders>
          </w:tcPr>
          <w:p w:rsidR="005D55B1" w:rsidRPr="00B77FD4" w:rsidRDefault="005D55B1" w:rsidP="005D55B1">
            <w:pPr>
              <w:rPr>
                <w:rFonts w:ascii="Verdana" w:hAnsi="Verdana"/>
                <w:sz w:val="16"/>
                <w:szCs w:val="16"/>
              </w:rPr>
            </w:pPr>
            <w:r w:rsidRPr="00B77FD4">
              <w:rPr>
                <w:rFonts w:ascii="Verdana" w:hAnsi="Verdana"/>
                <w:sz w:val="16"/>
                <w:szCs w:val="16"/>
              </w:rPr>
              <w:t>Analysis of data in cities’ baseline studies and closure reports</w:t>
            </w:r>
          </w:p>
        </w:tc>
        <w:tc>
          <w:tcPr>
            <w:tcW w:w="476" w:type="pct"/>
            <w:tcBorders>
              <w:top w:val="single" w:sz="4" w:space="0" w:color="auto"/>
              <w:left w:val="single" w:sz="4" w:space="0" w:color="auto"/>
              <w:bottom w:val="single" w:sz="4" w:space="0" w:color="auto"/>
              <w:right w:val="single" w:sz="4" w:space="0" w:color="auto"/>
            </w:tcBorders>
          </w:tcPr>
          <w:p w:rsidR="005D55B1" w:rsidRPr="00B77FD4" w:rsidRDefault="005D55B1" w:rsidP="005D55B1">
            <w:pPr>
              <w:spacing w:before="120"/>
              <w:rPr>
                <w:rFonts w:ascii="Verdana" w:hAnsi="Verdana"/>
                <w:sz w:val="16"/>
                <w:szCs w:val="16"/>
              </w:rPr>
            </w:pPr>
            <w:r w:rsidRPr="00B77FD4">
              <w:rPr>
                <w:rFonts w:ascii="Verdana" w:hAnsi="Verdana"/>
                <w:sz w:val="16"/>
                <w:szCs w:val="16"/>
              </w:rPr>
              <w:t>Once per call for proposals for the creation of Action-planning networks</w:t>
            </w:r>
          </w:p>
        </w:tc>
      </w:tr>
    </w:tbl>
    <w:p w:rsidR="005D55B1" w:rsidRDefault="005D55B1">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0"/>
        <w:gridCol w:w="1863"/>
        <w:gridCol w:w="1256"/>
        <w:gridCol w:w="836"/>
        <w:gridCol w:w="648"/>
        <w:gridCol w:w="1206"/>
        <w:gridCol w:w="1295"/>
        <w:gridCol w:w="884"/>
      </w:tblGrid>
      <w:tr w:rsidR="005D55B1" w:rsidRPr="00B77FD4" w:rsidTr="005D55B1">
        <w:tc>
          <w:tcPr>
            <w:tcW w:w="700" w:type="pct"/>
            <w:tcBorders>
              <w:top w:val="single" w:sz="4" w:space="0" w:color="auto"/>
              <w:left w:val="single" w:sz="4" w:space="0" w:color="auto"/>
              <w:bottom w:val="single" w:sz="4" w:space="0" w:color="auto"/>
              <w:right w:val="single" w:sz="4" w:space="0" w:color="auto"/>
            </w:tcBorders>
          </w:tcPr>
          <w:p w:rsidR="005D55B1" w:rsidRPr="00B77FD4" w:rsidRDefault="005D55B1" w:rsidP="005D55B1">
            <w:pPr>
              <w:spacing w:before="120"/>
              <w:rPr>
                <w:rFonts w:ascii="Verdana" w:hAnsi="Verdana"/>
                <w:b/>
                <w:sz w:val="16"/>
                <w:szCs w:val="16"/>
              </w:rPr>
            </w:pPr>
            <w:r w:rsidRPr="00B77FD4">
              <w:rPr>
                <w:rFonts w:ascii="Verdana" w:hAnsi="Verdana"/>
                <w:b/>
                <w:sz w:val="16"/>
                <w:szCs w:val="16"/>
              </w:rPr>
              <w:t xml:space="preserve">3. Cities improve their performance </w:t>
            </w:r>
            <w:r>
              <w:rPr>
                <w:rFonts w:ascii="Verdana" w:hAnsi="Verdana"/>
                <w:b/>
                <w:sz w:val="16"/>
                <w:szCs w:val="16"/>
              </w:rPr>
              <w:t xml:space="preserve">in regard to the </w:t>
            </w:r>
            <w:r w:rsidRPr="00B77FD4">
              <w:rPr>
                <w:rFonts w:ascii="Verdana" w:hAnsi="Verdana"/>
                <w:b/>
                <w:sz w:val="16"/>
                <w:szCs w:val="16"/>
              </w:rPr>
              <w:t xml:space="preserve">implementation of integrated plans for sustainable urban development </w:t>
            </w:r>
          </w:p>
        </w:tc>
        <w:tc>
          <w:tcPr>
            <w:tcW w:w="1003" w:type="pct"/>
            <w:tcBorders>
              <w:top w:val="single" w:sz="4" w:space="0" w:color="auto"/>
              <w:left w:val="single" w:sz="4" w:space="0" w:color="auto"/>
              <w:bottom w:val="single" w:sz="4" w:space="0" w:color="auto"/>
              <w:right w:val="single" w:sz="4" w:space="0" w:color="auto"/>
            </w:tcBorders>
          </w:tcPr>
          <w:p w:rsidR="005D55B1" w:rsidRPr="00B77FD4" w:rsidRDefault="005D55B1" w:rsidP="005D55B1">
            <w:pPr>
              <w:pStyle w:val="Paragraphedeliste3"/>
              <w:ind w:left="121"/>
              <w:rPr>
                <w:rFonts w:ascii="Verdana" w:hAnsi="Verdana"/>
                <w:sz w:val="16"/>
                <w:szCs w:val="16"/>
              </w:rPr>
            </w:pPr>
            <w:r w:rsidRPr="00B77FD4">
              <w:rPr>
                <w:rFonts w:ascii="Verdana" w:hAnsi="Verdana"/>
                <w:sz w:val="16"/>
                <w:szCs w:val="16"/>
              </w:rPr>
              <w:t xml:space="preserve">Percentage of cities </w:t>
            </w:r>
            <w:r>
              <w:rPr>
                <w:rFonts w:ascii="Verdana" w:hAnsi="Verdana"/>
                <w:sz w:val="16"/>
                <w:szCs w:val="16"/>
              </w:rPr>
              <w:t xml:space="preserve">within URBACT Implementation Networks </w:t>
            </w:r>
            <w:r w:rsidRPr="00B77FD4">
              <w:rPr>
                <w:rFonts w:ascii="Verdana" w:hAnsi="Verdana"/>
                <w:sz w:val="16"/>
                <w:szCs w:val="16"/>
              </w:rPr>
              <w:t xml:space="preserve">having </w:t>
            </w:r>
            <w:r>
              <w:rPr>
                <w:rFonts w:ascii="Verdana" w:hAnsi="Verdana"/>
                <w:sz w:val="16"/>
                <w:szCs w:val="16"/>
              </w:rPr>
              <w:t>demonstrated high</w:t>
            </w:r>
            <w:r w:rsidRPr="00B77FD4">
              <w:rPr>
                <w:rFonts w:ascii="Verdana" w:hAnsi="Verdana"/>
                <w:sz w:val="16"/>
                <w:szCs w:val="16"/>
              </w:rPr>
              <w:t xml:space="preserve"> performance </w:t>
            </w:r>
            <w:r>
              <w:rPr>
                <w:rFonts w:ascii="Verdana" w:hAnsi="Verdana"/>
                <w:sz w:val="16"/>
                <w:szCs w:val="16"/>
              </w:rPr>
              <w:t xml:space="preserve">in regard to </w:t>
            </w:r>
            <w:r w:rsidRPr="00B77FD4">
              <w:rPr>
                <w:rFonts w:ascii="Verdana" w:hAnsi="Verdana"/>
                <w:sz w:val="16"/>
                <w:szCs w:val="16"/>
              </w:rPr>
              <w:t xml:space="preserve">implementation of integrated strategies/ action plans for urban development, along 3 key dimensions: </w:t>
            </w:r>
          </w:p>
          <w:p w:rsidR="005D55B1" w:rsidRPr="00B77FD4" w:rsidRDefault="005D55B1" w:rsidP="008166DD">
            <w:pPr>
              <w:pStyle w:val="Akapitzlist"/>
              <w:numPr>
                <w:ilvl w:val="0"/>
                <w:numId w:val="64"/>
              </w:numPr>
              <w:spacing w:before="120"/>
              <w:contextualSpacing w:val="0"/>
              <w:jc w:val="both"/>
              <w:rPr>
                <w:rFonts w:ascii="Verdana" w:hAnsi="Verdana"/>
                <w:sz w:val="16"/>
                <w:szCs w:val="16"/>
              </w:rPr>
            </w:pPr>
            <w:r w:rsidRPr="00B77FD4">
              <w:rPr>
                <w:rFonts w:ascii="Verdana" w:hAnsi="Verdana"/>
                <w:sz w:val="16"/>
                <w:szCs w:val="16"/>
              </w:rPr>
              <w:t>Integration</w:t>
            </w:r>
          </w:p>
          <w:p w:rsidR="005D55B1" w:rsidRPr="00B77FD4" w:rsidRDefault="005D55B1" w:rsidP="008166DD">
            <w:pPr>
              <w:pStyle w:val="Akapitzlist"/>
              <w:numPr>
                <w:ilvl w:val="0"/>
                <w:numId w:val="64"/>
              </w:numPr>
              <w:spacing w:before="120"/>
              <w:contextualSpacing w:val="0"/>
              <w:jc w:val="both"/>
              <w:rPr>
                <w:rFonts w:ascii="Verdana" w:hAnsi="Verdana"/>
                <w:sz w:val="16"/>
                <w:szCs w:val="16"/>
              </w:rPr>
            </w:pPr>
            <w:r w:rsidRPr="00B77FD4">
              <w:rPr>
                <w:rFonts w:ascii="Verdana" w:hAnsi="Verdana"/>
                <w:sz w:val="16"/>
                <w:szCs w:val="16"/>
              </w:rPr>
              <w:t>Participation</w:t>
            </w:r>
          </w:p>
          <w:p w:rsidR="005D55B1" w:rsidRPr="005D55B1" w:rsidRDefault="005D55B1" w:rsidP="008166DD">
            <w:pPr>
              <w:pStyle w:val="Akapitzlist"/>
              <w:numPr>
                <w:ilvl w:val="0"/>
                <w:numId w:val="64"/>
              </w:numPr>
              <w:spacing w:before="120"/>
              <w:contextualSpacing w:val="0"/>
              <w:jc w:val="both"/>
              <w:rPr>
                <w:rFonts w:ascii="Verdana" w:hAnsi="Verdana"/>
                <w:sz w:val="16"/>
                <w:szCs w:val="16"/>
              </w:rPr>
            </w:pPr>
            <w:r>
              <w:rPr>
                <w:rFonts w:ascii="Verdana" w:hAnsi="Verdana"/>
                <w:sz w:val="16"/>
                <w:szCs w:val="16"/>
              </w:rPr>
              <w:t>Project management (t</w:t>
            </w:r>
            <w:r w:rsidRPr="00B77FD4">
              <w:rPr>
                <w:rFonts w:ascii="Verdana" w:hAnsi="Verdana"/>
                <w:sz w:val="16"/>
                <w:szCs w:val="16"/>
              </w:rPr>
              <w:t>imeliness</w:t>
            </w:r>
            <w:r>
              <w:rPr>
                <w:rFonts w:ascii="Verdana" w:hAnsi="Verdana"/>
                <w:sz w:val="16"/>
                <w:szCs w:val="16"/>
              </w:rPr>
              <w:t>, etc.)</w:t>
            </w:r>
          </w:p>
        </w:tc>
        <w:tc>
          <w:tcPr>
            <w:tcW w:w="676" w:type="pct"/>
            <w:tcBorders>
              <w:top w:val="single" w:sz="4" w:space="0" w:color="auto"/>
              <w:left w:val="single" w:sz="4" w:space="0" w:color="auto"/>
              <w:bottom w:val="single" w:sz="4" w:space="0" w:color="auto"/>
              <w:right w:val="single" w:sz="4" w:space="0" w:color="auto"/>
            </w:tcBorders>
          </w:tcPr>
          <w:p w:rsidR="005D55B1" w:rsidRPr="00B77FD4" w:rsidRDefault="005D55B1" w:rsidP="005D55B1">
            <w:pPr>
              <w:spacing w:before="120"/>
              <w:rPr>
                <w:rFonts w:ascii="Verdana" w:hAnsi="Verdana"/>
                <w:sz w:val="16"/>
                <w:szCs w:val="16"/>
              </w:rPr>
            </w:pPr>
            <w:r w:rsidRPr="00B77FD4">
              <w:rPr>
                <w:rFonts w:ascii="Verdana" w:hAnsi="Verdana"/>
                <w:sz w:val="16"/>
                <w:szCs w:val="16"/>
              </w:rPr>
              <w:t>Percentage of cities</w:t>
            </w:r>
            <w:r>
              <w:rPr>
                <w:rFonts w:ascii="Verdana" w:hAnsi="Verdana"/>
                <w:sz w:val="16"/>
                <w:szCs w:val="16"/>
              </w:rPr>
              <w:t xml:space="preserve"> within URBACT Implementation Networks </w:t>
            </w:r>
            <w:r w:rsidRPr="00B77FD4">
              <w:rPr>
                <w:rFonts w:ascii="Verdana" w:hAnsi="Verdana"/>
                <w:sz w:val="16"/>
                <w:szCs w:val="16"/>
              </w:rPr>
              <w:t xml:space="preserve">having </w:t>
            </w:r>
            <w:r>
              <w:rPr>
                <w:rFonts w:ascii="Verdana" w:hAnsi="Verdana"/>
                <w:sz w:val="16"/>
                <w:szCs w:val="16"/>
              </w:rPr>
              <w:t xml:space="preserve">demonstrated high </w:t>
            </w:r>
            <w:r w:rsidRPr="00B77FD4">
              <w:rPr>
                <w:rFonts w:ascii="Verdana" w:hAnsi="Verdana"/>
                <w:sz w:val="16"/>
                <w:szCs w:val="16"/>
              </w:rPr>
              <w:t xml:space="preserve"> performance</w:t>
            </w:r>
            <w:r>
              <w:rPr>
                <w:rFonts w:ascii="Verdana" w:hAnsi="Verdana"/>
                <w:sz w:val="16"/>
                <w:szCs w:val="16"/>
              </w:rPr>
              <w:t xml:space="preserve"> in regard to</w:t>
            </w:r>
            <w:r w:rsidRPr="00B77FD4">
              <w:rPr>
                <w:rFonts w:ascii="Verdana" w:hAnsi="Verdana"/>
                <w:sz w:val="16"/>
                <w:szCs w:val="16"/>
              </w:rPr>
              <w:t xml:space="preserve"> implementation of integrated strategies/ action plans</w:t>
            </w:r>
          </w:p>
        </w:tc>
        <w:tc>
          <w:tcPr>
            <w:tcW w:w="450" w:type="pct"/>
            <w:tcBorders>
              <w:top w:val="single" w:sz="4" w:space="0" w:color="auto"/>
              <w:left w:val="single" w:sz="4" w:space="0" w:color="auto"/>
              <w:bottom w:val="single" w:sz="4" w:space="0" w:color="auto"/>
              <w:right w:val="single" w:sz="4" w:space="0" w:color="auto"/>
            </w:tcBorders>
          </w:tcPr>
          <w:p w:rsidR="005D55B1" w:rsidRPr="00B77FD4" w:rsidRDefault="005D55B1" w:rsidP="005D55B1">
            <w:pPr>
              <w:spacing w:before="120"/>
              <w:rPr>
                <w:rFonts w:ascii="Verdana" w:hAnsi="Verdana"/>
                <w:sz w:val="16"/>
                <w:szCs w:val="16"/>
              </w:rPr>
            </w:pPr>
            <w:r w:rsidRPr="00B77FD4">
              <w:rPr>
                <w:rFonts w:ascii="Verdana" w:hAnsi="Verdana"/>
                <w:sz w:val="16"/>
                <w:szCs w:val="16"/>
              </w:rPr>
              <w:t>To be determined by means of analysis of cities’ baseline studies.</w:t>
            </w:r>
          </w:p>
        </w:tc>
        <w:tc>
          <w:tcPr>
            <w:tcW w:w="349" w:type="pct"/>
            <w:tcBorders>
              <w:top w:val="single" w:sz="4" w:space="0" w:color="auto"/>
              <w:left w:val="single" w:sz="4" w:space="0" w:color="auto"/>
              <w:bottom w:val="single" w:sz="4" w:space="0" w:color="auto"/>
              <w:right w:val="single" w:sz="4" w:space="0" w:color="auto"/>
            </w:tcBorders>
          </w:tcPr>
          <w:p w:rsidR="005D55B1" w:rsidRPr="00B77FD4" w:rsidRDefault="005D55B1" w:rsidP="005D55B1">
            <w:pPr>
              <w:spacing w:before="120"/>
              <w:jc w:val="center"/>
              <w:rPr>
                <w:rFonts w:ascii="Verdana" w:hAnsi="Verdana"/>
                <w:sz w:val="16"/>
                <w:szCs w:val="16"/>
              </w:rPr>
            </w:pPr>
            <w:r w:rsidRPr="00B77FD4">
              <w:rPr>
                <w:rFonts w:ascii="Verdana" w:hAnsi="Verdana"/>
                <w:sz w:val="16"/>
                <w:szCs w:val="16"/>
              </w:rPr>
              <w:t>201</w:t>
            </w:r>
            <w:r>
              <w:rPr>
                <w:rFonts w:ascii="Verdana" w:hAnsi="Verdana"/>
                <w:sz w:val="16"/>
                <w:szCs w:val="16"/>
              </w:rPr>
              <w:t>7</w:t>
            </w:r>
          </w:p>
        </w:tc>
        <w:tc>
          <w:tcPr>
            <w:tcW w:w="649" w:type="pct"/>
            <w:tcBorders>
              <w:top w:val="single" w:sz="4" w:space="0" w:color="auto"/>
              <w:left w:val="single" w:sz="4" w:space="0" w:color="auto"/>
              <w:bottom w:val="single" w:sz="4" w:space="0" w:color="auto"/>
              <w:right w:val="single" w:sz="4" w:space="0" w:color="auto"/>
            </w:tcBorders>
          </w:tcPr>
          <w:p w:rsidR="005D55B1" w:rsidRPr="00B77FD4" w:rsidRDefault="005D55B1" w:rsidP="005D55B1">
            <w:pPr>
              <w:spacing w:before="120"/>
              <w:rPr>
                <w:rFonts w:ascii="Verdana" w:hAnsi="Verdana"/>
                <w:sz w:val="16"/>
                <w:szCs w:val="16"/>
              </w:rPr>
            </w:pPr>
            <w:r>
              <w:rPr>
                <w:rFonts w:ascii="Verdana" w:hAnsi="Verdana"/>
                <w:sz w:val="16"/>
                <w:szCs w:val="16"/>
              </w:rPr>
              <w:t>60%</w:t>
            </w:r>
          </w:p>
        </w:tc>
        <w:tc>
          <w:tcPr>
            <w:tcW w:w="697" w:type="pct"/>
            <w:tcBorders>
              <w:top w:val="single" w:sz="4" w:space="0" w:color="auto"/>
              <w:left w:val="single" w:sz="4" w:space="0" w:color="auto"/>
              <w:bottom w:val="single" w:sz="4" w:space="0" w:color="auto"/>
              <w:right w:val="single" w:sz="4" w:space="0" w:color="auto"/>
            </w:tcBorders>
          </w:tcPr>
          <w:p w:rsidR="005D55B1" w:rsidRPr="00B77FD4" w:rsidRDefault="005D55B1" w:rsidP="005D55B1">
            <w:pPr>
              <w:rPr>
                <w:rFonts w:ascii="Verdana" w:hAnsi="Verdana"/>
                <w:sz w:val="16"/>
                <w:szCs w:val="16"/>
              </w:rPr>
            </w:pPr>
            <w:r w:rsidRPr="00B77FD4">
              <w:rPr>
                <w:rFonts w:ascii="Verdana" w:hAnsi="Verdana"/>
                <w:sz w:val="16"/>
                <w:szCs w:val="16"/>
              </w:rPr>
              <w:t xml:space="preserve">Analysis of data in </w:t>
            </w:r>
            <w:r>
              <w:rPr>
                <w:rFonts w:ascii="Verdana" w:hAnsi="Verdana"/>
                <w:sz w:val="16"/>
                <w:szCs w:val="16"/>
              </w:rPr>
              <w:t xml:space="preserve"> cities’ </w:t>
            </w:r>
            <w:r w:rsidRPr="00B77FD4">
              <w:rPr>
                <w:rFonts w:ascii="Verdana" w:hAnsi="Verdana"/>
                <w:sz w:val="16"/>
                <w:szCs w:val="16"/>
              </w:rPr>
              <w:t xml:space="preserve">baseline </w:t>
            </w:r>
            <w:r>
              <w:rPr>
                <w:rFonts w:ascii="Verdana" w:hAnsi="Verdana"/>
                <w:sz w:val="16"/>
                <w:szCs w:val="16"/>
              </w:rPr>
              <w:t xml:space="preserve">studies </w:t>
            </w:r>
            <w:r w:rsidRPr="00B77FD4">
              <w:rPr>
                <w:rFonts w:ascii="Verdana" w:hAnsi="Verdana"/>
                <w:sz w:val="16"/>
                <w:szCs w:val="16"/>
              </w:rPr>
              <w:t xml:space="preserve">and closure reports </w:t>
            </w:r>
          </w:p>
        </w:tc>
        <w:tc>
          <w:tcPr>
            <w:tcW w:w="476" w:type="pct"/>
            <w:tcBorders>
              <w:top w:val="single" w:sz="4" w:space="0" w:color="auto"/>
              <w:left w:val="single" w:sz="4" w:space="0" w:color="auto"/>
              <w:bottom w:val="single" w:sz="4" w:space="0" w:color="auto"/>
              <w:right w:val="single" w:sz="4" w:space="0" w:color="auto"/>
            </w:tcBorders>
          </w:tcPr>
          <w:p w:rsidR="005D55B1" w:rsidRPr="00B77FD4" w:rsidRDefault="005D55B1" w:rsidP="005D55B1">
            <w:pPr>
              <w:spacing w:before="120"/>
              <w:rPr>
                <w:rFonts w:ascii="Verdana" w:hAnsi="Verdana"/>
                <w:sz w:val="16"/>
                <w:szCs w:val="16"/>
              </w:rPr>
            </w:pPr>
            <w:r w:rsidRPr="00B77FD4">
              <w:rPr>
                <w:rFonts w:ascii="Verdana" w:hAnsi="Verdana"/>
                <w:sz w:val="16"/>
                <w:szCs w:val="16"/>
              </w:rPr>
              <w:t>Once per call for proposals for the creation of Implementation networks</w:t>
            </w:r>
          </w:p>
        </w:tc>
      </w:tr>
      <w:tr w:rsidR="005D55B1" w:rsidRPr="00B77FD4" w:rsidTr="005D55B1">
        <w:tc>
          <w:tcPr>
            <w:tcW w:w="700" w:type="pct"/>
            <w:tcBorders>
              <w:top w:val="single" w:sz="4" w:space="0" w:color="auto"/>
              <w:left w:val="single" w:sz="4" w:space="0" w:color="auto"/>
              <w:bottom w:val="single" w:sz="4" w:space="0" w:color="auto"/>
              <w:right w:val="single" w:sz="4" w:space="0" w:color="auto"/>
            </w:tcBorders>
          </w:tcPr>
          <w:p w:rsidR="005D55B1" w:rsidRPr="00B77FD4" w:rsidRDefault="005D55B1" w:rsidP="005D55B1">
            <w:pPr>
              <w:spacing w:before="120"/>
              <w:rPr>
                <w:rFonts w:ascii="Verdana" w:hAnsi="Verdana"/>
                <w:b/>
                <w:sz w:val="16"/>
                <w:szCs w:val="16"/>
              </w:rPr>
            </w:pPr>
            <w:r w:rsidRPr="00B77FD4">
              <w:rPr>
                <w:rFonts w:ascii="Verdana" w:hAnsi="Verdana"/>
                <w:b/>
                <w:sz w:val="16"/>
                <w:szCs w:val="16"/>
              </w:rPr>
              <w:t xml:space="preserve">4. Practitioners and decision-makers at all levels (EU, national, regional and local) have increased access to URBACT thematic knowledge on sustainable urban development and make use of it   </w:t>
            </w:r>
          </w:p>
        </w:tc>
        <w:tc>
          <w:tcPr>
            <w:tcW w:w="1003" w:type="pct"/>
            <w:tcBorders>
              <w:top w:val="single" w:sz="4" w:space="0" w:color="auto"/>
              <w:left w:val="single" w:sz="4" w:space="0" w:color="auto"/>
              <w:bottom w:val="single" w:sz="4" w:space="0" w:color="auto"/>
              <w:right w:val="single" w:sz="4" w:space="0" w:color="auto"/>
            </w:tcBorders>
          </w:tcPr>
          <w:p w:rsidR="005D55B1" w:rsidRPr="00B77FD4" w:rsidRDefault="005D55B1" w:rsidP="005D55B1">
            <w:pPr>
              <w:pStyle w:val="Paragraphedeliste3"/>
              <w:ind w:left="121"/>
              <w:rPr>
                <w:rFonts w:ascii="Verdana" w:hAnsi="Verdana"/>
                <w:sz w:val="16"/>
                <w:szCs w:val="16"/>
              </w:rPr>
            </w:pPr>
            <w:r>
              <w:rPr>
                <w:rFonts w:ascii="Verdana" w:hAnsi="Verdana"/>
                <w:sz w:val="16"/>
                <w:szCs w:val="16"/>
              </w:rPr>
              <w:t>N</w:t>
            </w:r>
            <w:r w:rsidRPr="00B77FD4">
              <w:rPr>
                <w:rFonts w:ascii="Verdana" w:hAnsi="Verdana"/>
                <w:sz w:val="16"/>
                <w:szCs w:val="16"/>
              </w:rPr>
              <w:t>umber of decision-makers and practitioners at all levels (EU, national, regional and local) who have used URBACT thematic knowledge about sustainable urban development in their work</w:t>
            </w:r>
          </w:p>
          <w:p w:rsidR="005D55B1" w:rsidRPr="00B77FD4" w:rsidRDefault="005D55B1" w:rsidP="005D55B1">
            <w:pPr>
              <w:pStyle w:val="Paragraphedeliste3"/>
              <w:ind w:left="121"/>
              <w:rPr>
                <w:rFonts w:ascii="Verdana" w:hAnsi="Verdana"/>
                <w:sz w:val="16"/>
                <w:szCs w:val="16"/>
              </w:rPr>
            </w:pPr>
          </w:p>
        </w:tc>
        <w:tc>
          <w:tcPr>
            <w:tcW w:w="676" w:type="pct"/>
            <w:tcBorders>
              <w:top w:val="single" w:sz="4" w:space="0" w:color="auto"/>
              <w:left w:val="single" w:sz="4" w:space="0" w:color="auto"/>
              <w:bottom w:val="single" w:sz="4" w:space="0" w:color="auto"/>
              <w:right w:val="single" w:sz="4" w:space="0" w:color="auto"/>
            </w:tcBorders>
          </w:tcPr>
          <w:p w:rsidR="005D55B1" w:rsidRPr="00B77FD4" w:rsidRDefault="005D55B1" w:rsidP="005D55B1">
            <w:pPr>
              <w:spacing w:before="120"/>
              <w:rPr>
                <w:rFonts w:ascii="Verdana" w:hAnsi="Verdana"/>
                <w:sz w:val="16"/>
                <w:szCs w:val="16"/>
              </w:rPr>
            </w:pPr>
            <w:r w:rsidRPr="00B77FD4">
              <w:rPr>
                <w:rFonts w:ascii="Verdana" w:hAnsi="Verdana"/>
                <w:sz w:val="16"/>
                <w:szCs w:val="16"/>
              </w:rPr>
              <w:t>Number of decision-makers and practitioners</w:t>
            </w:r>
          </w:p>
        </w:tc>
        <w:tc>
          <w:tcPr>
            <w:tcW w:w="450" w:type="pct"/>
            <w:tcBorders>
              <w:top w:val="single" w:sz="4" w:space="0" w:color="auto"/>
              <w:left w:val="single" w:sz="4" w:space="0" w:color="auto"/>
              <w:bottom w:val="single" w:sz="4" w:space="0" w:color="auto"/>
              <w:right w:val="single" w:sz="4" w:space="0" w:color="auto"/>
            </w:tcBorders>
          </w:tcPr>
          <w:p w:rsidR="005D55B1" w:rsidRPr="00B77FD4" w:rsidRDefault="005D55B1" w:rsidP="005D55B1">
            <w:pPr>
              <w:spacing w:before="120"/>
              <w:rPr>
                <w:rFonts w:ascii="Verdana" w:hAnsi="Verdana"/>
                <w:sz w:val="16"/>
                <w:szCs w:val="16"/>
              </w:rPr>
            </w:pPr>
            <w:r w:rsidRPr="00B77FD4">
              <w:rPr>
                <w:rFonts w:ascii="Verdana" w:hAnsi="Verdana"/>
                <w:sz w:val="16"/>
                <w:szCs w:val="16"/>
              </w:rPr>
              <w:t>100</w:t>
            </w:r>
            <w:r w:rsidRPr="005D55B1">
              <w:rPr>
                <w:rStyle w:val="Odwoanieprzypisudolnego"/>
                <w:rFonts w:ascii="Verdana" w:hAnsi="Verdana"/>
                <w:sz w:val="16"/>
                <w:szCs w:val="16"/>
                <w:vertAlign w:val="baseline"/>
              </w:rPr>
              <w:footnoteReference w:id="28"/>
            </w:r>
          </w:p>
        </w:tc>
        <w:tc>
          <w:tcPr>
            <w:tcW w:w="349" w:type="pct"/>
            <w:tcBorders>
              <w:top w:val="single" w:sz="4" w:space="0" w:color="auto"/>
              <w:left w:val="single" w:sz="4" w:space="0" w:color="auto"/>
              <w:bottom w:val="single" w:sz="4" w:space="0" w:color="auto"/>
              <w:right w:val="single" w:sz="4" w:space="0" w:color="auto"/>
            </w:tcBorders>
          </w:tcPr>
          <w:p w:rsidR="005D55B1" w:rsidRPr="00B77FD4" w:rsidRDefault="005D55B1" w:rsidP="005D55B1">
            <w:pPr>
              <w:spacing w:before="120"/>
              <w:jc w:val="center"/>
              <w:rPr>
                <w:rFonts w:ascii="Verdana" w:hAnsi="Verdana"/>
                <w:sz w:val="16"/>
                <w:szCs w:val="16"/>
              </w:rPr>
            </w:pPr>
            <w:r w:rsidRPr="00B77FD4">
              <w:rPr>
                <w:rFonts w:ascii="Verdana" w:hAnsi="Verdana"/>
                <w:sz w:val="16"/>
                <w:szCs w:val="16"/>
              </w:rPr>
              <w:t>201</w:t>
            </w:r>
            <w:r>
              <w:rPr>
                <w:rFonts w:ascii="Verdana" w:hAnsi="Verdana"/>
                <w:sz w:val="16"/>
                <w:szCs w:val="16"/>
              </w:rPr>
              <w:t>4</w:t>
            </w:r>
          </w:p>
        </w:tc>
        <w:tc>
          <w:tcPr>
            <w:tcW w:w="649" w:type="pct"/>
            <w:tcBorders>
              <w:top w:val="single" w:sz="4" w:space="0" w:color="auto"/>
              <w:left w:val="single" w:sz="4" w:space="0" w:color="auto"/>
              <w:bottom w:val="single" w:sz="4" w:space="0" w:color="auto"/>
              <w:right w:val="single" w:sz="4" w:space="0" w:color="auto"/>
            </w:tcBorders>
          </w:tcPr>
          <w:p w:rsidR="005D55B1" w:rsidRPr="00B77FD4" w:rsidRDefault="005D55B1" w:rsidP="005D55B1">
            <w:pPr>
              <w:spacing w:before="120"/>
              <w:rPr>
                <w:rFonts w:ascii="Verdana" w:hAnsi="Verdana"/>
                <w:sz w:val="16"/>
                <w:szCs w:val="16"/>
              </w:rPr>
            </w:pPr>
            <w:r w:rsidRPr="00B77FD4">
              <w:rPr>
                <w:rFonts w:ascii="Verdana" w:hAnsi="Verdana"/>
                <w:sz w:val="16"/>
                <w:szCs w:val="16"/>
              </w:rPr>
              <w:t>400 decision makers and practitioners</w:t>
            </w:r>
          </w:p>
        </w:tc>
        <w:tc>
          <w:tcPr>
            <w:tcW w:w="697" w:type="pct"/>
            <w:tcBorders>
              <w:top w:val="single" w:sz="4" w:space="0" w:color="auto"/>
              <w:left w:val="single" w:sz="4" w:space="0" w:color="auto"/>
              <w:bottom w:val="single" w:sz="4" w:space="0" w:color="auto"/>
              <w:right w:val="single" w:sz="4" w:space="0" w:color="auto"/>
            </w:tcBorders>
          </w:tcPr>
          <w:p w:rsidR="005D55B1" w:rsidRPr="00B77FD4" w:rsidRDefault="005D55B1" w:rsidP="005D55B1">
            <w:pPr>
              <w:rPr>
                <w:rFonts w:ascii="Verdana" w:hAnsi="Verdana"/>
                <w:sz w:val="16"/>
                <w:szCs w:val="16"/>
              </w:rPr>
            </w:pPr>
            <w:r w:rsidRPr="00B77FD4">
              <w:rPr>
                <w:rFonts w:ascii="Verdana" w:hAnsi="Verdana"/>
                <w:sz w:val="16"/>
                <w:szCs w:val="16"/>
              </w:rPr>
              <w:t>Survey among registered web users, newsletters recipients, social media etc. with a focus on those stakeholders that are not involved in URBACT networks</w:t>
            </w:r>
          </w:p>
          <w:p w:rsidR="005D55B1" w:rsidRPr="00B77FD4" w:rsidRDefault="005D55B1" w:rsidP="005D55B1">
            <w:pPr>
              <w:rPr>
                <w:rFonts w:ascii="Verdana" w:hAnsi="Verdana"/>
                <w:sz w:val="16"/>
                <w:szCs w:val="16"/>
              </w:rPr>
            </w:pPr>
          </w:p>
        </w:tc>
        <w:tc>
          <w:tcPr>
            <w:tcW w:w="476" w:type="pct"/>
            <w:tcBorders>
              <w:top w:val="single" w:sz="4" w:space="0" w:color="auto"/>
              <w:left w:val="single" w:sz="4" w:space="0" w:color="auto"/>
              <w:bottom w:val="single" w:sz="4" w:space="0" w:color="auto"/>
              <w:right w:val="single" w:sz="4" w:space="0" w:color="auto"/>
            </w:tcBorders>
          </w:tcPr>
          <w:p w:rsidR="005D55B1" w:rsidRPr="00B77FD4" w:rsidRDefault="005D55B1" w:rsidP="005D55B1">
            <w:pPr>
              <w:spacing w:before="120"/>
              <w:rPr>
                <w:rFonts w:ascii="Verdana" w:hAnsi="Verdana"/>
                <w:sz w:val="16"/>
                <w:szCs w:val="16"/>
              </w:rPr>
            </w:pPr>
            <w:r w:rsidRPr="00B77FD4">
              <w:rPr>
                <w:rFonts w:ascii="Verdana" w:hAnsi="Verdana"/>
                <w:sz w:val="16"/>
                <w:szCs w:val="16"/>
              </w:rPr>
              <w:t xml:space="preserve">Every 2 years </w:t>
            </w:r>
          </w:p>
        </w:tc>
      </w:tr>
    </w:tbl>
    <w:p w:rsidR="009967D6" w:rsidRPr="00B77FD4" w:rsidRDefault="009967D6" w:rsidP="009967D6">
      <w:r w:rsidRPr="00B77FD4">
        <w:br w:type="page"/>
      </w:r>
    </w:p>
    <w:p w:rsidR="00E21452" w:rsidRPr="004F5F2B" w:rsidRDefault="00DC73D9" w:rsidP="001F2159">
      <w:pPr>
        <w:pStyle w:val="Nagwek2"/>
      </w:pPr>
      <w:bookmarkStart w:id="17" w:name="_Toc401325789"/>
      <w:r w:rsidRPr="004F5F2B">
        <w:t>2.</w:t>
      </w:r>
      <w:r w:rsidR="00E21452" w:rsidRPr="004F5F2B">
        <w:t>A.</w:t>
      </w:r>
      <w:r w:rsidR="00FD10D9" w:rsidRPr="004F5F2B">
        <w:t>3</w:t>
      </w:r>
      <w:r w:rsidR="00E21452" w:rsidRPr="004F5F2B">
        <w:t xml:space="preserve">. </w:t>
      </w:r>
      <w:r w:rsidR="00A97643">
        <w:tab/>
      </w:r>
      <w:r w:rsidR="00E21452" w:rsidRPr="004F5F2B">
        <w:t>Actions to be supported under the investment priority</w:t>
      </w:r>
      <w:bookmarkEnd w:id="17"/>
    </w:p>
    <w:p w:rsidR="00E21452" w:rsidRPr="004F5F2B" w:rsidRDefault="00E21452" w:rsidP="00E21452">
      <w:pPr>
        <w:ind w:right="566"/>
        <w:rPr>
          <w:rFonts w:ascii="Verdana" w:hAnsi="Verdana"/>
          <w:b/>
        </w:rPr>
      </w:pPr>
    </w:p>
    <w:p w:rsidR="00E21452" w:rsidRPr="00CB6B70" w:rsidRDefault="00DC73D9" w:rsidP="00CB6B70">
      <w:pPr>
        <w:pStyle w:val="Nagwek2"/>
      </w:pPr>
      <w:bookmarkStart w:id="18" w:name="_Toc384648441"/>
      <w:bookmarkStart w:id="19" w:name="_Toc401325790"/>
      <w:r w:rsidRPr="00CB6B70">
        <w:t>2.</w:t>
      </w:r>
      <w:r w:rsidR="00E21452" w:rsidRPr="00CB6B70">
        <w:t>A.</w:t>
      </w:r>
      <w:r w:rsidR="00FD10D9" w:rsidRPr="00CB6B70">
        <w:t>3</w:t>
      </w:r>
      <w:r w:rsidR="00E21452" w:rsidRPr="00CB6B70">
        <w:t xml:space="preserve">.1. </w:t>
      </w:r>
      <w:r w:rsidR="00CB6B70" w:rsidRPr="00CB6B70">
        <w:tab/>
      </w:r>
      <w:r w:rsidR="00E21452" w:rsidRPr="00CB6B70">
        <w:t xml:space="preserve">Actions to be financed and their expected contribution to the corresponding specific objectives, including, where appropriate – </w:t>
      </w:r>
      <w:bookmarkEnd w:id="18"/>
      <w:bookmarkEnd w:id="19"/>
    </w:p>
    <w:p w:rsidR="00E21452" w:rsidRPr="007E33E3" w:rsidRDefault="00E21452" w:rsidP="00E21452">
      <w:pPr>
        <w:ind w:right="566"/>
        <w:rPr>
          <w:rFonts w:ascii="Verdana" w:hAnsi="Verdana"/>
          <w:b/>
          <w:i/>
          <w:sz w:val="22"/>
          <w:szCs w:val="22"/>
        </w:rPr>
      </w:pPr>
    </w:p>
    <w:p w:rsidR="00E21452" w:rsidRPr="007E33E3" w:rsidRDefault="00E21452" w:rsidP="00E60AC2">
      <w:pPr>
        <w:spacing w:after="120" w:line="276" w:lineRule="auto"/>
        <w:ind w:right="566"/>
        <w:jc w:val="both"/>
        <w:rPr>
          <w:rFonts w:ascii="Verdana" w:hAnsi="Verdana"/>
          <w:b/>
          <w:sz w:val="22"/>
          <w:szCs w:val="22"/>
        </w:rPr>
      </w:pPr>
      <w:r w:rsidRPr="007E33E3">
        <w:rPr>
          <w:rFonts w:ascii="Verdana" w:hAnsi="Verdana"/>
          <w:b/>
          <w:sz w:val="22"/>
          <w:szCs w:val="22"/>
        </w:rPr>
        <w:t xml:space="preserve">a/ Building capacities for sustainable urban development (specific objective 1) </w:t>
      </w:r>
    </w:p>
    <w:p w:rsidR="00E21452" w:rsidRPr="007E33E3" w:rsidRDefault="00E21452" w:rsidP="00E60AC2">
      <w:pPr>
        <w:spacing w:after="120" w:line="276" w:lineRule="auto"/>
        <w:ind w:right="566"/>
        <w:jc w:val="both"/>
        <w:rPr>
          <w:rFonts w:ascii="Verdana" w:hAnsi="Verdana"/>
          <w:b/>
          <w:i/>
          <w:sz w:val="22"/>
          <w:szCs w:val="22"/>
          <w:u w:val="single"/>
        </w:rPr>
      </w:pPr>
    </w:p>
    <w:p w:rsidR="00826651" w:rsidRPr="003B7BFA" w:rsidRDefault="00E21452" w:rsidP="00E60AC2">
      <w:pPr>
        <w:spacing w:after="120" w:line="276" w:lineRule="auto"/>
        <w:ind w:right="566"/>
        <w:jc w:val="both"/>
        <w:rPr>
          <w:rFonts w:ascii="Verdana" w:hAnsi="Verdana"/>
          <w:b/>
          <w:sz w:val="22"/>
          <w:szCs w:val="22"/>
          <w:u w:val="single"/>
        </w:rPr>
      </w:pPr>
      <w:r w:rsidRPr="003B7BFA">
        <w:rPr>
          <w:rFonts w:ascii="Verdana" w:hAnsi="Verdana"/>
          <w:b/>
          <w:i/>
          <w:sz w:val="22"/>
          <w:szCs w:val="22"/>
          <w:u w:val="single"/>
        </w:rPr>
        <w:t>Contribution of activities to specific objective 1</w:t>
      </w:r>
    </w:p>
    <w:p w:rsidR="00E21452" w:rsidRPr="007E33E3" w:rsidRDefault="00826651" w:rsidP="00E60AC2">
      <w:pPr>
        <w:spacing w:after="120" w:line="276" w:lineRule="auto"/>
        <w:ind w:right="566"/>
        <w:jc w:val="both"/>
        <w:rPr>
          <w:rFonts w:ascii="Verdana" w:hAnsi="Verdana"/>
          <w:sz w:val="22"/>
          <w:szCs w:val="22"/>
        </w:rPr>
      </w:pPr>
      <w:r w:rsidRPr="007E33E3">
        <w:rPr>
          <w:rFonts w:ascii="Verdana" w:hAnsi="Verdana"/>
          <w:sz w:val="22"/>
          <w:szCs w:val="22"/>
        </w:rPr>
        <w:t>T</w:t>
      </w:r>
      <w:r w:rsidR="00E21452" w:rsidRPr="007E33E3">
        <w:rPr>
          <w:rFonts w:ascii="Verdana" w:hAnsi="Verdana"/>
          <w:sz w:val="22"/>
          <w:szCs w:val="22"/>
        </w:rPr>
        <w:t>he programme will develop actions to enhance the capacity of key players (urban practitioners, city managers and staff, elected representatives, other stakeholders involved in URBACT projects) in the field of integrated and participatory approaches to sustainable urban development.</w:t>
      </w:r>
    </w:p>
    <w:p w:rsidR="00E21452" w:rsidRPr="007E33E3" w:rsidRDefault="00E21452" w:rsidP="00E60AC2">
      <w:pPr>
        <w:spacing w:after="120" w:line="276" w:lineRule="auto"/>
        <w:ind w:right="566"/>
        <w:jc w:val="both"/>
        <w:rPr>
          <w:rFonts w:ascii="Verdana" w:hAnsi="Verdana"/>
          <w:sz w:val="22"/>
          <w:szCs w:val="22"/>
        </w:rPr>
      </w:pPr>
    </w:p>
    <w:p w:rsidR="003910DB" w:rsidRPr="007E33E3" w:rsidRDefault="00E21452" w:rsidP="00E60AC2">
      <w:pPr>
        <w:spacing w:after="120" w:line="276" w:lineRule="auto"/>
        <w:ind w:right="566"/>
        <w:jc w:val="both"/>
        <w:rPr>
          <w:rFonts w:ascii="Verdana" w:hAnsi="Verdana"/>
          <w:i/>
          <w:sz w:val="22"/>
          <w:szCs w:val="22"/>
          <w:u w:val="single"/>
        </w:rPr>
      </w:pPr>
      <w:r w:rsidRPr="007E33E3">
        <w:rPr>
          <w:rFonts w:ascii="Verdana" w:hAnsi="Verdana"/>
          <w:i/>
          <w:sz w:val="22"/>
          <w:szCs w:val="22"/>
          <w:u w:val="single"/>
        </w:rPr>
        <w:t>Actions</w:t>
      </w:r>
    </w:p>
    <w:p w:rsidR="003910DB" w:rsidRPr="007E33E3" w:rsidRDefault="002E5CA7" w:rsidP="00E60AC2">
      <w:pPr>
        <w:spacing w:after="120" w:line="276" w:lineRule="auto"/>
        <w:ind w:right="566"/>
        <w:jc w:val="both"/>
        <w:rPr>
          <w:rFonts w:ascii="Verdana" w:hAnsi="Verdana"/>
          <w:sz w:val="22"/>
          <w:szCs w:val="22"/>
          <w:u w:val="single"/>
        </w:rPr>
      </w:pPr>
      <w:r w:rsidRPr="007E33E3">
        <w:rPr>
          <w:rFonts w:ascii="Verdana" w:hAnsi="Verdana"/>
          <w:sz w:val="22"/>
          <w:szCs w:val="22"/>
        </w:rPr>
        <w:t>The main actions that can be supported under Capacity-building are the following (indicative list):</w:t>
      </w:r>
    </w:p>
    <w:p w:rsidR="004B01BB" w:rsidRPr="009F51D1" w:rsidRDefault="004B01BB" w:rsidP="008166DD">
      <w:pPr>
        <w:numPr>
          <w:ilvl w:val="0"/>
          <w:numId w:val="24"/>
        </w:numPr>
        <w:spacing w:after="120" w:line="276" w:lineRule="auto"/>
        <w:ind w:left="714" w:right="567" w:hanging="357"/>
        <w:jc w:val="both"/>
        <w:rPr>
          <w:rFonts w:ascii="Verdana" w:hAnsi="Verdana"/>
          <w:sz w:val="22"/>
          <w:szCs w:val="22"/>
        </w:rPr>
      </w:pPr>
      <w:r w:rsidRPr="009F51D1">
        <w:rPr>
          <w:rFonts w:ascii="Verdana" w:hAnsi="Verdana"/>
          <w:sz w:val="22"/>
          <w:szCs w:val="22"/>
        </w:rPr>
        <w:t>National capacity-building seminars – this tool which was tested under URBACT II provides tools and methods to enhance capacities of local support group members of partner cities at national level, in national languages. Member States are strongly involved in these sessions, which fosters dialogue between national and local players on urban policies and allow project partners to better understand the national context in which they are operating.</w:t>
      </w:r>
    </w:p>
    <w:p w:rsidR="004B01BB" w:rsidRPr="009F51D1" w:rsidRDefault="004B01BB" w:rsidP="008166DD">
      <w:pPr>
        <w:numPr>
          <w:ilvl w:val="0"/>
          <w:numId w:val="24"/>
        </w:numPr>
        <w:spacing w:after="120" w:line="276" w:lineRule="auto"/>
        <w:ind w:left="714" w:right="567" w:hanging="357"/>
        <w:jc w:val="both"/>
        <w:rPr>
          <w:rFonts w:ascii="Verdana" w:hAnsi="Verdana"/>
          <w:sz w:val="22"/>
          <w:szCs w:val="22"/>
        </w:rPr>
      </w:pPr>
      <w:r w:rsidRPr="009F51D1">
        <w:rPr>
          <w:rFonts w:ascii="Verdana" w:hAnsi="Verdana"/>
          <w:sz w:val="22"/>
          <w:szCs w:val="22"/>
        </w:rPr>
        <w:t>URBACT Universities, which proved highly successful under URBACT II (2011 and 2013) is to be enhanced and continued into URBACT III. The URBACT University consists of a large transnational capacity-building event centred on the URBACT method and aiming to provide URBACT partners and their local stakeholders with tools and methods to develop integrated and participatory action-planning. Project partners from all URBACT networks come together to “learn by doing”, share good practices and test different tools they can apply in the work of their local support groups at city level.</w:t>
      </w:r>
    </w:p>
    <w:p w:rsidR="004B01BB" w:rsidRPr="009F51D1" w:rsidRDefault="004B01BB" w:rsidP="008166DD">
      <w:pPr>
        <w:numPr>
          <w:ilvl w:val="0"/>
          <w:numId w:val="24"/>
        </w:numPr>
        <w:spacing w:after="120" w:line="276" w:lineRule="auto"/>
        <w:ind w:left="714" w:right="567" w:hanging="357"/>
        <w:jc w:val="both"/>
        <w:rPr>
          <w:rFonts w:ascii="Verdana" w:hAnsi="Verdana"/>
          <w:sz w:val="22"/>
          <w:szCs w:val="22"/>
        </w:rPr>
      </w:pPr>
      <w:r w:rsidRPr="009F51D1">
        <w:rPr>
          <w:rFonts w:ascii="Verdana" w:hAnsi="Verdana"/>
          <w:sz w:val="22"/>
          <w:szCs w:val="22"/>
        </w:rPr>
        <w:t>Other ad hoc capacity-building actions based on an established need can also be developed for specific stakeholder groups involved in the design and implementation of sustainable urban policies</w:t>
      </w:r>
      <w:r>
        <w:rPr>
          <w:rFonts w:ascii="Verdana" w:hAnsi="Verdana"/>
          <w:sz w:val="22"/>
          <w:szCs w:val="22"/>
        </w:rPr>
        <w:t xml:space="preserve"> (e.g. elected representatives, </w:t>
      </w:r>
      <w:r w:rsidRPr="009F51D1">
        <w:rPr>
          <w:rFonts w:ascii="Verdana" w:hAnsi="Verdana"/>
          <w:sz w:val="22"/>
          <w:szCs w:val="22"/>
        </w:rPr>
        <w:t>Managing authorities of Operational Programmes, national authorities, etc.).</w:t>
      </w:r>
    </w:p>
    <w:p w:rsidR="00E5202D" w:rsidRDefault="004B01BB" w:rsidP="008166DD">
      <w:pPr>
        <w:pStyle w:val="Akapitzlist"/>
        <w:numPr>
          <w:ilvl w:val="0"/>
          <w:numId w:val="62"/>
        </w:numPr>
        <w:spacing w:after="120"/>
        <w:ind w:left="714" w:right="566" w:hanging="357"/>
        <w:jc w:val="both"/>
        <w:rPr>
          <w:rFonts w:ascii="Verdana" w:hAnsi="Verdana"/>
          <w:i/>
          <w:u w:val="single"/>
        </w:rPr>
      </w:pPr>
      <w:r w:rsidRPr="00162EEC">
        <w:rPr>
          <w:rFonts w:ascii="Verdana" w:hAnsi="Verdana"/>
        </w:rPr>
        <w:t>Capacity-building actions under objective 1 shall focus mainly on the use of tools, instruments and methods supporting integrated and participatory approaches to sustainable urban development. They shall cover the design, funding, implementation and monitoring of integrated strategies and action plans</w:t>
      </w:r>
      <w:r w:rsidR="00162EEC" w:rsidRPr="00162EEC">
        <w:rPr>
          <w:rFonts w:ascii="Verdana" w:hAnsi="Verdana"/>
        </w:rPr>
        <w:t>.</w:t>
      </w:r>
      <w:r w:rsidRPr="00162EEC">
        <w:rPr>
          <w:rFonts w:ascii="Verdana" w:hAnsi="Verdana"/>
        </w:rPr>
        <w:t xml:space="preserve"> </w:t>
      </w:r>
    </w:p>
    <w:p w:rsidR="00E21452" w:rsidRPr="007E33E3" w:rsidRDefault="002E5CA7" w:rsidP="00E60AC2">
      <w:pPr>
        <w:spacing w:after="120" w:line="276" w:lineRule="auto"/>
        <w:ind w:right="566"/>
        <w:jc w:val="both"/>
        <w:rPr>
          <w:rFonts w:ascii="Verdana" w:hAnsi="Verdana"/>
          <w:i/>
          <w:sz w:val="22"/>
          <w:szCs w:val="22"/>
          <w:u w:val="single"/>
        </w:rPr>
      </w:pPr>
      <w:r w:rsidRPr="007E33E3">
        <w:rPr>
          <w:rFonts w:ascii="Verdana" w:hAnsi="Verdana"/>
          <w:i/>
          <w:sz w:val="22"/>
          <w:szCs w:val="22"/>
          <w:u w:val="single"/>
        </w:rPr>
        <w:t>Main target groups and types of beneficiaries</w:t>
      </w:r>
    </w:p>
    <w:p w:rsidR="00A3563F" w:rsidRPr="007E33E3" w:rsidRDefault="002E5CA7" w:rsidP="00E60AC2">
      <w:pPr>
        <w:widowControl w:val="0"/>
        <w:autoSpaceDE w:val="0"/>
        <w:autoSpaceDN w:val="0"/>
        <w:adjustRightInd w:val="0"/>
        <w:spacing w:after="120" w:line="276" w:lineRule="auto"/>
        <w:jc w:val="both"/>
        <w:rPr>
          <w:rFonts w:ascii="Verdana" w:eastAsia="Calibri" w:hAnsi="Verdana" w:cs="Verdana"/>
          <w:sz w:val="22"/>
          <w:szCs w:val="22"/>
        </w:rPr>
      </w:pPr>
      <w:r w:rsidRPr="007E33E3">
        <w:rPr>
          <w:rFonts w:ascii="Verdana" w:eastAsia="Calibri" w:hAnsi="Verdana" w:cs="Verdana"/>
          <w:sz w:val="22"/>
          <w:szCs w:val="22"/>
        </w:rPr>
        <w:t xml:space="preserve">The main beneficiaries of actions implemented under Objective 1 shall be cities from EU 28 Member States, Norway and Switzerland involved in URBACT networks. </w:t>
      </w:r>
      <w:r w:rsidR="00282D17">
        <w:rPr>
          <w:rFonts w:ascii="Verdana" w:eastAsia="Calibri" w:hAnsi="Verdana" w:cs="Verdana"/>
          <w:sz w:val="22"/>
          <w:szCs w:val="22"/>
        </w:rPr>
        <w:t>Actions implemented under Objective 1 shall target city</w:t>
      </w:r>
      <w:r w:rsidRPr="007E33E3">
        <w:rPr>
          <w:rFonts w:ascii="Verdana" w:eastAsia="Calibri" w:hAnsi="Verdana" w:cs="Verdana"/>
          <w:sz w:val="22"/>
          <w:szCs w:val="22"/>
        </w:rPr>
        <w:t xml:space="preserve"> stakeholders  </w:t>
      </w:r>
      <w:r w:rsidR="00282D17">
        <w:rPr>
          <w:rFonts w:ascii="Verdana" w:eastAsia="Calibri" w:hAnsi="Verdana" w:cs="Verdana"/>
          <w:sz w:val="22"/>
          <w:szCs w:val="22"/>
        </w:rPr>
        <w:t xml:space="preserve">such as </w:t>
      </w:r>
      <w:r w:rsidRPr="007E33E3">
        <w:rPr>
          <w:rFonts w:ascii="Verdana" w:eastAsia="Calibri" w:hAnsi="Verdana" w:cs="Verdana"/>
          <w:sz w:val="22"/>
          <w:szCs w:val="22"/>
        </w:rPr>
        <w:t xml:space="preserve">policy-makers, decision-makers, practitioners, city staff, representatives of local agencies, NGOs, residents or end-users involved in local partnerships in charge of developing or implementing an integrated action plan or strategy (action-planning and implementation networks) or </w:t>
      </w:r>
      <w:r w:rsidR="0029014E" w:rsidRPr="007E33E3">
        <w:rPr>
          <w:rFonts w:ascii="Verdana" w:eastAsia="Calibri" w:hAnsi="Verdana" w:cs="Verdana"/>
          <w:sz w:val="22"/>
          <w:szCs w:val="22"/>
        </w:rPr>
        <w:t>transferring</w:t>
      </w:r>
      <w:r w:rsidRPr="007E33E3">
        <w:rPr>
          <w:rFonts w:ascii="Verdana" w:eastAsia="Calibri" w:hAnsi="Verdana" w:cs="Verdana"/>
          <w:sz w:val="22"/>
          <w:szCs w:val="22"/>
        </w:rPr>
        <w:t xml:space="preserve"> a good practice (transfer networks) in the field of sustainable urban development.</w:t>
      </w:r>
    </w:p>
    <w:p w:rsidR="00EE50A0" w:rsidRPr="007E33E3" w:rsidRDefault="002E5CA7" w:rsidP="00E60AC2">
      <w:pPr>
        <w:widowControl w:val="0"/>
        <w:autoSpaceDE w:val="0"/>
        <w:autoSpaceDN w:val="0"/>
        <w:adjustRightInd w:val="0"/>
        <w:spacing w:after="120" w:line="276" w:lineRule="auto"/>
        <w:jc w:val="both"/>
        <w:rPr>
          <w:rFonts w:ascii="Verdana" w:eastAsia="Calibri" w:hAnsi="Verdana" w:cs="Verdana"/>
          <w:sz w:val="22"/>
          <w:szCs w:val="22"/>
        </w:rPr>
      </w:pPr>
      <w:r w:rsidRPr="007E33E3">
        <w:rPr>
          <w:rFonts w:ascii="Verdana" w:eastAsia="Calibri" w:hAnsi="Verdana" w:cs="Verdana"/>
          <w:sz w:val="22"/>
          <w:szCs w:val="22"/>
        </w:rPr>
        <w:t xml:space="preserve">Beyond stakeholders related to URBACT partners, other key players in sustainable urban development (at national, regional or local level) may also be eligible for actions implemented under Objective 1 (e.g. cities implementing integrated urban strategies and action plans under articles 7 and </w:t>
      </w:r>
      <w:r w:rsidR="00C57544" w:rsidRPr="007E33E3">
        <w:rPr>
          <w:rFonts w:ascii="Verdana" w:eastAsia="Calibri" w:hAnsi="Verdana" w:cs="Verdana"/>
          <w:sz w:val="22"/>
          <w:szCs w:val="22"/>
        </w:rPr>
        <w:t>8</w:t>
      </w:r>
      <w:r w:rsidRPr="007E33E3">
        <w:rPr>
          <w:rFonts w:ascii="Verdana" w:eastAsia="Calibri" w:hAnsi="Verdana" w:cs="Verdana"/>
          <w:sz w:val="22"/>
          <w:szCs w:val="22"/>
        </w:rPr>
        <w:t>, etc.).</w:t>
      </w:r>
    </w:p>
    <w:p w:rsidR="00EE50A0" w:rsidRPr="007E33E3" w:rsidRDefault="00EE50A0" w:rsidP="00E60AC2">
      <w:pPr>
        <w:spacing w:after="120" w:line="276" w:lineRule="auto"/>
        <w:ind w:right="566"/>
        <w:jc w:val="both"/>
        <w:rPr>
          <w:rFonts w:ascii="Verdana" w:hAnsi="Verdana"/>
          <w:sz w:val="22"/>
          <w:szCs w:val="22"/>
        </w:rPr>
      </w:pPr>
    </w:p>
    <w:p w:rsidR="00E21452" w:rsidRPr="007E33E3" w:rsidRDefault="00E21452" w:rsidP="00E60AC2">
      <w:pPr>
        <w:spacing w:after="120" w:line="276" w:lineRule="auto"/>
        <w:ind w:right="566"/>
        <w:rPr>
          <w:rFonts w:ascii="Verdana" w:hAnsi="Verdana"/>
          <w:b/>
          <w:sz w:val="22"/>
          <w:szCs w:val="22"/>
          <w:u w:val="single"/>
        </w:rPr>
      </w:pPr>
      <w:r w:rsidRPr="007E33E3">
        <w:rPr>
          <w:rFonts w:ascii="Verdana" w:hAnsi="Verdana"/>
          <w:b/>
          <w:sz w:val="22"/>
          <w:szCs w:val="22"/>
        </w:rPr>
        <w:t xml:space="preserve">b/ Networking to improve the design of sustainable urban </w:t>
      </w:r>
      <w:r w:rsidR="00080F3C" w:rsidRPr="007E33E3">
        <w:rPr>
          <w:rFonts w:ascii="Verdana" w:hAnsi="Verdana"/>
          <w:b/>
          <w:sz w:val="22"/>
          <w:szCs w:val="22"/>
        </w:rPr>
        <w:t xml:space="preserve">strategies and </w:t>
      </w:r>
      <w:r w:rsidR="0029014E" w:rsidRPr="007E33E3">
        <w:rPr>
          <w:rFonts w:ascii="Verdana" w:hAnsi="Verdana"/>
          <w:b/>
          <w:sz w:val="22"/>
          <w:szCs w:val="22"/>
        </w:rPr>
        <w:t>actions (</w:t>
      </w:r>
      <w:r w:rsidRPr="007E33E3">
        <w:rPr>
          <w:rFonts w:ascii="Verdana" w:hAnsi="Verdana"/>
          <w:b/>
          <w:sz w:val="22"/>
          <w:szCs w:val="22"/>
        </w:rPr>
        <w:t>specific objective 2)</w:t>
      </w:r>
    </w:p>
    <w:p w:rsidR="00E21452" w:rsidRPr="007E33E3" w:rsidRDefault="00E21452" w:rsidP="00E60AC2">
      <w:pPr>
        <w:spacing w:after="120" w:line="276" w:lineRule="auto"/>
        <w:ind w:right="566"/>
        <w:rPr>
          <w:rFonts w:ascii="Verdana" w:hAnsi="Verdana"/>
          <w:b/>
          <w:sz w:val="22"/>
          <w:szCs w:val="22"/>
        </w:rPr>
      </w:pPr>
    </w:p>
    <w:p w:rsidR="009167B5" w:rsidRPr="003B7BFA" w:rsidRDefault="00E21452" w:rsidP="00E60AC2">
      <w:pPr>
        <w:spacing w:after="120" w:line="276" w:lineRule="auto"/>
        <w:ind w:right="566"/>
        <w:jc w:val="both"/>
        <w:rPr>
          <w:rFonts w:ascii="Verdana" w:hAnsi="Verdana"/>
          <w:b/>
          <w:sz w:val="22"/>
          <w:szCs w:val="22"/>
          <w:u w:val="single"/>
        </w:rPr>
      </w:pPr>
      <w:r w:rsidRPr="003B7BFA">
        <w:rPr>
          <w:rFonts w:ascii="Verdana" w:hAnsi="Verdana"/>
          <w:b/>
          <w:i/>
          <w:sz w:val="22"/>
          <w:szCs w:val="22"/>
          <w:u w:val="single"/>
        </w:rPr>
        <w:t>Contribution of activities to specific objective 2</w:t>
      </w:r>
    </w:p>
    <w:p w:rsidR="00E21452" w:rsidRPr="007E33E3" w:rsidRDefault="009167B5" w:rsidP="00E60AC2">
      <w:pPr>
        <w:spacing w:after="120" w:line="276" w:lineRule="auto"/>
        <w:ind w:right="566"/>
        <w:jc w:val="both"/>
        <w:rPr>
          <w:rFonts w:ascii="Verdana" w:hAnsi="Verdana"/>
          <w:b/>
          <w:sz w:val="22"/>
          <w:szCs w:val="22"/>
          <w:u w:val="single"/>
        </w:rPr>
      </w:pPr>
      <w:r w:rsidRPr="007E33E3">
        <w:rPr>
          <w:rFonts w:ascii="Verdana" w:hAnsi="Verdana"/>
          <w:sz w:val="22"/>
          <w:szCs w:val="22"/>
        </w:rPr>
        <w:t>T</w:t>
      </w:r>
      <w:r w:rsidR="00E21452" w:rsidRPr="007E33E3">
        <w:rPr>
          <w:rFonts w:ascii="Verdana" w:hAnsi="Verdana"/>
          <w:sz w:val="22"/>
          <w:szCs w:val="22"/>
        </w:rPr>
        <w:t>he programme will support the design of integrated strategies and action plans for sustainable urban development in European cities building on participatory approaches. This will be mainly achieved through “Action-planning networks” in which cities and their local counterparts will receive support, from experts and peers, to develop integrated strategies/ action plans</w:t>
      </w:r>
      <w:r w:rsidR="009F6D02" w:rsidRPr="007E33E3">
        <w:rPr>
          <w:rFonts w:ascii="Verdana" w:hAnsi="Verdana"/>
          <w:sz w:val="22"/>
          <w:szCs w:val="22"/>
        </w:rPr>
        <w:t xml:space="preserve"> for sustainable urban development</w:t>
      </w:r>
      <w:r w:rsidR="00E21452" w:rsidRPr="007E33E3">
        <w:rPr>
          <w:rFonts w:ascii="Verdana" w:hAnsi="Verdana"/>
          <w:sz w:val="22"/>
          <w:szCs w:val="22"/>
        </w:rPr>
        <w:t xml:space="preserve">. </w:t>
      </w:r>
    </w:p>
    <w:p w:rsidR="00E60AC2" w:rsidRDefault="00E60AC2">
      <w:pPr>
        <w:rPr>
          <w:rFonts w:ascii="Verdana" w:hAnsi="Verdana"/>
          <w:i/>
          <w:sz w:val="22"/>
          <w:szCs w:val="22"/>
          <w:u w:val="single"/>
        </w:rPr>
      </w:pPr>
    </w:p>
    <w:p w:rsidR="00E73A82" w:rsidRPr="007E33E3" w:rsidRDefault="002E5CA7" w:rsidP="00E60AC2">
      <w:pPr>
        <w:spacing w:after="120" w:line="276" w:lineRule="auto"/>
        <w:ind w:right="566"/>
        <w:jc w:val="both"/>
        <w:rPr>
          <w:rFonts w:ascii="Verdana" w:hAnsi="Verdana"/>
          <w:i/>
          <w:sz w:val="22"/>
          <w:szCs w:val="22"/>
          <w:u w:val="single"/>
        </w:rPr>
      </w:pPr>
      <w:r w:rsidRPr="007E33E3">
        <w:rPr>
          <w:rFonts w:ascii="Verdana" w:hAnsi="Verdana"/>
          <w:i/>
          <w:sz w:val="22"/>
          <w:szCs w:val="22"/>
          <w:u w:val="single"/>
        </w:rPr>
        <w:t>Actions</w:t>
      </w:r>
    </w:p>
    <w:p w:rsidR="00080F3C" w:rsidRPr="007E33E3" w:rsidRDefault="002E5CA7" w:rsidP="00E60AC2">
      <w:pPr>
        <w:spacing w:after="120" w:line="276" w:lineRule="auto"/>
        <w:ind w:right="566"/>
        <w:jc w:val="both"/>
        <w:rPr>
          <w:rFonts w:ascii="Verdana" w:hAnsi="Verdana"/>
          <w:sz w:val="22"/>
          <w:szCs w:val="22"/>
          <w:u w:val="single"/>
        </w:rPr>
      </w:pPr>
      <w:r w:rsidRPr="007E33E3">
        <w:rPr>
          <w:rFonts w:ascii="Verdana" w:hAnsi="Verdana"/>
          <w:sz w:val="22"/>
          <w:szCs w:val="22"/>
        </w:rPr>
        <w:t>The main actions that can be supported under Action-planning networks are the following (indicative list):</w:t>
      </w:r>
      <w:r w:rsidR="00080F3C" w:rsidRPr="007E33E3" w:rsidDel="00080F3C">
        <w:rPr>
          <w:rFonts w:ascii="Verdana" w:hAnsi="Verdana"/>
          <w:sz w:val="22"/>
          <w:szCs w:val="22"/>
          <w:u w:val="single"/>
        </w:rPr>
        <w:t xml:space="preserve"> </w:t>
      </w:r>
    </w:p>
    <w:p w:rsidR="00E21452" w:rsidRPr="00E60AC2" w:rsidRDefault="00E21452" w:rsidP="008166DD">
      <w:pPr>
        <w:pStyle w:val="Akapitzlist"/>
        <w:numPr>
          <w:ilvl w:val="0"/>
          <w:numId w:val="25"/>
        </w:numPr>
        <w:spacing w:after="120"/>
        <w:ind w:left="714" w:right="567" w:hanging="357"/>
        <w:jc w:val="both"/>
        <w:rPr>
          <w:rFonts w:ascii="Verdana" w:hAnsi="Verdana"/>
        </w:rPr>
      </w:pPr>
      <w:r w:rsidRPr="00E60AC2">
        <w:rPr>
          <w:rFonts w:ascii="Verdana" w:hAnsi="Verdana"/>
        </w:rPr>
        <w:t>Transnational exchange seminars, including study visits, peer-reviews, etc.</w:t>
      </w:r>
    </w:p>
    <w:p w:rsidR="00E21452" w:rsidRPr="00E60AC2" w:rsidRDefault="00E21452" w:rsidP="008166DD">
      <w:pPr>
        <w:pStyle w:val="Akapitzlist"/>
        <w:numPr>
          <w:ilvl w:val="0"/>
          <w:numId w:val="25"/>
        </w:numPr>
        <w:spacing w:after="120"/>
        <w:ind w:left="714" w:right="567" w:hanging="357"/>
        <w:jc w:val="both"/>
        <w:rPr>
          <w:rFonts w:ascii="Verdana" w:hAnsi="Verdana"/>
        </w:rPr>
      </w:pPr>
      <w:r w:rsidRPr="00E60AC2">
        <w:rPr>
          <w:rFonts w:ascii="Verdana" w:hAnsi="Verdana"/>
        </w:rPr>
        <w:t>Production of baseline studies reviewing state of play in partner citie</w:t>
      </w:r>
      <w:r w:rsidR="00080F3C" w:rsidRPr="00E60AC2">
        <w:rPr>
          <w:rFonts w:ascii="Verdana" w:hAnsi="Verdana"/>
        </w:rPr>
        <w:t>s</w:t>
      </w:r>
    </w:p>
    <w:p w:rsidR="00E21452" w:rsidRPr="00E60AC2" w:rsidRDefault="00E21452" w:rsidP="008166DD">
      <w:pPr>
        <w:pStyle w:val="Akapitzlist"/>
        <w:numPr>
          <w:ilvl w:val="0"/>
          <w:numId w:val="25"/>
        </w:numPr>
        <w:spacing w:after="120"/>
        <w:ind w:left="714" w:right="567" w:hanging="357"/>
        <w:jc w:val="both"/>
        <w:rPr>
          <w:rFonts w:ascii="Verdana" w:hAnsi="Verdana"/>
        </w:rPr>
      </w:pPr>
      <w:r w:rsidRPr="00E60AC2">
        <w:rPr>
          <w:rFonts w:ascii="Verdana" w:hAnsi="Verdana"/>
        </w:rPr>
        <w:t>Production of integrated urban strategies/ action plans for sustainable urban development</w:t>
      </w:r>
    </w:p>
    <w:p w:rsidR="00E21452" w:rsidRPr="00E60AC2" w:rsidRDefault="00E21452" w:rsidP="008166DD">
      <w:pPr>
        <w:pStyle w:val="Akapitzlist"/>
        <w:numPr>
          <w:ilvl w:val="0"/>
          <w:numId w:val="25"/>
        </w:numPr>
        <w:spacing w:after="120"/>
        <w:ind w:left="714" w:right="567" w:hanging="357"/>
        <w:jc w:val="both"/>
        <w:rPr>
          <w:rFonts w:ascii="Verdana" w:hAnsi="Verdana"/>
        </w:rPr>
      </w:pPr>
      <w:r w:rsidRPr="00E60AC2">
        <w:rPr>
          <w:rFonts w:ascii="Verdana" w:hAnsi="Verdana"/>
        </w:rPr>
        <w:t xml:space="preserve">Involvement of local stakeholders in participatory policy-making at partner level </w:t>
      </w:r>
    </w:p>
    <w:p w:rsidR="00E21452" w:rsidRPr="00E60AC2" w:rsidRDefault="00E21452" w:rsidP="008166DD">
      <w:pPr>
        <w:pStyle w:val="Akapitzlist"/>
        <w:numPr>
          <w:ilvl w:val="0"/>
          <w:numId w:val="25"/>
        </w:numPr>
        <w:spacing w:after="120"/>
        <w:ind w:left="714" w:right="567" w:hanging="357"/>
        <w:jc w:val="both"/>
        <w:rPr>
          <w:rFonts w:ascii="Verdana" w:hAnsi="Verdana"/>
        </w:rPr>
      </w:pPr>
      <w:r w:rsidRPr="00E60AC2">
        <w:rPr>
          <w:rFonts w:ascii="Verdana" w:hAnsi="Verdana"/>
        </w:rPr>
        <w:t>Communication on network activities and results</w:t>
      </w:r>
    </w:p>
    <w:p w:rsidR="00E21452" w:rsidRPr="00E60AC2" w:rsidRDefault="00E21452" w:rsidP="008166DD">
      <w:pPr>
        <w:pStyle w:val="Akapitzlist"/>
        <w:numPr>
          <w:ilvl w:val="0"/>
          <w:numId w:val="25"/>
        </w:numPr>
        <w:spacing w:after="120"/>
        <w:ind w:left="714" w:right="567" w:hanging="357"/>
        <w:jc w:val="both"/>
        <w:rPr>
          <w:rFonts w:ascii="Verdana" w:hAnsi="Verdana"/>
        </w:rPr>
      </w:pPr>
      <w:r w:rsidRPr="00E60AC2">
        <w:rPr>
          <w:rFonts w:ascii="Verdana" w:hAnsi="Verdana"/>
        </w:rPr>
        <w:t xml:space="preserve">Use of action-planning tools </w:t>
      </w:r>
    </w:p>
    <w:p w:rsidR="00E21452" w:rsidRPr="00E60AC2" w:rsidRDefault="00E21452" w:rsidP="008166DD">
      <w:pPr>
        <w:pStyle w:val="Akapitzlist"/>
        <w:numPr>
          <w:ilvl w:val="0"/>
          <w:numId w:val="25"/>
        </w:numPr>
        <w:spacing w:after="120"/>
        <w:ind w:left="714" w:right="567" w:hanging="357"/>
        <w:jc w:val="both"/>
        <w:rPr>
          <w:rFonts w:ascii="Verdana" w:hAnsi="Verdana"/>
        </w:rPr>
      </w:pPr>
      <w:r w:rsidRPr="00E60AC2">
        <w:rPr>
          <w:rFonts w:ascii="Verdana" w:hAnsi="Verdana"/>
        </w:rPr>
        <w:t>Expertise to support partner cities in developing participatory and integrated approach to urban development</w:t>
      </w:r>
    </w:p>
    <w:p w:rsidR="00E21452" w:rsidRPr="00E60AC2" w:rsidRDefault="00E21452" w:rsidP="008166DD">
      <w:pPr>
        <w:pStyle w:val="Akapitzlist"/>
        <w:numPr>
          <w:ilvl w:val="0"/>
          <w:numId w:val="25"/>
        </w:numPr>
        <w:spacing w:after="120"/>
        <w:ind w:left="714" w:right="567" w:hanging="357"/>
        <w:jc w:val="both"/>
        <w:rPr>
          <w:rFonts w:ascii="Verdana" w:hAnsi="Verdana"/>
        </w:rPr>
      </w:pPr>
      <w:r w:rsidRPr="00E60AC2">
        <w:rPr>
          <w:rFonts w:ascii="Verdana" w:hAnsi="Verdana"/>
        </w:rPr>
        <w:t>Involvement of rural actors to strengthen urban-rural partnerships</w:t>
      </w:r>
    </w:p>
    <w:p w:rsidR="00E21452" w:rsidRPr="007E33E3" w:rsidRDefault="00185FF6" w:rsidP="00E60AC2">
      <w:pPr>
        <w:spacing w:after="120" w:line="276" w:lineRule="auto"/>
        <w:ind w:right="566"/>
        <w:jc w:val="both"/>
        <w:rPr>
          <w:rFonts w:ascii="Verdana" w:hAnsi="Verdana"/>
          <w:sz w:val="22"/>
          <w:szCs w:val="22"/>
          <w:u w:val="single"/>
        </w:rPr>
      </w:pPr>
      <w:r w:rsidRPr="007E33E3">
        <w:rPr>
          <w:rFonts w:ascii="Verdana" w:hAnsi="Verdana"/>
          <w:i/>
          <w:sz w:val="22"/>
          <w:szCs w:val="22"/>
          <w:u w:val="single"/>
        </w:rPr>
        <w:t>Main target groups and types of beneficiaries</w:t>
      </w:r>
    </w:p>
    <w:p w:rsidR="00E3226F" w:rsidRPr="007E33E3" w:rsidRDefault="002E5CA7" w:rsidP="00E60AC2">
      <w:pPr>
        <w:widowControl w:val="0"/>
        <w:autoSpaceDE w:val="0"/>
        <w:autoSpaceDN w:val="0"/>
        <w:adjustRightInd w:val="0"/>
        <w:spacing w:after="120" w:line="276" w:lineRule="auto"/>
        <w:jc w:val="both"/>
        <w:rPr>
          <w:rFonts w:ascii="Verdana" w:eastAsia="Calibri" w:hAnsi="Verdana" w:cs="Arial"/>
          <w:sz w:val="22"/>
          <w:szCs w:val="22"/>
        </w:rPr>
      </w:pPr>
      <w:r w:rsidRPr="007E33E3">
        <w:rPr>
          <w:rFonts w:ascii="Verdana" w:eastAsia="Calibri" w:hAnsi="Verdana" w:cs="Verdana"/>
          <w:sz w:val="22"/>
          <w:szCs w:val="22"/>
        </w:rPr>
        <w:t>The main beneficiaries of actions implemented under Objective 2 shall be cities from EU 28 Member States, Norway and Switzerland willing to develop integrated strategies and action plans for sustainable urban development.</w:t>
      </w:r>
    </w:p>
    <w:p w:rsidR="00E3226F" w:rsidRPr="007E33E3" w:rsidRDefault="002E5CA7" w:rsidP="00E60AC2">
      <w:pPr>
        <w:widowControl w:val="0"/>
        <w:autoSpaceDE w:val="0"/>
        <w:autoSpaceDN w:val="0"/>
        <w:adjustRightInd w:val="0"/>
        <w:spacing w:after="120" w:line="276" w:lineRule="auto"/>
        <w:jc w:val="both"/>
        <w:rPr>
          <w:rFonts w:ascii="Verdana" w:eastAsia="Calibri" w:hAnsi="Verdana" w:cs="Arial"/>
          <w:sz w:val="22"/>
          <w:szCs w:val="22"/>
        </w:rPr>
      </w:pPr>
      <w:r w:rsidRPr="007E33E3">
        <w:rPr>
          <w:rFonts w:ascii="Verdana" w:eastAsia="Calibri" w:hAnsi="Verdana" w:cs="Verdana"/>
          <w:sz w:val="22"/>
          <w:szCs w:val="22"/>
        </w:rPr>
        <w:t>Under URBACT III, the beneficiary “city” refers to the public local authority representing:</w:t>
      </w:r>
    </w:p>
    <w:p w:rsidR="00E73A82" w:rsidRPr="007E33E3" w:rsidRDefault="002E5CA7" w:rsidP="008166DD">
      <w:pPr>
        <w:pStyle w:val="Akapitzlist"/>
        <w:widowControl w:val="0"/>
        <w:numPr>
          <w:ilvl w:val="0"/>
          <w:numId w:val="26"/>
        </w:numPr>
        <w:tabs>
          <w:tab w:val="left" w:pos="940"/>
          <w:tab w:val="left" w:pos="1440"/>
        </w:tabs>
        <w:autoSpaceDE w:val="0"/>
        <w:autoSpaceDN w:val="0"/>
        <w:adjustRightInd w:val="0"/>
        <w:spacing w:after="120"/>
        <w:ind w:left="714" w:hanging="357"/>
        <w:contextualSpacing w:val="0"/>
        <w:rPr>
          <w:rFonts w:ascii="Verdana" w:hAnsi="Verdana" w:cs="Verdana"/>
        </w:rPr>
      </w:pPr>
      <w:r w:rsidRPr="007E33E3">
        <w:rPr>
          <w:rFonts w:ascii="Verdana" w:hAnsi="Verdana" w:cs="Verdana"/>
        </w:rPr>
        <w:t>cities, municipalities, towns;</w:t>
      </w:r>
    </w:p>
    <w:p w:rsidR="00E3226F" w:rsidRPr="007E33E3" w:rsidRDefault="00E3226F" w:rsidP="008166DD">
      <w:pPr>
        <w:pStyle w:val="Akapitzlist"/>
        <w:widowControl w:val="0"/>
        <w:numPr>
          <w:ilvl w:val="0"/>
          <w:numId w:val="26"/>
        </w:numPr>
        <w:tabs>
          <w:tab w:val="left" w:pos="940"/>
          <w:tab w:val="left" w:pos="1440"/>
        </w:tabs>
        <w:autoSpaceDE w:val="0"/>
        <w:autoSpaceDN w:val="0"/>
        <w:adjustRightInd w:val="0"/>
        <w:spacing w:after="120"/>
        <w:ind w:left="714" w:hanging="357"/>
        <w:contextualSpacing w:val="0"/>
        <w:rPr>
          <w:rFonts w:ascii="Verdana" w:hAnsi="Verdana" w:cs="Verdana"/>
        </w:rPr>
      </w:pPr>
      <w:r w:rsidRPr="007E33E3">
        <w:rPr>
          <w:rFonts w:ascii="Verdana" w:hAnsi="Verdana" w:cs="Verdana"/>
        </w:rPr>
        <w:t>Infra-municipal tiers of government such as city districts and boroughs in cases where they are represented by a politico-administrative institution having competences for policy-making and implementation in the policy area covered by the URBACT network concerned in which they are willing to get involved;</w:t>
      </w:r>
    </w:p>
    <w:p w:rsidR="00E3226F" w:rsidRPr="007E33E3" w:rsidRDefault="00E3226F" w:rsidP="008166DD">
      <w:pPr>
        <w:pStyle w:val="Akapitzlist"/>
        <w:widowControl w:val="0"/>
        <w:numPr>
          <w:ilvl w:val="0"/>
          <w:numId w:val="26"/>
        </w:numPr>
        <w:tabs>
          <w:tab w:val="left" w:pos="940"/>
          <w:tab w:val="left" w:pos="1440"/>
        </w:tabs>
        <w:autoSpaceDE w:val="0"/>
        <w:autoSpaceDN w:val="0"/>
        <w:adjustRightInd w:val="0"/>
        <w:spacing w:after="120"/>
        <w:ind w:left="714" w:hanging="357"/>
        <w:contextualSpacing w:val="0"/>
        <w:rPr>
          <w:rFonts w:ascii="Verdana" w:hAnsi="Verdana" w:cs="Verdana"/>
        </w:rPr>
      </w:pPr>
      <w:r w:rsidRPr="007E33E3">
        <w:rPr>
          <w:rFonts w:ascii="Verdana" w:hAnsi="Verdana" w:cs="Verdana"/>
        </w:rPr>
        <w:t xml:space="preserve">Metropolitan authorities and organized agglomerations </w:t>
      </w:r>
      <w:r w:rsidR="009167B5" w:rsidRPr="007E33E3">
        <w:rPr>
          <w:rFonts w:ascii="Verdana" w:hAnsi="Verdana" w:cs="Verdana"/>
        </w:rPr>
        <w:t>in cases where</w:t>
      </w:r>
      <w:r w:rsidRPr="007E33E3">
        <w:rPr>
          <w:rFonts w:ascii="Verdana" w:hAnsi="Verdana" w:cs="Verdana"/>
        </w:rPr>
        <w:t xml:space="preserve"> they are</w:t>
      </w:r>
      <w:r w:rsidR="009167B5" w:rsidRPr="007E33E3">
        <w:rPr>
          <w:rFonts w:ascii="Verdana" w:hAnsi="Verdana" w:cs="Verdana"/>
        </w:rPr>
        <w:t xml:space="preserve"> represented by a politico-administrative institution</w:t>
      </w:r>
      <w:r w:rsidRPr="007E33E3">
        <w:rPr>
          <w:rFonts w:ascii="Verdana" w:hAnsi="Verdana" w:cs="Verdana"/>
        </w:rPr>
        <w:t xml:space="preserve"> having delegated competences for policy-making and implementation in the policy area covered by the URBACT network concerned.</w:t>
      </w:r>
    </w:p>
    <w:p w:rsidR="00E3226F" w:rsidRPr="007E33E3" w:rsidRDefault="002E5CA7" w:rsidP="00E60AC2">
      <w:pPr>
        <w:widowControl w:val="0"/>
        <w:autoSpaceDE w:val="0"/>
        <w:autoSpaceDN w:val="0"/>
        <w:adjustRightInd w:val="0"/>
        <w:spacing w:after="120" w:line="276" w:lineRule="auto"/>
        <w:jc w:val="both"/>
        <w:rPr>
          <w:rFonts w:ascii="Verdana" w:eastAsia="Calibri" w:hAnsi="Verdana" w:cs="Arial"/>
          <w:sz w:val="22"/>
          <w:szCs w:val="22"/>
        </w:rPr>
      </w:pPr>
      <w:r w:rsidRPr="007E33E3">
        <w:rPr>
          <w:rFonts w:ascii="Verdana" w:eastAsia="Calibri" w:hAnsi="Verdana" w:cs="Verdana"/>
          <w:sz w:val="22"/>
          <w:szCs w:val="22"/>
        </w:rPr>
        <w:t xml:space="preserve">In addition, a number of non-city partners </w:t>
      </w:r>
      <w:r w:rsidR="00155DD3" w:rsidRPr="007E33E3">
        <w:rPr>
          <w:rFonts w:ascii="Verdana" w:eastAsia="Calibri" w:hAnsi="Verdana" w:cs="Verdana"/>
          <w:sz w:val="22"/>
          <w:szCs w:val="22"/>
        </w:rPr>
        <w:t>are</w:t>
      </w:r>
      <w:r w:rsidRPr="007E33E3">
        <w:rPr>
          <w:rFonts w:ascii="Verdana" w:eastAsia="Calibri" w:hAnsi="Verdana" w:cs="Verdana"/>
          <w:sz w:val="22"/>
          <w:szCs w:val="22"/>
        </w:rPr>
        <w:t xml:space="preserve"> eligible </w:t>
      </w:r>
      <w:r w:rsidRPr="007E33E3">
        <w:rPr>
          <w:rFonts w:ascii="Verdana" w:eastAsia="Calibri" w:hAnsi="Verdana" w:cs="Verdana"/>
          <w:sz w:val="22"/>
          <w:szCs w:val="22"/>
          <w:u w:val="single"/>
        </w:rPr>
        <w:t>for</w:t>
      </w:r>
      <w:r w:rsidRPr="007E33E3">
        <w:rPr>
          <w:rFonts w:ascii="Verdana" w:eastAsia="Calibri" w:hAnsi="Verdana" w:cs="Verdana"/>
          <w:sz w:val="22"/>
          <w:szCs w:val="22"/>
        </w:rPr>
        <w:t xml:space="preserve"> actions implemented under Objective 2. The list of other eligible beneficiaries is defined as follows:</w:t>
      </w:r>
    </w:p>
    <w:p w:rsidR="00E3226F" w:rsidRPr="007E33E3" w:rsidRDefault="00E3226F" w:rsidP="008166DD">
      <w:pPr>
        <w:pStyle w:val="Akapitzlist"/>
        <w:widowControl w:val="0"/>
        <w:numPr>
          <w:ilvl w:val="0"/>
          <w:numId w:val="27"/>
        </w:numPr>
        <w:tabs>
          <w:tab w:val="left" w:pos="940"/>
          <w:tab w:val="left" w:pos="1440"/>
        </w:tabs>
        <w:autoSpaceDE w:val="0"/>
        <w:autoSpaceDN w:val="0"/>
        <w:adjustRightInd w:val="0"/>
        <w:spacing w:after="120"/>
        <w:ind w:left="714" w:hanging="357"/>
        <w:contextualSpacing w:val="0"/>
        <w:rPr>
          <w:rFonts w:ascii="Verdana" w:hAnsi="Verdana" w:cs="Arial"/>
        </w:rPr>
      </w:pPr>
      <w:r w:rsidRPr="007E33E3">
        <w:rPr>
          <w:rFonts w:ascii="Verdana" w:hAnsi="Verdana" w:cs="Verdana"/>
        </w:rPr>
        <w:t xml:space="preserve">Local agencies defined as public or semi-public organisations set up by a city, </w:t>
      </w:r>
      <w:r w:rsidRPr="007E33E3">
        <w:rPr>
          <w:rFonts w:ascii="Verdana" w:hAnsi="Verdana" w:cs="Arial"/>
        </w:rPr>
        <w:t>partially or fully owned by the city authority, responsible for the design and implementation of specific policies (economic development, energy supply, health services, transport, etc.)</w:t>
      </w:r>
    </w:p>
    <w:p w:rsidR="00E3226F" w:rsidRPr="007E33E3" w:rsidRDefault="00E3226F" w:rsidP="008166DD">
      <w:pPr>
        <w:pStyle w:val="Akapitzlist"/>
        <w:widowControl w:val="0"/>
        <w:numPr>
          <w:ilvl w:val="0"/>
          <w:numId w:val="27"/>
        </w:numPr>
        <w:tabs>
          <w:tab w:val="left" w:pos="940"/>
          <w:tab w:val="left" w:pos="1440"/>
        </w:tabs>
        <w:autoSpaceDE w:val="0"/>
        <w:autoSpaceDN w:val="0"/>
        <w:adjustRightInd w:val="0"/>
        <w:spacing w:after="120"/>
        <w:ind w:left="714" w:hanging="357"/>
        <w:contextualSpacing w:val="0"/>
        <w:rPr>
          <w:rFonts w:ascii="Verdana" w:hAnsi="Verdana" w:cs="Arial"/>
        </w:rPr>
      </w:pPr>
      <w:r w:rsidRPr="007E33E3">
        <w:rPr>
          <w:rFonts w:ascii="Verdana" w:hAnsi="Verdana" w:cs="Verdana"/>
        </w:rPr>
        <w:t>Provincial, regional and national authorities, as far as urban issues are concerned;</w:t>
      </w:r>
    </w:p>
    <w:p w:rsidR="00E3226F" w:rsidRPr="007E33E3" w:rsidRDefault="00E3226F" w:rsidP="008166DD">
      <w:pPr>
        <w:pStyle w:val="Akapitzlist"/>
        <w:widowControl w:val="0"/>
        <w:numPr>
          <w:ilvl w:val="0"/>
          <w:numId w:val="27"/>
        </w:numPr>
        <w:tabs>
          <w:tab w:val="left" w:pos="940"/>
          <w:tab w:val="left" w:pos="1440"/>
        </w:tabs>
        <w:autoSpaceDE w:val="0"/>
        <w:autoSpaceDN w:val="0"/>
        <w:adjustRightInd w:val="0"/>
        <w:spacing w:after="120"/>
        <w:ind w:left="714" w:hanging="357"/>
        <w:contextualSpacing w:val="0"/>
        <w:rPr>
          <w:rFonts w:ascii="Verdana" w:hAnsi="Verdana" w:cs="Arial"/>
        </w:rPr>
      </w:pPr>
      <w:r w:rsidRPr="007E33E3">
        <w:rPr>
          <w:rFonts w:ascii="Verdana" w:hAnsi="Verdana" w:cs="Verdana"/>
        </w:rPr>
        <w:t>Universities and research centres, as far as urban issues are concerned</w:t>
      </w:r>
    </w:p>
    <w:p w:rsidR="00E3226F" w:rsidRPr="007E33E3" w:rsidRDefault="00E3226F" w:rsidP="00E60AC2">
      <w:pPr>
        <w:spacing w:after="120" w:line="276" w:lineRule="auto"/>
        <w:rPr>
          <w:rFonts w:ascii="Verdana" w:eastAsia="Calibri" w:hAnsi="Verdana" w:cs="Verdana"/>
          <w:sz w:val="22"/>
          <w:szCs w:val="22"/>
        </w:rPr>
      </w:pPr>
    </w:p>
    <w:p w:rsidR="009167B5" w:rsidRPr="007E33E3" w:rsidRDefault="00155DD3" w:rsidP="00E60AC2">
      <w:pPr>
        <w:spacing w:after="120" w:line="276" w:lineRule="auto"/>
        <w:jc w:val="both"/>
        <w:rPr>
          <w:rFonts w:ascii="Verdana" w:eastAsia="Calibri" w:hAnsi="Verdana" w:cs="Verdana"/>
          <w:sz w:val="22"/>
          <w:szCs w:val="22"/>
        </w:rPr>
      </w:pPr>
      <w:r w:rsidRPr="007E33E3">
        <w:rPr>
          <w:rFonts w:ascii="Verdana" w:eastAsia="Calibri" w:hAnsi="Verdana" w:cs="Verdana"/>
          <w:sz w:val="22"/>
          <w:szCs w:val="22"/>
        </w:rPr>
        <w:t>P</w:t>
      </w:r>
      <w:r w:rsidR="002E5CA7" w:rsidRPr="007E33E3">
        <w:rPr>
          <w:rFonts w:ascii="Verdana" w:eastAsia="Calibri" w:hAnsi="Verdana" w:cs="Verdana"/>
          <w:sz w:val="22"/>
          <w:szCs w:val="22"/>
        </w:rPr>
        <w:t xml:space="preserve">riority </w:t>
      </w:r>
      <w:r w:rsidRPr="007E33E3">
        <w:rPr>
          <w:rFonts w:ascii="Verdana" w:eastAsia="Calibri" w:hAnsi="Verdana" w:cs="Verdana"/>
          <w:sz w:val="22"/>
          <w:szCs w:val="22"/>
        </w:rPr>
        <w:t>will</w:t>
      </w:r>
      <w:r w:rsidR="002E5CA7" w:rsidRPr="007E33E3">
        <w:rPr>
          <w:rFonts w:ascii="Verdana" w:eastAsia="Calibri" w:hAnsi="Verdana" w:cs="Verdana"/>
          <w:sz w:val="22"/>
          <w:szCs w:val="22"/>
        </w:rPr>
        <w:t xml:space="preserve"> be given to cities</w:t>
      </w:r>
      <w:r w:rsidRPr="007E33E3">
        <w:rPr>
          <w:rFonts w:ascii="Verdana" w:eastAsia="Calibri" w:hAnsi="Verdana" w:cs="Verdana"/>
          <w:sz w:val="22"/>
          <w:szCs w:val="22"/>
        </w:rPr>
        <w:t xml:space="preserve"> under Objective 2</w:t>
      </w:r>
      <w:r w:rsidR="002E5CA7" w:rsidRPr="007E33E3">
        <w:rPr>
          <w:rFonts w:ascii="Verdana" w:eastAsia="Calibri" w:hAnsi="Verdana" w:cs="Verdana"/>
          <w:sz w:val="22"/>
          <w:szCs w:val="22"/>
        </w:rPr>
        <w:t xml:space="preserve">. </w:t>
      </w:r>
      <w:r w:rsidRPr="007E33E3">
        <w:rPr>
          <w:rFonts w:ascii="Verdana" w:eastAsia="Calibri" w:hAnsi="Verdana" w:cs="Verdana"/>
          <w:sz w:val="22"/>
          <w:szCs w:val="22"/>
        </w:rPr>
        <w:t>T</w:t>
      </w:r>
      <w:r w:rsidR="002E5CA7" w:rsidRPr="007E33E3">
        <w:rPr>
          <w:rFonts w:ascii="Verdana" w:eastAsia="Calibri" w:hAnsi="Verdana" w:cs="Verdana"/>
          <w:sz w:val="22"/>
          <w:szCs w:val="22"/>
        </w:rPr>
        <w:t xml:space="preserve">he number of non-city partners in action-planning networks </w:t>
      </w:r>
      <w:r w:rsidRPr="007E33E3">
        <w:rPr>
          <w:rFonts w:ascii="Verdana" w:eastAsia="Calibri" w:hAnsi="Verdana" w:cs="Verdana"/>
          <w:sz w:val="22"/>
          <w:szCs w:val="22"/>
        </w:rPr>
        <w:t>will</w:t>
      </w:r>
      <w:r w:rsidR="002E5CA7" w:rsidRPr="007E33E3">
        <w:rPr>
          <w:rFonts w:ascii="Verdana" w:eastAsia="Calibri" w:hAnsi="Verdana" w:cs="Verdana"/>
          <w:sz w:val="22"/>
          <w:szCs w:val="22"/>
        </w:rPr>
        <w:t xml:space="preserve"> be limited. The maximum number of non-city partners </w:t>
      </w:r>
      <w:r w:rsidRPr="007E33E3">
        <w:rPr>
          <w:rFonts w:ascii="Verdana" w:eastAsia="Calibri" w:hAnsi="Verdana" w:cs="Verdana"/>
          <w:sz w:val="22"/>
          <w:szCs w:val="22"/>
        </w:rPr>
        <w:t>will</w:t>
      </w:r>
      <w:r w:rsidR="002E5CA7" w:rsidRPr="007E33E3">
        <w:rPr>
          <w:rFonts w:ascii="Verdana" w:eastAsia="Calibri" w:hAnsi="Verdana" w:cs="Verdana"/>
          <w:sz w:val="22"/>
          <w:szCs w:val="22"/>
        </w:rPr>
        <w:t xml:space="preserve"> be defined in the calls for proposals for the creation of action-planning networks.</w:t>
      </w:r>
    </w:p>
    <w:p w:rsidR="00F24251" w:rsidRPr="007E33E3" w:rsidRDefault="00F24251" w:rsidP="00E60AC2">
      <w:pPr>
        <w:spacing w:after="120" w:line="276" w:lineRule="auto"/>
        <w:rPr>
          <w:rFonts w:ascii="Verdana" w:hAnsi="Verdana"/>
          <w:sz w:val="22"/>
          <w:szCs w:val="22"/>
        </w:rPr>
      </w:pPr>
      <w:r w:rsidRPr="007E33E3">
        <w:rPr>
          <w:rFonts w:ascii="Verdana" w:hAnsi="Verdana"/>
          <w:sz w:val="22"/>
          <w:szCs w:val="22"/>
        </w:rPr>
        <w:t xml:space="preserve">Only public authorities and public equivalent bodies are eligible to </w:t>
      </w:r>
      <w:r w:rsidR="00155DD3" w:rsidRPr="007E33E3">
        <w:rPr>
          <w:rFonts w:ascii="Verdana" w:hAnsi="Verdana"/>
          <w:sz w:val="22"/>
          <w:szCs w:val="22"/>
        </w:rPr>
        <w:t xml:space="preserve">apply to </w:t>
      </w:r>
      <w:r w:rsidRPr="007E33E3">
        <w:rPr>
          <w:rFonts w:ascii="Verdana" w:hAnsi="Verdana"/>
          <w:sz w:val="22"/>
          <w:szCs w:val="22"/>
        </w:rPr>
        <w:t>the programme.</w:t>
      </w:r>
      <w:r w:rsidRPr="007E33E3">
        <w:rPr>
          <w:rStyle w:val="Odwoanieprzypisudolnego"/>
          <w:rFonts w:ascii="Verdana" w:eastAsia="Calibri" w:hAnsi="Verdana"/>
          <w:sz w:val="22"/>
          <w:szCs w:val="22"/>
        </w:rPr>
        <w:footnoteReference w:id="29"/>
      </w:r>
      <w:r w:rsidRPr="007E33E3">
        <w:rPr>
          <w:rFonts w:ascii="Verdana" w:hAnsi="Verdana"/>
          <w:sz w:val="22"/>
          <w:szCs w:val="22"/>
        </w:rPr>
        <w:t xml:space="preserve"> </w:t>
      </w:r>
    </w:p>
    <w:p w:rsidR="009167B5" w:rsidRPr="007E33E3" w:rsidRDefault="009167B5" w:rsidP="00E60AC2">
      <w:pPr>
        <w:spacing w:after="120" w:line="276" w:lineRule="auto"/>
        <w:ind w:right="566"/>
        <w:jc w:val="both"/>
        <w:rPr>
          <w:rFonts w:ascii="Verdana" w:hAnsi="Verdana"/>
          <w:b/>
          <w:sz w:val="22"/>
          <w:szCs w:val="22"/>
        </w:rPr>
      </w:pPr>
    </w:p>
    <w:p w:rsidR="00E21452" w:rsidRPr="00752222" w:rsidRDefault="00E21452" w:rsidP="00E60AC2">
      <w:pPr>
        <w:spacing w:after="120" w:line="276" w:lineRule="auto"/>
        <w:ind w:right="566"/>
        <w:jc w:val="both"/>
        <w:rPr>
          <w:rFonts w:ascii="Verdana" w:hAnsi="Verdana"/>
          <w:b/>
          <w:sz w:val="22"/>
          <w:szCs w:val="22"/>
          <w:u w:val="single"/>
        </w:rPr>
      </w:pPr>
      <w:r w:rsidRPr="00752222">
        <w:rPr>
          <w:rFonts w:ascii="Verdana" w:hAnsi="Verdana"/>
          <w:b/>
          <w:sz w:val="22"/>
          <w:szCs w:val="22"/>
        </w:rPr>
        <w:t xml:space="preserve">c/ </w:t>
      </w:r>
      <w:r w:rsidR="00752222" w:rsidRPr="00752222">
        <w:rPr>
          <w:rFonts w:ascii="Verdana" w:hAnsi="Verdana"/>
          <w:b/>
          <w:sz w:val="22"/>
          <w:szCs w:val="22"/>
        </w:rPr>
        <w:t>Networking to i</w:t>
      </w:r>
      <w:r w:rsidRPr="00752222">
        <w:rPr>
          <w:rFonts w:ascii="Verdana" w:hAnsi="Verdana"/>
          <w:b/>
          <w:sz w:val="22"/>
          <w:szCs w:val="22"/>
        </w:rPr>
        <w:t>mprov</w:t>
      </w:r>
      <w:r w:rsidR="00752222" w:rsidRPr="00752222">
        <w:rPr>
          <w:rFonts w:ascii="Verdana" w:hAnsi="Verdana"/>
          <w:b/>
          <w:sz w:val="22"/>
          <w:szCs w:val="22"/>
        </w:rPr>
        <w:t>e</w:t>
      </w:r>
      <w:r w:rsidRPr="00752222">
        <w:rPr>
          <w:rFonts w:ascii="Verdana" w:hAnsi="Verdana"/>
          <w:b/>
          <w:sz w:val="22"/>
          <w:szCs w:val="22"/>
        </w:rPr>
        <w:t xml:space="preserve"> the implementation of sustainable urban </w:t>
      </w:r>
      <w:r w:rsidR="00B60653">
        <w:rPr>
          <w:rFonts w:ascii="Verdana" w:hAnsi="Verdana"/>
          <w:b/>
          <w:sz w:val="22"/>
          <w:szCs w:val="22"/>
        </w:rPr>
        <w:t>policies</w:t>
      </w:r>
      <w:r w:rsidRPr="00752222">
        <w:rPr>
          <w:rFonts w:ascii="Verdana" w:hAnsi="Verdana"/>
          <w:b/>
          <w:sz w:val="22"/>
          <w:szCs w:val="22"/>
        </w:rPr>
        <w:t xml:space="preserve"> (specific objective 3)</w:t>
      </w:r>
    </w:p>
    <w:p w:rsidR="00E21452" w:rsidRPr="007E33E3" w:rsidRDefault="00E21452" w:rsidP="00E60AC2">
      <w:pPr>
        <w:spacing w:after="120" w:line="276" w:lineRule="auto"/>
        <w:ind w:right="566"/>
        <w:jc w:val="both"/>
        <w:rPr>
          <w:rFonts w:ascii="Verdana" w:hAnsi="Verdana"/>
          <w:b/>
          <w:sz w:val="22"/>
          <w:szCs w:val="22"/>
          <w:u w:val="single"/>
        </w:rPr>
      </w:pPr>
    </w:p>
    <w:p w:rsidR="009167B5" w:rsidRPr="003B7BFA" w:rsidRDefault="00E21452" w:rsidP="00E60AC2">
      <w:pPr>
        <w:spacing w:after="120" w:line="276" w:lineRule="auto"/>
        <w:ind w:right="566"/>
        <w:jc w:val="both"/>
        <w:rPr>
          <w:rFonts w:ascii="Verdana" w:hAnsi="Verdana"/>
          <w:b/>
          <w:i/>
          <w:sz w:val="22"/>
          <w:szCs w:val="22"/>
          <w:u w:val="single"/>
        </w:rPr>
      </w:pPr>
      <w:r w:rsidRPr="003B7BFA">
        <w:rPr>
          <w:rFonts w:ascii="Verdana" w:hAnsi="Verdana"/>
          <w:b/>
          <w:i/>
          <w:sz w:val="22"/>
          <w:szCs w:val="22"/>
          <w:u w:val="single"/>
        </w:rPr>
        <w:t>Contribution of activities to specific objective 3</w:t>
      </w:r>
    </w:p>
    <w:p w:rsidR="003F234F" w:rsidRPr="007E33E3" w:rsidRDefault="003F234F" w:rsidP="00E60AC2">
      <w:pPr>
        <w:spacing w:after="120" w:line="276" w:lineRule="auto"/>
        <w:ind w:right="566"/>
        <w:jc w:val="both"/>
        <w:rPr>
          <w:rFonts w:ascii="Verdana" w:hAnsi="Verdana"/>
          <w:sz w:val="22"/>
          <w:szCs w:val="22"/>
          <w:u w:val="single"/>
        </w:rPr>
      </w:pPr>
    </w:p>
    <w:p w:rsidR="00E21452" w:rsidRPr="007E33E3" w:rsidRDefault="009167B5" w:rsidP="00E60AC2">
      <w:pPr>
        <w:spacing w:after="120" w:line="276" w:lineRule="auto"/>
        <w:ind w:right="566"/>
        <w:jc w:val="both"/>
        <w:rPr>
          <w:rFonts w:ascii="Verdana" w:hAnsi="Verdana"/>
          <w:sz w:val="22"/>
          <w:szCs w:val="22"/>
        </w:rPr>
      </w:pPr>
      <w:r w:rsidRPr="007E33E3">
        <w:rPr>
          <w:rFonts w:ascii="Verdana" w:hAnsi="Verdana"/>
          <w:sz w:val="22"/>
          <w:szCs w:val="22"/>
        </w:rPr>
        <w:t>T</w:t>
      </w:r>
      <w:r w:rsidR="00E21452" w:rsidRPr="007E33E3">
        <w:rPr>
          <w:rFonts w:ascii="Verdana" w:hAnsi="Verdana"/>
          <w:sz w:val="22"/>
          <w:szCs w:val="22"/>
        </w:rPr>
        <w:t>he programme will support the implementation of integrated strategies and action plans for sustainable urban development in European cities. This will be mainly achieved through “Implementation networks” dedicated to cities implementing integrated urban strategies/ action plans with secured funds</w:t>
      </w:r>
      <w:r w:rsidR="00E21452" w:rsidRPr="007E33E3">
        <w:rPr>
          <w:rStyle w:val="Odwoanieprzypisudolnego"/>
          <w:rFonts w:ascii="Verdana" w:eastAsia="Calibri" w:hAnsi="Verdana"/>
          <w:sz w:val="22"/>
          <w:szCs w:val="22"/>
        </w:rPr>
        <w:footnoteReference w:id="30"/>
      </w:r>
      <w:r w:rsidR="00E21452" w:rsidRPr="007E33E3">
        <w:rPr>
          <w:rFonts w:ascii="Verdana" w:hAnsi="Verdana"/>
          <w:sz w:val="22"/>
          <w:szCs w:val="22"/>
        </w:rPr>
        <w:t xml:space="preserve"> and through “Transfer networks” which support the re-use of a good practice already implemented in a city (and </w:t>
      </w:r>
      <w:r w:rsidR="009F6D02" w:rsidRPr="007E33E3">
        <w:rPr>
          <w:rFonts w:ascii="Verdana" w:hAnsi="Verdana"/>
          <w:sz w:val="22"/>
          <w:szCs w:val="22"/>
        </w:rPr>
        <w:t xml:space="preserve">the </w:t>
      </w:r>
      <w:r w:rsidR="00E21452" w:rsidRPr="007E33E3">
        <w:rPr>
          <w:rFonts w:ascii="Verdana" w:hAnsi="Verdana"/>
          <w:sz w:val="22"/>
          <w:szCs w:val="22"/>
        </w:rPr>
        <w:t>subsequent enhancement of the good practice building on lessons learnt through the re-use).</w:t>
      </w:r>
    </w:p>
    <w:p w:rsidR="00E21452" w:rsidRPr="007E33E3" w:rsidRDefault="00E21452" w:rsidP="00E60AC2">
      <w:pPr>
        <w:spacing w:after="120" w:line="276" w:lineRule="auto"/>
        <w:ind w:right="566"/>
        <w:jc w:val="both"/>
        <w:rPr>
          <w:rFonts w:ascii="Verdana" w:hAnsi="Verdana"/>
          <w:sz w:val="22"/>
          <w:szCs w:val="22"/>
        </w:rPr>
      </w:pPr>
      <w:r w:rsidRPr="007E33E3">
        <w:rPr>
          <w:rFonts w:ascii="Verdana" w:hAnsi="Verdana"/>
          <w:sz w:val="22"/>
          <w:szCs w:val="22"/>
        </w:rPr>
        <w:t xml:space="preserve">Implementation networks will allow cities to share challenges and solutions, </w:t>
      </w:r>
      <w:r w:rsidR="009F6D02" w:rsidRPr="007E33E3">
        <w:rPr>
          <w:rFonts w:ascii="Verdana" w:hAnsi="Verdana"/>
          <w:sz w:val="22"/>
          <w:szCs w:val="22"/>
        </w:rPr>
        <w:t xml:space="preserve">to </w:t>
      </w:r>
      <w:r w:rsidRPr="007E33E3">
        <w:rPr>
          <w:rFonts w:ascii="Verdana" w:hAnsi="Verdana"/>
          <w:sz w:val="22"/>
          <w:szCs w:val="22"/>
        </w:rPr>
        <w:t xml:space="preserve">support one another to ensure an efficient implementation process, </w:t>
      </w:r>
      <w:r w:rsidR="009F6D02" w:rsidRPr="007E33E3">
        <w:rPr>
          <w:rFonts w:ascii="Verdana" w:hAnsi="Verdana"/>
          <w:sz w:val="22"/>
          <w:szCs w:val="22"/>
        </w:rPr>
        <w:t xml:space="preserve">to </w:t>
      </w:r>
      <w:r w:rsidRPr="007E33E3">
        <w:rPr>
          <w:rFonts w:ascii="Verdana" w:hAnsi="Verdana"/>
          <w:sz w:val="22"/>
          <w:szCs w:val="22"/>
        </w:rPr>
        <w:t>draw lessons out of their experience and share results. Transnational exchange will focus on issues related to the implementation</w:t>
      </w:r>
      <w:r w:rsidR="009F6D02" w:rsidRPr="007E33E3">
        <w:rPr>
          <w:rFonts w:ascii="Verdana" w:hAnsi="Verdana"/>
          <w:sz w:val="22"/>
          <w:szCs w:val="22"/>
        </w:rPr>
        <w:t xml:space="preserve"> of integrated strategies/ action plans</w:t>
      </w:r>
      <w:r w:rsidRPr="007E33E3">
        <w:rPr>
          <w:rFonts w:ascii="Verdana" w:hAnsi="Verdana"/>
          <w:sz w:val="22"/>
          <w:szCs w:val="22"/>
        </w:rPr>
        <w:t xml:space="preserve"> (e.g. </w:t>
      </w:r>
      <w:r w:rsidRPr="007E33E3">
        <w:rPr>
          <w:rFonts w:ascii="Verdana" w:hAnsi="Verdana" w:cs="Arial"/>
          <w:sz w:val="22"/>
          <w:szCs w:val="22"/>
        </w:rPr>
        <w:t>steering, funding, monitoring</w:t>
      </w:r>
      <w:r w:rsidRPr="007E33E3">
        <w:rPr>
          <w:rFonts w:ascii="Verdana" w:hAnsi="Verdana"/>
          <w:sz w:val="22"/>
          <w:szCs w:val="22"/>
        </w:rPr>
        <w:t>, etc.).</w:t>
      </w:r>
    </w:p>
    <w:p w:rsidR="00E21452" w:rsidRPr="007E33E3" w:rsidRDefault="00E21452" w:rsidP="00E60AC2">
      <w:pPr>
        <w:spacing w:after="120" w:line="276" w:lineRule="auto"/>
        <w:ind w:right="566"/>
        <w:jc w:val="both"/>
        <w:rPr>
          <w:rFonts w:ascii="Verdana" w:hAnsi="Verdana"/>
          <w:sz w:val="22"/>
          <w:szCs w:val="22"/>
        </w:rPr>
      </w:pPr>
    </w:p>
    <w:p w:rsidR="003F234F" w:rsidRDefault="003F234F">
      <w:pPr>
        <w:rPr>
          <w:rFonts w:ascii="Verdana" w:hAnsi="Verdana"/>
          <w:i/>
          <w:sz w:val="22"/>
          <w:szCs w:val="22"/>
          <w:u w:val="single"/>
        </w:rPr>
      </w:pPr>
      <w:r>
        <w:rPr>
          <w:rFonts w:ascii="Verdana" w:hAnsi="Verdana"/>
          <w:i/>
          <w:sz w:val="22"/>
          <w:szCs w:val="22"/>
          <w:u w:val="single"/>
        </w:rPr>
        <w:br w:type="page"/>
      </w:r>
    </w:p>
    <w:p w:rsidR="009167B5" w:rsidRPr="007E33E3" w:rsidRDefault="009167B5" w:rsidP="00E60AC2">
      <w:pPr>
        <w:spacing w:after="120" w:line="276" w:lineRule="auto"/>
        <w:ind w:right="566"/>
        <w:jc w:val="both"/>
        <w:rPr>
          <w:rFonts w:ascii="Verdana" w:hAnsi="Verdana"/>
          <w:i/>
          <w:sz w:val="22"/>
          <w:szCs w:val="22"/>
          <w:u w:val="single"/>
        </w:rPr>
      </w:pPr>
      <w:r w:rsidRPr="007E33E3">
        <w:rPr>
          <w:rFonts w:ascii="Verdana" w:hAnsi="Verdana"/>
          <w:i/>
          <w:sz w:val="22"/>
          <w:szCs w:val="22"/>
          <w:u w:val="single"/>
        </w:rPr>
        <w:t>Actions</w:t>
      </w:r>
    </w:p>
    <w:p w:rsidR="009167B5" w:rsidRPr="007E33E3" w:rsidRDefault="009167B5" w:rsidP="00E60AC2">
      <w:pPr>
        <w:spacing w:after="120" w:line="276" w:lineRule="auto"/>
        <w:ind w:right="566"/>
        <w:jc w:val="both"/>
        <w:rPr>
          <w:rFonts w:ascii="Verdana" w:hAnsi="Verdana"/>
          <w:sz w:val="22"/>
          <w:szCs w:val="22"/>
        </w:rPr>
      </w:pPr>
    </w:p>
    <w:p w:rsidR="00E73A82" w:rsidRPr="007E33E3" w:rsidRDefault="002E5CA7" w:rsidP="00E60AC2">
      <w:pPr>
        <w:spacing w:after="120" w:line="276" w:lineRule="auto"/>
        <w:ind w:right="566"/>
        <w:jc w:val="both"/>
        <w:rPr>
          <w:rFonts w:ascii="Verdana" w:hAnsi="Verdana"/>
          <w:sz w:val="22"/>
          <w:szCs w:val="22"/>
          <w:u w:val="single"/>
        </w:rPr>
      </w:pPr>
      <w:r w:rsidRPr="007E33E3">
        <w:rPr>
          <w:rFonts w:ascii="Verdana" w:hAnsi="Verdana"/>
          <w:sz w:val="22"/>
          <w:szCs w:val="22"/>
        </w:rPr>
        <w:t>The main actions that can be supported under Implementation networks are the following (indicative list):</w:t>
      </w:r>
    </w:p>
    <w:p w:rsidR="00E21452" w:rsidRPr="007E33E3" w:rsidRDefault="00E21452" w:rsidP="008166DD">
      <w:pPr>
        <w:numPr>
          <w:ilvl w:val="0"/>
          <w:numId w:val="28"/>
        </w:numPr>
        <w:spacing w:after="120" w:line="276" w:lineRule="auto"/>
        <w:ind w:left="714" w:right="567" w:hanging="357"/>
        <w:jc w:val="both"/>
        <w:rPr>
          <w:rFonts w:ascii="Verdana" w:hAnsi="Verdana"/>
          <w:sz w:val="22"/>
          <w:szCs w:val="22"/>
        </w:rPr>
      </w:pPr>
      <w:r w:rsidRPr="007E33E3">
        <w:rPr>
          <w:rFonts w:ascii="Verdana" w:hAnsi="Verdana"/>
          <w:sz w:val="22"/>
          <w:szCs w:val="22"/>
        </w:rPr>
        <w:t>Transnational exchange seminars, including study visits, staff exchange, peer-reviews, etc.</w:t>
      </w:r>
    </w:p>
    <w:p w:rsidR="00E21452" w:rsidRPr="007E33E3" w:rsidRDefault="00E21452" w:rsidP="008166DD">
      <w:pPr>
        <w:numPr>
          <w:ilvl w:val="0"/>
          <w:numId w:val="28"/>
        </w:numPr>
        <w:spacing w:after="120" w:line="276" w:lineRule="auto"/>
        <w:ind w:left="714" w:right="567" w:hanging="357"/>
        <w:jc w:val="both"/>
        <w:rPr>
          <w:rFonts w:ascii="Verdana" w:hAnsi="Verdana"/>
          <w:sz w:val="22"/>
          <w:szCs w:val="22"/>
        </w:rPr>
      </w:pPr>
      <w:r w:rsidRPr="007E33E3">
        <w:rPr>
          <w:rFonts w:ascii="Verdana" w:hAnsi="Verdana"/>
          <w:sz w:val="22"/>
          <w:szCs w:val="22"/>
        </w:rPr>
        <w:t xml:space="preserve">Use of monitoring tools </w:t>
      </w:r>
    </w:p>
    <w:p w:rsidR="00E21452" w:rsidRPr="007E33E3" w:rsidRDefault="00E21452" w:rsidP="008166DD">
      <w:pPr>
        <w:numPr>
          <w:ilvl w:val="0"/>
          <w:numId w:val="28"/>
        </w:numPr>
        <w:spacing w:after="120" w:line="276" w:lineRule="auto"/>
        <w:ind w:left="714" w:right="567" w:hanging="357"/>
        <w:jc w:val="both"/>
        <w:rPr>
          <w:rFonts w:ascii="Verdana" w:hAnsi="Verdana"/>
          <w:sz w:val="22"/>
          <w:szCs w:val="22"/>
        </w:rPr>
      </w:pPr>
      <w:r w:rsidRPr="007E33E3">
        <w:rPr>
          <w:rFonts w:ascii="Verdana" w:hAnsi="Verdana"/>
          <w:sz w:val="22"/>
          <w:szCs w:val="22"/>
        </w:rPr>
        <w:t>Setting up and running local partnerships involving stakeholders to ensure a participatory and integrated approach in the implementation</w:t>
      </w:r>
    </w:p>
    <w:p w:rsidR="00E21452" w:rsidRPr="007E33E3" w:rsidRDefault="00E21452" w:rsidP="008166DD">
      <w:pPr>
        <w:numPr>
          <w:ilvl w:val="0"/>
          <w:numId w:val="28"/>
        </w:numPr>
        <w:spacing w:after="120" w:line="276" w:lineRule="auto"/>
        <w:ind w:left="714" w:right="567" w:hanging="357"/>
        <w:jc w:val="both"/>
        <w:rPr>
          <w:rFonts w:ascii="Verdana" w:hAnsi="Verdana"/>
          <w:sz w:val="22"/>
          <w:szCs w:val="22"/>
        </w:rPr>
      </w:pPr>
      <w:r w:rsidRPr="007E33E3">
        <w:rPr>
          <w:rFonts w:ascii="Verdana" w:hAnsi="Verdana"/>
          <w:sz w:val="22"/>
          <w:szCs w:val="22"/>
        </w:rPr>
        <w:t>Communication on network activities and results</w:t>
      </w:r>
    </w:p>
    <w:p w:rsidR="00E21452" w:rsidRPr="007E33E3" w:rsidRDefault="00E21452" w:rsidP="008166DD">
      <w:pPr>
        <w:numPr>
          <w:ilvl w:val="0"/>
          <w:numId w:val="28"/>
        </w:numPr>
        <w:spacing w:after="120" w:line="276" w:lineRule="auto"/>
        <w:ind w:left="714" w:right="567" w:hanging="357"/>
        <w:jc w:val="both"/>
        <w:rPr>
          <w:rFonts w:ascii="Verdana" w:hAnsi="Verdana"/>
          <w:sz w:val="22"/>
          <w:szCs w:val="22"/>
        </w:rPr>
      </w:pPr>
      <w:r w:rsidRPr="007E33E3">
        <w:rPr>
          <w:rFonts w:ascii="Verdana" w:hAnsi="Verdana"/>
          <w:sz w:val="22"/>
          <w:szCs w:val="22"/>
        </w:rPr>
        <w:t>Expertise to support partner cities in implementing integrated urban strategies/ actions.</w:t>
      </w:r>
    </w:p>
    <w:p w:rsidR="001769A5" w:rsidRPr="007E33E3" w:rsidRDefault="001769A5" w:rsidP="00E60AC2">
      <w:pPr>
        <w:spacing w:after="120" w:line="276" w:lineRule="auto"/>
        <w:ind w:right="566"/>
        <w:jc w:val="both"/>
        <w:rPr>
          <w:rFonts w:ascii="Verdana" w:hAnsi="Verdana"/>
          <w:sz w:val="22"/>
          <w:szCs w:val="22"/>
        </w:rPr>
      </w:pPr>
    </w:p>
    <w:p w:rsidR="003910DB" w:rsidRPr="007E33E3" w:rsidRDefault="002E5CA7" w:rsidP="00E60AC2">
      <w:pPr>
        <w:spacing w:after="120" w:line="276" w:lineRule="auto"/>
        <w:ind w:right="566"/>
        <w:jc w:val="both"/>
        <w:rPr>
          <w:rFonts w:ascii="Verdana" w:hAnsi="Verdana"/>
          <w:sz w:val="22"/>
          <w:szCs w:val="22"/>
          <w:u w:val="single"/>
        </w:rPr>
      </w:pPr>
      <w:r w:rsidRPr="007E33E3">
        <w:rPr>
          <w:rFonts w:ascii="Verdana" w:hAnsi="Verdana"/>
          <w:sz w:val="22"/>
          <w:szCs w:val="22"/>
        </w:rPr>
        <w:t>The main actions that can be supported under Transfer networks are the following (indicative list):</w:t>
      </w:r>
    </w:p>
    <w:p w:rsidR="000F0345" w:rsidRPr="007E33E3" w:rsidRDefault="000F0345" w:rsidP="008166DD">
      <w:pPr>
        <w:numPr>
          <w:ilvl w:val="0"/>
          <w:numId w:val="29"/>
        </w:numPr>
        <w:spacing w:after="120" w:line="276" w:lineRule="auto"/>
        <w:ind w:right="567"/>
        <w:jc w:val="both"/>
        <w:rPr>
          <w:rFonts w:ascii="Verdana" w:hAnsi="Verdana"/>
          <w:sz w:val="22"/>
          <w:szCs w:val="22"/>
        </w:rPr>
      </w:pPr>
      <w:r w:rsidRPr="007E33E3">
        <w:rPr>
          <w:rFonts w:ascii="Verdana" w:hAnsi="Verdana"/>
          <w:sz w:val="22"/>
          <w:szCs w:val="22"/>
        </w:rPr>
        <w:t>Production of baseline with the description of the practice to be transferred and the context of transfer for all cities</w:t>
      </w:r>
    </w:p>
    <w:p w:rsidR="000F0345" w:rsidRPr="007E33E3" w:rsidRDefault="000F0345" w:rsidP="008166DD">
      <w:pPr>
        <w:numPr>
          <w:ilvl w:val="0"/>
          <w:numId w:val="29"/>
        </w:numPr>
        <w:spacing w:after="120" w:line="276" w:lineRule="auto"/>
        <w:ind w:right="567"/>
        <w:jc w:val="both"/>
        <w:rPr>
          <w:rFonts w:ascii="Verdana" w:hAnsi="Verdana"/>
          <w:sz w:val="22"/>
          <w:szCs w:val="22"/>
        </w:rPr>
      </w:pPr>
      <w:r w:rsidRPr="007E33E3">
        <w:rPr>
          <w:rFonts w:ascii="Verdana" w:hAnsi="Verdana"/>
          <w:sz w:val="22"/>
          <w:szCs w:val="22"/>
        </w:rPr>
        <w:t>Transnational exchange seminars, including study visits, peer-reviews, etc.</w:t>
      </w:r>
    </w:p>
    <w:p w:rsidR="000F0345" w:rsidRPr="007E33E3" w:rsidRDefault="000F0345" w:rsidP="008166DD">
      <w:pPr>
        <w:numPr>
          <w:ilvl w:val="0"/>
          <w:numId w:val="29"/>
        </w:numPr>
        <w:spacing w:after="120" w:line="276" w:lineRule="auto"/>
        <w:ind w:right="567"/>
        <w:jc w:val="both"/>
        <w:rPr>
          <w:rFonts w:ascii="Verdana" w:hAnsi="Verdana"/>
          <w:sz w:val="22"/>
          <w:szCs w:val="22"/>
        </w:rPr>
      </w:pPr>
      <w:r w:rsidRPr="007E33E3">
        <w:rPr>
          <w:rFonts w:ascii="Verdana" w:hAnsi="Verdana"/>
          <w:sz w:val="22"/>
          <w:szCs w:val="22"/>
        </w:rPr>
        <w:t xml:space="preserve">Setting up and running local partnerships involving stakeholders to ensure a participatory and integrated approach </w:t>
      </w:r>
    </w:p>
    <w:p w:rsidR="000F0345" w:rsidRPr="007E33E3" w:rsidRDefault="000F0345" w:rsidP="008166DD">
      <w:pPr>
        <w:numPr>
          <w:ilvl w:val="0"/>
          <w:numId w:val="29"/>
        </w:numPr>
        <w:spacing w:after="120" w:line="276" w:lineRule="auto"/>
        <w:ind w:right="567"/>
        <w:jc w:val="both"/>
        <w:rPr>
          <w:rFonts w:ascii="Verdana" w:hAnsi="Verdana"/>
          <w:sz w:val="22"/>
          <w:szCs w:val="22"/>
        </w:rPr>
      </w:pPr>
      <w:r w:rsidRPr="007E33E3">
        <w:rPr>
          <w:rFonts w:ascii="Verdana" w:hAnsi="Verdana"/>
          <w:sz w:val="22"/>
          <w:szCs w:val="22"/>
        </w:rPr>
        <w:t>Communication on network activities and results</w:t>
      </w:r>
    </w:p>
    <w:p w:rsidR="000F0345" w:rsidRPr="007E33E3" w:rsidRDefault="000F0345" w:rsidP="008166DD">
      <w:pPr>
        <w:numPr>
          <w:ilvl w:val="0"/>
          <w:numId w:val="29"/>
        </w:numPr>
        <w:spacing w:after="120" w:line="276" w:lineRule="auto"/>
        <w:ind w:right="567"/>
        <w:jc w:val="both"/>
        <w:rPr>
          <w:rFonts w:ascii="Verdana" w:hAnsi="Verdana"/>
          <w:sz w:val="22"/>
          <w:szCs w:val="22"/>
        </w:rPr>
      </w:pPr>
      <w:r w:rsidRPr="007E33E3">
        <w:rPr>
          <w:rFonts w:ascii="Verdana" w:hAnsi="Verdana"/>
          <w:sz w:val="22"/>
          <w:szCs w:val="22"/>
        </w:rPr>
        <w:t>Expertise to support partner cities, to monitor and assess the transfer of the good practice in each city.</w:t>
      </w:r>
    </w:p>
    <w:p w:rsidR="000F0345" w:rsidRPr="007E33E3" w:rsidRDefault="000F0345" w:rsidP="00E60AC2">
      <w:pPr>
        <w:spacing w:after="120" w:line="276" w:lineRule="auto"/>
        <w:ind w:right="566"/>
        <w:jc w:val="both"/>
        <w:rPr>
          <w:rFonts w:ascii="Verdana" w:hAnsi="Verdana"/>
          <w:sz w:val="22"/>
          <w:szCs w:val="22"/>
        </w:rPr>
      </w:pPr>
    </w:p>
    <w:p w:rsidR="001D2B32" w:rsidRPr="007E33E3" w:rsidRDefault="001D2B32" w:rsidP="00E60AC2">
      <w:pPr>
        <w:spacing w:after="120" w:line="276" w:lineRule="auto"/>
        <w:ind w:right="566"/>
        <w:jc w:val="both"/>
        <w:rPr>
          <w:rFonts w:ascii="Verdana" w:hAnsi="Verdana"/>
          <w:i/>
          <w:sz w:val="22"/>
          <w:szCs w:val="22"/>
        </w:rPr>
      </w:pPr>
      <w:r w:rsidRPr="007E33E3">
        <w:rPr>
          <w:rFonts w:ascii="Verdana" w:hAnsi="Verdana"/>
          <w:i/>
          <w:sz w:val="22"/>
          <w:szCs w:val="22"/>
        </w:rPr>
        <w:t>Main target groups and types of beneficiaries</w:t>
      </w:r>
      <w:r w:rsidR="00A90127" w:rsidRPr="007E33E3">
        <w:rPr>
          <w:rFonts w:ascii="Verdana" w:hAnsi="Verdana"/>
          <w:i/>
          <w:sz w:val="22"/>
          <w:szCs w:val="22"/>
        </w:rPr>
        <w:t xml:space="preserve"> </w:t>
      </w:r>
    </w:p>
    <w:p w:rsidR="003F234F" w:rsidRDefault="003F234F" w:rsidP="00E60AC2">
      <w:pPr>
        <w:widowControl w:val="0"/>
        <w:autoSpaceDE w:val="0"/>
        <w:autoSpaceDN w:val="0"/>
        <w:adjustRightInd w:val="0"/>
        <w:spacing w:after="120" w:line="276" w:lineRule="auto"/>
        <w:jc w:val="both"/>
        <w:rPr>
          <w:rFonts w:ascii="Verdana" w:eastAsia="Calibri" w:hAnsi="Verdana" w:cs="Verdana"/>
          <w:sz w:val="22"/>
          <w:szCs w:val="22"/>
        </w:rPr>
      </w:pPr>
    </w:p>
    <w:p w:rsidR="00A90127" w:rsidRPr="007E33E3" w:rsidRDefault="002E5CA7" w:rsidP="00E60AC2">
      <w:pPr>
        <w:widowControl w:val="0"/>
        <w:autoSpaceDE w:val="0"/>
        <w:autoSpaceDN w:val="0"/>
        <w:adjustRightInd w:val="0"/>
        <w:spacing w:after="120" w:line="276" w:lineRule="auto"/>
        <w:jc w:val="both"/>
        <w:rPr>
          <w:rFonts w:ascii="Verdana" w:eastAsia="Calibri" w:hAnsi="Verdana" w:cs="Verdana"/>
          <w:sz w:val="22"/>
          <w:szCs w:val="22"/>
        </w:rPr>
      </w:pPr>
      <w:r w:rsidRPr="007E33E3">
        <w:rPr>
          <w:rFonts w:ascii="Verdana" w:eastAsia="Calibri" w:hAnsi="Verdana" w:cs="Verdana"/>
          <w:sz w:val="22"/>
          <w:szCs w:val="22"/>
        </w:rPr>
        <w:t xml:space="preserve">The main beneficiaries of actions implemented under Objective 3 shall be cities from EU 28 Member States, Norway and Switzerland. For Implementation networks, beneficiaries shall be cities </w:t>
      </w:r>
      <w:r w:rsidR="00A90127" w:rsidRPr="007E33E3">
        <w:rPr>
          <w:rFonts w:ascii="Verdana" w:hAnsi="Verdana"/>
          <w:sz w:val="22"/>
          <w:szCs w:val="22"/>
        </w:rPr>
        <w:t xml:space="preserve">implementing integrated strategies and action plans </w:t>
      </w:r>
      <w:r w:rsidR="000A6D45" w:rsidRPr="007E33E3">
        <w:rPr>
          <w:rFonts w:ascii="Verdana" w:hAnsi="Verdana"/>
          <w:sz w:val="22"/>
          <w:szCs w:val="22"/>
        </w:rPr>
        <w:t xml:space="preserve">for sustainable urban development, </w:t>
      </w:r>
      <w:r w:rsidR="00A90127" w:rsidRPr="007E33E3">
        <w:rPr>
          <w:rFonts w:ascii="Verdana" w:hAnsi="Verdana"/>
          <w:sz w:val="22"/>
          <w:szCs w:val="22"/>
        </w:rPr>
        <w:t>using different types of funding</w:t>
      </w:r>
      <w:r w:rsidR="000A6D45" w:rsidRPr="007E33E3">
        <w:rPr>
          <w:rFonts w:ascii="Verdana" w:hAnsi="Verdana"/>
          <w:sz w:val="22"/>
          <w:szCs w:val="22"/>
        </w:rPr>
        <w:t xml:space="preserve">, </w:t>
      </w:r>
      <w:r w:rsidR="00A90127" w:rsidRPr="007E33E3">
        <w:rPr>
          <w:rFonts w:ascii="Verdana" w:hAnsi="Verdana"/>
          <w:sz w:val="22"/>
          <w:szCs w:val="22"/>
        </w:rPr>
        <w:t xml:space="preserve">including cities </w:t>
      </w:r>
      <w:r w:rsidR="000A6D45" w:rsidRPr="007E33E3">
        <w:rPr>
          <w:rFonts w:ascii="Verdana" w:hAnsi="Verdana"/>
          <w:sz w:val="22"/>
          <w:szCs w:val="22"/>
        </w:rPr>
        <w:t>funded</w:t>
      </w:r>
      <w:r w:rsidR="00A90127" w:rsidRPr="007E33E3">
        <w:rPr>
          <w:rFonts w:ascii="Verdana" w:hAnsi="Verdana"/>
          <w:sz w:val="22"/>
          <w:szCs w:val="22"/>
        </w:rPr>
        <w:t xml:space="preserve"> under art</w:t>
      </w:r>
      <w:r w:rsidR="000A6D45" w:rsidRPr="007E33E3">
        <w:rPr>
          <w:rFonts w:ascii="Verdana" w:hAnsi="Verdana"/>
          <w:sz w:val="22"/>
          <w:szCs w:val="22"/>
        </w:rPr>
        <w:t>icles</w:t>
      </w:r>
      <w:r w:rsidR="00A90127" w:rsidRPr="007E33E3">
        <w:rPr>
          <w:rFonts w:ascii="Verdana" w:hAnsi="Verdana"/>
          <w:sz w:val="22"/>
          <w:szCs w:val="22"/>
        </w:rPr>
        <w:t xml:space="preserve"> 7 and </w:t>
      </w:r>
      <w:r w:rsidR="00C57544" w:rsidRPr="007E33E3">
        <w:rPr>
          <w:rFonts w:ascii="Verdana" w:hAnsi="Verdana"/>
          <w:sz w:val="22"/>
          <w:szCs w:val="22"/>
        </w:rPr>
        <w:t>8</w:t>
      </w:r>
      <w:r w:rsidR="000A6D45" w:rsidRPr="007E33E3">
        <w:rPr>
          <w:rFonts w:ascii="Verdana" w:hAnsi="Verdana"/>
          <w:sz w:val="22"/>
          <w:szCs w:val="22"/>
        </w:rPr>
        <w:t xml:space="preserve"> of the EC Regulations.</w:t>
      </w:r>
    </w:p>
    <w:p w:rsidR="00A90127" w:rsidRPr="007E33E3" w:rsidRDefault="002E5CA7" w:rsidP="00E60AC2">
      <w:pPr>
        <w:widowControl w:val="0"/>
        <w:autoSpaceDE w:val="0"/>
        <w:autoSpaceDN w:val="0"/>
        <w:adjustRightInd w:val="0"/>
        <w:spacing w:after="120" w:line="276" w:lineRule="auto"/>
        <w:jc w:val="both"/>
        <w:rPr>
          <w:rFonts w:ascii="Verdana" w:eastAsia="Calibri" w:hAnsi="Verdana" w:cs="Arial"/>
          <w:sz w:val="22"/>
          <w:szCs w:val="22"/>
        </w:rPr>
      </w:pPr>
      <w:r w:rsidRPr="007E33E3">
        <w:rPr>
          <w:rFonts w:ascii="Verdana" w:eastAsia="Calibri" w:hAnsi="Verdana" w:cs="Verdana"/>
          <w:sz w:val="22"/>
          <w:szCs w:val="22"/>
        </w:rPr>
        <w:t>Under URBACT III, the beneficiary “city” refers to the public local authority representing:</w:t>
      </w:r>
    </w:p>
    <w:p w:rsidR="00A90127" w:rsidRPr="007E33E3" w:rsidRDefault="00A90127" w:rsidP="008166DD">
      <w:pPr>
        <w:pStyle w:val="Akapitzlist"/>
        <w:widowControl w:val="0"/>
        <w:numPr>
          <w:ilvl w:val="0"/>
          <w:numId w:val="30"/>
        </w:numPr>
        <w:tabs>
          <w:tab w:val="left" w:pos="940"/>
          <w:tab w:val="left" w:pos="1440"/>
        </w:tabs>
        <w:autoSpaceDE w:val="0"/>
        <w:autoSpaceDN w:val="0"/>
        <w:adjustRightInd w:val="0"/>
        <w:spacing w:after="120"/>
        <w:ind w:left="714" w:hanging="357"/>
        <w:contextualSpacing w:val="0"/>
        <w:rPr>
          <w:rFonts w:ascii="Verdana" w:hAnsi="Verdana" w:cs="Verdana"/>
        </w:rPr>
      </w:pPr>
      <w:r w:rsidRPr="007E33E3">
        <w:rPr>
          <w:rFonts w:ascii="Verdana" w:hAnsi="Verdana" w:cs="Verdana"/>
        </w:rPr>
        <w:t>cities, municipalities, towns;</w:t>
      </w:r>
    </w:p>
    <w:p w:rsidR="00A90127" w:rsidRPr="007E33E3" w:rsidRDefault="00A90127" w:rsidP="008166DD">
      <w:pPr>
        <w:pStyle w:val="Akapitzlist"/>
        <w:widowControl w:val="0"/>
        <w:numPr>
          <w:ilvl w:val="0"/>
          <w:numId w:val="30"/>
        </w:numPr>
        <w:tabs>
          <w:tab w:val="left" w:pos="940"/>
          <w:tab w:val="left" w:pos="1440"/>
        </w:tabs>
        <w:autoSpaceDE w:val="0"/>
        <w:autoSpaceDN w:val="0"/>
        <w:adjustRightInd w:val="0"/>
        <w:spacing w:after="120"/>
        <w:ind w:left="714" w:hanging="357"/>
        <w:contextualSpacing w:val="0"/>
        <w:rPr>
          <w:rFonts w:ascii="Verdana" w:hAnsi="Verdana" w:cs="Verdana"/>
        </w:rPr>
      </w:pPr>
      <w:r w:rsidRPr="007E33E3">
        <w:rPr>
          <w:rFonts w:ascii="Verdana" w:hAnsi="Verdana" w:cs="Verdana"/>
        </w:rPr>
        <w:t>Infra-municipal tiers of government such as city districts and boroughs in cases where they are represented by a politico-administrative institution having competences for policy-making and implementation in the policy area covered by the URBACT network concerned in which they are willing to get involved;</w:t>
      </w:r>
    </w:p>
    <w:p w:rsidR="00A90127" w:rsidRPr="007E33E3" w:rsidRDefault="00A90127" w:rsidP="008166DD">
      <w:pPr>
        <w:pStyle w:val="Akapitzlist"/>
        <w:widowControl w:val="0"/>
        <w:numPr>
          <w:ilvl w:val="0"/>
          <w:numId w:val="30"/>
        </w:numPr>
        <w:tabs>
          <w:tab w:val="left" w:pos="940"/>
          <w:tab w:val="left" w:pos="1440"/>
        </w:tabs>
        <w:autoSpaceDE w:val="0"/>
        <w:autoSpaceDN w:val="0"/>
        <w:adjustRightInd w:val="0"/>
        <w:spacing w:after="120"/>
        <w:ind w:left="714" w:hanging="357"/>
        <w:contextualSpacing w:val="0"/>
        <w:rPr>
          <w:rFonts w:ascii="Verdana" w:hAnsi="Verdana" w:cs="Verdana"/>
        </w:rPr>
      </w:pPr>
      <w:r w:rsidRPr="007E33E3">
        <w:rPr>
          <w:rFonts w:ascii="Verdana" w:hAnsi="Verdana" w:cs="Verdana"/>
        </w:rPr>
        <w:t>Metropolitan authorities and organized agglomerations in cases where they are represented by a politico-administrative institution having delegated competences for policy-making and implementation in the policy area covered by the URBACT network concerned.</w:t>
      </w:r>
    </w:p>
    <w:p w:rsidR="00A90127" w:rsidRPr="007E33E3" w:rsidRDefault="002E5CA7" w:rsidP="00E60AC2">
      <w:pPr>
        <w:widowControl w:val="0"/>
        <w:autoSpaceDE w:val="0"/>
        <w:autoSpaceDN w:val="0"/>
        <w:adjustRightInd w:val="0"/>
        <w:spacing w:after="120" w:line="276" w:lineRule="auto"/>
        <w:jc w:val="both"/>
        <w:rPr>
          <w:rFonts w:ascii="Verdana" w:eastAsia="Calibri" w:hAnsi="Verdana" w:cs="Arial"/>
          <w:sz w:val="22"/>
          <w:szCs w:val="22"/>
        </w:rPr>
      </w:pPr>
      <w:r w:rsidRPr="007E33E3">
        <w:rPr>
          <w:rFonts w:ascii="Verdana" w:eastAsia="Calibri" w:hAnsi="Verdana" w:cs="Verdana"/>
          <w:sz w:val="22"/>
          <w:szCs w:val="22"/>
        </w:rPr>
        <w:t xml:space="preserve">In addition, a number of non-city partners shall also be eligible </w:t>
      </w:r>
      <w:r w:rsidRPr="007E33E3">
        <w:rPr>
          <w:rFonts w:ascii="Verdana" w:eastAsia="Calibri" w:hAnsi="Verdana" w:cs="Verdana"/>
          <w:sz w:val="22"/>
          <w:szCs w:val="22"/>
          <w:u w:val="single"/>
        </w:rPr>
        <w:t>for</w:t>
      </w:r>
      <w:r w:rsidRPr="007E33E3">
        <w:rPr>
          <w:rFonts w:ascii="Verdana" w:eastAsia="Calibri" w:hAnsi="Verdana" w:cs="Verdana"/>
          <w:sz w:val="22"/>
          <w:szCs w:val="22"/>
        </w:rPr>
        <w:t xml:space="preserve"> actions implemented under Objective 3. The list of other eligible beneficiaries is defined as follows:</w:t>
      </w:r>
    </w:p>
    <w:p w:rsidR="00A90127" w:rsidRPr="007E33E3" w:rsidRDefault="00A90127" w:rsidP="008166DD">
      <w:pPr>
        <w:pStyle w:val="Akapitzlist"/>
        <w:widowControl w:val="0"/>
        <w:numPr>
          <w:ilvl w:val="0"/>
          <w:numId w:val="31"/>
        </w:numPr>
        <w:tabs>
          <w:tab w:val="left" w:pos="940"/>
          <w:tab w:val="left" w:pos="1440"/>
        </w:tabs>
        <w:autoSpaceDE w:val="0"/>
        <w:autoSpaceDN w:val="0"/>
        <w:adjustRightInd w:val="0"/>
        <w:spacing w:after="120"/>
        <w:ind w:left="714" w:hanging="357"/>
        <w:contextualSpacing w:val="0"/>
        <w:rPr>
          <w:rFonts w:ascii="Verdana" w:hAnsi="Verdana" w:cs="Arial"/>
        </w:rPr>
      </w:pPr>
      <w:r w:rsidRPr="007E33E3">
        <w:rPr>
          <w:rFonts w:ascii="Verdana" w:hAnsi="Verdana" w:cs="Verdana"/>
        </w:rPr>
        <w:t xml:space="preserve">Local agencies defined as public or semi-public organisations set up by a city, </w:t>
      </w:r>
      <w:r w:rsidRPr="007E33E3">
        <w:rPr>
          <w:rFonts w:ascii="Verdana" w:hAnsi="Verdana" w:cs="Arial"/>
        </w:rPr>
        <w:t>partially or fully owned by the city authority, responsible for the design and implementation of specific policies (economic development, energy supply, health services, transport, etc.)</w:t>
      </w:r>
    </w:p>
    <w:p w:rsidR="00A90127" w:rsidRPr="007E33E3" w:rsidRDefault="00A90127" w:rsidP="008166DD">
      <w:pPr>
        <w:pStyle w:val="Akapitzlist"/>
        <w:widowControl w:val="0"/>
        <w:numPr>
          <w:ilvl w:val="0"/>
          <w:numId w:val="31"/>
        </w:numPr>
        <w:tabs>
          <w:tab w:val="left" w:pos="940"/>
          <w:tab w:val="left" w:pos="1440"/>
        </w:tabs>
        <w:autoSpaceDE w:val="0"/>
        <w:autoSpaceDN w:val="0"/>
        <w:adjustRightInd w:val="0"/>
        <w:spacing w:after="120"/>
        <w:ind w:left="714" w:hanging="357"/>
        <w:contextualSpacing w:val="0"/>
        <w:rPr>
          <w:rFonts w:ascii="Verdana" w:hAnsi="Verdana" w:cs="Arial"/>
        </w:rPr>
      </w:pPr>
      <w:r w:rsidRPr="007E33E3">
        <w:rPr>
          <w:rFonts w:ascii="Verdana" w:hAnsi="Verdana" w:cs="Verdana"/>
        </w:rPr>
        <w:t>Provincial, regional and national authorities, as far as urban issues are concerned;</w:t>
      </w:r>
    </w:p>
    <w:p w:rsidR="00A90127" w:rsidRPr="007E33E3" w:rsidRDefault="00A90127" w:rsidP="008166DD">
      <w:pPr>
        <w:pStyle w:val="Akapitzlist"/>
        <w:widowControl w:val="0"/>
        <w:numPr>
          <w:ilvl w:val="0"/>
          <w:numId w:val="31"/>
        </w:numPr>
        <w:tabs>
          <w:tab w:val="left" w:pos="940"/>
          <w:tab w:val="left" w:pos="1440"/>
        </w:tabs>
        <w:autoSpaceDE w:val="0"/>
        <w:autoSpaceDN w:val="0"/>
        <w:adjustRightInd w:val="0"/>
        <w:spacing w:after="120"/>
        <w:ind w:left="714" w:hanging="357"/>
        <w:contextualSpacing w:val="0"/>
        <w:rPr>
          <w:rFonts w:ascii="Verdana" w:hAnsi="Verdana" w:cs="Arial"/>
        </w:rPr>
      </w:pPr>
      <w:r w:rsidRPr="007E33E3">
        <w:rPr>
          <w:rFonts w:ascii="Verdana" w:hAnsi="Verdana" w:cs="Verdana"/>
        </w:rPr>
        <w:t>Universities and research centres, as far as urban issues are concerned</w:t>
      </w:r>
    </w:p>
    <w:p w:rsidR="00A90127" w:rsidRPr="007E33E3" w:rsidRDefault="00A90127" w:rsidP="00E60AC2">
      <w:pPr>
        <w:spacing w:after="120" w:line="276" w:lineRule="auto"/>
        <w:rPr>
          <w:rFonts w:ascii="Verdana" w:eastAsia="Calibri" w:hAnsi="Verdana" w:cs="Verdana"/>
          <w:sz w:val="22"/>
          <w:szCs w:val="22"/>
        </w:rPr>
      </w:pPr>
    </w:p>
    <w:p w:rsidR="00A90127" w:rsidRPr="007E33E3" w:rsidRDefault="002E5CA7" w:rsidP="00E60AC2">
      <w:pPr>
        <w:spacing w:after="120" w:line="276" w:lineRule="auto"/>
        <w:jc w:val="both"/>
        <w:rPr>
          <w:rFonts w:ascii="Verdana" w:eastAsia="Calibri" w:hAnsi="Verdana" w:cs="Verdana"/>
          <w:sz w:val="22"/>
          <w:szCs w:val="22"/>
        </w:rPr>
      </w:pPr>
      <w:r w:rsidRPr="007E33E3">
        <w:rPr>
          <w:rFonts w:ascii="Verdana" w:eastAsia="Calibri" w:hAnsi="Verdana" w:cs="Verdana"/>
          <w:sz w:val="22"/>
          <w:szCs w:val="22"/>
        </w:rPr>
        <w:t>In the delivery of Objective 3, priority shall be given to cities. Subsequently, the number of non-city partners in shall be limited. The maximum number of non-city partners shall be defined in the calls for proposals for the creation of implementation networks.</w:t>
      </w:r>
    </w:p>
    <w:p w:rsidR="00A90127" w:rsidRPr="007E33E3" w:rsidRDefault="00A90127" w:rsidP="00E60AC2">
      <w:pPr>
        <w:spacing w:after="120" w:line="276" w:lineRule="auto"/>
        <w:rPr>
          <w:rFonts w:ascii="Verdana" w:hAnsi="Verdana"/>
          <w:sz w:val="22"/>
          <w:szCs w:val="22"/>
        </w:rPr>
      </w:pPr>
      <w:r w:rsidRPr="007E33E3">
        <w:rPr>
          <w:rFonts w:ascii="Verdana" w:hAnsi="Verdana"/>
          <w:sz w:val="22"/>
          <w:szCs w:val="22"/>
        </w:rPr>
        <w:t>Only public authorities and public equivalent bodies are eligible to the programme</w:t>
      </w:r>
      <w:r w:rsidR="00A22F16" w:rsidRPr="007E33E3">
        <w:rPr>
          <w:rStyle w:val="Odwoanieprzypisudolnego"/>
          <w:rFonts w:ascii="Verdana" w:eastAsia="Calibri" w:hAnsi="Verdana"/>
          <w:sz w:val="22"/>
          <w:szCs w:val="22"/>
        </w:rPr>
        <w:footnoteReference w:id="31"/>
      </w:r>
      <w:r w:rsidRPr="007E33E3">
        <w:rPr>
          <w:rFonts w:ascii="Verdana" w:hAnsi="Verdana"/>
          <w:sz w:val="22"/>
          <w:szCs w:val="22"/>
        </w:rPr>
        <w:t xml:space="preserve">. </w:t>
      </w:r>
    </w:p>
    <w:p w:rsidR="009044AB" w:rsidRPr="007E33E3" w:rsidRDefault="009044AB" w:rsidP="00E60AC2">
      <w:pPr>
        <w:spacing w:after="120" w:line="276" w:lineRule="auto"/>
        <w:ind w:right="566"/>
        <w:jc w:val="both"/>
        <w:rPr>
          <w:rFonts w:ascii="Verdana" w:hAnsi="Verdana"/>
          <w:sz w:val="22"/>
          <w:szCs w:val="22"/>
        </w:rPr>
      </w:pPr>
    </w:p>
    <w:p w:rsidR="00E21452" w:rsidRPr="007E33E3" w:rsidRDefault="00E21452" w:rsidP="00E60AC2">
      <w:pPr>
        <w:spacing w:after="120" w:line="276" w:lineRule="auto"/>
        <w:ind w:right="566"/>
        <w:jc w:val="both"/>
        <w:rPr>
          <w:rFonts w:ascii="Verdana" w:hAnsi="Verdana"/>
          <w:b/>
          <w:sz w:val="22"/>
          <w:szCs w:val="22"/>
        </w:rPr>
      </w:pPr>
      <w:r w:rsidRPr="007E33E3">
        <w:rPr>
          <w:rFonts w:ascii="Verdana" w:hAnsi="Verdana"/>
          <w:b/>
          <w:sz w:val="22"/>
          <w:szCs w:val="22"/>
        </w:rPr>
        <w:t xml:space="preserve">d/ Capitalisation and </w:t>
      </w:r>
      <w:r w:rsidR="003910DB" w:rsidRPr="007E33E3">
        <w:rPr>
          <w:rFonts w:ascii="Verdana" w:hAnsi="Verdana"/>
          <w:b/>
          <w:sz w:val="22"/>
          <w:szCs w:val="22"/>
        </w:rPr>
        <w:t xml:space="preserve">Dissemination </w:t>
      </w:r>
      <w:r w:rsidRPr="007E33E3">
        <w:rPr>
          <w:rFonts w:ascii="Verdana" w:hAnsi="Verdana"/>
          <w:b/>
          <w:sz w:val="22"/>
          <w:szCs w:val="22"/>
        </w:rPr>
        <w:t>(specific objective 4)</w:t>
      </w:r>
    </w:p>
    <w:p w:rsidR="00E21452" w:rsidRPr="007E33E3" w:rsidRDefault="00E21452" w:rsidP="00E60AC2">
      <w:pPr>
        <w:spacing w:after="120" w:line="276" w:lineRule="auto"/>
        <w:ind w:right="566"/>
        <w:jc w:val="both"/>
        <w:rPr>
          <w:rFonts w:ascii="Verdana" w:hAnsi="Verdana"/>
          <w:b/>
          <w:i/>
          <w:sz w:val="22"/>
          <w:szCs w:val="22"/>
          <w:u w:val="single"/>
        </w:rPr>
      </w:pPr>
    </w:p>
    <w:p w:rsidR="003910DB" w:rsidRPr="003B7BFA" w:rsidRDefault="00E21452" w:rsidP="00E60AC2">
      <w:pPr>
        <w:spacing w:after="120" w:line="276" w:lineRule="auto"/>
        <w:ind w:right="566"/>
        <w:jc w:val="both"/>
        <w:rPr>
          <w:rFonts w:ascii="Verdana" w:hAnsi="Verdana"/>
          <w:b/>
          <w:sz w:val="22"/>
          <w:szCs w:val="22"/>
          <w:u w:val="single"/>
        </w:rPr>
      </w:pPr>
      <w:r w:rsidRPr="003B7BFA">
        <w:rPr>
          <w:rFonts w:ascii="Verdana" w:hAnsi="Verdana"/>
          <w:b/>
          <w:i/>
          <w:sz w:val="22"/>
          <w:szCs w:val="22"/>
          <w:u w:val="single"/>
        </w:rPr>
        <w:t>Contribution of activities to specific objective 4</w:t>
      </w:r>
    </w:p>
    <w:p w:rsidR="003910DB" w:rsidRPr="007E33E3" w:rsidRDefault="003910DB" w:rsidP="00E60AC2">
      <w:pPr>
        <w:spacing w:after="120" w:line="276" w:lineRule="auto"/>
        <w:ind w:right="566"/>
        <w:jc w:val="both"/>
        <w:rPr>
          <w:rFonts w:ascii="Verdana" w:hAnsi="Verdana"/>
          <w:sz w:val="22"/>
          <w:szCs w:val="22"/>
        </w:rPr>
      </w:pPr>
    </w:p>
    <w:p w:rsidR="00E21452" w:rsidRPr="007E33E3" w:rsidRDefault="003910DB" w:rsidP="00E60AC2">
      <w:pPr>
        <w:spacing w:after="120" w:line="276" w:lineRule="auto"/>
        <w:ind w:right="566"/>
        <w:jc w:val="both"/>
        <w:rPr>
          <w:rFonts w:ascii="Verdana" w:hAnsi="Verdana"/>
          <w:sz w:val="22"/>
          <w:szCs w:val="22"/>
        </w:rPr>
      </w:pPr>
      <w:r w:rsidRPr="007E33E3">
        <w:rPr>
          <w:rFonts w:ascii="Verdana" w:hAnsi="Verdana"/>
          <w:sz w:val="22"/>
          <w:szCs w:val="22"/>
        </w:rPr>
        <w:t>T</w:t>
      </w:r>
      <w:r w:rsidR="00E21452" w:rsidRPr="007E33E3">
        <w:rPr>
          <w:rFonts w:ascii="Verdana" w:hAnsi="Verdana"/>
          <w:sz w:val="22"/>
          <w:szCs w:val="22"/>
        </w:rPr>
        <w:t>he programme will develop actions to consolidate and share knowledge on sustainable urban development (good practices, policy recommendations, etc.) so that it is widely used by relevant players in the field. More especially, the capitalisation and mainstreaming actions will also aim to reach players beyond the URBACT beneficiaries: cities not involved in URBACT networks, as well as the different levels of government involved in urban development (regional, national, European).</w:t>
      </w:r>
    </w:p>
    <w:p w:rsidR="00E21452" w:rsidRPr="007E33E3" w:rsidRDefault="00E21452" w:rsidP="00E60AC2">
      <w:pPr>
        <w:spacing w:after="120" w:line="276" w:lineRule="auto"/>
        <w:ind w:right="566"/>
        <w:jc w:val="both"/>
        <w:rPr>
          <w:rFonts w:ascii="Verdana" w:hAnsi="Verdana"/>
          <w:sz w:val="22"/>
          <w:szCs w:val="22"/>
        </w:rPr>
      </w:pPr>
    </w:p>
    <w:p w:rsidR="003910DB" w:rsidRPr="007E33E3" w:rsidRDefault="003910DB" w:rsidP="00E60AC2">
      <w:pPr>
        <w:spacing w:after="120" w:line="276" w:lineRule="auto"/>
        <w:ind w:right="566"/>
        <w:jc w:val="both"/>
        <w:rPr>
          <w:rFonts w:ascii="Verdana" w:hAnsi="Verdana"/>
          <w:sz w:val="22"/>
          <w:szCs w:val="22"/>
        </w:rPr>
      </w:pPr>
      <w:r w:rsidRPr="007E33E3">
        <w:rPr>
          <w:rFonts w:ascii="Verdana" w:hAnsi="Verdana"/>
          <w:sz w:val="22"/>
          <w:szCs w:val="22"/>
        </w:rPr>
        <w:t>Actions</w:t>
      </w:r>
    </w:p>
    <w:p w:rsidR="00E21452" w:rsidRPr="007E33E3" w:rsidRDefault="003910DB" w:rsidP="00E60AC2">
      <w:pPr>
        <w:spacing w:after="120" w:line="276" w:lineRule="auto"/>
        <w:ind w:right="566"/>
        <w:jc w:val="both"/>
        <w:rPr>
          <w:rFonts w:ascii="Verdana" w:hAnsi="Verdana"/>
          <w:sz w:val="22"/>
          <w:szCs w:val="22"/>
          <w:u w:val="single"/>
        </w:rPr>
      </w:pPr>
      <w:r w:rsidRPr="007E33E3">
        <w:rPr>
          <w:rFonts w:ascii="Verdana" w:hAnsi="Verdana"/>
          <w:sz w:val="22"/>
          <w:szCs w:val="22"/>
        </w:rPr>
        <w:t>The a</w:t>
      </w:r>
      <w:r w:rsidR="00E21452" w:rsidRPr="007E33E3">
        <w:rPr>
          <w:rFonts w:ascii="Verdana" w:hAnsi="Verdana"/>
          <w:sz w:val="22"/>
          <w:szCs w:val="22"/>
        </w:rPr>
        <w:t xml:space="preserve">ctions </w:t>
      </w:r>
      <w:r w:rsidRPr="007E33E3">
        <w:rPr>
          <w:rFonts w:ascii="Verdana" w:hAnsi="Verdana"/>
          <w:sz w:val="22"/>
          <w:szCs w:val="22"/>
        </w:rPr>
        <w:t xml:space="preserve">that </w:t>
      </w:r>
      <w:r w:rsidR="00E21452" w:rsidRPr="007E33E3">
        <w:rPr>
          <w:rFonts w:ascii="Verdana" w:hAnsi="Verdana"/>
          <w:sz w:val="22"/>
          <w:szCs w:val="22"/>
        </w:rPr>
        <w:t xml:space="preserve">can be supported under capitalisation and </w:t>
      </w:r>
      <w:r w:rsidRPr="007E33E3">
        <w:rPr>
          <w:rFonts w:ascii="Verdana" w:hAnsi="Verdana"/>
          <w:sz w:val="22"/>
          <w:szCs w:val="22"/>
        </w:rPr>
        <w:t xml:space="preserve">dissemination are the following </w:t>
      </w:r>
      <w:r w:rsidR="00E21452" w:rsidRPr="007E33E3">
        <w:rPr>
          <w:rFonts w:ascii="Verdana" w:hAnsi="Verdana"/>
          <w:sz w:val="22"/>
          <w:szCs w:val="22"/>
        </w:rPr>
        <w:t>(indicative list):</w:t>
      </w:r>
    </w:p>
    <w:p w:rsidR="00E21452" w:rsidRPr="007E33E3" w:rsidRDefault="00E21452" w:rsidP="008166DD">
      <w:pPr>
        <w:numPr>
          <w:ilvl w:val="0"/>
          <w:numId w:val="32"/>
        </w:numPr>
        <w:spacing w:after="120" w:line="276" w:lineRule="auto"/>
        <w:ind w:left="714" w:right="567" w:hanging="357"/>
        <w:jc w:val="both"/>
        <w:rPr>
          <w:rFonts w:ascii="Verdana" w:hAnsi="Verdana"/>
          <w:sz w:val="22"/>
          <w:szCs w:val="22"/>
        </w:rPr>
      </w:pPr>
      <w:r w:rsidRPr="007E33E3">
        <w:rPr>
          <w:rFonts w:ascii="Verdana" w:hAnsi="Verdana"/>
          <w:sz w:val="22"/>
          <w:szCs w:val="22"/>
        </w:rPr>
        <w:t>Expertise to build and manage knowledge on sustainable urban development (clustering activity, studies, etc.)</w:t>
      </w:r>
    </w:p>
    <w:p w:rsidR="00E21452" w:rsidRPr="007E33E3" w:rsidRDefault="00E21452" w:rsidP="008166DD">
      <w:pPr>
        <w:numPr>
          <w:ilvl w:val="0"/>
          <w:numId w:val="32"/>
        </w:numPr>
        <w:spacing w:after="120" w:line="276" w:lineRule="auto"/>
        <w:ind w:left="714" w:right="567" w:hanging="357"/>
        <w:jc w:val="both"/>
        <w:rPr>
          <w:rFonts w:ascii="Verdana" w:hAnsi="Verdana"/>
          <w:sz w:val="22"/>
          <w:szCs w:val="22"/>
        </w:rPr>
      </w:pPr>
      <w:r w:rsidRPr="007E33E3">
        <w:rPr>
          <w:rFonts w:ascii="Verdana" w:hAnsi="Verdana"/>
          <w:sz w:val="22"/>
          <w:szCs w:val="22"/>
        </w:rPr>
        <w:t>Website operating as a knowledge platform providing easy access to knowledge and know-how around thematic priorities, social media activities</w:t>
      </w:r>
    </w:p>
    <w:p w:rsidR="00E21452" w:rsidRPr="007E33E3" w:rsidRDefault="00E21452" w:rsidP="008166DD">
      <w:pPr>
        <w:numPr>
          <w:ilvl w:val="0"/>
          <w:numId w:val="32"/>
        </w:numPr>
        <w:spacing w:after="120" w:line="276" w:lineRule="auto"/>
        <w:ind w:left="714" w:right="567" w:hanging="357"/>
        <w:jc w:val="both"/>
        <w:rPr>
          <w:rFonts w:ascii="Verdana" w:hAnsi="Verdana"/>
          <w:sz w:val="22"/>
          <w:szCs w:val="22"/>
        </w:rPr>
      </w:pPr>
      <w:r w:rsidRPr="007E33E3">
        <w:rPr>
          <w:rFonts w:ascii="Verdana" w:hAnsi="Verdana"/>
          <w:sz w:val="22"/>
          <w:szCs w:val="22"/>
        </w:rPr>
        <w:t>Thematic publications such as newsletters, policy briefs, case studies, etc.</w:t>
      </w:r>
    </w:p>
    <w:p w:rsidR="00E21452" w:rsidRPr="007E33E3" w:rsidRDefault="00E21452" w:rsidP="008166DD">
      <w:pPr>
        <w:numPr>
          <w:ilvl w:val="0"/>
          <w:numId w:val="32"/>
        </w:numPr>
        <w:spacing w:after="120" w:line="276" w:lineRule="auto"/>
        <w:ind w:left="714" w:right="567" w:hanging="357"/>
        <w:jc w:val="both"/>
        <w:rPr>
          <w:rFonts w:ascii="Verdana" w:hAnsi="Verdana"/>
          <w:sz w:val="22"/>
          <w:szCs w:val="22"/>
        </w:rPr>
      </w:pPr>
      <w:r w:rsidRPr="007E33E3">
        <w:rPr>
          <w:rFonts w:ascii="Verdana" w:hAnsi="Verdana"/>
          <w:sz w:val="22"/>
          <w:szCs w:val="22"/>
        </w:rPr>
        <w:t>Conferences, thematic events, seminars, workshops for city practitioners.</w:t>
      </w:r>
    </w:p>
    <w:p w:rsidR="00E21452" w:rsidRPr="007E33E3" w:rsidRDefault="00C1659C" w:rsidP="008166DD">
      <w:pPr>
        <w:numPr>
          <w:ilvl w:val="0"/>
          <w:numId w:val="32"/>
        </w:numPr>
        <w:spacing w:after="120" w:line="276" w:lineRule="auto"/>
        <w:ind w:left="714" w:right="567" w:hanging="357"/>
        <w:jc w:val="both"/>
        <w:rPr>
          <w:rFonts w:ascii="Verdana" w:eastAsia="MS ??" w:hAnsi="Verdana"/>
          <w:sz w:val="22"/>
          <w:szCs w:val="22"/>
          <w:u w:val="single"/>
        </w:rPr>
      </w:pPr>
      <w:r w:rsidRPr="007E33E3">
        <w:rPr>
          <w:rFonts w:ascii="Verdana" w:hAnsi="Verdana"/>
          <w:sz w:val="22"/>
          <w:szCs w:val="22"/>
        </w:rPr>
        <w:t xml:space="preserve">URBACT </w:t>
      </w:r>
      <w:r w:rsidR="00E21452" w:rsidRPr="007E33E3">
        <w:rPr>
          <w:rFonts w:ascii="Verdana" w:hAnsi="Verdana"/>
          <w:sz w:val="22"/>
          <w:szCs w:val="22"/>
        </w:rPr>
        <w:t>National Points</w:t>
      </w:r>
      <w:r w:rsidR="00A047A4">
        <w:rPr>
          <w:rStyle w:val="Odwoanieprzypisudolnego"/>
          <w:rFonts w:ascii="Verdana" w:hAnsi="Verdana"/>
          <w:sz w:val="22"/>
          <w:szCs w:val="22"/>
        </w:rPr>
        <w:footnoteReference w:id="32"/>
      </w:r>
      <w:r w:rsidR="00E21452" w:rsidRPr="007E33E3">
        <w:rPr>
          <w:rFonts w:ascii="Verdana" w:hAnsi="Verdana"/>
          <w:sz w:val="22"/>
          <w:szCs w:val="22"/>
        </w:rPr>
        <w:t xml:space="preserve"> in charge of communicating on URBACT activities and </w:t>
      </w:r>
      <w:r w:rsidRPr="007E33E3">
        <w:rPr>
          <w:rFonts w:ascii="Verdana" w:hAnsi="Verdana"/>
          <w:sz w:val="22"/>
          <w:szCs w:val="22"/>
        </w:rPr>
        <w:t xml:space="preserve">disseminating URBACT </w:t>
      </w:r>
      <w:r w:rsidR="00E21452" w:rsidRPr="007E33E3">
        <w:rPr>
          <w:rFonts w:ascii="Verdana" w:hAnsi="Verdana"/>
          <w:sz w:val="22"/>
          <w:szCs w:val="22"/>
        </w:rPr>
        <w:t xml:space="preserve">results at national level in local language and operating as national platforms for dialogue, exchange and learning on sustainable urban development, involving the different levels of governance concerned (national, regional, local). This tool in URBACT III should be an enhanced version of the National Dissemination Points operating in URBACT II providing a wider range of services at national level, including translation and dissemination of results, organization of national seminars, </w:t>
      </w:r>
      <w:r w:rsidR="005C22F6" w:rsidRPr="004F7D05">
        <w:rPr>
          <w:rFonts w:ascii="Verdana" w:hAnsi="Verdana"/>
          <w:sz w:val="22"/>
          <w:szCs w:val="22"/>
        </w:rPr>
        <w:t xml:space="preserve">support for capacity building activities, </w:t>
      </w:r>
      <w:r w:rsidR="00E21452" w:rsidRPr="007E33E3">
        <w:rPr>
          <w:rFonts w:ascii="Verdana" w:hAnsi="Verdana"/>
          <w:sz w:val="22"/>
          <w:szCs w:val="22"/>
        </w:rPr>
        <w:t xml:space="preserve">etc. </w:t>
      </w:r>
    </w:p>
    <w:p w:rsidR="00E5202D" w:rsidRDefault="00E21452" w:rsidP="008166DD">
      <w:pPr>
        <w:numPr>
          <w:ilvl w:val="0"/>
          <w:numId w:val="32"/>
        </w:numPr>
        <w:spacing w:after="120" w:line="276" w:lineRule="auto"/>
        <w:ind w:left="714" w:right="567" w:hanging="357"/>
        <w:jc w:val="both"/>
        <w:rPr>
          <w:rFonts w:ascii="Verdana" w:hAnsi="Verdana"/>
          <w:sz w:val="22"/>
          <w:szCs w:val="22"/>
        </w:rPr>
      </w:pPr>
      <w:r w:rsidRPr="007E33E3">
        <w:rPr>
          <w:rFonts w:ascii="Verdana" w:hAnsi="Verdana"/>
          <w:sz w:val="22"/>
          <w:szCs w:val="22"/>
        </w:rPr>
        <w:t xml:space="preserve">Cooperation with other organizations (programmes, networks, etc.) operating in the area of sustainable urban development </w:t>
      </w:r>
      <w:r w:rsidR="003910DB" w:rsidRPr="007E33E3">
        <w:rPr>
          <w:rFonts w:ascii="Verdana" w:hAnsi="Verdana"/>
          <w:sz w:val="22"/>
          <w:szCs w:val="22"/>
        </w:rPr>
        <w:t xml:space="preserve">as well as </w:t>
      </w:r>
      <w:r w:rsidRPr="007E33E3">
        <w:rPr>
          <w:rFonts w:ascii="Verdana" w:hAnsi="Verdana"/>
          <w:sz w:val="22"/>
          <w:szCs w:val="22"/>
        </w:rPr>
        <w:t xml:space="preserve">on </w:t>
      </w:r>
      <w:r w:rsidRPr="007E33E3">
        <w:rPr>
          <w:rFonts w:ascii="Verdana" w:hAnsi="Verdana" w:cs="Arial"/>
          <w:sz w:val="22"/>
          <w:szCs w:val="22"/>
        </w:rPr>
        <w:t>urban-rural link</w:t>
      </w:r>
      <w:r w:rsidR="003910DB" w:rsidRPr="007E33E3">
        <w:rPr>
          <w:rFonts w:ascii="Verdana" w:hAnsi="Verdana" w:cs="Arial"/>
          <w:sz w:val="22"/>
          <w:szCs w:val="22"/>
        </w:rPr>
        <w:t>ages.</w:t>
      </w:r>
      <w:r w:rsidR="00162EEC" w:rsidRPr="007E33E3" w:rsidDel="00162EEC">
        <w:rPr>
          <w:rFonts w:ascii="Verdana" w:hAnsi="Verdana"/>
          <w:sz w:val="22"/>
          <w:szCs w:val="22"/>
        </w:rPr>
        <w:t xml:space="preserve"> </w:t>
      </w:r>
    </w:p>
    <w:p w:rsidR="00E21452" w:rsidRPr="007E33E3" w:rsidRDefault="00185FF6" w:rsidP="00E60AC2">
      <w:pPr>
        <w:spacing w:after="120" w:line="276" w:lineRule="auto"/>
        <w:ind w:right="566"/>
        <w:jc w:val="both"/>
        <w:rPr>
          <w:rFonts w:ascii="Verdana" w:hAnsi="Verdana"/>
          <w:i/>
          <w:sz w:val="22"/>
          <w:szCs w:val="22"/>
          <w:u w:val="single"/>
        </w:rPr>
      </w:pPr>
      <w:r w:rsidRPr="007E33E3">
        <w:rPr>
          <w:rFonts w:ascii="Verdana" w:hAnsi="Verdana"/>
          <w:i/>
          <w:sz w:val="22"/>
          <w:szCs w:val="22"/>
          <w:u w:val="single"/>
        </w:rPr>
        <w:t>Main target groups and types of beneficiaries</w:t>
      </w:r>
    </w:p>
    <w:p w:rsidR="00D7402F" w:rsidRPr="007E33E3" w:rsidRDefault="00D7402F" w:rsidP="00E60AC2">
      <w:pPr>
        <w:spacing w:after="120" w:line="276" w:lineRule="auto"/>
        <w:ind w:right="566"/>
        <w:jc w:val="both"/>
        <w:rPr>
          <w:rFonts w:ascii="Verdana" w:hAnsi="Verdana"/>
          <w:sz w:val="22"/>
          <w:szCs w:val="22"/>
          <w:highlight w:val="yellow"/>
        </w:rPr>
      </w:pPr>
    </w:p>
    <w:p w:rsidR="00C44242" w:rsidRDefault="002E5CA7" w:rsidP="00E60AC2">
      <w:pPr>
        <w:widowControl w:val="0"/>
        <w:autoSpaceDE w:val="0"/>
        <w:autoSpaceDN w:val="0"/>
        <w:adjustRightInd w:val="0"/>
        <w:spacing w:after="120" w:line="276" w:lineRule="auto"/>
        <w:jc w:val="both"/>
        <w:rPr>
          <w:rFonts w:ascii="Verdana" w:eastAsia="Calibri" w:hAnsi="Verdana" w:cs="Verdana"/>
          <w:sz w:val="22"/>
          <w:szCs w:val="22"/>
        </w:rPr>
      </w:pPr>
      <w:r w:rsidRPr="007E33E3">
        <w:rPr>
          <w:rFonts w:ascii="Verdana" w:eastAsia="Calibri" w:hAnsi="Verdana" w:cs="Verdana"/>
          <w:sz w:val="22"/>
          <w:szCs w:val="22"/>
        </w:rPr>
        <w:t xml:space="preserve">The main beneficiaries of actions implemented under Objective 4 </w:t>
      </w:r>
      <w:r w:rsidR="00155DD3" w:rsidRPr="007E33E3">
        <w:rPr>
          <w:rFonts w:ascii="Verdana" w:eastAsia="Calibri" w:hAnsi="Verdana" w:cs="Verdana"/>
          <w:sz w:val="22"/>
          <w:szCs w:val="22"/>
        </w:rPr>
        <w:t>are</w:t>
      </w:r>
      <w:r w:rsidRPr="007E33E3">
        <w:rPr>
          <w:rFonts w:ascii="Verdana" w:eastAsia="Calibri" w:hAnsi="Verdana" w:cs="Verdana"/>
          <w:sz w:val="22"/>
          <w:szCs w:val="22"/>
        </w:rPr>
        <w:t xml:space="preserve"> cities from EU 28 Member States, Norway and Switzerland. Actions </w:t>
      </w:r>
      <w:r w:rsidR="00155DD3" w:rsidRPr="007E33E3">
        <w:rPr>
          <w:rFonts w:ascii="Verdana" w:eastAsia="Calibri" w:hAnsi="Verdana" w:cs="Verdana"/>
          <w:sz w:val="22"/>
          <w:szCs w:val="22"/>
        </w:rPr>
        <w:t>will</w:t>
      </w:r>
      <w:r w:rsidRPr="007E33E3">
        <w:rPr>
          <w:rFonts w:ascii="Verdana" w:eastAsia="Calibri" w:hAnsi="Verdana" w:cs="Verdana"/>
          <w:sz w:val="22"/>
          <w:szCs w:val="22"/>
        </w:rPr>
        <w:t xml:space="preserve"> target players involved in urban policies </w:t>
      </w:r>
      <w:r w:rsidR="00282D17">
        <w:rPr>
          <w:rFonts w:ascii="Verdana" w:eastAsia="Calibri" w:hAnsi="Verdana" w:cs="Verdana"/>
          <w:sz w:val="22"/>
          <w:szCs w:val="22"/>
        </w:rPr>
        <w:t xml:space="preserve">(urban practitioners, policy-makers and decision-makers) </w:t>
      </w:r>
      <w:r w:rsidRPr="007E33E3">
        <w:rPr>
          <w:rFonts w:ascii="Verdana" w:eastAsia="Calibri" w:hAnsi="Verdana" w:cs="Verdana"/>
          <w:sz w:val="22"/>
          <w:szCs w:val="22"/>
        </w:rPr>
        <w:t xml:space="preserve">at all levels: EU, national, regional and local (e.g. national ministries; Managing authorities of Operational Programmes; European, national or regional networks/ associations of local authorities; relevant European </w:t>
      </w:r>
      <w:r w:rsidR="001D6B10" w:rsidRPr="007E33E3">
        <w:rPr>
          <w:rFonts w:ascii="Verdana" w:eastAsia="Calibri" w:hAnsi="Verdana" w:cs="Verdana"/>
          <w:sz w:val="22"/>
          <w:szCs w:val="22"/>
        </w:rPr>
        <w:t>P</w:t>
      </w:r>
      <w:r w:rsidRPr="007E33E3">
        <w:rPr>
          <w:rFonts w:ascii="Verdana" w:eastAsia="Calibri" w:hAnsi="Verdana" w:cs="Verdana"/>
          <w:sz w:val="22"/>
          <w:szCs w:val="22"/>
        </w:rPr>
        <w:t xml:space="preserve">rogrammes promoting sustainable urban development; </w:t>
      </w:r>
      <w:r w:rsidR="00C57544" w:rsidRPr="007E33E3">
        <w:rPr>
          <w:rFonts w:ascii="Verdana" w:eastAsia="Calibri" w:hAnsi="Verdana" w:cs="Verdana"/>
          <w:sz w:val="22"/>
          <w:szCs w:val="22"/>
        </w:rPr>
        <w:t xml:space="preserve">urban authorities participating in </w:t>
      </w:r>
      <w:r w:rsidRPr="007E33E3">
        <w:rPr>
          <w:rFonts w:ascii="Verdana" w:eastAsia="Calibri" w:hAnsi="Verdana" w:cs="Verdana"/>
          <w:sz w:val="22"/>
          <w:szCs w:val="22"/>
        </w:rPr>
        <w:t>the Urban Development Network, etc.).</w:t>
      </w:r>
    </w:p>
    <w:p w:rsidR="007210A0" w:rsidRPr="007E33E3" w:rsidRDefault="007210A0" w:rsidP="00E60AC2">
      <w:pPr>
        <w:widowControl w:val="0"/>
        <w:autoSpaceDE w:val="0"/>
        <w:autoSpaceDN w:val="0"/>
        <w:adjustRightInd w:val="0"/>
        <w:spacing w:after="120" w:line="276" w:lineRule="auto"/>
        <w:jc w:val="both"/>
        <w:rPr>
          <w:rFonts w:ascii="Verdana" w:eastAsia="Calibri" w:hAnsi="Verdana" w:cs="Verdana"/>
          <w:sz w:val="22"/>
          <w:szCs w:val="22"/>
        </w:rPr>
      </w:pPr>
    </w:p>
    <w:p w:rsidR="00E21452" w:rsidRPr="004F5F2B" w:rsidRDefault="008F49F8" w:rsidP="008F49F8">
      <w:pPr>
        <w:ind w:right="566"/>
        <w:jc w:val="both"/>
        <w:rPr>
          <w:rFonts w:ascii="Verdana" w:hAnsi="Verdana"/>
          <w:b/>
        </w:rPr>
      </w:pPr>
      <w:r w:rsidRPr="004F5F2B">
        <w:rPr>
          <w:rFonts w:ascii="Verdana" w:hAnsi="Verdana"/>
          <w:b/>
        </w:rPr>
        <w:t>2. A.</w:t>
      </w:r>
      <w:r w:rsidR="003B3E3B" w:rsidRPr="004F5F2B">
        <w:rPr>
          <w:rFonts w:ascii="Verdana" w:hAnsi="Verdana"/>
          <w:b/>
        </w:rPr>
        <w:t>3</w:t>
      </w:r>
      <w:r w:rsidRPr="004F5F2B">
        <w:rPr>
          <w:rFonts w:ascii="Verdana" w:hAnsi="Verdana"/>
          <w:b/>
        </w:rPr>
        <w:t>.2</w:t>
      </w:r>
      <w:r w:rsidR="00DC73D9" w:rsidRPr="004F5F2B">
        <w:rPr>
          <w:rFonts w:ascii="Verdana" w:hAnsi="Verdana"/>
          <w:b/>
        </w:rPr>
        <w:t>.</w:t>
      </w:r>
      <w:r w:rsidR="00E21452" w:rsidRPr="004F5F2B">
        <w:rPr>
          <w:rFonts w:ascii="Verdana" w:hAnsi="Verdana"/>
          <w:b/>
        </w:rPr>
        <w:t xml:space="preserve"> The Guiding principles for the selection of operations</w:t>
      </w:r>
    </w:p>
    <w:p w:rsidR="00E21452" w:rsidRPr="004F5F2B" w:rsidRDefault="00E21452" w:rsidP="008F49F8">
      <w:pPr>
        <w:ind w:right="566"/>
        <w:jc w:val="both"/>
        <w:rPr>
          <w:rFonts w:ascii="Verdana" w:hAnsi="Verdana"/>
          <w:b/>
        </w:rPr>
      </w:pPr>
      <w:r w:rsidRPr="004F5F2B">
        <w:rPr>
          <w:rFonts w:ascii="Verdana" w:hAnsi="Verdana"/>
          <w:b/>
        </w:rPr>
        <w:t xml:space="preserve">– </w:t>
      </w:r>
    </w:p>
    <w:p w:rsidR="00E21452" w:rsidRPr="004F5F2B" w:rsidRDefault="00E21452" w:rsidP="00E21452">
      <w:pPr>
        <w:ind w:right="566"/>
        <w:jc w:val="both"/>
        <w:rPr>
          <w:rFonts w:ascii="Verdana" w:hAnsi="Verdana"/>
          <w:i/>
        </w:rPr>
      </w:pPr>
    </w:p>
    <w:p w:rsidR="00E21452" w:rsidRPr="007E33E3" w:rsidRDefault="00E21452" w:rsidP="003F234F">
      <w:pPr>
        <w:spacing w:after="120" w:line="276" w:lineRule="auto"/>
        <w:ind w:right="566"/>
        <w:jc w:val="both"/>
        <w:rPr>
          <w:rFonts w:ascii="Verdana" w:hAnsi="Verdana"/>
          <w:sz w:val="22"/>
          <w:szCs w:val="22"/>
        </w:rPr>
      </w:pPr>
      <w:r w:rsidRPr="007E33E3">
        <w:rPr>
          <w:rFonts w:ascii="Verdana" w:hAnsi="Verdana"/>
          <w:sz w:val="22"/>
          <w:szCs w:val="22"/>
        </w:rPr>
        <w:t>The URBACT III programme will have different kinds of operations and the selection procedures will need to be adapted based on these differences.  The detail for selection of each kind of operation will be determined in the calls for proposals or tender publications but a number of cross cutting principles shall apply:</w:t>
      </w:r>
    </w:p>
    <w:p w:rsidR="00E21452" w:rsidRPr="007E33E3" w:rsidRDefault="00E21452" w:rsidP="008166DD">
      <w:pPr>
        <w:pStyle w:val="Paragraphedeliste3"/>
        <w:numPr>
          <w:ilvl w:val="0"/>
          <w:numId w:val="33"/>
        </w:numPr>
        <w:spacing w:after="120"/>
        <w:ind w:left="714" w:right="567" w:hanging="357"/>
        <w:contextualSpacing w:val="0"/>
        <w:jc w:val="both"/>
        <w:rPr>
          <w:rFonts w:ascii="Verdana" w:hAnsi="Verdana"/>
        </w:rPr>
      </w:pPr>
      <w:r w:rsidRPr="007E33E3">
        <w:rPr>
          <w:rFonts w:ascii="Verdana" w:hAnsi="Verdana"/>
        </w:rPr>
        <w:t>Consultation with Member and Partner states as well as other EU associations on the main themes to be proposed</w:t>
      </w:r>
    </w:p>
    <w:p w:rsidR="00E21452" w:rsidRPr="007E33E3" w:rsidRDefault="00E21452" w:rsidP="008166DD">
      <w:pPr>
        <w:pStyle w:val="Paragraphedeliste3"/>
        <w:numPr>
          <w:ilvl w:val="0"/>
          <w:numId w:val="33"/>
        </w:numPr>
        <w:spacing w:after="120"/>
        <w:ind w:left="714" w:right="567" w:hanging="357"/>
        <w:contextualSpacing w:val="0"/>
        <w:jc w:val="both"/>
        <w:rPr>
          <w:rFonts w:ascii="Verdana" w:hAnsi="Verdana"/>
        </w:rPr>
      </w:pPr>
      <w:r w:rsidRPr="007E33E3">
        <w:rPr>
          <w:rFonts w:ascii="Verdana" w:hAnsi="Verdana"/>
        </w:rPr>
        <w:t>Open and transparent procedures for calls for proposals involving wide EU level publication and focus on the use of National Points to increase the visibility</w:t>
      </w:r>
    </w:p>
    <w:p w:rsidR="003F234F" w:rsidRDefault="003F234F" w:rsidP="003F234F">
      <w:pPr>
        <w:spacing w:after="120" w:line="276" w:lineRule="auto"/>
        <w:ind w:right="566"/>
        <w:jc w:val="both"/>
        <w:rPr>
          <w:rFonts w:ascii="Verdana" w:hAnsi="Verdana"/>
          <w:sz w:val="22"/>
          <w:szCs w:val="22"/>
          <w:u w:val="single"/>
        </w:rPr>
      </w:pPr>
    </w:p>
    <w:p w:rsidR="00E21452" w:rsidRPr="007E33E3" w:rsidRDefault="00E21452" w:rsidP="003F234F">
      <w:pPr>
        <w:spacing w:after="120" w:line="276" w:lineRule="auto"/>
        <w:ind w:right="566"/>
        <w:jc w:val="both"/>
        <w:rPr>
          <w:rFonts w:ascii="Verdana" w:hAnsi="Verdana"/>
          <w:sz w:val="22"/>
          <w:szCs w:val="22"/>
          <w:u w:val="single"/>
        </w:rPr>
      </w:pPr>
      <w:r w:rsidRPr="007E33E3">
        <w:rPr>
          <w:rFonts w:ascii="Verdana" w:hAnsi="Verdana"/>
          <w:sz w:val="22"/>
          <w:szCs w:val="22"/>
          <w:u w:val="single"/>
        </w:rPr>
        <w:t>Guiding Principles for selection of network projects:</w:t>
      </w:r>
    </w:p>
    <w:p w:rsidR="00E21452" w:rsidRPr="007E33E3" w:rsidRDefault="00E21452" w:rsidP="003F234F">
      <w:pPr>
        <w:spacing w:after="120" w:line="276" w:lineRule="auto"/>
        <w:ind w:right="566"/>
        <w:jc w:val="both"/>
        <w:rPr>
          <w:rFonts w:ascii="Verdana" w:hAnsi="Verdana"/>
          <w:sz w:val="22"/>
          <w:szCs w:val="22"/>
        </w:rPr>
      </w:pPr>
    </w:p>
    <w:p w:rsidR="00E21452" w:rsidRPr="007E33E3" w:rsidRDefault="00E21452" w:rsidP="003F234F">
      <w:pPr>
        <w:spacing w:after="120" w:line="276" w:lineRule="auto"/>
        <w:ind w:right="566"/>
        <w:jc w:val="both"/>
        <w:rPr>
          <w:rFonts w:ascii="Verdana" w:hAnsi="Verdana"/>
          <w:sz w:val="22"/>
          <w:szCs w:val="22"/>
        </w:rPr>
      </w:pPr>
      <w:r w:rsidRPr="007E33E3">
        <w:rPr>
          <w:rFonts w:ascii="Verdana" w:hAnsi="Verdana"/>
          <w:sz w:val="22"/>
          <w:szCs w:val="22"/>
        </w:rPr>
        <w:t xml:space="preserve">The projects for the networking activities are selected through open and transparent calls for proposals. These calls of proposals will be promoted and advertised at European and at national level involving the National Points.  </w:t>
      </w:r>
    </w:p>
    <w:p w:rsidR="00E21452" w:rsidRPr="007E33E3" w:rsidRDefault="00E21452" w:rsidP="003F234F">
      <w:pPr>
        <w:spacing w:after="120" w:line="276" w:lineRule="auto"/>
        <w:ind w:right="566"/>
        <w:jc w:val="both"/>
        <w:rPr>
          <w:rFonts w:ascii="Verdana" w:hAnsi="Verdana"/>
          <w:sz w:val="22"/>
          <w:szCs w:val="22"/>
        </w:rPr>
      </w:pPr>
      <w:r w:rsidRPr="007E33E3">
        <w:rPr>
          <w:rFonts w:ascii="Verdana" w:hAnsi="Verdana"/>
          <w:sz w:val="22"/>
          <w:szCs w:val="22"/>
        </w:rPr>
        <w:t>These calls can address the full thematic scope of the investment priority (the 11 thematic priorities); they can also be targeted to deal with the earmarking of the 5 thematic objectives prioritised in the investment priority (see 1.2).</w:t>
      </w:r>
    </w:p>
    <w:p w:rsidR="00E21452" w:rsidRPr="007E33E3" w:rsidRDefault="00E21452" w:rsidP="003F234F">
      <w:pPr>
        <w:spacing w:after="120" w:line="276" w:lineRule="auto"/>
        <w:ind w:right="566"/>
        <w:jc w:val="both"/>
        <w:rPr>
          <w:rFonts w:ascii="Verdana" w:hAnsi="Verdana"/>
          <w:sz w:val="22"/>
          <w:szCs w:val="22"/>
        </w:rPr>
      </w:pPr>
      <w:r w:rsidRPr="007E33E3">
        <w:rPr>
          <w:rFonts w:ascii="Verdana" w:hAnsi="Verdana"/>
          <w:sz w:val="22"/>
          <w:szCs w:val="22"/>
        </w:rPr>
        <w:t>The terms of reference for such targeted calls for proposals may be defined on the basis of such considerations as the developments and preliminary results of previous calls for proposals, trends and policy developments in the scope of the investment priority, other guidance provided by the programme activities.</w:t>
      </w:r>
    </w:p>
    <w:p w:rsidR="005C22F6" w:rsidRPr="007E33E3" w:rsidRDefault="005C22F6" w:rsidP="005C22F6">
      <w:pPr>
        <w:spacing w:after="120" w:line="276" w:lineRule="auto"/>
        <w:ind w:right="566"/>
        <w:jc w:val="both"/>
        <w:rPr>
          <w:rFonts w:ascii="Verdana" w:hAnsi="Verdana"/>
          <w:sz w:val="22"/>
          <w:szCs w:val="22"/>
        </w:rPr>
      </w:pPr>
      <w:r>
        <w:rPr>
          <w:rFonts w:ascii="Verdana" w:hAnsi="Verdana"/>
          <w:sz w:val="22"/>
          <w:szCs w:val="22"/>
        </w:rPr>
        <w:t>A series of assessment criteria will be elaborated in collaboration with the Monitoring Committee members to ensure that quality projects are selected.  An emphasis shall be placed in the assessment criteria on the causal link between the networking activities proposed and the expected results of the programme.  The assessment shall be carried out by independent external experts who will consider the individual projects contribution to the programme output and result indicators.</w:t>
      </w:r>
    </w:p>
    <w:p w:rsidR="00E21452" w:rsidRPr="007E33E3" w:rsidRDefault="00E21452" w:rsidP="003F234F">
      <w:pPr>
        <w:spacing w:after="120" w:line="276" w:lineRule="auto"/>
        <w:ind w:right="566"/>
        <w:jc w:val="both"/>
        <w:rPr>
          <w:rFonts w:ascii="Verdana" w:hAnsi="Verdana"/>
          <w:sz w:val="22"/>
          <w:szCs w:val="22"/>
        </w:rPr>
      </w:pPr>
    </w:p>
    <w:p w:rsidR="00E21452" w:rsidRPr="007E33E3" w:rsidRDefault="00E21452" w:rsidP="003F234F">
      <w:pPr>
        <w:spacing w:after="120" w:line="276" w:lineRule="auto"/>
        <w:ind w:right="566"/>
        <w:jc w:val="both"/>
        <w:rPr>
          <w:rFonts w:ascii="Verdana" w:hAnsi="Verdana"/>
          <w:sz w:val="22"/>
          <w:szCs w:val="22"/>
          <w:u w:val="single"/>
        </w:rPr>
      </w:pPr>
      <w:r w:rsidRPr="007E33E3">
        <w:rPr>
          <w:rFonts w:ascii="Verdana" w:hAnsi="Verdana"/>
          <w:sz w:val="22"/>
          <w:szCs w:val="22"/>
          <w:u w:val="single"/>
        </w:rPr>
        <w:t>Guiding principles for the approval of other programme activity:</w:t>
      </w:r>
    </w:p>
    <w:p w:rsidR="00E21452" w:rsidRPr="007E33E3" w:rsidRDefault="00E21452" w:rsidP="003F234F">
      <w:pPr>
        <w:spacing w:after="120" w:line="276" w:lineRule="auto"/>
        <w:ind w:right="566"/>
        <w:jc w:val="both"/>
        <w:rPr>
          <w:rFonts w:ascii="Verdana" w:hAnsi="Verdana"/>
          <w:sz w:val="22"/>
          <w:szCs w:val="22"/>
        </w:rPr>
      </w:pPr>
    </w:p>
    <w:p w:rsidR="00E21452" w:rsidRPr="007E33E3" w:rsidRDefault="00E21452" w:rsidP="003F234F">
      <w:pPr>
        <w:spacing w:after="120" w:line="276" w:lineRule="auto"/>
        <w:ind w:right="566"/>
        <w:jc w:val="both"/>
        <w:rPr>
          <w:rFonts w:ascii="Verdana" w:hAnsi="Verdana"/>
          <w:sz w:val="22"/>
          <w:szCs w:val="22"/>
        </w:rPr>
      </w:pPr>
      <w:r w:rsidRPr="007E33E3">
        <w:rPr>
          <w:rFonts w:ascii="Verdana" w:hAnsi="Verdana"/>
          <w:sz w:val="22"/>
          <w:szCs w:val="22"/>
        </w:rPr>
        <w:t>In line with current procedures for project approval, the URBACT Monitoring Committee will be responsible for making all decisions on programme level activities.  Proposals will be made outlining the budgetary requirements as well as the expected outputs during the MC meetings.</w:t>
      </w:r>
    </w:p>
    <w:p w:rsidR="00E21452" w:rsidRPr="007E33E3" w:rsidRDefault="00E21452" w:rsidP="003F234F">
      <w:pPr>
        <w:spacing w:after="120" w:line="276" w:lineRule="auto"/>
        <w:ind w:right="566"/>
        <w:jc w:val="both"/>
        <w:rPr>
          <w:rFonts w:ascii="Verdana" w:hAnsi="Verdana"/>
          <w:sz w:val="22"/>
          <w:szCs w:val="22"/>
        </w:rPr>
      </w:pPr>
    </w:p>
    <w:p w:rsidR="00E21452" w:rsidRPr="004F5F2B" w:rsidRDefault="00DC73D9" w:rsidP="003F234F">
      <w:pPr>
        <w:spacing w:after="120" w:line="276" w:lineRule="auto"/>
        <w:ind w:right="566"/>
        <w:jc w:val="both"/>
        <w:rPr>
          <w:rFonts w:ascii="Verdana" w:hAnsi="Verdana"/>
          <w:b/>
        </w:rPr>
      </w:pPr>
      <w:r w:rsidRPr="004F5F2B">
        <w:rPr>
          <w:rFonts w:ascii="Verdana" w:hAnsi="Verdana"/>
          <w:b/>
        </w:rPr>
        <w:t>2.</w:t>
      </w:r>
      <w:r w:rsidR="008F49F8" w:rsidRPr="004F5F2B">
        <w:rPr>
          <w:rFonts w:ascii="Verdana" w:hAnsi="Verdana"/>
          <w:b/>
        </w:rPr>
        <w:t>A.</w:t>
      </w:r>
      <w:r w:rsidR="003B3E3B" w:rsidRPr="004F5F2B">
        <w:rPr>
          <w:rFonts w:ascii="Verdana" w:hAnsi="Verdana"/>
          <w:b/>
        </w:rPr>
        <w:t>3</w:t>
      </w:r>
      <w:r w:rsidR="008F49F8" w:rsidRPr="004F5F2B">
        <w:rPr>
          <w:rFonts w:ascii="Verdana" w:hAnsi="Verdana"/>
          <w:b/>
        </w:rPr>
        <w:t>.3</w:t>
      </w:r>
      <w:r w:rsidR="00E21452" w:rsidRPr="004F5F2B">
        <w:rPr>
          <w:rFonts w:ascii="Verdana" w:hAnsi="Verdana"/>
          <w:b/>
        </w:rPr>
        <w:t xml:space="preserve"> – Financial Instruments</w:t>
      </w:r>
    </w:p>
    <w:p w:rsidR="00E21452" w:rsidRPr="004F5F2B" w:rsidRDefault="00E21452" w:rsidP="003F234F">
      <w:pPr>
        <w:spacing w:after="120" w:line="276" w:lineRule="auto"/>
        <w:ind w:right="566"/>
        <w:jc w:val="both"/>
        <w:rPr>
          <w:rFonts w:ascii="Verdana" w:hAnsi="Verdana"/>
          <w:b/>
        </w:rPr>
      </w:pPr>
    </w:p>
    <w:p w:rsidR="00E21452" w:rsidRPr="007E33E3" w:rsidRDefault="00E21452" w:rsidP="003F234F">
      <w:pPr>
        <w:spacing w:after="120" w:line="276" w:lineRule="auto"/>
        <w:ind w:right="566"/>
        <w:jc w:val="both"/>
        <w:rPr>
          <w:rFonts w:ascii="Verdana" w:hAnsi="Verdana"/>
          <w:sz w:val="22"/>
          <w:szCs w:val="22"/>
        </w:rPr>
      </w:pPr>
      <w:r w:rsidRPr="007E33E3">
        <w:rPr>
          <w:rFonts w:ascii="Verdana" w:hAnsi="Verdana"/>
          <w:sz w:val="22"/>
          <w:szCs w:val="22"/>
        </w:rPr>
        <w:t>URBACT III is not concerned as it does not use financial instruments.</w:t>
      </w:r>
    </w:p>
    <w:p w:rsidR="00E21452" w:rsidRPr="007E33E3" w:rsidRDefault="00E21452" w:rsidP="003F234F">
      <w:pPr>
        <w:spacing w:after="120" w:line="276" w:lineRule="auto"/>
        <w:ind w:right="566"/>
        <w:jc w:val="both"/>
        <w:rPr>
          <w:rFonts w:ascii="Verdana" w:hAnsi="Verdana"/>
          <w:b/>
          <w:sz w:val="22"/>
          <w:szCs w:val="22"/>
        </w:rPr>
      </w:pPr>
    </w:p>
    <w:p w:rsidR="00E21452" w:rsidRPr="004F5F2B" w:rsidRDefault="00DC73D9" w:rsidP="003F234F">
      <w:pPr>
        <w:spacing w:after="120" w:line="276" w:lineRule="auto"/>
        <w:ind w:right="566"/>
        <w:jc w:val="both"/>
        <w:rPr>
          <w:rFonts w:ascii="Verdana" w:hAnsi="Verdana"/>
          <w:b/>
        </w:rPr>
      </w:pPr>
      <w:r w:rsidRPr="004F5F2B">
        <w:rPr>
          <w:rFonts w:ascii="Verdana" w:hAnsi="Verdana"/>
          <w:b/>
        </w:rPr>
        <w:t>2.</w:t>
      </w:r>
      <w:r w:rsidR="008F49F8" w:rsidRPr="004F5F2B">
        <w:rPr>
          <w:rFonts w:ascii="Verdana" w:hAnsi="Verdana"/>
          <w:b/>
        </w:rPr>
        <w:t>A.</w:t>
      </w:r>
      <w:r w:rsidR="003B3E3B" w:rsidRPr="004F5F2B">
        <w:rPr>
          <w:rFonts w:ascii="Verdana" w:hAnsi="Verdana"/>
          <w:b/>
        </w:rPr>
        <w:t>3</w:t>
      </w:r>
      <w:r w:rsidR="008F49F8" w:rsidRPr="004F5F2B">
        <w:rPr>
          <w:rFonts w:ascii="Verdana" w:hAnsi="Verdana"/>
          <w:b/>
        </w:rPr>
        <w:t>.4</w:t>
      </w:r>
      <w:r w:rsidR="00E21452" w:rsidRPr="004F5F2B">
        <w:rPr>
          <w:rFonts w:ascii="Verdana" w:hAnsi="Verdana"/>
          <w:b/>
        </w:rPr>
        <w:t xml:space="preserve"> – Major Projects</w:t>
      </w:r>
    </w:p>
    <w:p w:rsidR="00E21452" w:rsidRPr="004F5F2B" w:rsidRDefault="00E21452" w:rsidP="003F234F">
      <w:pPr>
        <w:spacing w:after="120" w:line="276" w:lineRule="auto"/>
        <w:ind w:right="566"/>
        <w:jc w:val="both"/>
        <w:rPr>
          <w:rFonts w:ascii="Verdana" w:hAnsi="Verdana"/>
          <w:b/>
        </w:rPr>
      </w:pPr>
    </w:p>
    <w:p w:rsidR="00E21452" w:rsidRPr="007E33E3" w:rsidRDefault="00E21452" w:rsidP="003F234F">
      <w:pPr>
        <w:spacing w:after="120" w:line="276" w:lineRule="auto"/>
        <w:ind w:right="566"/>
        <w:jc w:val="both"/>
        <w:rPr>
          <w:rFonts w:ascii="Verdana" w:hAnsi="Verdana"/>
          <w:sz w:val="22"/>
          <w:szCs w:val="22"/>
        </w:rPr>
      </w:pPr>
      <w:r w:rsidRPr="007E33E3">
        <w:rPr>
          <w:rFonts w:ascii="Verdana" w:hAnsi="Verdana"/>
          <w:sz w:val="22"/>
          <w:szCs w:val="22"/>
        </w:rPr>
        <w:t>There will be no major projects in URBACT III</w:t>
      </w:r>
      <w:r w:rsidR="00BC7448" w:rsidRPr="007E33E3">
        <w:rPr>
          <w:rFonts w:ascii="Verdana" w:hAnsi="Verdana"/>
          <w:sz w:val="22"/>
          <w:szCs w:val="22"/>
        </w:rPr>
        <w:t>.</w:t>
      </w:r>
    </w:p>
    <w:p w:rsidR="00E21452" w:rsidRPr="007E33E3" w:rsidRDefault="00E21452" w:rsidP="003F234F">
      <w:pPr>
        <w:spacing w:after="120" w:line="276" w:lineRule="auto"/>
        <w:ind w:right="566"/>
        <w:jc w:val="both"/>
        <w:rPr>
          <w:rFonts w:ascii="Verdana" w:hAnsi="Verdana"/>
          <w:b/>
          <w:sz w:val="22"/>
          <w:szCs w:val="22"/>
        </w:rPr>
      </w:pPr>
    </w:p>
    <w:p w:rsidR="00E21452" w:rsidRPr="004F5F2B" w:rsidRDefault="00E21452" w:rsidP="003F234F">
      <w:pPr>
        <w:spacing w:after="120" w:line="276" w:lineRule="auto"/>
        <w:ind w:right="566"/>
        <w:jc w:val="both"/>
        <w:rPr>
          <w:rFonts w:ascii="Verdana" w:hAnsi="Verdana"/>
          <w:b/>
        </w:rPr>
      </w:pPr>
    </w:p>
    <w:p w:rsidR="00E21452" w:rsidRPr="004F5F2B" w:rsidRDefault="00E21452" w:rsidP="003F234F">
      <w:pPr>
        <w:spacing w:after="120" w:line="276" w:lineRule="auto"/>
        <w:ind w:right="566"/>
        <w:jc w:val="both"/>
        <w:rPr>
          <w:rFonts w:ascii="Verdana" w:hAnsi="Verdana"/>
          <w:b/>
        </w:rPr>
      </w:pPr>
    </w:p>
    <w:p w:rsidR="000565D8" w:rsidRPr="004F5F2B" w:rsidRDefault="000565D8" w:rsidP="003F234F">
      <w:pPr>
        <w:spacing w:after="120" w:line="276" w:lineRule="auto"/>
        <w:rPr>
          <w:rFonts w:ascii="Verdana" w:hAnsi="Verdana"/>
          <w:b/>
        </w:rPr>
      </w:pPr>
      <w:r w:rsidRPr="004F5F2B">
        <w:rPr>
          <w:rFonts w:ascii="Verdana" w:hAnsi="Verdana"/>
          <w:b/>
        </w:rPr>
        <w:br w:type="page"/>
      </w:r>
    </w:p>
    <w:p w:rsidR="00E21452" w:rsidRDefault="00DC73D9" w:rsidP="003F234F">
      <w:pPr>
        <w:spacing w:after="120" w:line="276" w:lineRule="auto"/>
        <w:ind w:right="566"/>
        <w:jc w:val="both"/>
        <w:rPr>
          <w:rFonts w:ascii="Verdana" w:hAnsi="Verdana"/>
          <w:b/>
        </w:rPr>
      </w:pPr>
      <w:r w:rsidRPr="004F5F2B">
        <w:rPr>
          <w:rFonts w:ascii="Verdana" w:hAnsi="Verdana"/>
          <w:b/>
        </w:rPr>
        <w:t>2.</w:t>
      </w:r>
      <w:r w:rsidR="008F49F8" w:rsidRPr="004F5F2B">
        <w:rPr>
          <w:rFonts w:ascii="Verdana" w:hAnsi="Verdana"/>
          <w:b/>
        </w:rPr>
        <w:t>A.</w:t>
      </w:r>
      <w:r w:rsidR="006364B9" w:rsidRPr="004F5F2B">
        <w:rPr>
          <w:rFonts w:ascii="Verdana" w:hAnsi="Verdana"/>
          <w:b/>
        </w:rPr>
        <w:t>3</w:t>
      </w:r>
      <w:r w:rsidR="008F49F8" w:rsidRPr="004F5F2B">
        <w:rPr>
          <w:rFonts w:ascii="Verdana" w:hAnsi="Verdana"/>
          <w:b/>
        </w:rPr>
        <w:t>.5</w:t>
      </w:r>
      <w:r w:rsidR="00E21452" w:rsidRPr="004F5F2B">
        <w:rPr>
          <w:rFonts w:ascii="Verdana" w:hAnsi="Verdana"/>
          <w:b/>
        </w:rPr>
        <w:t xml:space="preserve"> Common and Programme Specific Output Indicators, including the quantified target value (table 4</w:t>
      </w:r>
      <w:r w:rsidR="0029014E" w:rsidRPr="004F5F2B">
        <w:rPr>
          <w:rFonts w:ascii="Verdana" w:hAnsi="Verdana"/>
          <w:b/>
        </w:rPr>
        <w:t>) –</w:t>
      </w:r>
      <w:r w:rsidR="00E21452" w:rsidRPr="004F5F2B">
        <w:rPr>
          <w:rFonts w:ascii="Verdana" w:hAnsi="Verdana"/>
          <w:b/>
        </w:rPr>
        <w:t xml:space="preserve"> </w:t>
      </w:r>
    </w:p>
    <w:p w:rsidR="00155DD3" w:rsidRPr="004F5F2B" w:rsidRDefault="00155DD3" w:rsidP="008F49F8">
      <w:pPr>
        <w:spacing w:after="160" w:line="259" w:lineRule="auto"/>
        <w:ind w:right="566"/>
        <w:jc w:val="both"/>
        <w:rPr>
          <w:rFonts w:ascii="Verdana" w:hAnsi="Verdana"/>
        </w:rPr>
      </w:pPr>
    </w:p>
    <w:tbl>
      <w:tblPr>
        <w:tblW w:w="9639" w:type="dxa"/>
        <w:tblInd w:w="-51" w:type="dxa"/>
        <w:tblCellMar>
          <w:top w:w="28" w:type="dxa"/>
          <w:left w:w="57" w:type="dxa"/>
          <w:bottom w:w="28" w:type="dxa"/>
          <w:right w:w="57" w:type="dxa"/>
        </w:tblCellMar>
        <w:tblLook w:val="00A0" w:firstRow="1" w:lastRow="0" w:firstColumn="1" w:lastColumn="0" w:noHBand="0" w:noVBand="0"/>
      </w:tblPr>
      <w:tblGrid>
        <w:gridCol w:w="9668"/>
      </w:tblGrid>
      <w:tr w:rsidR="00E21452" w:rsidRPr="004F5F2B" w:rsidTr="008F49F8">
        <w:trPr>
          <w:cantSplit/>
        </w:trPr>
        <w:tc>
          <w:tcPr>
            <w:tcW w:w="15423" w:type="dxa"/>
            <w:shd w:val="clear" w:color="auto" w:fill="F3F3F3"/>
          </w:tcPr>
          <w:p w:rsidR="00E21452" w:rsidRPr="007E33E3" w:rsidRDefault="00E21452" w:rsidP="00E21452">
            <w:pPr>
              <w:ind w:right="566"/>
              <w:rPr>
                <w:rFonts w:ascii="Verdana" w:hAnsi="Verdana"/>
                <w:b/>
                <w:sz w:val="22"/>
                <w:szCs w:val="22"/>
              </w:rPr>
            </w:pPr>
            <w:r w:rsidRPr="007E33E3">
              <w:rPr>
                <w:rFonts w:ascii="Verdana" w:hAnsi="Verdana"/>
                <w:b/>
                <w:sz w:val="22"/>
                <w:szCs w:val="22"/>
              </w:rPr>
              <w:t>Table 4: Common and Programme Specific Output Indicators</w:t>
            </w:r>
          </w:p>
          <w:p w:rsidR="00E21452" w:rsidRPr="004F5F2B" w:rsidRDefault="00E21452" w:rsidP="00E21452">
            <w:pPr>
              <w:ind w:right="566"/>
              <w:rPr>
                <w:rFonts w:ascii="Verdana" w:hAnsi="Verdana"/>
                <w:b/>
              </w:rPr>
            </w:pPr>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3184"/>
              <w:gridCol w:w="1838"/>
              <w:gridCol w:w="1516"/>
              <w:gridCol w:w="1949"/>
            </w:tblGrid>
            <w:tr w:rsidR="00026BA8" w:rsidRPr="007E33E3" w:rsidTr="00155DD3">
              <w:trPr>
                <w:trHeight w:val="870"/>
              </w:trPr>
              <w:tc>
                <w:tcPr>
                  <w:tcW w:w="554" w:type="pct"/>
                  <w:tcBorders>
                    <w:top w:val="single" w:sz="4" w:space="0" w:color="auto"/>
                    <w:left w:val="single" w:sz="4" w:space="0" w:color="auto"/>
                    <w:bottom w:val="single" w:sz="4" w:space="0" w:color="auto"/>
                    <w:right w:val="single" w:sz="4" w:space="0" w:color="auto"/>
                  </w:tcBorders>
                </w:tcPr>
                <w:p w:rsidR="00E21452" w:rsidRPr="007E33E3" w:rsidRDefault="00E21452" w:rsidP="00155DD3">
                  <w:pPr>
                    <w:rPr>
                      <w:rFonts w:ascii="Verdana" w:hAnsi="Verdana"/>
                      <w:b/>
                      <w:sz w:val="20"/>
                      <w:szCs w:val="20"/>
                    </w:rPr>
                  </w:pPr>
                  <w:r w:rsidRPr="007E33E3">
                    <w:rPr>
                      <w:rFonts w:ascii="Verdana" w:hAnsi="Verdana"/>
                      <w:b/>
                      <w:sz w:val="20"/>
                      <w:szCs w:val="20"/>
                    </w:rPr>
                    <w:t>ID</w:t>
                  </w:r>
                </w:p>
              </w:tc>
              <w:tc>
                <w:tcPr>
                  <w:tcW w:w="1668" w:type="pct"/>
                  <w:tcBorders>
                    <w:top w:val="single" w:sz="4" w:space="0" w:color="auto"/>
                    <w:left w:val="single" w:sz="4" w:space="0" w:color="auto"/>
                    <w:bottom w:val="single" w:sz="4" w:space="0" w:color="auto"/>
                    <w:right w:val="single" w:sz="4" w:space="0" w:color="auto"/>
                  </w:tcBorders>
                </w:tcPr>
                <w:p w:rsidR="00E21452" w:rsidRPr="007E33E3" w:rsidRDefault="00E21452" w:rsidP="00155DD3">
                  <w:pPr>
                    <w:rPr>
                      <w:rFonts w:ascii="Verdana" w:hAnsi="Verdana"/>
                      <w:b/>
                      <w:sz w:val="20"/>
                      <w:szCs w:val="20"/>
                    </w:rPr>
                  </w:pPr>
                  <w:r w:rsidRPr="007E33E3">
                    <w:rPr>
                      <w:rFonts w:ascii="Verdana" w:hAnsi="Verdana"/>
                      <w:b/>
                      <w:sz w:val="20"/>
                      <w:szCs w:val="20"/>
                    </w:rPr>
                    <w:t xml:space="preserve">Indicator </w:t>
                  </w:r>
                </w:p>
              </w:tc>
              <w:tc>
                <w:tcPr>
                  <w:tcW w:w="963" w:type="pct"/>
                  <w:tcBorders>
                    <w:top w:val="single" w:sz="4" w:space="0" w:color="auto"/>
                    <w:left w:val="single" w:sz="4" w:space="0" w:color="auto"/>
                    <w:bottom w:val="single" w:sz="4" w:space="0" w:color="auto"/>
                    <w:right w:val="single" w:sz="4" w:space="0" w:color="auto"/>
                  </w:tcBorders>
                </w:tcPr>
                <w:p w:rsidR="00E21452" w:rsidRPr="007E33E3" w:rsidRDefault="00E21452" w:rsidP="00155DD3">
                  <w:pPr>
                    <w:rPr>
                      <w:rFonts w:ascii="Verdana" w:hAnsi="Verdana"/>
                      <w:b/>
                      <w:sz w:val="20"/>
                      <w:szCs w:val="20"/>
                    </w:rPr>
                  </w:pPr>
                  <w:r w:rsidRPr="007E33E3">
                    <w:rPr>
                      <w:rFonts w:ascii="Verdana" w:hAnsi="Verdana"/>
                      <w:b/>
                      <w:sz w:val="20"/>
                      <w:szCs w:val="20"/>
                    </w:rPr>
                    <w:t xml:space="preserve">Measurement Unit </w:t>
                  </w:r>
                </w:p>
              </w:tc>
              <w:tc>
                <w:tcPr>
                  <w:tcW w:w="794" w:type="pct"/>
                  <w:tcBorders>
                    <w:top w:val="single" w:sz="4" w:space="0" w:color="auto"/>
                    <w:left w:val="single" w:sz="4" w:space="0" w:color="auto"/>
                    <w:bottom w:val="single" w:sz="4" w:space="0" w:color="auto"/>
                    <w:right w:val="single" w:sz="4" w:space="0" w:color="auto"/>
                  </w:tcBorders>
                </w:tcPr>
                <w:p w:rsidR="00E21452" w:rsidRPr="007E33E3" w:rsidRDefault="00E21452" w:rsidP="00155DD3">
                  <w:pPr>
                    <w:rPr>
                      <w:rFonts w:ascii="Verdana" w:hAnsi="Verdana"/>
                      <w:b/>
                      <w:sz w:val="20"/>
                      <w:szCs w:val="20"/>
                    </w:rPr>
                  </w:pPr>
                  <w:r w:rsidRPr="007E33E3">
                    <w:rPr>
                      <w:rFonts w:ascii="Verdana" w:hAnsi="Verdana"/>
                      <w:b/>
                      <w:sz w:val="20"/>
                      <w:szCs w:val="20"/>
                    </w:rPr>
                    <w:t xml:space="preserve">Target Value </w:t>
                  </w:r>
                </w:p>
                <w:p w:rsidR="00E21452" w:rsidRPr="007E33E3" w:rsidRDefault="00E21452" w:rsidP="00155DD3">
                  <w:pPr>
                    <w:rPr>
                      <w:rFonts w:ascii="Verdana" w:hAnsi="Verdana"/>
                      <w:b/>
                      <w:sz w:val="20"/>
                      <w:szCs w:val="20"/>
                    </w:rPr>
                  </w:pPr>
                  <w:r w:rsidRPr="007E33E3">
                    <w:rPr>
                      <w:rFonts w:ascii="Verdana" w:hAnsi="Verdana"/>
                      <w:b/>
                      <w:sz w:val="20"/>
                      <w:szCs w:val="20"/>
                    </w:rPr>
                    <w:t>2022</w:t>
                  </w:r>
                </w:p>
              </w:tc>
              <w:tc>
                <w:tcPr>
                  <w:tcW w:w="1021" w:type="pct"/>
                  <w:tcBorders>
                    <w:top w:val="single" w:sz="4" w:space="0" w:color="auto"/>
                    <w:left w:val="single" w:sz="4" w:space="0" w:color="auto"/>
                    <w:bottom w:val="single" w:sz="4" w:space="0" w:color="auto"/>
                    <w:right w:val="single" w:sz="4" w:space="0" w:color="auto"/>
                  </w:tcBorders>
                </w:tcPr>
                <w:p w:rsidR="00E21452" w:rsidRPr="007E33E3" w:rsidRDefault="00E21452" w:rsidP="00155DD3">
                  <w:pPr>
                    <w:rPr>
                      <w:rFonts w:ascii="Verdana" w:hAnsi="Verdana"/>
                      <w:b/>
                      <w:sz w:val="20"/>
                      <w:szCs w:val="20"/>
                    </w:rPr>
                  </w:pPr>
                  <w:r w:rsidRPr="007E33E3">
                    <w:rPr>
                      <w:rFonts w:ascii="Verdana" w:hAnsi="Verdana"/>
                      <w:b/>
                      <w:sz w:val="20"/>
                      <w:szCs w:val="20"/>
                    </w:rPr>
                    <w:t>Source of data</w:t>
                  </w:r>
                </w:p>
              </w:tc>
            </w:tr>
            <w:tr w:rsidR="00026BA8" w:rsidRPr="007E33E3" w:rsidTr="00155DD3">
              <w:trPr>
                <w:trHeight w:val="420"/>
              </w:trPr>
              <w:tc>
                <w:tcPr>
                  <w:tcW w:w="554" w:type="pct"/>
                  <w:tcBorders>
                    <w:top w:val="single" w:sz="4" w:space="0" w:color="auto"/>
                    <w:left w:val="single" w:sz="4" w:space="0" w:color="auto"/>
                    <w:bottom w:val="single" w:sz="4" w:space="0" w:color="auto"/>
                    <w:right w:val="single" w:sz="4" w:space="0" w:color="auto"/>
                  </w:tcBorders>
                </w:tcPr>
                <w:p w:rsidR="00E21452" w:rsidRPr="007E33E3" w:rsidRDefault="00707965" w:rsidP="00155DD3">
                  <w:pPr>
                    <w:spacing w:before="120" w:after="120"/>
                    <w:rPr>
                      <w:rFonts w:ascii="Verdana" w:hAnsi="Verdana"/>
                      <w:b/>
                      <w:sz w:val="20"/>
                      <w:szCs w:val="20"/>
                    </w:rPr>
                  </w:pPr>
                  <w:r>
                    <w:rPr>
                      <w:rFonts w:ascii="Verdana" w:hAnsi="Verdana"/>
                      <w:b/>
                      <w:sz w:val="20"/>
                      <w:szCs w:val="20"/>
                    </w:rPr>
                    <w:t>5</w:t>
                  </w:r>
                </w:p>
              </w:tc>
              <w:tc>
                <w:tcPr>
                  <w:tcW w:w="1668" w:type="pct"/>
                  <w:tcBorders>
                    <w:top w:val="single" w:sz="4" w:space="0" w:color="auto"/>
                    <w:left w:val="single" w:sz="4" w:space="0" w:color="auto"/>
                    <w:bottom w:val="single" w:sz="4" w:space="0" w:color="auto"/>
                    <w:right w:val="single" w:sz="4" w:space="0" w:color="auto"/>
                  </w:tcBorders>
                </w:tcPr>
                <w:p w:rsidR="00E21452" w:rsidRPr="007E33E3" w:rsidRDefault="00E21452" w:rsidP="00155DD3">
                  <w:pPr>
                    <w:spacing w:before="120" w:after="120"/>
                    <w:rPr>
                      <w:rFonts w:ascii="Verdana" w:hAnsi="Verdana"/>
                      <w:b/>
                      <w:sz w:val="20"/>
                      <w:szCs w:val="20"/>
                    </w:rPr>
                  </w:pPr>
                  <w:r w:rsidRPr="007E33E3">
                    <w:rPr>
                      <w:rFonts w:ascii="Verdana" w:hAnsi="Verdana"/>
                      <w:sz w:val="20"/>
                      <w:szCs w:val="20"/>
                    </w:rPr>
                    <w:t>Total number of networks completed</w:t>
                  </w:r>
                </w:p>
              </w:tc>
              <w:tc>
                <w:tcPr>
                  <w:tcW w:w="963" w:type="pct"/>
                  <w:tcBorders>
                    <w:top w:val="single" w:sz="4" w:space="0" w:color="auto"/>
                    <w:left w:val="single" w:sz="4" w:space="0" w:color="auto"/>
                    <w:bottom w:val="single" w:sz="4" w:space="0" w:color="auto"/>
                    <w:right w:val="single" w:sz="4" w:space="0" w:color="auto"/>
                  </w:tcBorders>
                </w:tcPr>
                <w:p w:rsidR="00E21452" w:rsidRPr="007E33E3" w:rsidRDefault="00E21452" w:rsidP="00155DD3">
                  <w:pPr>
                    <w:spacing w:before="120" w:after="120"/>
                    <w:rPr>
                      <w:rFonts w:ascii="Verdana" w:hAnsi="Verdana"/>
                      <w:b/>
                      <w:sz w:val="20"/>
                      <w:szCs w:val="20"/>
                    </w:rPr>
                  </w:pPr>
                  <w:r w:rsidRPr="007E33E3">
                    <w:rPr>
                      <w:rFonts w:ascii="Verdana" w:hAnsi="Verdana"/>
                      <w:sz w:val="20"/>
                      <w:szCs w:val="20"/>
                    </w:rPr>
                    <w:t>Number</w:t>
                  </w:r>
                </w:p>
              </w:tc>
              <w:tc>
                <w:tcPr>
                  <w:tcW w:w="794" w:type="pct"/>
                  <w:tcBorders>
                    <w:top w:val="single" w:sz="4" w:space="0" w:color="auto"/>
                    <w:left w:val="single" w:sz="4" w:space="0" w:color="auto"/>
                    <w:bottom w:val="single" w:sz="4" w:space="0" w:color="auto"/>
                    <w:right w:val="single" w:sz="4" w:space="0" w:color="auto"/>
                  </w:tcBorders>
                </w:tcPr>
                <w:p w:rsidR="00E21452" w:rsidRPr="007E33E3" w:rsidRDefault="00E21452" w:rsidP="00155DD3">
                  <w:pPr>
                    <w:spacing w:before="120" w:after="120"/>
                    <w:rPr>
                      <w:rFonts w:ascii="Verdana" w:hAnsi="Verdana"/>
                      <w:sz w:val="20"/>
                      <w:szCs w:val="20"/>
                    </w:rPr>
                  </w:pPr>
                  <w:r w:rsidRPr="007E33E3">
                    <w:rPr>
                      <w:rFonts w:ascii="Verdana" w:hAnsi="Verdana"/>
                      <w:sz w:val="20"/>
                      <w:szCs w:val="20"/>
                    </w:rPr>
                    <w:t>70</w:t>
                  </w:r>
                </w:p>
              </w:tc>
              <w:tc>
                <w:tcPr>
                  <w:tcW w:w="1021" w:type="pct"/>
                  <w:tcBorders>
                    <w:top w:val="single" w:sz="4" w:space="0" w:color="auto"/>
                    <w:left w:val="single" w:sz="4" w:space="0" w:color="auto"/>
                    <w:bottom w:val="single" w:sz="4" w:space="0" w:color="auto"/>
                    <w:right w:val="single" w:sz="4" w:space="0" w:color="auto"/>
                  </w:tcBorders>
                </w:tcPr>
                <w:p w:rsidR="00E21452" w:rsidRPr="007E33E3" w:rsidRDefault="00E21452" w:rsidP="00155DD3">
                  <w:pPr>
                    <w:spacing w:before="120" w:after="120"/>
                    <w:rPr>
                      <w:rFonts w:ascii="Verdana" w:hAnsi="Verdana"/>
                      <w:b/>
                      <w:sz w:val="20"/>
                      <w:szCs w:val="20"/>
                    </w:rPr>
                  </w:pPr>
                  <w:r w:rsidRPr="007E33E3">
                    <w:rPr>
                      <w:rFonts w:ascii="Verdana" w:hAnsi="Verdana"/>
                      <w:sz w:val="20"/>
                      <w:szCs w:val="20"/>
                    </w:rPr>
                    <w:t>Programme monitoring</w:t>
                  </w:r>
                </w:p>
              </w:tc>
            </w:tr>
            <w:tr w:rsidR="00026BA8" w:rsidRPr="007E33E3" w:rsidTr="00155DD3">
              <w:trPr>
                <w:trHeight w:val="428"/>
              </w:trPr>
              <w:tc>
                <w:tcPr>
                  <w:tcW w:w="554" w:type="pct"/>
                  <w:tcBorders>
                    <w:top w:val="single" w:sz="4" w:space="0" w:color="auto"/>
                    <w:left w:val="single" w:sz="4" w:space="0" w:color="auto"/>
                    <w:bottom w:val="single" w:sz="4" w:space="0" w:color="auto"/>
                    <w:right w:val="single" w:sz="4" w:space="0" w:color="auto"/>
                  </w:tcBorders>
                </w:tcPr>
                <w:p w:rsidR="00E21452" w:rsidRPr="007E33E3" w:rsidRDefault="00707965" w:rsidP="00155DD3">
                  <w:pPr>
                    <w:spacing w:before="120" w:after="120"/>
                    <w:rPr>
                      <w:rFonts w:ascii="Verdana" w:hAnsi="Verdana"/>
                      <w:b/>
                      <w:sz w:val="20"/>
                      <w:szCs w:val="20"/>
                    </w:rPr>
                  </w:pPr>
                  <w:r>
                    <w:rPr>
                      <w:rFonts w:ascii="Verdana" w:hAnsi="Verdana"/>
                      <w:b/>
                      <w:sz w:val="20"/>
                      <w:szCs w:val="20"/>
                    </w:rPr>
                    <w:t>6</w:t>
                  </w:r>
                </w:p>
              </w:tc>
              <w:tc>
                <w:tcPr>
                  <w:tcW w:w="1668" w:type="pct"/>
                  <w:tcBorders>
                    <w:top w:val="single" w:sz="4" w:space="0" w:color="auto"/>
                    <w:left w:val="single" w:sz="4" w:space="0" w:color="auto"/>
                    <w:bottom w:val="single" w:sz="4" w:space="0" w:color="auto"/>
                    <w:right w:val="single" w:sz="4" w:space="0" w:color="auto"/>
                  </w:tcBorders>
                </w:tcPr>
                <w:p w:rsidR="00E21452" w:rsidRPr="007E33E3" w:rsidRDefault="00E21452" w:rsidP="00155DD3">
                  <w:pPr>
                    <w:spacing w:before="120" w:after="120"/>
                    <w:rPr>
                      <w:rFonts w:ascii="Verdana" w:hAnsi="Verdana"/>
                      <w:b/>
                      <w:sz w:val="20"/>
                      <w:szCs w:val="20"/>
                    </w:rPr>
                  </w:pPr>
                  <w:r w:rsidRPr="007E33E3">
                    <w:rPr>
                      <w:rFonts w:ascii="Verdana" w:hAnsi="Verdana"/>
                      <w:sz w:val="20"/>
                      <w:szCs w:val="20"/>
                    </w:rPr>
                    <w:t xml:space="preserve">Number of </w:t>
                  </w:r>
                  <w:r w:rsidR="00026BA8" w:rsidRPr="007E33E3">
                    <w:rPr>
                      <w:rFonts w:ascii="Verdana" w:hAnsi="Verdana"/>
                      <w:sz w:val="20"/>
                      <w:szCs w:val="20"/>
                    </w:rPr>
                    <w:t>integrated a</w:t>
                  </w:r>
                  <w:r w:rsidRPr="007E33E3">
                    <w:rPr>
                      <w:rFonts w:ascii="Verdana" w:hAnsi="Verdana"/>
                      <w:sz w:val="20"/>
                      <w:szCs w:val="20"/>
                    </w:rPr>
                    <w:t xml:space="preserve">ction </w:t>
                  </w:r>
                  <w:r w:rsidR="00026BA8" w:rsidRPr="007E33E3">
                    <w:rPr>
                      <w:rFonts w:ascii="Verdana" w:hAnsi="Verdana"/>
                      <w:sz w:val="20"/>
                      <w:szCs w:val="20"/>
                    </w:rPr>
                    <w:t>p</w:t>
                  </w:r>
                  <w:r w:rsidRPr="007E33E3">
                    <w:rPr>
                      <w:rFonts w:ascii="Verdana" w:hAnsi="Verdana"/>
                      <w:sz w:val="20"/>
                      <w:szCs w:val="20"/>
                    </w:rPr>
                    <w:t>lans developed</w:t>
                  </w:r>
                </w:p>
              </w:tc>
              <w:tc>
                <w:tcPr>
                  <w:tcW w:w="963" w:type="pct"/>
                  <w:tcBorders>
                    <w:top w:val="single" w:sz="4" w:space="0" w:color="auto"/>
                    <w:left w:val="single" w:sz="4" w:space="0" w:color="auto"/>
                    <w:bottom w:val="single" w:sz="4" w:space="0" w:color="auto"/>
                    <w:right w:val="single" w:sz="4" w:space="0" w:color="auto"/>
                  </w:tcBorders>
                </w:tcPr>
                <w:p w:rsidR="00E21452" w:rsidRPr="007E33E3" w:rsidRDefault="00E21452" w:rsidP="00155DD3">
                  <w:pPr>
                    <w:spacing w:before="120" w:after="120"/>
                    <w:rPr>
                      <w:rFonts w:ascii="Verdana" w:hAnsi="Verdana"/>
                      <w:sz w:val="20"/>
                      <w:szCs w:val="20"/>
                    </w:rPr>
                  </w:pPr>
                  <w:r w:rsidRPr="007E33E3">
                    <w:rPr>
                      <w:rFonts w:ascii="Verdana" w:hAnsi="Verdana"/>
                      <w:sz w:val="20"/>
                      <w:szCs w:val="20"/>
                    </w:rPr>
                    <w:t>Number</w:t>
                  </w:r>
                </w:p>
              </w:tc>
              <w:tc>
                <w:tcPr>
                  <w:tcW w:w="794" w:type="pct"/>
                  <w:tcBorders>
                    <w:top w:val="single" w:sz="4" w:space="0" w:color="auto"/>
                    <w:left w:val="single" w:sz="4" w:space="0" w:color="auto"/>
                    <w:bottom w:val="single" w:sz="4" w:space="0" w:color="auto"/>
                    <w:right w:val="single" w:sz="4" w:space="0" w:color="auto"/>
                  </w:tcBorders>
                </w:tcPr>
                <w:p w:rsidR="00E21452" w:rsidRPr="007E33E3" w:rsidRDefault="00026BA8" w:rsidP="00155DD3">
                  <w:pPr>
                    <w:spacing w:before="120" w:after="120"/>
                    <w:rPr>
                      <w:rFonts w:ascii="Verdana" w:hAnsi="Verdana"/>
                      <w:sz w:val="20"/>
                      <w:szCs w:val="20"/>
                    </w:rPr>
                  </w:pPr>
                  <w:r w:rsidRPr="007E33E3">
                    <w:rPr>
                      <w:rFonts w:ascii="Verdana" w:hAnsi="Verdana"/>
                      <w:sz w:val="20"/>
                      <w:szCs w:val="20"/>
                    </w:rPr>
                    <w:t>300</w:t>
                  </w:r>
                </w:p>
              </w:tc>
              <w:tc>
                <w:tcPr>
                  <w:tcW w:w="1021" w:type="pct"/>
                  <w:tcBorders>
                    <w:top w:val="single" w:sz="4" w:space="0" w:color="auto"/>
                    <w:left w:val="single" w:sz="4" w:space="0" w:color="auto"/>
                    <w:bottom w:val="single" w:sz="4" w:space="0" w:color="auto"/>
                    <w:right w:val="single" w:sz="4" w:space="0" w:color="auto"/>
                  </w:tcBorders>
                </w:tcPr>
                <w:p w:rsidR="00E21452" w:rsidRPr="007E33E3" w:rsidRDefault="00E21452" w:rsidP="00155DD3">
                  <w:pPr>
                    <w:spacing w:before="120" w:after="120"/>
                    <w:rPr>
                      <w:rFonts w:ascii="Verdana" w:hAnsi="Verdana"/>
                      <w:b/>
                      <w:sz w:val="20"/>
                      <w:szCs w:val="20"/>
                    </w:rPr>
                  </w:pPr>
                  <w:r w:rsidRPr="007E33E3">
                    <w:rPr>
                      <w:rFonts w:ascii="Verdana" w:hAnsi="Verdana"/>
                      <w:sz w:val="20"/>
                      <w:szCs w:val="20"/>
                    </w:rPr>
                    <w:t>Programme monitoring</w:t>
                  </w:r>
                </w:p>
              </w:tc>
            </w:tr>
            <w:tr w:rsidR="00026BA8" w:rsidRPr="007E33E3" w:rsidTr="00155DD3">
              <w:trPr>
                <w:trHeight w:val="420"/>
              </w:trPr>
              <w:tc>
                <w:tcPr>
                  <w:tcW w:w="554" w:type="pct"/>
                  <w:tcBorders>
                    <w:top w:val="single" w:sz="4" w:space="0" w:color="auto"/>
                    <w:left w:val="single" w:sz="4" w:space="0" w:color="auto"/>
                    <w:bottom w:val="single" w:sz="4" w:space="0" w:color="auto"/>
                    <w:right w:val="single" w:sz="4" w:space="0" w:color="auto"/>
                  </w:tcBorders>
                </w:tcPr>
                <w:p w:rsidR="00E21452" w:rsidRPr="007E33E3" w:rsidRDefault="00707965" w:rsidP="00155DD3">
                  <w:pPr>
                    <w:spacing w:before="120" w:after="120"/>
                    <w:rPr>
                      <w:rFonts w:ascii="Verdana" w:hAnsi="Verdana"/>
                      <w:b/>
                      <w:sz w:val="20"/>
                      <w:szCs w:val="20"/>
                    </w:rPr>
                  </w:pPr>
                  <w:r>
                    <w:rPr>
                      <w:rFonts w:ascii="Verdana" w:hAnsi="Verdana"/>
                      <w:b/>
                      <w:sz w:val="20"/>
                      <w:szCs w:val="20"/>
                    </w:rPr>
                    <w:t>7</w:t>
                  </w:r>
                </w:p>
              </w:tc>
              <w:tc>
                <w:tcPr>
                  <w:tcW w:w="1668" w:type="pct"/>
                  <w:tcBorders>
                    <w:top w:val="single" w:sz="4" w:space="0" w:color="auto"/>
                    <w:left w:val="single" w:sz="4" w:space="0" w:color="auto"/>
                    <w:bottom w:val="single" w:sz="4" w:space="0" w:color="auto"/>
                    <w:right w:val="single" w:sz="4" w:space="0" w:color="auto"/>
                  </w:tcBorders>
                </w:tcPr>
                <w:p w:rsidR="00E21452" w:rsidRPr="007E33E3" w:rsidRDefault="00E21452" w:rsidP="00155DD3">
                  <w:pPr>
                    <w:spacing w:before="120" w:after="120"/>
                    <w:rPr>
                      <w:rFonts w:ascii="Verdana" w:hAnsi="Verdana"/>
                      <w:b/>
                      <w:sz w:val="20"/>
                      <w:szCs w:val="20"/>
                    </w:rPr>
                  </w:pPr>
                  <w:r w:rsidRPr="007E33E3">
                    <w:rPr>
                      <w:rFonts w:ascii="Verdana" w:hAnsi="Verdana"/>
                      <w:sz w:val="20"/>
                      <w:szCs w:val="20"/>
                    </w:rPr>
                    <w:t xml:space="preserve">Number of </w:t>
                  </w:r>
                  <w:r w:rsidR="00DF602D" w:rsidRPr="007E33E3">
                    <w:rPr>
                      <w:rFonts w:ascii="Verdana" w:hAnsi="Verdana"/>
                      <w:sz w:val="20"/>
                      <w:szCs w:val="20"/>
                    </w:rPr>
                    <w:t>cities receiving funding under ERDF Article 7 or Article 8</w:t>
                  </w:r>
                  <w:r w:rsidR="00192BF2" w:rsidRPr="007E33E3">
                    <w:rPr>
                      <w:rFonts w:ascii="Verdana" w:hAnsi="Verdana"/>
                      <w:sz w:val="20"/>
                      <w:szCs w:val="20"/>
                    </w:rPr>
                    <w:t xml:space="preserve"> i</w:t>
                  </w:r>
                  <w:r w:rsidRPr="007E33E3">
                    <w:rPr>
                      <w:rFonts w:ascii="Verdana" w:hAnsi="Verdana"/>
                      <w:sz w:val="20"/>
                      <w:szCs w:val="20"/>
                    </w:rPr>
                    <w:t>nvolved in networks</w:t>
                  </w:r>
                </w:p>
              </w:tc>
              <w:tc>
                <w:tcPr>
                  <w:tcW w:w="963" w:type="pct"/>
                  <w:tcBorders>
                    <w:top w:val="single" w:sz="4" w:space="0" w:color="auto"/>
                    <w:left w:val="single" w:sz="4" w:space="0" w:color="auto"/>
                    <w:bottom w:val="single" w:sz="4" w:space="0" w:color="auto"/>
                    <w:right w:val="single" w:sz="4" w:space="0" w:color="auto"/>
                  </w:tcBorders>
                </w:tcPr>
                <w:p w:rsidR="00E21452" w:rsidRPr="007E33E3" w:rsidRDefault="00E21452" w:rsidP="00155DD3">
                  <w:pPr>
                    <w:spacing w:before="120" w:after="120"/>
                    <w:rPr>
                      <w:rFonts w:ascii="Verdana" w:hAnsi="Verdana"/>
                      <w:b/>
                      <w:sz w:val="20"/>
                      <w:szCs w:val="20"/>
                    </w:rPr>
                  </w:pPr>
                  <w:r w:rsidRPr="007E33E3">
                    <w:rPr>
                      <w:rFonts w:ascii="Verdana" w:hAnsi="Verdana"/>
                      <w:sz w:val="20"/>
                      <w:szCs w:val="20"/>
                    </w:rPr>
                    <w:t>Number</w:t>
                  </w:r>
                </w:p>
              </w:tc>
              <w:tc>
                <w:tcPr>
                  <w:tcW w:w="794" w:type="pct"/>
                  <w:tcBorders>
                    <w:top w:val="single" w:sz="4" w:space="0" w:color="auto"/>
                    <w:left w:val="single" w:sz="4" w:space="0" w:color="auto"/>
                    <w:bottom w:val="single" w:sz="4" w:space="0" w:color="auto"/>
                    <w:right w:val="single" w:sz="4" w:space="0" w:color="auto"/>
                  </w:tcBorders>
                </w:tcPr>
                <w:p w:rsidR="00E21452" w:rsidRPr="007E33E3" w:rsidRDefault="00AC3B80" w:rsidP="00155DD3">
                  <w:pPr>
                    <w:spacing w:before="120" w:after="120"/>
                    <w:rPr>
                      <w:rFonts w:ascii="Verdana" w:hAnsi="Verdana"/>
                      <w:sz w:val="20"/>
                      <w:szCs w:val="20"/>
                    </w:rPr>
                  </w:pPr>
                  <w:r w:rsidRPr="007E33E3">
                    <w:rPr>
                      <w:rFonts w:ascii="Verdana" w:hAnsi="Verdana"/>
                      <w:sz w:val="20"/>
                      <w:szCs w:val="20"/>
                    </w:rPr>
                    <w:t>4</w:t>
                  </w:r>
                  <w:r w:rsidR="00E21452" w:rsidRPr="007E33E3">
                    <w:rPr>
                      <w:rFonts w:ascii="Verdana" w:hAnsi="Verdana"/>
                      <w:sz w:val="20"/>
                      <w:szCs w:val="20"/>
                    </w:rPr>
                    <w:t>0</w:t>
                  </w:r>
                </w:p>
              </w:tc>
              <w:tc>
                <w:tcPr>
                  <w:tcW w:w="1021" w:type="pct"/>
                  <w:tcBorders>
                    <w:top w:val="single" w:sz="4" w:space="0" w:color="auto"/>
                    <w:left w:val="single" w:sz="4" w:space="0" w:color="auto"/>
                    <w:bottom w:val="single" w:sz="4" w:space="0" w:color="auto"/>
                    <w:right w:val="single" w:sz="4" w:space="0" w:color="auto"/>
                  </w:tcBorders>
                </w:tcPr>
                <w:p w:rsidR="00E21452" w:rsidRPr="007E33E3" w:rsidRDefault="00E21452" w:rsidP="00155DD3">
                  <w:pPr>
                    <w:spacing w:before="120" w:after="120"/>
                    <w:rPr>
                      <w:rFonts w:ascii="Verdana" w:hAnsi="Verdana"/>
                      <w:b/>
                      <w:sz w:val="20"/>
                      <w:szCs w:val="20"/>
                    </w:rPr>
                  </w:pPr>
                  <w:r w:rsidRPr="007E33E3">
                    <w:rPr>
                      <w:rFonts w:ascii="Verdana" w:hAnsi="Verdana"/>
                      <w:sz w:val="20"/>
                      <w:szCs w:val="20"/>
                    </w:rPr>
                    <w:t>Programme monitoring</w:t>
                  </w:r>
                </w:p>
              </w:tc>
            </w:tr>
            <w:tr w:rsidR="00026BA8" w:rsidRPr="007E33E3" w:rsidTr="00155DD3">
              <w:trPr>
                <w:trHeight w:val="420"/>
              </w:trPr>
              <w:tc>
                <w:tcPr>
                  <w:tcW w:w="554" w:type="pct"/>
                  <w:tcBorders>
                    <w:top w:val="single" w:sz="4" w:space="0" w:color="auto"/>
                    <w:left w:val="single" w:sz="4" w:space="0" w:color="auto"/>
                    <w:bottom w:val="single" w:sz="4" w:space="0" w:color="auto"/>
                    <w:right w:val="single" w:sz="4" w:space="0" w:color="auto"/>
                  </w:tcBorders>
                </w:tcPr>
                <w:p w:rsidR="00E21452" w:rsidRPr="007E33E3" w:rsidRDefault="00707965" w:rsidP="00155DD3">
                  <w:pPr>
                    <w:spacing w:before="120" w:after="120"/>
                    <w:rPr>
                      <w:rFonts w:ascii="Verdana" w:hAnsi="Verdana"/>
                      <w:b/>
                      <w:sz w:val="20"/>
                      <w:szCs w:val="20"/>
                    </w:rPr>
                  </w:pPr>
                  <w:r>
                    <w:rPr>
                      <w:rFonts w:ascii="Verdana" w:hAnsi="Verdana"/>
                      <w:b/>
                      <w:sz w:val="20"/>
                      <w:szCs w:val="20"/>
                    </w:rPr>
                    <w:t>8</w:t>
                  </w:r>
                </w:p>
              </w:tc>
              <w:tc>
                <w:tcPr>
                  <w:tcW w:w="1668" w:type="pct"/>
                  <w:tcBorders>
                    <w:top w:val="single" w:sz="4" w:space="0" w:color="auto"/>
                    <w:left w:val="single" w:sz="4" w:space="0" w:color="auto"/>
                    <w:bottom w:val="single" w:sz="4" w:space="0" w:color="auto"/>
                    <w:right w:val="single" w:sz="4" w:space="0" w:color="auto"/>
                  </w:tcBorders>
                </w:tcPr>
                <w:p w:rsidR="00E21452" w:rsidRPr="007E33E3" w:rsidRDefault="00E21452" w:rsidP="00162EEC">
                  <w:pPr>
                    <w:spacing w:before="120" w:after="120"/>
                    <w:rPr>
                      <w:rFonts w:ascii="Verdana" w:hAnsi="Verdana"/>
                      <w:sz w:val="20"/>
                      <w:szCs w:val="20"/>
                    </w:rPr>
                  </w:pPr>
                  <w:r w:rsidRPr="007E33E3">
                    <w:rPr>
                      <w:rFonts w:ascii="Verdana" w:hAnsi="Verdana"/>
                      <w:sz w:val="20"/>
                      <w:szCs w:val="20"/>
                    </w:rPr>
                    <w:t xml:space="preserve">Number of Cities </w:t>
                  </w:r>
                  <w:r w:rsidR="00162EEC">
                    <w:rPr>
                      <w:rFonts w:ascii="Verdana" w:hAnsi="Verdana"/>
                      <w:sz w:val="20"/>
                      <w:szCs w:val="20"/>
                    </w:rPr>
                    <w:t xml:space="preserve">having reused a good practice </w:t>
                  </w:r>
                </w:p>
              </w:tc>
              <w:tc>
                <w:tcPr>
                  <w:tcW w:w="963" w:type="pct"/>
                  <w:tcBorders>
                    <w:top w:val="single" w:sz="4" w:space="0" w:color="auto"/>
                    <w:left w:val="single" w:sz="4" w:space="0" w:color="auto"/>
                    <w:bottom w:val="single" w:sz="4" w:space="0" w:color="auto"/>
                    <w:right w:val="single" w:sz="4" w:space="0" w:color="auto"/>
                  </w:tcBorders>
                </w:tcPr>
                <w:p w:rsidR="00E21452" w:rsidRPr="007E33E3" w:rsidRDefault="00E21452" w:rsidP="00155DD3">
                  <w:pPr>
                    <w:spacing w:before="120" w:after="120"/>
                    <w:rPr>
                      <w:rFonts w:ascii="Verdana" w:hAnsi="Verdana"/>
                      <w:sz w:val="20"/>
                      <w:szCs w:val="20"/>
                    </w:rPr>
                  </w:pPr>
                  <w:r w:rsidRPr="007E33E3">
                    <w:rPr>
                      <w:rFonts w:ascii="Verdana" w:hAnsi="Verdana"/>
                      <w:sz w:val="20"/>
                      <w:szCs w:val="20"/>
                    </w:rPr>
                    <w:t>Number</w:t>
                  </w:r>
                </w:p>
              </w:tc>
              <w:tc>
                <w:tcPr>
                  <w:tcW w:w="794" w:type="pct"/>
                  <w:tcBorders>
                    <w:top w:val="single" w:sz="4" w:space="0" w:color="auto"/>
                    <w:left w:val="single" w:sz="4" w:space="0" w:color="auto"/>
                    <w:bottom w:val="single" w:sz="4" w:space="0" w:color="auto"/>
                    <w:right w:val="single" w:sz="4" w:space="0" w:color="auto"/>
                  </w:tcBorders>
                </w:tcPr>
                <w:p w:rsidR="00E21452" w:rsidRPr="007E33E3" w:rsidRDefault="00026BA8" w:rsidP="00155DD3">
                  <w:pPr>
                    <w:spacing w:before="120" w:after="120"/>
                    <w:rPr>
                      <w:rFonts w:ascii="Verdana" w:hAnsi="Verdana"/>
                      <w:sz w:val="20"/>
                      <w:szCs w:val="20"/>
                    </w:rPr>
                  </w:pPr>
                  <w:r w:rsidRPr="007E33E3">
                    <w:rPr>
                      <w:rFonts w:ascii="Verdana" w:hAnsi="Verdana"/>
                      <w:sz w:val="20"/>
                      <w:szCs w:val="20"/>
                    </w:rPr>
                    <w:t>50</w:t>
                  </w:r>
                </w:p>
              </w:tc>
              <w:tc>
                <w:tcPr>
                  <w:tcW w:w="1021" w:type="pct"/>
                  <w:tcBorders>
                    <w:top w:val="single" w:sz="4" w:space="0" w:color="auto"/>
                    <w:left w:val="single" w:sz="4" w:space="0" w:color="auto"/>
                    <w:bottom w:val="single" w:sz="4" w:space="0" w:color="auto"/>
                    <w:right w:val="single" w:sz="4" w:space="0" w:color="auto"/>
                  </w:tcBorders>
                </w:tcPr>
                <w:p w:rsidR="00E21452" w:rsidRPr="007E33E3" w:rsidRDefault="00E21452" w:rsidP="00155DD3">
                  <w:pPr>
                    <w:spacing w:before="120" w:after="120"/>
                    <w:rPr>
                      <w:rFonts w:ascii="Verdana" w:hAnsi="Verdana"/>
                      <w:sz w:val="20"/>
                      <w:szCs w:val="20"/>
                    </w:rPr>
                  </w:pPr>
                  <w:r w:rsidRPr="007E33E3">
                    <w:rPr>
                      <w:rFonts w:ascii="Verdana" w:hAnsi="Verdana"/>
                      <w:sz w:val="20"/>
                      <w:szCs w:val="20"/>
                    </w:rPr>
                    <w:t>Programme monitoring</w:t>
                  </w:r>
                </w:p>
              </w:tc>
            </w:tr>
            <w:tr w:rsidR="00026BA8" w:rsidRPr="007E33E3" w:rsidTr="00155DD3">
              <w:trPr>
                <w:trHeight w:val="420"/>
              </w:trPr>
              <w:tc>
                <w:tcPr>
                  <w:tcW w:w="554" w:type="pct"/>
                  <w:tcBorders>
                    <w:top w:val="single" w:sz="4" w:space="0" w:color="auto"/>
                    <w:left w:val="single" w:sz="4" w:space="0" w:color="auto"/>
                    <w:bottom w:val="single" w:sz="4" w:space="0" w:color="auto"/>
                    <w:right w:val="single" w:sz="4" w:space="0" w:color="auto"/>
                  </w:tcBorders>
                </w:tcPr>
                <w:p w:rsidR="00E21452" w:rsidRPr="007E33E3" w:rsidRDefault="00707965" w:rsidP="00155DD3">
                  <w:pPr>
                    <w:spacing w:before="120" w:after="120"/>
                    <w:rPr>
                      <w:rFonts w:ascii="Verdana" w:hAnsi="Verdana"/>
                      <w:b/>
                      <w:sz w:val="20"/>
                      <w:szCs w:val="20"/>
                    </w:rPr>
                  </w:pPr>
                  <w:r>
                    <w:rPr>
                      <w:rFonts w:ascii="Verdana" w:hAnsi="Verdana"/>
                      <w:b/>
                      <w:sz w:val="20"/>
                      <w:szCs w:val="20"/>
                    </w:rPr>
                    <w:t>9</w:t>
                  </w:r>
                </w:p>
              </w:tc>
              <w:tc>
                <w:tcPr>
                  <w:tcW w:w="1668" w:type="pct"/>
                  <w:tcBorders>
                    <w:top w:val="single" w:sz="4" w:space="0" w:color="auto"/>
                    <w:left w:val="single" w:sz="4" w:space="0" w:color="auto"/>
                    <w:bottom w:val="single" w:sz="4" w:space="0" w:color="auto"/>
                    <w:right w:val="single" w:sz="4" w:space="0" w:color="auto"/>
                  </w:tcBorders>
                </w:tcPr>
                <w:p w:rsidR="00E21452" w:rsidRPr="007E33E3" w:rsidRDefault="00E21452" w:rsidP="00155DD3">
                  <w:pPr>
                    <w:spacing w:before="120" w:after="120"/>
                    <w:rPr>
                      <w:rFonts w:ascii="Verdana" w:hAnsi="Verdana"/>
                      <w:sz w:val="20"/>
                      <w:szCs w:val="20"/>
                    </w:rPr>
                  </w:pPr>
                  <w:r w:rsidRPr="007E33E3">
                    <w:rPr>
                      <w:rFonts w:ascii="Verdana" w:hAnsi="Verdana"/>
                      <w:sz w:val="20"/>
                      <w:szCs w:val="20"/>
                    </w:rPr>
                    <w:t xml:space="preserve">Number of </w:t>
                  </w:r>
                  <w:r w:rsidR="00026BA8" w:rsidRPr="007E33E3">
                    <w:rPr>
                      <w:rFonts w:ascii="Verdana" w:hAnsi="Verdana"/>
                      <w:sz w:val="20"/>
                      <w:szCs w:val="20"/>
                    </w:rPr>
                    <w:t xml:space="preserve">local stakeholders involved in URBACT network activities at local level </w:t>
                  </w:r>
                  <w:r w:rsidR="00AC3B80" w:rsidRPr="007E33E3">
                    <w:rPr>
                      <w:rFonts w:ascii="Verdana" w:hAnsi="Verdana"/>
                      <w:sz w:val="20"/>
                      <w:szCs w:val="20"/>
                    </w:rPr>
                    <w:t>(</w:t>
                  </w:r>
                  <w:r w:rsidR="00026BA8" w:rsidRPr="007E33E3">
                    <w:rPr>
                      <w:rFonts w:ascii="Verdana" w:hAnsi="Verdana"/>
                      <w:sz w:val="20"/>
                      <w:szCs w:val="20"/>
                    </w:rPr>
                    <w:t xml:space="preserve">URBACT </w:t>
                  </w:r>
                  <w:r w:rsidR="00AC3B80" w:rsidRPr="007E33E3">
                    <w:rPr>
                      <w:rFonts w:ascii="Verdana" w:hAnsi="Verdana"/>
                      <w:sz w:val="20"/>
                      <w:szCs w:val="20"/>
                    </w:rPr>
                    <w:t>Local Support Groups members)</w:t>
                  </w:r>
                </w:p>
              </w:tc>
              <w:tc>
                <w:tcPr>
                  <w:tcW w:w="963" w:type="pct"/>
                  <w:tcBorders>
                    <w:top w:val="single" w:sz="4" w:space="0" w:color="auto"/>
                    <w:left w:val="single" w:sz="4" w:space="0" w:color="auto"/>
                    <w:bottom w:val="single" w:sz="4" w:space="0" w:color="auto"/>
                    <w:right w:val="single" w:sz="4" w:space="0" w:color="auto"/>
                  </w:tcBorders>
                </w:tcPr>
                <w:p w:rsidR="00E21452" w:rsidRPr="007E33E3" w:rsidRDefault="00E21452" w:rsidP="00155DD3">
                  <w:pPr>
                    <w:spacing w:before="120" w:after="120"/>
                    <w:rPr>
                      <w:rFonts w:ascii="Verdana" w:hAnsi="Verdana"/>
                      <w:b/>
                      <w:sz w:val="20"/>
                      <w:szCs w:val="20"/>
                    </w:rPr>
                  </w:pPr>
                  <w:r w:rsidRPr="007E33E3">
                    <w:rPr>
                      <w:rFonts w:ascii="Verdana" w:hAnsi="Verdana"/>
                      <w:sz w:val="20"/>
                      <w:szCs w:val="20"/>
                    </w:rPr>
                    <w:t>Number</w:t>
                  </w:r>
                </w:p>
              </w:tc>
              <w:tc>
                <w:tcPr>
                  <w:tcW w:w="794" w:type="pct"/>
                  <w:tcBorders>
                    <w:top w:val="single" w:sz="4" w:space="0" w:color="auto"/>
                    <w:left w:val="single" w:sz="4" w:space="0" w:color="auto"/>
                    <w:bottom w:val="single" w:sz="4" w:space="0" w:color="auto"/>
                    <w:right w:val="single" w:sz="4" w:space="0" w:color="auto"/>
                  </w:tcBorders>
                </w:tcPr>
                <w:p w:rsidR="00E21452" w:rsidRPr="007E33E3" w:rsidRDefault="00E21452" w:rsidP="00155DD3">
                  <w:pPr>
                    <w:spacing w:before="120" w:after="120"/>
                    <w:rPr>
                      <w:rFonts w:ascii="Verdana" w:hAnsi="Verdana"/>
                      <w:sz w:val="20"/>
                      <w:szCs w:val="20"/>
                    </w:rPr>
                  </w:pPr>
                  <w:r w:rsidRPr="007E33E3">
                    <w:rPr>
                      <w:rFonts w:ascii="Verdana" w:hAnsi="Verdana"/>
                      <w:sz w:val="20"/>
                      <w:szCs w:val="20"/>
                    </w:rPr>
                    <w:t>600</w:t>
                  </w:r>
                  <w:r w:rsidR="00AC3B80" w:rsidRPr="007E33E3">
                    <w:rPr>
                      <w:rFonts w:ascii="Verdana" w:hAnsi="Verdana"/>
                      <w:sz w:val="20"/>
                      <w:szCs w:val="20"/>
                    </w:rPr>
                    <w:t>0</w:t>
                  </w:r>
                </w:p>
              </w:tc>
              <w:tc>
                <w:tcPr>
                  <w:tcW w:w="1021" w:type="pct"/>
                  <w:tcBorders>
                    <w:top w:val="single" w:sz="4" w:space="0" w:color="auto"/>
                    <w:left w:val="single" w:sz="4" w:space="0" w:color="auto"/>
                    <w:bottom w:val="single" w:sz="4" w:space="0" w:color="auto"/>
                    <w:right w:val="single" w:sz="4" w:space="0" w:color="auto"/>
                  </w:tcBorders>
                </w:tcPr>
                <w:p w:rsidR="00E21452" w:rsidRPr="007E33E3" w:rsidRDefault="00E21452" w:rsidP="00155DD3">
                  <w:pPr>
                    <w:spacing w:before="120" w:after="120"/>
                    <w:rPr>
                      <w:rFonts w:ascii="Verdana" w:hAnsi="Verdana"/>
                      <w:b/>
                      <w:sz w:val="20"/>
                      <w:szCs w:val="20"/>
                    </w:rPr>
                  </w:pPr>
                  <w:r w:rsidRPr="007E33E3">
                    <w:rPr>
                      <w:rFonts w:ascii="Verdana" w:hAnsi="Verdana"/>
                      <w:sz w:val="20"/>
                      <w:szCs w:val="20"/>
                    </w:rPr>
                    <w:t>Programme monitoring</w:t>
                  </w:r>
                </w:p>
              </w:tc>
            </w:tr>
            <w:tr w:rsidR="00026BA8" w:rsidRPr="007E33E3" w:rsidTr="00155DD3">
              <w:trPr>
                <w:trHeight w:val="420"/>
              </w:trPr>
              <w:tc>
                <w:tcPr>
                  <w:tcW w:w="554" w:type="pct"/>
                  <w:tcBorders>
                    <w:top w:val="single" w:sz="4" w:space="0" w:color="auto"/>
                    <w:left w:val="single" w:sz="4" w:space="0" w:color="auto"/>
                    <w:bottom w:val="single" w:sz="4" w:space="0" w:color="auto"/>
                    <w:right w:val="single" w:sz="4" w:space="0" w:color="auto"/>
                  </w:tcBorders>
                </w:tcPr>
                <w:p w:rsidR="00E21452" w:rsidRPr="007E33E3" w:rsidRDefault="00707965" w:rsidP="00155DD3">
                  <w:pPr>
                    <w:spacing w:before="120" w:after="120"/>
                    <w:rPr>
                      <w:rFonts w:ascii="Verdana" w:hAnsi="Verdana"/>
                      <w:b/>
                      <w:sz w:val="20"/>
                      <w:szCs w:val="20"/>
                    </w:rPr>
                  </w:pPr>
                  <w:r>
                    <w:rPr>
                      <w:rFonts w:ascii="Verdana" w:hAnsi="Verdana"/>
                      <w:b/>
                      <w:sz w:val="20"/>
                      <w:szCs w:val="20"/>
                    </w:rPr>
                    <w:t>10</w:t>
                  </w:r>
                </w:p>
              </w:tc>
              <w:tc>
                <w:tcPr>
                  <w:tcW w:w="1668" w:type="pct"/>
                  <w:tcBorders>
                    <w:top w:val="single" w:sz="4" w:space="0" w:color="auto"/>
                    <w:left w:val="single" w:sz="4" w:space="0" w:color="auto"/>
                    <w:bottom w:val="single" w:sz="4" w:space="0" w:color="auto"/>
                    <w:right w:val="single" w:sz="4" w:space="0" w:color="auto"/>
                  </w:tcBorders>
                </w:tcPr>
                <w:p w:rsidR="00E21452" w:rsidRPr="007E33E3" w:rsidRDefault="00E21452" w:rsidP="00155DD3">
                  <w:pPr>
                    <w:spacing w:before="120" w:after="120"/>
                    <w:rPr>
                      <w:rFonts w:ascii="Verdana" w:hAnsi="Verdana"/>
                      <w:b/>
                      <w:sz w:val="20"/>
                      <w:szCs w:val="20"/>
                    </w:rPr>
                  </w:pPr>
                  <w:r w:rsidRPr="007E33E3">
                    <w:rPr>
                      <w:rFonts w:ascii="Verdana" w:hAnsi="Verdana"/>
                      <w:sz w:val="20"/>
                      <w:szCs w:val="20"/>
                    </w:rPr>
                    <w:t xml:space="preserve">Number of </w:t>
                  </w:r>
                  <w:r w:rsidR="00026BA8" w:rsidRPr="007E33E3">
                    <w:rPr>
                      <w:rFonts w:ascii="Verdana" w:hAnsi="Verdana"/>
                      <w:sz w:val="20"/>
                      <w:szCs w:val="20"/>
                    </w:rPr>
                    <w:t xml:space="preserve">stakeholders </w:t>
                  </w:r>
                  <w:r w:rsidR="00A40CBB" w:rsidRPr="007E33E3">
                    <w:rPr>
                      <w:rFonts w:ascii="Verdana" w:hAnsi="Verdana"/>
                      <w:sz w:val="20"/>
                      <w:szCs w:val="20"/>
                    </w:rPr>
                    <w:t>participating</w:t>
                  </w:r>
                  <w:r w:rsidR="00026BA8" w:rsidRPr="007E33E3">
                    <w:rPr>
                      <w:rFonts w:ascii="Verdana" w:hAnsi="Verdana"/>
                      <w:sz w:val="20"/>
                      <w:szCs w:val="20"/>
                    </w:rPr>
                    <w:t xml:space="preserve"> </w:t>
                  </w:r>
                  <w:r w:rsidRPr="007E33E3">
                    <w:rPr>
                      <w:rFonts w:ascii="Verdana" w:hAnsi="Verdana"/>
                      <w:sz w:val="20"/>
                      <w:szCs w:val="20"/>
                    </w:rPr>
                    <w:t xml:space="preserve">in capacity building activities </w:t>
                  </w:r>
                </w:p>
              </w:tc>
              <w:tc>
                <w:tcPr>
                  <w:tcW w:w="963" w:type="pct"/>
                  <w:tcBorders>
                    <w:top w:val="single" w:sz="4" w:space="0" w:color="auto"/>
                    <w:left w:val="single" w:sz="4" w:space="0" w:color="auto"/>
                    <w:bottom w:val="single" w:sz="4" w:space="0" w:color="auto"/>
                    <w:right w:val="single" w:sz="4" w:space="0" w:color="auto"/>
                  </w:tcBorders>
                </w:tcPr>
                <w:p w:rsidR="00E21452" w:rsidRPr="007E33E3" w:rsidRDefault="00E21452" w:rsidP="00155DD3">
                  <w:pPr>
                    <w:spacing w:before="120" w:after="120"/>
                    <w:rPr>
                      <w:rFonts w:ascii="Verdana" w:hAnsi="Verdana"/>
                      <w:b/>
                      <w:sz w:val="20"/>
                      <w:szCs w:val="20"/>
                    </w:rPr>
                  </w:pPr>
                  <w:r w:rsidRPr="007E33E3">
                    <w:rPr>
                      <w:rFonts w:ascii="Verdana" w:hAnsi="Verdana"/>
                      <w:sz w:val="20"/>
                      <w:szCs w:val="20"/>
                    </w:rPr>
                    <w:t>Number</w:t>
                  </w:r>
                </w:p>
              </w:tc>
              <w:tc>
                <w:tcPr>
                  <w:tcW w:w="794" w:type="pct"/>
                  <w:tcBorders>
                    <w:top w:val="single" w:sz="4" w:space="0" w:color="auto"/>
                    <w:left w:val="single" w:sz="4" w:space="0" w:color="auto"/>
                    <w:bottom w:val="single" w:sz="4" w:space="0" w:color="auto"/>
                    <w:right w:val="single" w:sz="4" w:space="0" w:color="auto"/>
                  </w:tcBorders>
                </w:tcPr>
                <w:p w:rsidR="00E21452" w:rsidRPr="007E33E3" w:rsidRDefault="00AC3B80" w:rsidP="00155DD3">
                  <w:pPr>
                    <w:spacing w:before="120" w:after="120"/>
                    <w:rPr>
                      <w:rFonts w:ascii="Verdana" w:hAnsi="Verdana"/>
                      <w:sz w:val="20"/>
                      <w:szCs w:val="20"/>
                    </w:rPr>
                  </w:pPr>
                  <w:r w:rsidRPr="007E33E3">
                    <w:rPr>
                      <w:rFonts w:ascii="Verdana" w:hAnsi="Verdana"/>
                      <w:sz w:val="20"/>
                      <w:szCs w:val="20"/>
                    </w:rPr>
                    <w:t>2600</w:t>
                  </w:r>
                </w:p>
              </w:tc>
              <w:tc>
                <w:tcPr>
                  <w:tcW w:w="1021" w:type="pct"/>
                  <w:tcBorders>
                    <w:top w:val="single" w:sz="4" w:space="0" w:color="auto"/>
                    <w:left w:val="single" w:sz="4" w:space="0" w:color="auto"/>
                    <w:bottom w:val="single" w:sz="4" w:space="0" w:color="auto"/>
                    <w:right w:val="single" w:sz="4" w:space="0" w:color="auto"/>
                  </w:tcBorders>
                </w:tcPr>
                <w:p w:rsidR="00E21452" w:rsidRPr="007E33E3" w:rsidRDefault="00E21452" w:rsidP="00155DD3">
                  <w:pPr>
                    <w:spacing w:before="120" w:after="120"/>
                    <w:rPr>
                      <w:rFonts w:ascii="Verdana" w:hAnsi="Verdana"/>
                      <w:b/>
                      <w:sz w:val="20"/>
                      <w:szCs w:val="20"/>
                    </w:rPr>
                  </w:pPr>
                  <w:r w:rsidRPr="007E33E3">
                    <w:rPr>
                      <w:rFonts w:ascii="Verdana" w:hAnsi="Verdana"/>
                      <w:sz w:val="20"/>
                      <w:szCs w:val="20"/>
                    </w:rPr>
                    <w:t>Programme monitoring</w:t>
                  </w:r>
                </w:p>
              </w:tc>
            </w:tr>
            <w:tr w:rsidR="00026BA8" w:rsidRPr="007E33E3" w:rsidTr="00155DD3">
              <w:trPr>
                <w:trHeight w:val="254"/>
              </w:trPr>
              <w:tc>
                <w:tcPr>
                  <w:tcW w:w="554" w:type="pct"/>
                  <w:tcBorders>
                    <w:top w:val="single" w:sz="4" w:space="0" w:color="auto"/>
                    <w:left w:val="single" w:sz="4" w:space="0" w:color="auto"/>
                    <w:bottom w:val="single" w:sz="4" w:space="0" w:color="auto"/>
                    <w:right w:val="single" w:sz="4" w:space="0" w:color="auto"/>
                  </w:tcBorders>
                </w:tcPr>
                <w:p w:rsidR="00E21452" w:rsidRPr="007E33E3" w:rsidRDefault="00707965" w:rsidP="00155DD3">
                  <w:pPr>
                    <w:spacing w:before="120" w:after="120"/>
                    <w:rPr>
                      <w:rFonts w:ascii="Verdana" w:hAnsi="Verdana"/>
                      <w:b/>
                      <w:sz w:val="20"/>
                      <w:szCs w:val="20"/>
                    </w:rPr>
                  </w:pPr>
                  <w:r>
                    <w:rPr>
                      <w:rFonts w:ascii="Verdana" w:hAnsi="Verdana"/>
                      <w:b/>
                      <w:sz w:val="20"/>
                      <w:szCs w:val="20"/>
                    </w:rPr>
                    <w:t>11</w:t>
                  </w:r>
                </w:p>
              </w:tc>
              <w:tc>
                <w:tcPr>
                  <w:tcW w:w="1668" w:type="pct"/>
                  <w:tcBorders>
                    <w:top w:val="single" w:sz="4" w:space="0" w:color="auto"/>
                    <w:left w:val="single" w:sz="4" w:space="0" w:color="auto"/>
                    <w:bottom w:val="single" w:sz="4" w:space="0" w:color="auto"/>
                    <w:right w:val="single" w:sz="4" w:space="0" w:color="auto"/>
                  </w:tcBorders>
                </w:tcPr>
                <w:p w:rsidR="00E21452" w:rsidRPr="007E33E3" w:rsidRDefault="00E21452" w:rsidP="00155DD3">
                  <w:pPr>
                    <w:spacing w:before="120" w:after="120"/>
                    <w:rPr>
                      <w:rFonts w:ascii="Verdana" w:hAnsi="Verdana"/>
                      <w:b/>
                      <w:sz w:val="20"/>
                      <w:szCs w:val="20"/>
                    </w:rPr>
                  </w:pPr>
                  <w:r w:rsidRPr="007E33E3">
                    <w:rPr>
                      <w:rFonts w:ascii="Verdana" w:hAnsi="Verdana"/>
                      <w:sz w:val="20"/>
                      <w:szCs w:val="20"/>
                    </w:rPr>
                    <w:t xml:space="preserve">Number of programme level and thematic events organised </w:t>
                  </w:r>
                </w:p>
              </w:tc>
              <w:tc>
                <w:tcPr>
                  <w:tcW w:w="963" w:type="pct"/>
                  <w:tcBorders>
                    <w:top w:val="single" w:sz="4" w:space="0" w:color="auto"/>
                    <w:left w:val="single" w:sz="4" w:space="0" w:color="auto"/>
                    <w:bottom w:val="single" w:sz="4" w:space="0" w:color="auto"/>
                    <w:right w:val="single" w:sz="4" w:space="0" w:color="auto"/>
                  </w:tcBorders>
                </w:tcPr>
                <w:p w:rsidR="00E21452" w:rsidRPr="007E33E3" w:rsidRDefault="00E21452" w:rsidP="00155DD3">
                  <w:pPr>
                    <w:spacing w:before="120" w:after="120"/>
                    <w:rPr>
                      <w:rFonts w:ascii="Verdana" w:hAnsi="Verdana"/>
                      <w:b/>
                      <w:sz w:val="20"/>
                      <w:szCs w:val="20"/>
                    </w:rPr>
                  </w:pPr>
                  <w:r w:rsidRPr="007E33E3">
                    <w:rPr>
                      <w:rFonts w:ascii="Verdana" w:hAnsi="Verdana"/>
                      <w:sz w:val="20"/>
                      <w:szCs w:val="20"/>
                    </w:rPr>
                    <w:t>Number</w:t>
                  </w:r>
                </w:p>
              </w:tc>
              <w:tc>
                <w:tcPr>
                  <w:tcW w:w="794" w:type="pct"/>
                  <w:tcBorders>
                    <w:top w:val="single" w:sz="4" w:space="0" w:color="auto"/>
                    <w:left w:val="single" w:sz="4" w:space="0" w:color="auto"/>
                    <w:bottom w:val="single" w:sz="4" w:space="0" w:color="auto"/>
                    <w:right w:val="single" w:sz="4" w:space="0" w:color="auto"/>
                  </w:tcBorders>
                </w:tcPr>
                <w:p w:rsidR="00E21452" w:rsidRPr="007E33E3" w:rsidRDefault="00E21452" w:rsidP="00155DD3">
                  <w:pPr>
                    <w:spacing w:before="120" w:after="120"/>
                    <w:rPr>
                      <w:rFonts w:ascii="Verdana" w:hAnsi="Verdana"/>
                      <w:sz w:val="20"/>
                      <w:szCs w:val="20"/>
                    </w:rPr>
                  </w:pPr>
                  <w:r w:rsidRPr="007E33E3">
                    <w:rPr>
                      <w:rFonts w:ascii="Verdana" w:hAnsi="Verdana"/>
                      <w:sz w:val="20"/>
                      <w:szCs w:val="20"/>
                    </w:rPr>
                    <w:t>7</w:t>
                  </w:r>
                </w:p>
              </w:tc>
              <w:tc>
                <w:tcPr>
                  <w:tcW w:w="1021" w:type="pct"/>
                  <w:tcBorders>
                    <w:top w:val="single" w:sz="4" w:space="0" w:color="auto"/>
                    <w:left w:val="single" w:sz="4" w:space="0" w:color="auto"/>
                    <w:bottom w:val="single" w:sz="4" w:space="0" w:color="auto"/>
                    <w:right w:val="single" w:sz="4" w:space="0" w:color="auto"/>
                  </w:tcBorders>
                </w:tcPr>
                <w:p w:rsidR="00E21452" w:rsidRPr="007E33E3" w:rsidRDefault="00E21452" w:rsidP="00155DD3">
                  <w:pPr>
                    <w:spacing w:before="120" w:after="120"/>
                    <w:rPr>
                      <w:rFonts w:ascii="Verdana" w:hAnsi="Verdana"/>
                      <w:b/>
                      <w:sz w:val="20"/>
                      <w:szCs w:val="20"/>
                    </w:rPr>
                  </w:pPr>
                  <w:r w:rsidRPr="007E33E3">
                    <w:rPr>
                      <w:rFonts w:ascii="Verdana" w:hAnsi="Verdana"/>
                      <w:sz w:val="20"/>
                      <w:szCs w:val="20"/>
                    </w:rPr>
                    <w:t>Programme monitoring</w:t>
                  </w:r>
                </w:p>
              </w:tc>
            </w:tr>
            <w:tr w:rsidR="00026BA8" w:rsidRPr="007E33E3" w:rsidTr="00155DD3">
              <w:trPr>
                <w:trHeight w:val="420"/>
              </w:trPr>
              <w:tc>
                <w:tcPr>
                  <w:tcW w:w="554" w:type="pct"/>
                  <w:tcBorders>
                    <w:top w:val="single" w:sz="4" w:space="0" w:color="auto"/>
                    <w:left w:val="single" w:sz="4" w:space="0" w:color="auto"/>
                    <w:bottom w:val="single" w:sz="4" w:space="0" w:color="auto"/>
                    <w:right w:val="single" w:sz="4" w:space="0" w:color="auto"/>
                  </w:tcBorders>
                </w:tcPr>
                <w:p w:rsidR="00E21452" w:rsidRPr="007E33E3" w:rsidRDefault="00707965" w:rsidP="00155DD3">
                  <w:pPr>
                    <w:spacing w:before="120" w:after="120"/>
                    <w:rPr>
                      <w:rFonts w:ascii="Verdana" w:hAnsi="Verdana"/>
                      <w:b/>
                      <w:sz w:val="20"/>
                      <w:szCs w:val="20"/>
                    </w:rPr>
                  </w:pPr>
                  <w:r>
                    <w:rPr>
                      <w:rFonts w:ascii="Verdana" w:hAnsi="Verdana"/>
                      <w:b/>
                      <w:sz w:val="20"/>
                      <w:szCs w:val="20"/>
                    </w:rPr>
                    <w:t>12</w:t>
                  </w:r>
                </w:p>
              </w:tc>
              <w:tc>
                <w:tcPr>
                  <w:tcW w:w="1668" w:type="pct"/>
                  <w:tcBorders>
                    <w:top w:val="single" w:sz="4" w:space="0" w:color="auto"/>
                    <w:left w:val="single" w:sz="4" w:space="0" w:color="auto"/>
                    <w:bottom w:val="single" w:sz="4" w:space="0" w:color="auto"/>
                    <w:right w:val="single" w:sz="4" w:space="0" w:color="auto"/>
                  </w:tcBorders>
                </w:tcPr>
                <w:p w:rsidR="00E21452" w:rsidRPr="007E33E3" w:rsidRDefault="00E21452" w:rsidP="00155DD3">
                  <w:pPr>
                    <w:spacing w:before="120" w:after="120"/>
                    <w:rPr>
                      <w:rFonts w:ascii="Verdana" w:hAnsi="Verdana"/>
                      <w:b/>
                      <w:sz w:val="20"/>
                      <w:szCs w:val="20"/>
                    </w:rPr>
                  </w:pPr>
                  <w:r w:rsidRPr="007E33E3">
                    <w:rPr>
                      <w:rFonts w:ascii="Verdana" w:hAnsi="Verdana"/>
                      <w:sz w:val="20"/>
                      <w:szCs w:val="20"/>
                    </w:rPr>
                    <w:t>Number of National Points created</w:t>
                  </w:r>
                </w:p>
              </w:tc>
              <w:tc>
                <w:tcPr>
                  <w:tcW w:w="963" w:type="pct"/>
                  <w:tcBorders>
                    <w:top w:val="single" w:sz="4" w:space="0" w:color="auto"/>
                    <w:left w:val="single" w:sz="4" w:space="0" w:color="auto"/>
                    <w:bottom w:val="single" w:sz="4" w:space="0" w:color="auto"/>
                    <w:right w:val="single" w:sz="4" w:space="0" w:color="auto"/>
                  </w:tcBorders>
                </w:tcPr>
                <w:p w:rsidR="00E21452" w:rsidRPr="007E33E3" w:rsidRDefault="00E21452" w:rsidP="00155DD3">
                  <w:pPr>
                    <w:spacing w:before="120" w:after="120"/>
                    <w:rPr>
                      <w:rFonts w:ascii="Verdana" w:hAnsi="Verdana"/>
                      <w:b/>
                      <w:sz w:val="20"/>
                      <w:szCs w:val="20"/>
                    </w:rPr>
                  </w:pPr>
                  <w:r w:rsidRPr="007E33E3">
                    <w:rPr>
                      <w:rFonts w:ascii="Verdana" w:hAnsi="Verdana"/>
                      <w:sz w:val="20"/>
                      <w:szCs w:val="20"/>
                    </w:rPr>
                    <w:t>Number</w:t>
                  </w:r>
                </w:p>
              </w:tc>
              <w:tc>
                <w:tcPr>
                  <w:tcW w:w="794" w:type="pct"/>
                  <w:tcBorders>
                    <w:top w:val="single" w:sz="4" w:space="0" w:color="auto"/>
                    <w:left w:val="single" w:sz="4" w:space="0" w:color="auto"/>
                    <w:bottom w:val="single" w:sz="4" w:space="0" w:color="auto"/>
                    <w:right w:val="single" w:sz="4" w:space="0" w:color="auto"/>
                  </w:tcBorders>
                </w:tcPr>
                <w:p w:rsidR="00E21452" w:rsidRPr="007E33E3" w:rsidRDefault="00E21452" w:rsidP="00155DD3">
                  <w:pPr>
                    <w:spacing w:before="120" w:after="120"/>
                    <w:rPr>
                      <w:rFonts w:ascii="Verdana" w:hAnsi="Verdana"/>
                      <w:sz w:val="20"/>
                      <w:szCs w:val="20"/>
                    </w:rPr>
                  </w:pPr>
                  <w:r w:rsidRPr="007E33E3">
                    <w:rPr>
                      <w:rFonts w:ascii="Verdana" w:hAnsi="Verdana"/>
                      <w:sz w:val="20"/>
                      <w:szCs w:val="20"/>
                    </w:rPr>
                    <w:t>24</w:t>
                  </w:r>
                </w:p>
              </w:tc>
              <w:tc>
                <w:tcPr>
                  <w:tcW w:w="1021" w:type="pct"/>
                  <w:tcBorders>
                    <w:top w:val="single" w:sz="4" w:space="0" w:color="auto"/>
                    <w:left w:val="single" w:sz="4" w:space="0" w:color="auto"/>
                    <w:bottom w:val="single" w:sz="4" w:space="0" w:color="auto"/>
                    <w:right w:val="single" w:sz="4" w:space="0" w:color="auto"/>
                  </w:tcBorders>
                </w:tcPr>
                <w:p w:rsidR="00E21452" w:rsidRPr="007E33E3" w:rsidRDefault="00E21452" w:rsidP="00155DD3">
                  <w:pPr>
                    <w:spacing w:before="120" w:after="120"/>
                    <w:rPr>
                      <w:rFonts w:ascii="Verdana" w:hAnsi="Verdana"/>
                      <w:b/>
                      <w:sz w:val="20"/>
                      <w:szCs w:val="20"/>
                    </w:rPr>
                  </w:pPr>
                  <w:r w:rsidRPr="007E33E3">
                    <w:rPr>
                      <w:rFonts w:ascii="Verdana" w:hAnsi="Verdana"/>
                      <w:sz w:val="20"/>
                      <w:szCs w:val="20"/>
                    </w:rPr>
                    <w:t>Programme monitoring</w:t>
                  </w:r>
                </w:p>
              </w:tc>
            </w:tr>
          </w:tbl>
          <w:p w:rsidR="00E21452" w:rsidRPr="004F5F2B" w:rsidRDefault="00E21452" w:rsidP="00E21452">
            <w:pPr>
              <w:spacing w:line="256" w:lineRule="auto"/>
              <w:ind w:right="566"/>
              <w:jc w:val="both"/>
              <w:rPr>
                <w:rFonts w:ascii="Verdana" w:hAnsi="Verdana"/>
                <w:b/>
              </w:rPr>
            </w:pPr>
          </w:p>
        </w:tc>
      </w:tr>
    </w:tbl>
    <w:p w:rsidR="00412D4A" w:rsidRPr="004F5F2B" w:rsidRDefault="00412D4A">
      <w:pPr>
        <w:spacing w:after="200" w:line="276" w:lineRule="auto"/>
        <w:rPr>
          <w:rFonts w:ascii="Verdana" w:hAnsi="Verdana"/>
          <w:b/>
          <w:u w:val="single"/>
        </w:rPr>
      </w:pPr>
      <w:r w:rsidRPr="004F5F2B">
        <w:rPr>
          <w:rFonts w:ascii="Verdana" w:hAnsi="Verdana"/>
          <w:b/>
          <w:u w:val="single"/>
        </w:rPr>
        <w:br w:type="page"/>
      </w:r>
    </w:p>
    <w:p w:rsidR="00E21452" w:rsidRPr="004F5F2B" w:rsidRDefault="00E21452" w:rsidP="003B7BFA">
      <w:pPr>
        <w:pStyle w:val="Nagwek2"/>
        <w:ind w:left="709" w:hanging="709"/>
        <w:jc w:val="left"/>
      </w:pPr>
      <w:bookmarkStart w:id="20" w:name="_Toc401325791"/>
      <w:r w:rsidRPr="004F5F2B">
        <w:t>2.A.</w:t>
      </w:r>
      <w:r w:rsidR="00C4264F" w:rsidRPr="004F5F2B">
        <w:t>4</w:t>
      </w:r>
      <w:r w:rsidRPr="004F5F2B">
        <w:t xml:space="preserve"> </w:t>
      </w:r>
      <w:r w:rsidR="00A97643">
        <w:tab/>
      </w:r>
      <w:r w:rsidRPr="004F5F2B">
        <w:t xml:space="preserve">Performance framework - </w:t>
      </w:r>
      <w:bookmarkEnd w:id="20"/>
    </w:p>
    <w:p w:rsidR="00E21452" w:rsidRPr="004F5F2B" w:rsidRDefault="00E21452" w:rsidP="00E21452">
      <w:pPr>
        <w:ind w:right="566"/>
        <w:jc w:val="both"/>
        <w:rPr>
          <w:rFonts w:ascii="Verdana" w:hAnsi="Verdana"/>
          <w:b/>
        </w:rPr>
      </w:pPr>
    </w:p>
    <w:p w:rsidR="00E21452" w:rsidRPr="007E33E3" w:rsidRDefault="00E21452" w:rsidP="00E21452">
      <w:pPr>
        <w:ind w:right="566"/>
        <w:rPr>
          <w:rFonts w:ascii="Verdana" w:hAnsi="Verdana"/>
          <w:b/>
          <w:sz w:val="22"/>
          <w:szCs w:val="22"/>
        </w:rPr>
      </w:pPr>
      <w:r w:rsidRPr="007E33E3">
        <w:rPr>
          <w:rFonts w:ascii="Verdana" w:hAnsi="Verdana"/>
          <w:b/>
          <w:sz w:val="22"/>
          <w:szCs w:val="22"/>
        </w:rPr>
        <w:t>Table 5: The performance framework of the priority axis</w:t>
      </w:r>
    </w:p>
    <w:p w:rsidR="00E21452" w:rsidRDefault="00E21452" w:rsidP="00E21452">
      <w:pPr>
        <w:ind w:right="566"/>
        <w:rPr>
          <w:rFonts w:ascii="Verdana" w:hAnsi="Verdana"/>
          <w:b/>
        </w:rPr>
      </w:pPr>
    </w:p>
    <w:p w:rsidR="00631259" w:rsidRPr="004F5F2B" w:rsidRDefault="00631259" w:rsidP="00631259">
      <w:pPr>
        <w:rPr>
          <w:rFonts w:ascii="Verdana" w:hAnsi="Verdana"/>
        </w:rPr>
      </w:pPr>
    </w:p>
    <w:p w:rsidR="00631259" w:rsidRPr="004F5F2B" w:rsidRDefault="00631259" w:rsidP="00631259">
      <w:pPr>
        <w:rPr>
          <w:rFonts w:ascii="Verdana" w:hAnsi="Verdana"/>
          <w:b/>
        </w:rPr>
      </w:pPr>
    </w:p>
    <w:p w:rsidR="00631259" w:rsidRDefault="00631259" w:rsidP="00E21452">
      <w:pPr>
        <w:ind w:right="566"/>
        <w:rPr>
          <w:rFonts w:ascii="Verdana" w:hAnsi="Verdana"/>
          <w:b/>
        </w:rPr>
      </w:pPr>
    </w:p>
    <w:p w:rsidR="00631259" w:rsidRDefault="00631259" w:rsidP="00E21452">
      <w:pPr>
        <w:ind w:right="566"/>
        <w:rPr>
          <w:rFonts w:ascii="Verdana" w:hAnsi="Verdana"/>
          <w:b/>
        </w:rPr>
      </w:pPr>
    </w:p>
    <w:p w:rsidR="00631259" w:rsidRPr="004F5F2B" w:rsidRDefault="00631259" w:rsidP="00E21452">
      <w:pPr>
        <w:ind w:right="566"/>
        <w:rPr>
          <w:rFonts w:ascii="Verdana" w:hAnsi="Verdana"/>
          <w: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1559"/>
        <w:gridCol w:w="1533"/>
        <w:gridCol w:w="1561"/>
        <w:gridCol w:w="1446"/>
        <w:gridCol w:w="1956"/>
      </w:tblGrid>
      <w:tr w:rsidR="0022723A" w:rsidRPr="00121CCF" w:rsidTr="00E825B7">
        <w:trPr>
          <w:trHeight w:val="3283"/>
        </w:trPr>
        <w:tc>
          <w:tcPr>
            <w:tcW w:w="985" w:type="pct"/>
            <w:tcBorders>
              <w:top w:val="single" w:sz="4" w:space="0" w:color="auto"/>
              <w:left w:val="single" w:sz="4" w:space="0" w:color="auto"/>
              <w:bottom w:val="single" w:sz="4" w:space="0" w:color="auto"/>
              <w:right w:val="single" w:sz="4" w:space="0" w:color="auto"/>
            </w:tcBorders>
            <w:vAlign w:val="center"/>
          </w:tcPr>
          <w:p w:rsidR="00E21452" w:rsidRPr="00121CCF" w:rsidRDefault="00E21452" w:rsidP="007E33E3">
            <w:pPr>
              <w:spacing w:before="120" w:after="120"/>
              <w:jc w:val="center"/>
              <w:rPr>
                <w:rFonts w:ascii="Verdana" w:hAnsi="Verdana"/>
                <w:b/>
                <w:i/>
                <w:sz w:val="18"/>
                <w:szCs w:val="18"/>
              </w:rPr>
            </w:pPr>
            <w:r w:rsidRPr="00121CCF">
              <w:rPr>
                <w:rFonts w:ascii="Verdana" w:hAnsi="Verdana"/>
                <w:b/>
                <w:i/>
                <w:sz w:val="18"/>
                <w:szCs w:val="18"/>
              </w:rPr>
              <w:t>Implementation</w:t>
            </w:r>
          </w:p>
          <w:p w:rsidR="00E21452" w:rsidRPr="00121CCF" w:rsidRDefault="00975C2C" w:rsidP="007E33E3">
            <w:pPr>
              <w:spacing w:before="120" w:after="120"/>
              <w:jc w:val="center"/>
              <w:rPr>
                <w:rFonts w:ascii="Verdana" w:hAnsi="Verdana"/>
                <w:b/>
                <w:i/>
                <w:sz w:val="18"/>
                <w:szCs w:val="18"/>
              </w:rPr>
            </w:pPr>
            <w:r>
              <w:rPr>
                <w:rFonts w:ascii="Verdana" w:hAnsi="Verdana"/>
                <w:b/>
                <w:i/>
                <w:sz w:val="18"/>
                <w:szCs w:val="18"/>
              </w:rPr>
              <w:t>step. financial,</w:t>
            </w:r>
          </w:p>
          <w:p w:rsidR="00E21452" w:rsidRPr="00121CCF" w:rsidRDefault="00975C2C" w:rsidP="007E33E3">
            <w:pPr>
              <w:spacing w:before="120" w:after="120"/>
              <w:jc w:val="center"/>
              <w:rPr>
                <w:rFonts w:ascii="Verdana" w:hAnsi="Verdana"/>
                <w:b/>
                <w:i/>
                <w:sz w:val="18"/>
                <w:szCs w:val="18"/>
              </w:rPr>
            </w:pPr>
            <w:r>
              <w:rPr>
                <w:rFonts w:ascii="Verdana" w:hAnsi="Verdana"/>
                <w:b/>
                <w:i/>
                <w:sz w:val="18"/>
                <w:szCs w:val="18"/>
              </w:rPr>
              <w:t>result indicator</w:t>
            </w:r>
          </w:p>
        </w:tc>
        <w:tc>
          <w:tcPr>
            <w:tcW w:w="777" w:type="pct"/>
            <w:tcBorders>
              <w:top w:val="single" w:sz="4" w:space="0" w:color="auto"/>
              <w:left w:val="single" w:sz="4" w:space="0" w:color="auto"/>
              <w:bottom w:val="single" w:sz="4" w:space="0" w:color="auto"/>
              <w:right w:val="single" w:sz="4" w:space="0" w:color="auto"/>
            </w:tcBorders>
            <w:vAlign w:val="center"/>
          </w:tcPr>
          <w:p w:rsidR="00E21452" w:rsidRPr="00121CCF" w:rsidRDefault="00975C2C" w:rsidP="007E33E3">
            <w:pPr>
              <w:spacing w:before="120" w:after="120"/>
              <w:jc w:val="center"/>
              <w:rPr>
                <w:rFonts w:ascii="Verdana" w:hAnsi="Verdana"/>
                <w:b/>
                <w:i/>
                <w:sz w:val="18"/>
                <w:szCs w:val="18"/>
              </w:rPr>
            </w:pPr>
            <w:r>
              <w:rPr>
                <w:rFonts w:ascii="Verdana" w:hAnsi="Verdana"/>
                <w:b/>
                <w:i/>
                <w:sz w:val="18"/>
                <w:szCs w:val="18"/>
              </w:rPr>
              <w:t>Measurement Unit</w:t>
            </w:r>
          </w:p>
        </w:tc>
        <w:tc>
          <w:tcPr>
            <w:tcW w:w="764" w:type="pct"/>
            <w:tcBorders>
              <w:top w:val="single" w:sz="4" w:space="0" w:color="auto"/>
              <w:left w:val="single" w:sz="4" w:space="0" w:color="auto"/>
              <w:bottom w:val="single" w:sz="4" w:space="0" w:color="auto"/>
              <w:right w:val="single" w:sz="4" w:space="0" w:color="auto"/>
            </w:tcBorders>
            <w:vAlign w:val="center"/>
          </w:tcPr>
          <w:p w:rsidR="00E21452" w:rsidRPr="00121CCF" w:rsidRDefault="00975C2C" w:rsidP="007E33E3">
            <w:pPr>
              <w:spacing w:before="120" w:after="120"/>
              <w:jc w:val="center"/>
              <w:rPr>
                <w:rFonts w:ascii="Verdana" w:hAnsi="Verdana"/>
                <w:b/>
                <w:i/>
                <w:sz w:val="18"/>
                <w:szCs w:val="18"/>
              </w:rPr>
            </w:pPr>
            <w:r>
              <w:rPr>
                <w:rFonts w:ascii="Verdana" w:hAnsi="Verdana"/>
                <w:b/>
                <w:i/>
                <w:sz w:val="18"/>
                <w:szCs w:val="18"/>
              </w:rPr>
              <w:t>Milestone for 2018</w:t>
            </w:r>
          </w:p>
        </w:tc>
        <w:tc>
          <w:tcPr>
            <w:tcW w:w="778" w:type="pct"/>
            <w:tcBorders>
              <w:top w:val="single" w:sz="4" w:space="0" w:color="auto"/>
              <w:left w:val="single" w:sz="4" w:space="0" w:color="auto"/>
              <w:bottom w:val="single" w:sz="4" w:space="0" w:color="auto"/>
              <w:right w:val="single" w:sz="4" w:space="0" w:color="auto"/>
            </w:tcBorders>
            <w:vAlign w:val="center"/>
          </w:tcPr>
          <w:p w:rsidR="00E21452" w:rsidRPr="00121CCF" w:rsidRDefault="00975C2C" w:rsidP="007E33E3">
            <w:pPr>
              <w:spacing w:before="120" w:after="120"/>
              <w:jc w:val="center"/>
              <w:rPr>
                <w:rFonts w:ascii="Verdana" w:hAnsi="Verdana"/>
                <w:b/>
                <w:i/>
                <w:sz w:val="18"/>
                <w:szCs w:val="18"/>
              </w:rPr>
            </w:pPr>
            <w:r>
              <w:rPr>
                <w:rFonts w:ascii="Verdana" w:hAnsi="Verdana"/>
                <w:b/>
                <w:i/>
                <w:sz w:val="18"/>
                <w:szCs w:val="18"/>
              </w:rPr>
              <w:t>Final Target</w:t>
            </w:r>
          </w:p>
          <w:p w:rsidR="00E21452" w:rsidRPr="00121CCF" w:rsidRDefault="00975C2C" w:rsidP="005C22F6">
            <w:pPr>
              <w:spacing w:before="120" w:after="120"/>
              <w:jc w:val="center"/>
              <w:rPr>
                <w:rFonts w:ascii="Verdana" w:hAnsi="Verdana"/>
                <w:b/>
                <w:i/>
                <w:sz w:val="18"/>
                <w:szCs w:val="18"/>
              </w:rPr>
            </w:pPr>
            <w:r>
              <w:rPr>
                <w:rFonts w:ascii="Verdana" w:hAnsi="Verdana"/>
                <w:b/>
                <w:i/>
                <w:sz w:val="18"/>
                <w:szCs w:val="18"/>
              </w:rPr>
              <w:t>2023</w:t>
            </w:r>
          </w:p>
        </w:tc>
        <w:tc>
          <w:tcPr>
            <w:tcW w:w="721" w:type="pct"/>
            <w:tcBorders>
              <w:top w:val="single" w:sz="4" w:space="0" w:color="auto"/>
              <w:left w:val="single" w:sz="4" w:space="0" w:color="auto"/>
              <w:bottom w:val="single" w:sz="4" w:space="0" w:color="auto"/>
              <w:right w:val="single" w:sz="4" w:space="0" w:color="auto"/>
            </w:tcBorders>
            <w:vAlign w:val="center"/>
          </w:tcPr>
          <w:p w:rsidR="00E21452" w:rsidRPr="00121CCF" w:rsidRDefault="00975C2C" w:rsidP="007E33E3">
            <w:pPr>
              <w:spacing w:before="120" w:after="120"/>
              <w:jc w:val="center"/>
              <w:rPr>
                <w:rFonts w:ascii="Verdana" w:hAnsi="Verdana"/>
                <w:b/>
                <w:i/>
                <w:sz w:val="18"/>
                <w:szCs w:val="18"/>
              </w:rPr>
            </w:pPr>
            <w:r>
              <w:rPr>
                <w:rFonts w:ascii="Verdana" w:hAnsi="Verdana"/>
                <w:b/>
                <w:i/>
                <w:sz w:val="18"/>
                <w:szCs w:val="18"/>
              </w:rPr>
              <w:t>Source of data</w:t>
            </w:r>
          </w:p>
        </w:tc>
        <w:tc>
          <w:tcPr>
            <w:tcW w:w="975" w:type="pct"/>
            <w:tcBorders>
              <w:top w:val="single" w:sz="4" w:space="0" w:color="auto"/>
              <w:left w:val="single" w:sz="4" w:space="0" w:color="auto"/>
              <w:bottom w:val="single" w:sz="4" w:space="0" w:color="auto"/>
              <w:right w:val="single" w:sz="4" w:space="0" w:color="auto"/>
            </w:tcBorders>
            <w:vAlign w:val="center"/>
          </w:tcPr>
          <w:p w:rsidR="00E21452" w:rsidRPr="00121CCF" w:rsidRDefault="00975C2C" w:rsidP="007E33E3">
            <w:pPr>
              <w:spacing w:before="120" w:after="120"/>
              <w:jc w:val="center"/>
              <w:rPr>
                <w:rFonts w:ascii="Verdana" w:hAnsi="Verdana"/>
                <w:b/>
                <w:i/>
                <w:sz w:val="18"/>
                <w:szCs w:val="18"/>
              </w:rPr>
            </w:pPr>
            <w:r>
              <w:rPr>
                <w:rFonts w:ascii="Verdana" w:hAnsi="Verdana"/>
                <w:b/>
                <w:i/>
                <w:sz w:val="18"/>
                <w:szCs w:val="18"/>
              </w:rPr>
              <w:t>Explanation of the relevance of the indicator, where appropriate</w:t>
            </w:r>
          </w:p>
        </w:tc>
      </w:tr>
      <w:tr w:rsidR="00E825B7" w:rsidRPr="00121CCF" w:rsidTr="00E825B7">
        <w:trPr>
          <w:trHeight w:val="5271"/>
        </w:trPr>
        <w:tc>
          <w:tcPr>
            <w:tcW w:w="985" w:type="pct"/>
            <w:tcBorders>
              <w:top w:val="single" w:sz="4" w:space="0" w:color="auto"/>
              <w:left w:val="single" w:sz="4" w:space="0" w:color="auto"/>
              <w:bottom w:val="single" w:sz="4" w:space="0" w:color="auto"/>
              <w:right w:val="single" w:sz="4" w:space="0" w:color="auto"/>
            </w:tcBorders>
          </w:tcPr>
          <w:p w:rsidR="00707965" w:rsidRPr="00121CCF" w:rsidRDefault="00975C2C">
            <w:pPr>
              <w:rPr>
                <w:rFonts w:ascii="Verdana" w:hAnsi="Verdana" w:cs="Vijaya"/>
                <w:b/>
                <w:i/>
                <w:sz w:val="18"/>
                <w:szCs w:val="18"/>
                <w:lang w:val="en-US"/>
              </w:rPr>
            </w:pPr>
            <w:r>
              <w:rPr>
                <w:rFonts w:ascii="Verdana" w:hAnsi="Verdana" w:cs="Vijaya"/>
                <w:b/>
                <w:i/>
                <w:sz w:val="18"/>
                <w:szCs w:val="18"/>
                <w:lang w:val="en-US"/>
              </w:rPr>
              <w:t>Financial indicator:</w:t>
            </w:r>
          </w:p>
          <w:p w:rsidR="00707965" w:rsidRPr="00121CCF" w:rsidRDefault="00707965">
            <w:pPr>
              <w:rPr>
                <w:rFonts w:ascii="Verdana" w:hAnsi="Verdana" w:cs="Vijaya"/>
                <w:b/>
                <w:i/>
                <w:sz w:val="18"/>
                <w:szCs w:val="18"/>
                <w:lang w:val="en-US"/>
              </w:rPr>
            </w:pPr>
          </w:p>
          <w:p w:rsidR="00707965" w:rsidRPr="00121CCF" w:rsidRDefault="00975C2C">
            <w:pPr>
              <w:rPr>
                <w:rFonts w:ascii="Verdana" w:hAnsi="Verdana" w:cs="Vijaya"/>
                <w:b/>
                <w:i/>
                <w:sz w:val="18"/>
                <w:szCs w:val="18"/>
                <w:lang w:val="en-US"/>
              </w:rPr>
            </w:pPr>
            <w:r>
              <w:rPr>
                <w:rFonts w:ascii="Verdana" w:hAnsi="Verdana" w:cs="Vijaya"/>
                <w:b/>
                <w:i/>
                <w:sz w:val="18"/>
                <w:szCs w:val="18"/>
                <w:lang w:val="en-US"/>
              </w:rPr>
              <w:t xml:space="preserve"> Expenditure (Total certified expenses for the </w:t>
            </w:r>
            <w:r>
              <w:rPr>
                <w:rFonts w:ascii="Verdana" w:hAnsi="Verdana" w:cs="Vijaya"/>
                <w:b/>
                <w:i/>
                <w:sz w:val="18"/>
                <w:szCs w:val="18"/>
              </w:rPr>
              <w:t>programme</w:t>
            </w:r>
            <w:r>
              <w:rPr>
                <w:rFonts w:ascii="Verdana" w:hAnsi="Verdana" w:cs="Vijaya"/>
                <w:b/>
                <w:sz w:val="18"/>
                <w:szCs w:val="18"/>
              </w:rPr>
              <w:t>)</w:t>
            </w:r>
          </w:p>
        </w:tc>
        <w:tc>
          <w:tcPr>
            <w:tcW w:w="777" w:type="pct"/>
            <w:tcBorders>
              <w:top w:val="single" w:sz="4" w:space="0" w:color="auto"/>
              <w:left w:val="single" w:sz="4" w:space="0" w:color="auto"/>
              <w:bottom w:val="single" w:sz="4" w:space="0" w:color="auto"/>
              <w:right w:val="single" w:sz="4" w:space="0" w:color="auto"/>
            </w:tcBorders>
          </w:tcPr>
          <w:p w:rsidR="00CA0238" w:rsidRPr="00121CCF" w:rsidRDefault="00975C2C" w:rsidP="003B7BFA">
            <w:pPr>
              <w:spacing w:before="120"/>
              <w:rPr>
                <w:rFonts w:ascii="Verdana" w:hAnsi="Verdana"/>
                <w:i/>
                <w:sz w:val="18"/>
                <w:szCs w:val="18"/>
              </w:rPr>
            </w:pPr>
            <w:r>
              <w:rPr>
                <w:rFonts w:ascii="Verdana" w:hAnsi="Verdana"/>
                <w:i/>
                <w:sz w:val="18"/>
                <w:szCs w:val="18"/>
              </w:rPr>
              <w:t xml:space="preserve">  Euros</w:t>
            </w:r>
          </w:p>
        </w:tc>
        <w:tc>
          <w:tcPr>
            <w:tcW w:w="764" w:type="pct"/>
            <w:tcBorders>
              <w:top w:val="single" w:sz="4" w:space="0" w:color="auto"/>
              <w:left w:val="single" w:sz="4" w:space="0" w:color="auto"/>
              <w:bottom w:val="single" w:sz="4" w:space="0" w:color="auto"/>
              <w:right w:val="single" w:sz="4" w:space="0" w:color="auto"/>
            </w:tcBorders>
          </w:tcPr>
          <w:p w:rsidR="00707965" w:rsidRPr="00121CCF" w:rsidRDefault="00975C2C" w:rsidP="00E825B7">
            <w:pPr>
              <w:spacing w:before="120" w:after="120"/>
              <w:rPr>
                <w:rFonts w:ascii="Verdana" w:hAnsi="Verdana"/>
                <w:i/>
                <w:sz w:val="18"/>
                <w:szCs w:val="18"/>
              </w:rPr>
            </w:pPr>
            <w:r>
              <w:rPr>
                <w:rFonts w:ascii="Verdana" w:hAnsi="Verdana"/>
                <w:i/>
                <w:sz w:val="18"/>
                <w:szCs w:val="18"/>
              </w:rPr>
              <w:t>15 140 808</w:t>
            </w:r>
          </w:p>
        </w:tc>
        <w:tc>
          <w:tcPr>
            <w:tcW w:w="778" w:type="pct"/>
            <w:tcBorders>
              <w:top w:val="single" w:sz="4" w:space="0" w:color="auto"/>
              <w:left w:val="single" w:sz="4" w:space="0" w:color="auto"/>
              <w:bottom w:val="single" w:sz="4" w:space="0" w:color="auto"/>
              <w:right w:val="single" w:sz="4" w:space="0" w:color="auto"/>
            </w:tcBorders>
          </w:tcPr>
          <w:p w:rsidR="00CA0238" w:rsidRPr="00121CCF" w:rsidRDefault="00975C2C" w:rsidP="00E825B7">
            <w:pPr>
              <w:spacing w:before="120"/>
              <w:rPr>
                <w:rFonts w:ascii="Verdana" w:hAnsi="Verdana"/>
                <w:i/>
                <w:sz w:val="18"/>
                <w:szCs w:val="18"/>
              </w:rPr>
            </w:pPr>
            <w:r>
              <w:rPr>
                <w:rFonts w:ascii="Verdana" w:hAnsi="Verdana"/>
                <w:i/>
                <w:sz w:val="18"/>
                <w:szCs w:val="18"/>
              </w:rPr>
              <w:t>88 218882 </w:t>
            </w:r>
          </w:p>
        </w:tc>
        <w:tc>
          <w:tcPr>
            <w:tcW w:w="721" w:type="pct"/>
            <w:tcBorders>
              <w:top w:val="single" w:sz="4" w:space="0" w:color="auto"/>
              <w:left w:val="single" w:sz="4" w:space="0" w:color="auto"/>
              <w:bottom w:val="single" w:sz="4" w:space="0" w:color="auto"/>
              <w:right w:val="single" w:sz="4" w:space="0" w:color="auto"/>
            </w:tcBorders>
          </w:tcPr>
          <w:p w:rsidR="00CA0238" w:rsidRPr="00121CCF" w:rsidRDefault="00975C2C" w:rsidP="003B7BFA">
            <w:pPr>
              <w:spacing w:before="120" w:after="120"/>
              <w:ind w:right="566"/>
              <w:rPr>
                <w:rFonts w:ascii="Verdana" w:hAnsi="Verdana"/>
                <w:i/>
                <w:sz w:val="18"/>
                <w:szCs w:val="18"/>
              </w:rPr>
            </w:pPr>
            <w:r>
              <w:rPr>
                <w:rFonts w:ascii="Verdana" w:hAnsi="Verdana"/>
                <w:i/>
                <w:sz w:val="18"/>
                <w:szCs w:val="18"/>
              </w:rPr>
              <w:t>Programme monitoring</w:t>
            </w:r>
          </w:p>
        </w:tc>
        <w:tc>
          <w:tcPr>
            <w:tcW w:w="975" w:type="pct"/>
            <w:tcBorders>
              <w:top w:val="single" w:sz="4" w:space="0" w:color="auto"/>
              <w:left w:val="single" w:sz="4" w:space="0" w:color="auto"/>
              <w:bottom w:val="single" w:sz="4" w:space="0" w:color="auto"/>
              <w:right w:val="single" w:sz="4" w:space="0" w:color="auto"/>
            </w:tcBorders>
          </w:tcPr>
          <w:p w:rsidR="00CA0238" w:rsidRPr="00121CCF" w:rsidRDefault="00E825B7" w:rsidP="0022723A">
            <w:pPr>
              <w:spacing w:before="120" w:after="120"/>
              <w:ind w:right="-108"/>
              <w:rPr>
                <w:rFonts w:ascii="Verdana" w:hAnsi="Verdana"/>
                <w:i/>
                <w:sz w:val="18"/>
                <w:szCs w:val="18"/>
              </w:rPr>
            </w:pPr>
            <w:r w:rsidRPr="00121CCF">
              <w:rPr>
                <w:rFonts w:ascii="Arial" w:hAnsi="Arial" w:cs="Arial"/>
                <w:sz w:val="18"/>
                <w:szCs w:val="18"/>
                <w:lang w:val="en-US"/>
              </w:rPr>
              <w:t xml:space="preserve">The performance indicator for the amount certified by the end of 2018 has been calculated using the auto de-commitment target for 2018 for Priority Axe 1which is 11 986 978€ of ERDF plus the equivalent local / national contribution for this amount.  As the average intervention rate at priority axe 1 level is 79.17% ERDF, 20.83% has been added to the target ERDF figure giving a </w:t>
            </w:r>
            <w:r w:rsidRPr="00121CCF">
              <w:rPr>
                <w:rFonts w:ascii="Arial" w:hAnsi="Arial" w:cs="Arial"/>
                <w:b/>
                <w:bCs/>
                <w:sz w:val="18"/>
                <w:szCs w:val="18"/>
                <w:u w:val="single"/>
                <w:lang w:val="en-US"/>
              </w:rPr>
              <w:t>performance framework target of 15 140 808€.</w:t>
            </w:r>
          </w:p>
        </w:tc>
      </w:tr>
      <w:tr w:rsidR="0022723A" w:rsidRPr="00121CCF" w:rsidTr="00E825B7">
        <w:trPr>
          <w:trHeight w:val="5271"/>
        </w:trPr>
        <w:tc>
          <w:tcPr>
            <w:tcW w:w="985" w:type="pct"/>
            <w:tcBorders>
              <w:top w:val="single" w:sz="4" w:space="0" w:color="auto"/>
              <w:left w:val="single" w:sz="4" w:space="0" w:color="auto"/>
              <w:bottom w:val="single" w:sz="4" w:space="0" w:color="auto"/>
              <w:right w:val="single" w:sz="4" w:space="0" w:color="auto"/>
            </w:tcBorders>
          </w:tcPr>
          <w:p w:rsidR="00B01577" w:rsidRPr="00121CCF" w:rsidRDefault="00975C2C" w:rsidP="003B7BFA">
            <w:pPr>
              <w:spacing w:before="120" w:after="120"/>
              <w:ind w:left="283"/>
              <w:rPr>
                <w:rFonts w:ascii="Verdana" w:hAnsi="Verdana"/>
                <w:b/>
                <w:i/>
                <w:sz w:val="18"/>
                <w:szCs w:val="18"/>
              </w:rPr>
            </w:pPr>
            <w:r>
              <w:rPr>
                <w:rFonts w:ascii="Verdana" w:hAnsi="Verdana"/>
                <w:b/>
                <w:i/>
                <w:sz w:val="18"/>
                <w:szCs w:val="18"/>
              </w:rPr>
              <w:t xml:space="preserve">Output indicator </w:t>
            </w:r>
          </w:p>
          <w:p w:rsidR="00351D4D" w:rsidRPr="00121CCF" w:rsidRDefault="00351D4D" w:rsidP="003B7BFA">
            <w:pPr>
              <w:spacing w:before="120"/>
              <w:rPr>
                <w:rFonts w:ascii="Verdana" w:hAnsi="Verdana"/>
                <w:b/>
                <w:i/>
                <w:sz w:val="18"/>
                <w:szCs w:val="18"/>
              </w:rPr>
            </w:pPr>
          </w:p>
          <w:p w:rsidR="00351D4D" w:rsidRPr="00121CCF" w:rsidRDefault="00975C2C" w:rsidP="003B7BFA">
            <w:pPr>
              <w:spacing w:before="120"/>
              <w:rPr>
                <w:rFonts w:ascii="Verdana" w:hAnsi="Verdana"/>
                <w:b/>
                <w:i/>
                <w:sz w:val="18"/>
                <w:szCs w:val="18"/>
              </w:rPr>
            </w:pPr>
            <w:r>
              <w:rPr>
                <w:rFonts w:ascii="Verdana" w:hAnsi="Verdana"/>
                <w:b/>
                <w:i/>
                <w:sz w:val="18"/>
                <w:szCs w:val="18"/>
                <w:lang w:val="en-US"/>
              </w:rPr>
              <w:t>Total number of networks completed</w:t>
            </w:r>
          </w:p>
          <w:p w:rsidR="00351D4D" w:rsidRPr="00121CCF" w:rsidRDefault="00351D4D" w:rsidP="003B7BFA">
            <w:pPr>
              <w:spacing w:before="120"/>
              <w:rPr>
                <w:rFonts w:ascii="Verdana" w:hAnsi="Verdana"/>
                <w:b/>
                <w:i/>
                <w:sz w:val="18"/>
                <w:szCs w:val="18"/>
              </w:rPr>
            </w:pPr>
          </w:p>
          <w:p w:rsidR="00E21452" w:rsidRPr="00121CCF" w:rsidRDefault="00E21452" w:rsidP="003B7BFA">
            <w:pPr>
              <w:spacing w:before="120"/>
              <w:rPr>
                <w:rFonts w:ascii="Verdana" w:hAnsi="Verdana"/>
                <w:b/>
                <w:i/>
                <w:sz w:val="18"/>
                <w:szCs w:val="18"/>
              </w:rPr>
            </w:pPr>
          </w:p>
        </w:tc>
        <w:tc>
          <w:tcPr>
            <w:tcW w:w="777" w:type="pct"/>
            <w:tcBorders>
              <w:top w:val="single" w:sz="4" w:space="0" w:color="auto"/>
              <w:left w:val="single" w:sz="4" w:space="0" w:color="auto"/>
              <w:bottom w:val="single" w:sz="4" w:space="0" w:color="auto"/>
              <w:right w:val="single" w:sz="4" w:space="0" w:color="auto"/>
            </w:tcBorders>
          </w:tcPr>
          <w:p w:rsidR="001769A5" w:rsidRPr="00121CCF" w:rsidRDefault="00975C2C" w:rsidP="006641E5">
            <w:pPr>
              <w:spacing w:before="120"/>
              <w:rPr>
                <w:rFonts w:ascii="Verdana" w:hAnsi="Verdana"/>
                <w:i/>
                <w:sz w:val="18"/>
                <w:szCs w:val="18"/>
              </w:rPr>
            </w:pPr>
            <w:r>
              <w:rPr>
                <w:rFonts w:ascii="Verdana" w:hAnsi="Verdana"/>
                <w:i/>
                <w:sz w:val="18"/>
                <w:szCs w:val="18"/>
              </w:rPr>
              <w:t>Number</w:t>
            </w:r>
          </w:p>
        </w:tc>
        <w:tc>
          <w:tcPr>
            <w:tcW w:w="764" w:type="pct"/>
            <w:tcBorders>
              <w:top w:val="single" w:sz="4" w:space="0" w:color="auto"/>
              <w:left w:val="single" w:sz="4" w:space="0" w:color="auto"/>
              <w:bottom w:val="single" w:sz="4" w:space="0" w:color="auto"/>
              <w:right w:val="single" w:sz="4" w:space="0" w:color="auto"/>
            </w:tcBorders>
          </w:tcPr>
          <w:p w:rsidR="00884E2A" w:rsidRPr="00121CCF" w:rsidRDefault="00975C2C" w:rsidP="003B7BFA">
            <w:pPr>
              <w:spacing w:before="120" w:after="120"/>
              <w:ind w:right="566"/>
              <w:rPr>
                <w:rFonts w:ascii="Verdana" w:hAnsi="Verdana"/>
                <w:i/>
                <w:sz w:val="18"/>
                <w:szCs w:val="18"/>
              </w:rPr>
            </w:pPr>
            <w:r>
              <w:rPr>
                <w:rFonts w:ascii="Verdana" w:hAnsi="Verdana"/>
                <w:i/>
                <w:sz w:val="18"/>
                <w:szCs w:val="18"/>
              </w:rPr>
              <w:t>20</w:t>
            </w:r>
          </w:p>
          <w:p w:rsidR="00884E2A" w:rsidRPr="00121CCF" w:rsidRDefault="00884E2A" w:rsidP="003B7BFA">
            <w:pPr>
              <w:spacing w:before="120" w:after="120"/>
              <w:ind w:right="566"/>
              <w:rPr>
                <w:rFonts w:ascii="Verdana" w:hAnsi="Verdana"/>
                <w:i/>
                <w:sz w:val="18"/>
                <w:szCs w:val="18"/>
              </w:rPr>
            </w:pPr>
          </w:p>
        </w:tc>
        <w:tc>
          <w:tcPr>
            <w:tcW w:w="778" w:type="pct"/>
            <w:tcBorders>
              <w:top w:val="single" w:sz="4" w:space="0" w:color="auto"/>
              <w:left w:val="single" w:sz="4" w:space="0" w:color="auto"/>
              <w:bottom w:val="single" w:sz="4" w:space="0" w:color="auto"/>
              <w:right w:val="single" w:sz="4" w:space="0" w:color="auto"/>
            </w:tcBorders>
          </w:tcPr>
          <w:p w:rsidR="001769A5" w:rsidRPr="00121CCF" w:rsidRDefault="00975C2C" w:rsidP="003B7BFA">
            <w:pPr>
              <w:spacing w:before="120"/>
              <w:rPr>
                <w:rFonts w:ascii="Verdana" w:hAnsi="Verdana"/>
                <w:i/>
                <w:sz w:val="18"/>
                <w:szCs w:val="18"/>
              </w:rPr>
            </w:pPr>
            <w:r>
              <w:rPr>
                <w:rFonts w:ascii="Verdana" w:hAnsi="Verdana"/>
                <w:i/>
                <w:sz w:val="18"/>
                <w:szCs w:val="18"/>
              </w:rPr>
              <w:t>70</w:t>
            </w:r>
          </w:p>
        </w:tc>
        <w:tc>
          <w:tcPr>
            <w:tcW w:w="721" w:type="pct"/>
            <w:tcBorders>
              <w:top w:val="single" w:sz="4" w:space="0" w:color="auto"/>
              <w:left w:val="single" w:sz="4" w:space="0" w:color="auto"/>
              <w:bottom w:val="single" w:sz="4" w:space="0" w:color="auto"/>
              <w:right w:val="single" w:sz="4" w:space="0" w:color="auto"/>
            </w:tcBorders>
          </w:tcPr>
          <w:p w:rsidR="00E21452" w:rsidRPr="00121CCF" w:rsidRDefault="00975C2C" w:rsidP="00E825B7">
            <w:pPr>
              <w:spacing w:before="120" w:after="120"/>
              <w:ind w:right="566"/>
              <w:rPr>
                <w:rFonts w:ascii="Verdana" w:hAnsi="Verdana"/>
                <w:b/>
                <w:i/>
                <w:sz w:val="18"/>
                <w:szCs w:val="18"/>
              </w:rPr>
            </w:pPr>
            <w:r>
              <w:rPr>
                <w:rFonts w:ascii="Verdana" w:hAnsi="Verdana"/>
                <w:i/>
                <w:sz w:val="18"/>
                <w:szCs w:val="18"/>
              </w:rPr>
              <w:t xml:space="preserve">Programme monitoring </w:t>
            </w:r>
          </w:p>
        </w:tc>
        <w:tc>
          <w:tcPr>
            <w:tcW w:w="975" w:type="pct"/>
            <w:tcBorders>
              <w:top w:val="single" w:sz="4" w:space="0" w:color="auto"/>
              <w:left w:val="single" w:sz="4" w:space="0" w:color="auto"/>
              <w:bottom w:val="single" w:sz="4" w:space="0" w:color="auto"/>
              <w:right w:val="single" w:sz="4" w:space="0" w:color="auto"/>
            </w:tcBorders>
          </w:tcPr>
          <w:p w:rsidR="00E825B7" w:rsidRPr="00121CCF" w:rsidRDefault="00E825B7" w:rsidP="00E825B7">
            <w:pPr>
              <w:spacing w:before="100" w:beforeAutospacing="1" w:after="100" w:afterAutospacing="1"/>
              <w:jc w:val="both"/>
              <w:rPr>
                <w:rFonts w:ascii="Arial" w:hAnsi="Arial" w:cs="Arial"/>
                <w:color w:val="000000"/>
                <w:sz w:val="18"/>
                <w:szCs w:val="18"/>
                <w:lang w:val="en-US"/>
              </w:rPr>
            </w:pPr>
            <w:r w:rsidRPr="00121CCF">
              <w:rPr>
                <w:rFonts w:ascii="Arial" w:hAnsi="Arial" w:cs="Arial"/>
                <w:bCs/>
                <w:color w:val="000000"/>
                <w:sz w:val="18"/>
                <w:szCs w:val="18"/>
                <w:lang w:val="en-US"/>
              </w:rPr>
              <w:t>The</w:t>
            </w:r>
            <w:r w:rsidRPr="00121CCF">
              <w:rPr>
                <w:rFonts w:ascii="Arial" w:hAnsi="Arial" w:cs="Arial"/>
                <w:color w:val="000000"/>
                <w:sz w:val="18"/>
                <w:szCs w:val="18"/>
                <w:lang w:val="en-US"/>
              </w:rPr>
              <w:t xml:space="preserve"> launch of the first call for networks is planned in February 2015; given the needed time for selection and for their implementation, these networks will be completed at the end of 2018.</w:t>
            </w:r>
          </w:p>
          <w:p w:rsidR="00C03216" w:rsidRPr="00121CCF" w:rsidRDefault="00E825B7" w:rsidP="00E825B7">
            <w:pPr>
              <w:spacing w:before="120" w:after="120"/>
              <w:rPr>
                <w:rFonts w:ascii="Arial" w:hAnsi="Arial" w:cs="Arial"/>
                <w:i/>
                <w:sz w:val="18"/>
                <w:szCs w:val="18"/>
              </w:rPr>
            </w:pPr>
            <w:r w:rsidRPr="00121CCF">
              <w:rPr>
                <w:rFonts w:ascii="Arial" w:hAnsi="Arial" w:cs="Arial"/>
                <w:color w:val="000000"/>
                <w:sz w:val="18"/>
                <w:szCs w:val="18"/>
                <w:lang w:val="en-US"/>
              </w:rPr>
              <w:t>We expect to launch with the first call around a third of the total number of 70 networks expected during the whole programming period; it will be therefore possible to complete at least 20 networks at the end of 2018</w:t>
            </w:r>
          </w:p>
        </w:tc>
      </w:tr>
      <w:tr w:rsidR="0022723A" w:rsidRPr="003F234F" w:rsidTr="00E825B7">
        <w:trPr>
          <w:trHeight w:val="420"/>
        </w:trPr>
        <w:tc>
          <w:tcPr>
            <w:tcW w:w="985" w:type="pct"/>
            <w:tcBorders>
              <w:top w:val="single" w:sz="4" w:space="0" w:color="auto"/>
              <w:left w:val="single" w:sz="4" w:space="0" w:color="auto"/>
              <w:bottom w:val="single" w:sz="4" w:space="0" w:color="auto"/>
              <w:right w:val="single" w:sz="4" w:space="0" w:color="auto"/>
            </w:tcBorders>
          </w:tcPr>
          <w:p w:rsidR="006641E5" w:rsidRPr="00121CCF" w:rsidRDefault="00975C2C" w:rsidP="006641E5">
            <w:pPr>
              <w:spacing w:before="120"/>
              <w:rPr>
                <w:rFonts w:ascii="Verdana" w:hAnsi="Verdana"/>
                <w:b/>
                <w:i/>
                <w:sz w:val="18"/>
                <w:szCs w:val="18"/>
              </w:rPr>
            </w:pPr>
            <w:r>
              <w:rPr>
                <w:rFonts w:ascii="Verdana" w:hAnsi="Verdana"/>
                <w:b/>
                <w:i/>
                <w:sz w:val="18"/>
                <w:szCs w:val="18"/>
              </w:rPr>
              <w:t>Output indicator</w:t>
            </w:r>
          </w:p>
          <w:p w:rsidR="006641E5" w:rsidRPr="00121CCF" w:rsidRDefault="006641E5" w:rsidP="006641E5">
            <w:pPr>
              <w:spacing w:before="120"/>
              <w:rPr>
                <w:rFonts w:ascii="Verdana" w:hAnsi="Verdana"/>
                <w:b/>
                <w:i/>
                <w:sz w:val="18"/>
                <w:szCs w:val="18"/>
              </w:rPr>
            </w:pPr>
          </w:p>
          <w:p w:rsidR="006641E5" w:rsidRPr="00121CCF" w:rsidRDefault="00975C2C" w:rsidP="006641E5">
            <w:pPr>
              <w:spacing w:before="120"/>
              <w:rPr>
                <w:rFonts w:ascii="Verdana" w:hAnsi="Verdana"/>
                <w:b/>
                <w:i/>
                <w:sz w:val="18"/>
                <w:szCs w:val="18"/>
              </w:rPr>
            </w:pPr>
            <w:r>
              <w:rPr>
                <w:rFonts w:ascii="Verdana" w:hAnsi="Verdana"/>
                <w:b/>
                <w:i/>
                <w:sz w:val="18"/>
                <w:szCs w:val="18"/>
                <w:lang w:val="en-US"/>
              </w:rPr>
              <w:t>Total number of local stakeholders involved in URBACT networks activities at local level (URBACT Local Support Groups Members)</w:t>
            </w:r>
          </w:p>
          <w:p w:rsidR="00707965" w:rsidRPr="00121CCF" w:rsidRDefault="00707965" w:rsidP="00121CCF">
            <w:pPr>
              <w:spacing w:before="120"/>
              <w:rPr>
                <w:rFonts w:ascii="Verdana" w:hAnsi="Verdana"/>
                <w:b/>
                <w:i/>
                <w:sz w:val="18"/>
                <w:szCs w:val="18"/>
              </w:rPr>
            </w:pPr>
          </w:p>
        </w:tc>
        <w:tc>
          <w:tcPr>
            <w:tcW w:w="777" w:type="pct"/>
            <w:tcBorders>
              <w:top w:val="single" w:sz="4" w:space="0" w:color="auto"/>
              <w:left w:val="single" w:sz="4" w:space="0" w:color="auto"/>
              <w:bottom w:val="single" w:sz="4" w:space="0" w:color="auto"/>
              <w:right w:val="single" w:sz="4" w:space="0" w:color="auto"/>
            </w:tcBorders>
          </w:tcPr>
          <w:p w:rsidR="00121CCF" w:rsidRPr="00121CCF" w:rsidRDefault="00975C2C" w:rsidP="006641E5">
            <w:pPr>
              <w:spacing w:before="120" w:after="120"/>
              <w:ind w:right="566"/>
              <w:rPr>
                <w:rFonts w:ascii="Verdana" w:hAnsi="Verdana"/>
                <w:i/>
                <w:sz w:val="18"/>
                <w:szCs w:val="18"/>
              </w:rPr>
            </w:pPr>
            <w:r>
              <w:rPr>
                <w:rFonts w:ascii="Verdana" w:hAnsi="Verdana"/>
                <w:i/>
                <w:sz w:val="18"/>
                <w:szCs w:val="18"/>
              </w:rPr>
              <w:t>Number</w:t>
            </w:r>
          </w:p>
          <w:p w:rsidR="00E21452" w:rsidRPr="00121CCF" w:rsidRDefault="00E21452" w:rsidP="006641E5">
            <w:pPr>
              <w:spacing w:before="120" w:after="120"/>
              <w:ind w:right="566"/>
              <w:rPr>
                <w:rFonts w:ascii="Verdana" w:hAnsi="Verdana"/>
                <w:b/>
                <w:i/>
                <w:sz w:val="18"/>
                <w:szCs w:val="18"/>
              </w:rPr>
            </w:pPr>
          </w:p>
        </w:tc>
        <w:tc>
          <w:tcPr>
            <w:tcW w:w="764" w:type="pct"/>
            <w:tcBorders>
              <w:top w:val="single" w:sz="4" w:space="0" w:color="auto"/>
              <w:left w:val="single" w:sz="4" w:space="0" w:color="auto"/>
              <w:bottom w:val="single" w:sz="4" w:space="0" w:color="auto"/>
              <w:right w:val="single" w:sz="4" w:space="0" w:color="auto"/>
            </w:tcBorders>
          </w:tcPr>
          <w:p w:rsidR="00CF4C08" w:rsidRPr="00121CCF" w:rsidRDefault="00975C2C" w:rsidP="003B7BFA">
            <w:pPr>
              <w:spacing w:before="120" w:after="120"/>
              <w:ind w:right="566"/>
              <w:rPr>
                <w:rFonts w:ascii="Verdana" w:hAnsi="Verdana"/>
                <w:i/>
                <w:sz w:val="18"/>
                <w:szCs w:val="18"/>
              </w:rPr>
            </w:pPr>
            <w:r>
              <w:rPr>
                <w:rFonts w:ascii="Verdana" w:hAnsi="Verdana"/>
                <w:i/>
                <w:sz w:val="18"/>
                <w:szCs w:val="18"/>
              </w:rPr>
              <w:t xml:space="preserve">1700 </w:t>
            </w:r>
          </w:p>
          <w:p w:rsidR="00E21452" w:rsidRPr="00121CCF" w:rsidRDefault="00E21452" w:rsidP="003B7BFA">
            <w:pPr>
              <w:spacing w:before="120" w:after="120"/>
              <w:ind w:right="566"/>
              <w:rPr>
                <w:rFonts w:ascii="Verdana" w:hAnsi="Verdana"/>
                <w:i/>
                <w:sz w:val="18"/>
                <w:szCs w:val="18"/>
              </w:rPr>
            </w:pPr>
          </w:p>
        </w:tc>
        <w:tc>
          <w:tcPr>
            <w:tcW w:w="778" w:type="pct"/>
            <w:tcBorders>
              <w:top w:val="single" w:sz="4" w:space="0" w:color="auto"/>
              <w:left w:val="single" w:sz="4" w:space="0" w:color="auto"/>
              <w:bottom w:val="single" w:sz="4" w:space="0" w:color="auto"/>
              <w:right w:val="single" w:sz="4" w:space="0" w:color="auto"/>
            </w:tcBorders>
          </w:tcPr>
          <w:p w:rsidR="0032569E" w:rsidRPr="00121CCF" w:rsidRDefault="00975C2C" w:rsidP="003B7BFA">
            <w:pPr>
              <w:spacing w:before="120"/>
              <w:rPr>
                <w:rFonts w:ascii="Verdana" w:hAnsi="Verdana"/>
                <w:i/>
                <w:sz w:val="18"/>
                <w:szCs w:val="18"/>
              </w:rPr>
            </w:pPr>
            <w:r>
              <w:rPr>
                <w:rFonts w:ascii="Verdana" w:hAnsi="Verdana"/>
                <w:i/>
                <w:sz w:val="18"/>
                <w:szCs w:val="18"/>
              </w:rPr>
              <w:t>6000</w:t>
            </w:r>
          </w:p>
          <w:p w:rsidR="00E21452" w:rsidRPr="00121CCF" w:rsidRDefault="00E21452" w:rsidP="003B7BFA">
            <w:pPr>
              <w:spacing w:before="120" w:after="120"/>
              <w:ind w:right="566"/>
              <w:rPr>
                <w:rFonts w:ascii="Verdana" w:hAnsi="Verdana"/>
                <w:i/>
                <w:sz w:val="18"/>
                <w:szCs w:val="18"/>
              </w:rPr>
            </w:pPr>
          </w:p>
        </w:tc>
        <w:tc>
          <w:tcPr>
            <w:tcW w:w="721" w:type="pct"/>
            <w:tcBorders>
              <w:top w:val="single" w:sz="4" w:space="0" w:color="auto"/>
              <w:left w:val="single" w:sz="4" w:space="0" w:color="auto"/>
              <w:bottom w:val="single" w:sz="4" w:space="0" w:color="auto"/>
              <w:right w:val="single" w:sz="4" w:space="0" w:color="auto"/>
            </w:tcBorders>
          </w:tcPr>
          <w:p w:rsidR="00E21452" w:rsidRPr="00121CCF" w:rsidRDefault="00975C2C" w:rsidP="00121CCF">
            <w:pPr>
              <w:spacing w:before="120" w:after="120"/>
              <w:ind w:right="566"/>
              <w:rPr>
                <w:rFonts w:ascii="Verdana" w:hAnsi="Verdana"/>
                <w:b/>
                <w:i/>
                <w:sz w:val="18"/>
                <w:szCs w:val="18"/>
              </w:rPr>
            </w:pPr>
            <w:r>
              <w:rPr>
                <w:rFonts w:ascii="Verdana" w:hAnsi="Verdana"/>
                <w:i/>
                <w:sz w:val="18"/>
                <w:szCs w:val="18"/>
              </w:rPr>
              <w:t xml:space="preserve">Programme monitoring </w:t>
            </w:r>
          </w:p>
        </w:tc>
        <w:tc>
          <w:tcPr>
            <w:tcW w:w="975" w:type="pct"/>
            <w:tcBorders>
              <w:top w:val="single" w:sz="4" w:space="0" w:color="auto"/>
              <w:left w:val="single" w:sz="4" w:space="0" w:color="auto"/>
              <w:bottom w:val="single" w:sz="4" w:space="0" w:color="auto"/>
              <w:right w:val="single" w:sz="4" w:space="0" w:color="auto"/>
            </w:tcBorders>
          </w:tcPr>
          <w:p w:rsidR="00121CCF" w:rsidRPr="00121CCF" w:rsidRDefault="00121CCF" w:rsidP="00121CCF">
            <w:pPr>
              <w:spacing w:before="100" w:beforeAutospacing="1" w:after="100" w:afterAutospacing="1"/>
              <w:jc w:val="both"/>
              <w:rPr>
                <w:rFonts w:ascii="Arial" w:hAnsi="Arial" w:cs="Arial"/>
                <w:color w:val="000000"/>
                <w:sz w:val="18"/>
                <w:szCs w:val="18"/>
                <w:lang w:val="en-US"/>
              </w:rPr>
            </w:pPr>
            <w:r w:rsidRPr="00121CCF">
              <w:rPr>
                <w:rFonts w:ascii="Arial" w:hAnsi="Arial" w:cs="Arial"/>
                <w:color w:val="000000"/>
                <w:sz w:val="18"/>
                <w:szCs w:val="18"/>
                <w:lang w:val="en-US"/>
              </w:rPr>
              <w:t xml:space="preserve">Each city involved in a network has to set up an URBACT Local Support Group to involve the local stakeholders. These Local Support Groups will be created as soon as possible during the life of the network. </w:t>
            </w:r>
          </w:p>
          <w:p w:rsidR="00121CCF" w:rsidRPr="00121CCF" w:rsidRDefault="00121CCF" w:rsidP="00121CCF">
            <w:pPr>
              <w:spacing w:before="100" w:beforeAutospacing="1" w:after="100" w:afterAutospacing="1"/>
              <w:jc w:val="both"/>
              <w:rPr>
                <w:rFonts w:ascii="Arial" w:hAnsi="Arial" w:cs="Arial"/>
                <w:color w:val="000000"/>
                <w:sz w:val="18"/>
                <w:szCs w:val="18"/>
                <w:lang w:val="en-US"/>
              </w:rPr>
            </w:pPr>
            <w:r w:rsidRPr="00121CCF">
              <w:rPr>
                <w:rFonts w:ascii="Arial" w:hAnsi="Arial" w:cs="Arial"/>
                <w:color w:val="000000"/>
                <w:sz w:val="18"/>
                <w:szCs w:val="18"/>
                <w:lang w:val="en-US"/>
              </w:rPr>
              <w:t>Based on a number of cities between 6 and 12 per network and URBACT Local Support Groups (ULSG), it is expected that the number of local stakeholders involved in URBACT network activities at local level will reach 6000 at the end of the programming period.</w:t>
            </w:r>
          </w:p>
          <w:p w:rsidR="00E21452" w:rsidRPr="00121CCF" w:rsidRDefault="00121CCF" w:rsidP="00121CCF">
            <w:pPr>
              <w:spacing w:before="120" w:after="120"/>
              <w:rPr>
                <w:rFonts w:ascii="Arial" w:hAnsi="Arial" w:cs="Arial"/>
                <w:i/>
                <w:sz w:val="18"/>
                <w:szCs w:val="18"/>
              </w:rPr>
            </w:pPr>
            <w:r w:rsidRPr="00121CCF">
              <w:rPr>
                <w:rFonts w:ascii="Arial" w:hAnsi="Arial" w:cs="Arial"/>
                <w:color w:val="000000"/>
                <w:sz w:val="18"/>
                <w:szCs w:val="18"/>
                <w:lang w:val="en-US"/>
              </w:rPr>
              <w:t>When the 20 networks (at least) of the first call will be completed at the end of 2018, we expect that 1700 local stakeholders will have been involved within URBACT Local Support Groups</w:t>
            </w:r>
          </w:p>
        </w:tc>
      </w:tr>
    </w:tbl>
    <w:p w:rsidR="00E21452" w:rsidRPr="004F5F2B" w:rsidRDefault="00E21452" w:rsidP="00E21452">
      <w:pPr>
        <w:ind w:right="566"/>
        <w:jc w:val="both"/>
        <w:rPr>
          <w:rFonts w:ascii="Verdana" w:hAnsi="Verdana"/>
        </w:rPr>
      </w:pPr>
    </w:p>
    <w:p w:rsidR="003F234F" w:rsidRDefault="003F234F">
      <w:pPr>
        <w:rPr>
          <w:rFonts w:ascii="Verdana" w:eastAsia="Calibri" w:hAnsi="Verdana"/>
          <w:b/>
          <w:bCs/>
        </w:rPr>
      </w:pPr>
      <w:bookmarkStart w:id="21" w:name="_Toc381007251"/>
      <w:r>
        <w:br w:type="page"/>
      </w:r>
    </w:p>
    <w:p w:rsidR="00E21452" w:rsidRPr="004F5F2B" w:rsidRDefault="00E21452" w:rsidP="003E5F27">
      <w:pPr>
        <w:pStyle w:val="Nagwek2"/>
      </w:pPr>
      <w:bookmarkStart w:id="22" w:name="_Toc401325792"/>
      <w:r w:rsidRPr="004F5F2B">
        <w:t>2.A.</w:t>
      </w:r>
      <w:r w:rsidR="00C4264F" w:rsidRPr="004F5F2B">
        <w:t>5</w:t>
      </w:r>
      <w:r w:rsidRPr="004F5F2B">
        <w:t xml:space="preserve"> </w:t>
      </w:r>
      <w:r w:rsidR="00A97643">
        <w:tab/>
      </w:r>
      <w:r w:rsidRPr="004F5F2B">
        <w:t xml:space="preserve">Categories of Intervention </w:t>
      </w:r>
      <w:bookmarkEnd w:id="21"/>
      <w:bookmarkEnd w:id="22"/>
    </w:p>
    <w:p w:rsidR="00E21452" w:rsidRPr="007E33E3" w:rsidRDefault="00E21452" w:rsidP="003E5F27">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3016"/>
        <w:gridCol w:w="3189"/>
      </w:tblGrid>
      <w:tr w:rsidR="00E21452" w:rsidRPr="007E33E3" w:rsidTr="00DA4B46">
        <w:tc>
          <w:tcPr>
            <w:tcW w:w="10384" w:type="dxa"/>
            <w:gridSpan w:val="3"/>
          </w:tcPr>
          <w:p w:rsidR="00E21452" w:rsidRPr="007E33E3" w:rsidRDefault="00E21452" w:rsidP="00E21452">
            <w:pPr>
              <w:ind w:right="566"/>
              <w:jc w:val="both"/>
              <w:rPr>
                <w:rFonts w:ascii="Verdana" w:hAnsi="Verdana"/>
                <w:b/>
                <w:sz w:val="22"/>
                <w:szCs w:val="22"/>
              </w:rPr>
            </w:pPr>
            <w:r w:rsidRPr="007E33E3">
              <w:rPr>
                <w:rFonts w:ascii="Verdana" w:hAnsi="Verdana"/>
                <w:b/>
                <w:sz w:val="22"/>
                <w:szCs w:val="22"/>
              </w:rPr>
              <w:t>Table 12 Dimension 1 Intervention Field</w:t>
            </w:r>
          </w:p>
        </w:tc>
      </w:tr>
      <w:tr w:rsidR="00E21452" w:rsidRPr="007E33E3" w:rsidTr="00DA4B46">
        <w:tc>
          <w:tcPr>
            <w:tcW w:w="3461" w:type="dxa"/>
          </w:tcPr>
          <w:p w:rsidR="00E21452" w:rsidRPr="007E33E3" w:rsidRDefault="00E21452" w:rsidP="00E21452">
            <w:pPr>
              <w:ind w:right="566"/>
              <w:jc w:val="both"/>
              <w:rPr>
                <w:rFonts w:ascii="Verdana" w:hAnsi="Verdana"/>
                <w:b/>
                <w:sz w:val="22"/>
                <w:szCs w:val="22"/>
              </w:rPr>
            </w:pPr>
            <w:r w:rsidRPr="007E33E3">
              <w:rPr>
                <w:rFonts w:ascii="Verdana" w:hAnsi="Verdana"/>
                <w:b/>
                <w:sz w:val="22"/>
                <w:szCs w:val="22"/>
              </w:rPr>
              <w:t>Priority Axis</w:t>
            </w:r>
          </w:p>
        </w:tc>
        <w:tc>
          <w:tcPr>
            <w:tcW w:w="3461" w:type="dxa"/>
          </w:tcPr>
          <w:p w:rsidR="00E21452" w:rsidRPr="007E33E3" w:rsidRDefault="00E21452" w:rsidP="00E21452">
            <w:pPr>
              <w:ind w:right="566"/>
              <w:jc w:val="both"/>
              <w:rPr>
                <w:rFonts w:ascii="Verdana" w:hAnsi="Verdana"/>
                <w:b/>
                <w:sz w:val="22"/>
                <w:szCs w:val="22"/>
              </w:rPr>
            </w:pPr>
            <w:r w:rsidRPr="007E33E3">
              <w:rPr>
                <w:rFonts w:ascii="Verdana" w:hAnsi="Verdana"/>
                <w:b/>
                <w:sz w:val="22"/>
                <w:szCs w:val="22"/>
              </w:rPr>
              <w:t>Code</w:t>
            </w:r>
          </w:p>
        </w:tc>
        <w:tc>
          <w:tcPr>
            <w:tcW w:w="3462" w:type="dxa"/>
          </w:tcPr>
          <w:p w:rsidR="00E21452" w:rsidRPr="007E33E3" w:rsidRDefault="00E21452" w:rsidP="00E21452">
            <w:pPr>
              <w:ind w:right="566"/>
              <w:jc w:val="both"/>
              <w:rPr>
                <w:rFonts w:ascii="Verdana" w:hAnsi="Verdana"/>
                <w:b/>
                <w:sz w:val="22"/>
                <w:szCs w:val="22"/>
              </w:rPr>
            </w:pPr>
            <w:r w:rsidRPr="007E33E3">
              <w:rPr>
                <w:rFonts w:ascii="Verdana" w:hAnsi="Verdana"/>
                <w:b/>
                <w:sz w:val="22"/>
                <w:szCs w:val="22"/>
              </w:rPr>
              <w:t>€ EU support</w:t>
            </w:r>
          </w:p>
        </w:tc>
      </w:tr>
      <w:tr w:rsidR="00E21452" w:rsidRPr="007E33E3" w:rsidTr="00DA4B46">
        <w:tc>
          <w:tcPr>
            <w:tcW w:w="3461" w:type="dxa"/>
          </w:tcPr>
          <w:p w:rsidR="00E21452" w:rsidRPr="007E33E3" w:rsidRDefault="00E21452" w:rsidP="00E21452">
            <w:pPr>
              <w:ind w:right="566"/>
              <w:jc w:val="both"/>
              <w:rPr>
                <w:rFonts w:ascii="Verdana" w:hAnsi="Verdana"/>
                <w:sz w:val="22"/>
                <w:szCs w:val="22"/>
              </w:rPr>
            </w:pPr>
            <w:r w:rsidRPr="007E33E3">
              <w:rPr>
                <w:rFonts w:ascii="Verdana" w:hAnsi="Verdana"/>
                <w:sz w:val="22"/>
                <w:szCs w:val="22"/>
              </w:rPr>
              <w:t>PA 1</w:t>
            </w:r>
          </w:p>
        </w:tc>
        <w:tc>
          <w:tcPr>
            <w:tcW w:w="3461" w:type="dxa"/>
          </w:tcPr>
          <w:p w:rsidR="00E21452" w:rsidRPr="007E33E3" w:rsidRDefault="00E21452" w:rsidP="005C22F6">
            <w:pPr>
              <w:ind w:right="566"/>
              <w:jc w:val="both"/>
              <w:rPr>
                <w:rFonts w:ascii="Verdana" w:hAnsi="Verdana"/>
                <w:sz w:val="22"/>
                <w:szCs w:val="22"/>
              </w:rPr>
            </w:pPr>
            <w:r w:rsidRPr="007E33E3">
              <w:rPr>
                <w:rFonts w:ascii="Verdana" w:hAnsi="Verdana"/>
                <w:sz w:val="22"/>
                <w:szCs w:val="22"/>
              </w:rPr>
              <w:t>11</w:t>
            </w:r>
            <w:r w:rsidR="005C22F6">
              <w:rPr>
                <w:rFonts w:ascii="Verdana" w:hAnsi="Verdana"/>
                <w:sz w:val="22"/>
                <w:szCs w:val="22"/>
              </w:rPr>
              <w:t>9</w:t>
            </w:r>
          </w:p>
        </w:tc>
        <w:tc>
          <w:tcPr>
            <w:tcW w:w="3462" w:type="dxa"/>
          </w:tcPr>
          <w:p w:rsidR="00E21452" w:rsidRPr="007E33E3" w:rsidRDefault="00E21452" w:rsidP="00E00F86">
            <w:pPr>
              <w:ind w:right="566"/>
              <w:jc w:val="both"/>
              <w:rPr>
                <w:rFonts w:ascii="Verdana" w:hAnsi="Verdana"/>
                <w:sz w:val="22"/>
                <w:szCs w:val="22"/>
              </w:rPr>
            </w:pPr>
            <w:r w:rsidRPr="007E33E3">
              <w:rPr>
                <w:rFonts w:ascii="Verdana" w:hAnsi="Verdana"/>
                <w:sz w:val="22"/>
                <w:szCs w:val="22"/>
              </w:rPr>
              <w:t>69 843 </w:t>
            </w:r>
            <w:r w:rsidR="005C22F6">
              <w:rPr>
                <w:rFonts w:ascii="Verdana" w:hAnsi="Verdana"/>
                <w:sz w:val="22"/>
                <w:szCs w:val="22"/>
              </w:rPr>
              <w:t>79</w:t>
            </w:r>
            <w:r w:rsidR="00E00F86">
              <w:rPr>
                <w:rFonts w:ascii="Verdana" w:hAnsi="Verdana"/>
                <w:sz w:val="22"/>
                <w:szCs w:val="22"/>
              </w:rPr>
              <w:t>5</w:t>
            </w:r>
            <w:r w:rsidRPr="007E33E3">
              <w:rPr>
                <w:rFonts w:ascii="Verdana" w:hAnsi="Verdana"/>
                <w:sz w:val="22"/>
                <w:szCs w:val="22"/>
              </w:rPr>
              <w:t>€</w:t>
            </w:r>
          </w:p>
        </w:tc>
      </w:tr>
    </w:tbl>
    <w:p w:rsidR="00E21452" w:rsidRPr="007E33E3" w:rsidRDefault="00E21452" w:rsidP="00E21452">
      <w:pPr>
        <w:ind w:right="566"/>
        <w:jc w:val="both"/>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3016"/>
        <w:gridCol w:w="3189"/>
      </w:tblGrid>
      <w:tr w:rsidR="00E21452" w:rsidRPr="007E33E3" w:rsidTr="00DA4B46">
        <w:tc>
          <w:tcPr>
            <w:tcW w:w="10384" w:type="dxa"/>
            <w:gridSpan w:val="3"/>
          </w:tcPr>
          <w:p w:rsidR="00E21452" w:rsidRPr="007E33E3" w:rsidRDefault="00364438" w:rsidP="00E21452">
            <w:pPr>
              <w:ind w:right="566"/>
              <w:jc w:val="both"/>
              <w:rPr>
                <w:rFonts w:ascii="Verdana" w:hAnsi="Verdana"/>
                <w:b/>
                <w:sz w:val="22"/>
                <w:szCs w:val="22"/>
              </w:rPr>
            </w:pPr>
            <w:r w:rsidRPr="007E33E3">
              <w:rPr>
                <w:rFonts w:ascii="Verdana" w:hAnsi="Verdana"/>
                <w:b/>
                <w:sz w:val="22"/>
                <w:szCs w:val="22"/>
              </w:rPr>
              <w:t>Table 13 Dimension 2 Form of Finance</w:t>
            </w:r>
          </w:p>
        </w:tc>
      </w:tr>
      <w:tr w:rsidR="00E21452" w:rsidRPr="007E33E3" w:rsidTr="00DA4B46">
        <w:tc>
          <w:tcPr>
            <w:tcW w:w="3461" w:type="dxa"/>
          </w:tcPr>
          <w:p w:rsidR="00E21452" w:rsidRPr="007E33E3" w:rsidRDefault="00E21452" w:rsidP="00E21452">
            <w:pPr>
              <w:ind w:right="566"/>
              <w:jc w:val="both"/>
              <w:rPr>
                <w:rFonts w:ascii="Verdana" w:hAnsi="Verdana"/>
                <w:b/>
                <w:sz w:val="22"/>
                <w:szCs w:val="22"/>
              </w:rPr>
            </w:pPr>
            <w:r w:rsidRPr="007E33E3">
              <w:rPr>
                <w:rFonts w:ascii="Verdana" w:hAnsi="Verdana"/>
                <w:b/>
                <w:sz w:val="22"/>
                <w:szCs w:val="22"/>
              </w:rPr>
              <w:t>Priority Axis</w:t>
            </w:r>
          </w:p>
        </w:tc>
        <w:tc>
          <w:tcPr>
            <w:tcW w:w="3461" w:type="dxa"/>
          </w:tcPr>
          <w:p w:rsidR="00E21452" w:rsidRPr="007E33E3" w:rsidRDefault="00E21452" w:rsidP="00E21452">
            <w:pPr>
              <w:ind w:right="566"/>
              <w:jc w:val="both"/>
              <w:rPr>
                <w:rFonts w:ascii="Verdana" w:hAnsi="Verdana"/>
                <w:b/>
                <w:sz w:val="22"/>
                <w:szCs w:val="22"/>
              </w:rPr>
            </w:pPr>
            <w:r w:rsidRPr="007E33E3">
              <w:rPr>
                <w:rFonts w:ascii="Verdana" w:hAnsi="Verdana"/>
                <w:b/>
                <w:sz w:val="22"/>
                <w:szCs w:val="22"/>
              </w:rPr>
              <w:t>Code</w:t>
            </w:r>
          </w:p>
        </w:tc>
        <w:tc>
          <w:tcPr>
            <w:tcW w:w="3462" w:type="dxa"/>
          </w:tcPr>
          <w:p w:rsidR="00E21452" w:rsidRPr="007E33E3" w:rsidRDefault="00E21452" w:rsidP="00E21452">
            <w:pPr>
              <w:ind w:right="566"/>
              <w:jc w:val="both"/>
              <w:rPr>
                <w:rFonts w:ascii="Verdana" w:hAnsi="Verdana"/>
                <w:b/>
                <w:sz w:val="22"/>
                <w:szCs w:val="22"/>
              </w:rPr>
            </w:pPr>
            <w:r w:rsidRPr="007E33E3">
              <w:rPr>
                <w:rFonts w:ascii="Verdana" w:hAnsi="Verdana"/>
                <w:b/>
                <w:sz w:val="22"/>
                <w:szCs w:val="22"/>
              </w:rPr>
              <w:t>€ EU support</w:t>
            </w:r>
          </w:p>
        </w:tc>
      </w:tr>
      <w:tr w:rsidR="00E21452" w:rsidRPr="007E33E3" w:rsidTr="00DA4B46">
        <w:tc>
          <w:tcPr>
            <w:tcW w:w="3461" w:type="dxa"/>
          </w:tcPr>
          <w:p w:rsidR="00E21452" w:rsidRPr="007E33E3" w:rsidRDefault="00E21452" w:rsidP="00E21452">
            <w:pPr>
              <w:ind w:right="566"/>
              <w:jc w:val="both"/>
              <w:rPr>
                <w:rFonts w:ascii="Verdana" w:hAnsi="Verdana"/>
                <w:sz w:val="22"/>
                <w:szCs w:val="22"/>
              </w:rPr>
            </w:pPr>
            <w:r w:rsidRPr="007E33E3">
              <w:rPr>
                <w:rFonts w:ascii="Verdana" w:hAnsi="Verdana"/>
                <w:sz w:val="22"/>
                <w:szCs w:val="22"/>
              </w:rPr>
              <w:t>PA 1</w:t>
            </w:r>
          </w:p>
        </w:tc>
        <w:tc>
          <w:tcPr>
            <w:tcW w:w="3461" w:type="dxa"/>
          </w:tcPr>
          <w:p w:rsidR="00E21452" w:rsidRPr="007E33E3" w:rsidRDefault="00E21452" w:rsidP="00E21452">
            <w:pPr>
              <w:ind w:right="566"/>
              <w:jc w:val="both"/>
              <w:rPr>
                <w:rFonts w:ascii="Verdana" w:hAnsi="Verdana"/>
                <w:sz w:val="22"/>
                <w:szCs w:val="22"/>
              </w:rPr>
            </w:pPr>
            <w:r w:rsidRPr="007E33E3">
              <w:rPr>
                <w:rFonts w:ascii="Verdana" w:hAnsi="Verdana"/>
                <w:sz w:val="22"/>
                <w:szCs w:val="22"/>
              </w:rPr>
              <w:t>01</w:t>
            </w:r>
          </w:p>
        </w:tc>
        <w:tc>
          <w:tcPr>
            <w:tcW w:w="3462" w:type="dxa"/>
          </w:tcPr>
          <w:p w:rsidR="00E21452" w:rsidRPr="007E33E3" w:rsidRDefault="00E21452" w:rsidP="00E00F86">
            <w:pPr>
              <w:ind w:right="566"/>
              <w:jc w:val="both"/>
              <w:rPr>
                <w:rFonts w:ascii="Verdana" w:hAnsi="Verdana"/>
                <w:sz w:val="22"/>
                <w:szCs w:val="22"/>
              </w:rPr>
            </w:pPr>
            <w:r w:rsidRPr="007E33E3">
              <w:rPr>
                <w:rFonts w:ascii="Verdana" w:hAnsi="Verdana"/>
                <w:sz w:val="22"/>
                <w:szCs w:val="22"/>
              </w:rPr>
              <w:t>69 843 </w:t>
            </w:r>
            <w:r w:rsidR="005C22F6">
              <w:rPr>
                <w:rFonts w:ascii="Verdana" w:hAnsi="Verdana"/>
                <w:sz w:val="22"/>
                <w:szCs w:val="22"/>
              </w:rPr>
              <w:t>79</w:t>
            </w:r>
            <w:r w:rsidR="00E00F86">
              <w:rPr>
                <w:rFonts w:ascii="Verdana" w:hAnsi="Verdana"/>
                <w:sz w:val="22"/>
                <w:szCs w:val="22"/>
              </w:rPr>
              <w:t>5</w:t>
            </w:r>
            <w:r w:rsidRPr="007E33E3">
              <w:rPr>
                <w:rFonts w:ascii="Verdana" w:hAnsi="Verdana"/>
                <w:sz w:val="22"/>
                <w:szCs w:val="22"/>
              </w:rPr>
              <w:t>€</w:t>
            </w:r>
          </w:p>
        </w:tc>
      </w:tr>
    </w:tbl>
    <w:p w:rsidR="00E21452" w:rsidRPr="007E33E3" w:rsidRDefault="00E21452" w:rsidP="00E21452">
      <w:pPr>
        <w:ind w:right="566"/>
        <w:jc w:val="both"/>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3"/>
        <w:gridCol w:w="3016"/>
        <w:gridCol w:w="3189"/>
      </w:tblGrid>
      <w:tr w:rsidR="00E21452" w:rsidRPr="007E33E3" w:rsidTr="00DA4B46">
        <w:tc>
          <w:tcPr>
            <w:tcW w:w="10384" w:type="dxa"/>
            <w:gridSpan w:val="3"/>
          </w:tcPr>
          <w:p w:rsidR="00E21452" w:rsidRPr="007E33E3" w:rsidRDefault="00E21452" w:rsidP="00E21452">
            <w:pPr>
              <w:ind w:right="566"/>
              <w:jc w:val="both"/>
              <w:rPr>
                <w:rFonts w:ascii="Verdana" w:hAnsi="Verdana"/>
                <w:b/>
                <w:sz w:val="22"/>
                <w:szCs w:val="22"/>
              </w:rPr>
            </w:pPr>
            <w:r w:rsidRPr="007E33E3">
              <w:rPr>
                <w:rFonts w:ascii="Verdana" w:hAnsi="Verdana"/>
                <w:b/>
                <w:sz w:val="22"/>
                <w:szCs w:val="22"/>
              </w:rPr>
              <w:t>Table 14 Dimension 3 Territory</w:t>
            </w:r>
          </w:p>
        </w:tc>
      </w:tr>
      <w:tr w:rsidR="00E21452" w:rsidRPr="007E33E3" w:rsidTr="00DA4B46">
        <w:tc>
          <w:tcPr>
            <w:tcW w:w="3461" w:type="dxa"/>
          </w:tcPr>
          <w:p w:rsidR="00E21452" w:rsidRPr="007E33E3" w:rsidRDefault="00E21452" w:rsidP="00E21452">
            <w:pPr>
              <w:ind w:right="566"/>
              <w:jc w:val="both"/>
              <w:rPr>
                <w:rFonts w:ascii="Verdana" w:hAnsi="Verdana"/>
                <w:b/>
                <w:sz w:val="22"/>
                <w:szCs w:val="22"/>
              </w:rPr>
            </w:pPr>
            <w:r w:rsidRPr="007E33E3">
              <w:rPr>
                <w:rFonts w:ascii="Verdana" w:hAnsi="Verdana"/>
                <w:b/>
                <w:sz w:val="22"/>
                <w:szCs w:val="22"/>
              </w:rPr>
              <w:t>Priority Axis</w:t>
            </w:r>
          </w:p>
        </w:tc>
        <w:tc>
          <w:tcPr>
            <w:tcW w:w="3461" w:type="dxa"/>
          </w:tcPr>
          <w:p w:rsidR="00E21452" w:rsidRPr="007E33E3" w:rsidRDefault="00E21452" w:rsidP="00E21452">
            <w:pPr>
              <w:ind w:right="566"/>
              <w:jc w:val="both"/>
              <w:rPr>
                <w:rFonts w:ascii="Verdana" w:hAnsi="Verdana"/>
                <w:b/>
                <w:sz w:val="22"/>
                <w:szCs w:val="22"/>
              </w:rPr>
            </w:pPr>
            <w:r w:rsidRPr="007E33E3">
              <w:rPr>
                <w:rFonts w:ascii="Verdana" w:hAnsi="Verdana"/>
                <w:b/>
                <w:sz w:val="22"/>
                <w:szCs w:val="22"/>
              </w:rPr>
              <w:t>Code</w:t>
            </w:r>
          </w:p>
        </w:tc>
        <w:tc>
          <w:tcPr>
            <w:tcW w:w="3462" w:type="dxa"/>
          </w:tcPr>
          <w:p w:rsidR="00E21452" w:rsidRPr="007E33E3" w:rsidRDefault="00E21452" w:rsidP="00E21452">
            <w:pPr>
              <w:ind w:right="566"/>
              <w:jc w:val="both"/>
              <w:rPr>
                <w:rFonts w:ascii="Verdana" w:hAnsi="Verdana"/>
                <w:b/>
                <w:sz w:val="22"/>
                <w:szCs w:val="22"/>
              </w:rPr>
            </w:pPr>
            <w:r w:rsidRPr="007E33E3">
              <w:rPr>
                <w:rFonts w:ascii="Verdana" w:hAnsi="Verdana"/>
                <w:b/>
                <w:sz w:val="22"/>
                <w:szCs w:val="22"/>
              </w:rPr>
              <w:t>€ EU support</w:t>
            </w:r>
          </w:p>
        </w:tc>
      </w:tr>
      <w:tr w:rsidR="00E21452" w:rsidRPr="007E33E3" w:rsidTr="00DA4B46">
        <w:tc>
          <w:tcPr>
            <w:tcW w:w="3461" w:type="dxa"/>
          </w:tcPr>
          <w:p w:rsidR="00E21452" w:rsidRPr="007E33E3" w:rsidRDefault="00E21452" w:rsidP="00E21452">
            <w:pPr>
              <w:ind w:right="566"/>
              <w:jc w:val="both"/>
              <w:rPr>
                <w:rFonts w:ascii="Verdana" w:hAnsi="Verdana"/>
                <w:sz w:val="22"/>
                <w:szCs w:val="22"/>
              </w:rPr>
            </w:pPr>
            <w:r w:rsidRPr="007E33E3">
              <w:rPr>
                <w:rFonts w:ascii="Verdana" w:hAnsi="Verdana"/>
                <w:sz w:val="22"/>
                <w:szCs w:val="22"/>
              </w:rPr>
              <w:t>PA 1</w:t>
            </w:r>
          </w:p>
        </w:tc>
        <w:tc>
          <w:tcPr>
            <w:tcW w:w="3461" w:type="dxa"/>
          </w:tcPr>
          <w:p w:rsidR="00E21452" w:rsidRPr="007E33E3" w:rsidRDefault="00E21452" w:rsidP="005C22F6">
            <w:pPr>
              <w:ind w:right="566"/>
              <w:jc w:val="both"/>
              <w:rPr>
                <w:rFonts w:ascii="Verdana" w:hAnsi="Verdana"/>
                <w:sz w:val="22"/>
                <w:szCs w:val="22"/>
              </w:rPr>
            </w:pPr>
            <w:r w:rsidRPr="007E33E3">
              <w:rPr>
                <w:rFonts w:ascii="Verdana" w:hAnsi="Verdana"/>
                <w:sz w:val="22"/>
                <w:szCs w:val="22"/>
              </w:rPr>
              <w:t>0</w:t>
            </w:r>
            <w:r w:rsidR="005C22F6">
              <w:rPr>
                <w:rFonts w:ascii="Verdana" w:hAnsi="Verdana"/>
                <w:sz w:val="22"/>
                <w:szCs w:val="22"/>
              </w:rPr>
              <w:t>7</w:t>
            </w:r>
          </w:p>
        </w:tc>
        <w:tc>
          <w:tcPr>
            <w:tcW w:w="3462" w:type="dxa"/>
          </w:tcPr>
          <w:p w:rsidR="00E21452" w:rsidRPr="007E33E3" w:rsidRDefault="00E21452" w:rsidP="00E00F86">
            <w:pPr>
              <w:ind w:right="566"/>
              <w:jc w:val="both"/>
              <w:rPr>
                <w:rFonts w:ascii="Verdana" w:hAnsi="Verdana"/>
                <w:sz w:val="22"/>
                <w:szCs w:val="22"/>
              </w:rPr>
            </w:pPr>
            <w:r w:rsidRPr="007E33E3">
              <w:rPr>
                <w:rFonts w:ascii="Verdana" w:hAnsi="Verdana"/>
                <w:sz w:val="22"/>
                <w:szCs w:val="22"/>
              </w:rPr>
              <w:t>69 843 </w:t>
            </w:r>
            <w:r w:rsidR="005C22F6">
              <w:rPr>
                <w:rFonts w:ascii="Verdana" w:hAnsi="Verdana"/>
                <w:sz w:val="22"/>
                <w:szCs w:val="22"/>
              </w:rPr>
              <w:t>79</w:t>
            </w:r>
            <w:r w:rsidR="00E00F86">
              <w:rPr>
                <w:rFonts w:ascii="Verdana" w:hAnsi="Verdana"/>
                <w:sz w:val="22"/>
                <w:szCs w:val="22"/>
              </w:rPr>
              <w:t>5</w:t>
            </w:r>
            <w:r w:rsidRPr="007E33E3">
              <w:rPr>
                <w:rFonts w:ascii="Verdana" w:hAnsi="Verdana"/>
                <w:sz w:val="22"/>
                <w:szCs w:val="22"/>
              </w:rPr>
              <w:t>€</w:t>
            </w:r>
          </w:p>
        </w:tc>
      </w:tr>
    </w:tbl>
    <w:p w:rsidR="00E21452" w:rsidRPr="007E33E3" w:rsidRDefault="00E21452" w:rsidP="00E21452">
      <w:pPr>
        <w:ind w:right="566"/>
        <w:jc w:val="both"/>
        <w:rPr>
          <w:rFonts w:ascii="Verdana" w:hAnsi="Verdana"/>
          <w:sz w:val="22"/>
          <w:szCs w:val="22"/>
        </w:rPr>
      </w:pPr>
    </w:p>
    <w:p w:rsidR="00E21452" w:rsidRPr="004F5F2B" w:rsidRDefault="00E21452" w:rsidP="00E21452">
      <w:pPr>
        <w:ind w:right="566"/>
        <w:jc w:val="both"/>
        <w:rPr>
          <w:rFonts w:ascii="Verdana" w:hAnsi="Verdana"/>
        </w:rPr>
      </w:pPr>
    </w:p>
    <w:p w:rsidR="008F49F8" w:rsidRPr="004F5F2B" w:rsidRDefault="008F49F8">
      <w:pPr>
        <w:spacing w:after="200" w:line="276" w:lineRule="auto"/>
        <w:rPr>
          <w:rFonts w:ascii="Verdana" w:hAnsi="Verdana"/>
        </w:rPr>
      </w:pPr>
      <w:r w:rsidRPr="004F5F2B">
        <w:rPr>
          <w:rFonts w:ascii="Verdana" w:hAnsi="Verdana"/>
        </w:rPr>
        <w:br w:type="page"/>
      </w:r>
    </w:p>
    <w:p w:rsidR="00E21452" w:rsidRPr="004F5F2B" w:rsidRDefault="00DC73D9" w:rsidP="00D4641C">
      <w:pPr>
        <w:pStyle w:val="Nagwek2"/>
      </w:pPr>
      <w:bookmarkStart w:id="23" w:name="_Toc401325793"/>
      <w:r w:rsidRPr="004F5F2B">
        <w:t>2.B.</w:t>
      </w:r>
      <w:r w:rsidR="00A97643">
        <w:tab/>
      </w:r>
      <w:r w:rsidR="00E21452" w:rsidRPr="004F5F2B">
        <w:t>Description of the priority axes for technical assistance</w:t>
      </w:r>
      <w:bookmarkEnd w:id="23"/>
    </w:p>
    <w:p w:rsidR="00E21452" w:rsidRPr="004F5F2B" w:rsidRDefault="00E21452" w:rsidP="00D4641C">
      <w:pPr>
        <w:rPr>
          <w:rFonts w:ascii="Verdana" w:hAnsi="Verdana"/>
          <w:b/>
          <w:lang w:eastAsia="ar-SA"/>
        </w:rPr>
      </w:pPr>
    </w:p>
    <w:p w:rsidR="00E21452" w:rsidRPr="007E33E3" w:rsidRDefault="00E21452" w:rsidP="00D4641C">
      <w:pPr>
        <w:rPr>
          <w:rFonts w:ascii="Verdana" w:hAnsi="Verdana"/>
          <w:b/>
          <w:sz w:val="22"/>
          <w:szCs w:val="22"/>
        </w:rPr>
      </w:pPr>
      <w:r w:rsidRPr="007E33E3">
        <w:rPr>
          <w:rFonts w:ascii="Verdana" w:hAnsi="Verdana"/>
          <w:b/>
          <w:sz w:val="22"/>
          <w:szCs w:val="22"/>
        </w:rPr>
        <w:t xml:space="preserve">Priority Axis 2 </w:t>
      </w:r>
    </w:p>
    <w:p w:rsidR="00E21452" w:rsidRPr="007E33E3" w:rsidRDefault="00E21452" w:rsidP="00E21452">
      <w:pPr>
        <w:ind w:right="566"/>
        <w:jc w:val="both"/>
        <w:rPr>
          <w:rFonts w:ascii="Verdana" w:hAnsi="Verdan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961"/>
      </w:tblGrid>
      <w:tr w:rsidR="00E21452" w:rsidRPr="007E33E3" w:rsidTr="00DA4B46">
        <w:tc>
          <w:tcPr>
            <w:tcW w:w="3936" w:type="dxa"/>
          </w:tcPr>
          <w:p w:rsidR="00E21452" w:rsidRPr="007E33E3" w:rsidRDefault="00E21452" w:rsidP="00E21452">
            <w:pPr>
              <w:ind w:right="254"/>
              <w:rPr>
                <w:rFonts w:ascii="Verdana" w:hAnsi="Verdana"/>
                <w:b/>
                <w:sz w:val="22"/>
                <w:szCs w:val="22"/>
              </w:rPr>
            </w:pPr>
            <w:r w:rsidRPr="007E33E3">
              <w:rPr>
                <w:rFonts w:ascii="Verdana" w:hAnsi="Verdana"/>
                <w:b/>
                <w:sz w:val="22"/>
                <w:szCs w:val="22"/>
              </w:rPr>
              <w:t>ID</w:t>
            </w:r>
          </w:p>
        </w:tc>
        <w:tc>
          <w:tcPr>
            <w:tcW w:w="4961" w:type="dxa"/>
          </w:tcPr>
          <w:p w:rsidR="00E21452" w:rsidRPr="007E33E3" w:rsidRDefault="00E21452" w:rsidP="00E21452">
            <w:pPr>
              <w:ind w:right="254"/>
              <w:rPr>
                <w:rFonts w:ascii="Verdana" w:hAnsi="Verdana"/>
                <w:b/>
                <w:sz w:val="22"/>
                <w:szCs w:val="22"/>
              </w:rPr>
            </w:pPr>
          </w:p>
        </w:tc>
      </w:tr>
      <w:tr w:rsidR="00E21452" w:rsidRPr="007E33E3" w:rsidTr="00DA4B46">
        <w:tc>
          <w:tcPr>
            <w:tcW w:w="3936" w:type="dxa"/>
          </w:tcPr>
          <w:p w:rsidR="00E21452" w:rsidRPr="007E33E3" w:rsidRDefault="00E21452" w:rsidP="00E21452">
            <w:pPr>
              <w:ind w:right="254"/>
              <w:rPr>
                <w:rFonts w:ascii="Verdana" w:hAnsi="Verdana"/>
                <w:b/>
                <w:sz w:val="22"/>
                <w:szCs w:val="22"/>
              </w:rPr>
            </w:pPr>
            <w:r w:rsidRPr="007E33E3">
              <w:rPr>
                <w:rFonts w:ascii="Verdana" w:hAnsi="Verdana"/>
                <w:b/>
                <w:sz w:val="22"/>
                <w:szCs w:val="22"/>
              </w:rPr>
              <w:t>Title</w:t>
            </w:r>
          </w:p>
        </w:tc>
        <w:tc>
          <w:tcPr>
            <w:tcW w:w="4961" w:type="dxa"/>
          </w:tcPr>
          <w:p w:rsidR="00E21452" w:rsidRPr="007E33E3" w:rsidRDefault="00E21452" w:rsidP="00E21452">
            <w:pPr>
              <w:ind w:right="254"/>
              <w:rPr>
                <w:rFonts w:ascii="Verdana" w:hAnsi="Verdana"/>
                <w:b/>
                <w:sz w:val="22"/>
                <w:szCs w:val="22"/>
              </w:rPr>
            </w:pPr>
            <w:r w:rsidRPr="007E33E3">
              <w:rPr>
                <w:rFonts w:ascii="Verdana" w:hAnsi="Verdana"/>
                <w:b/>
                <w:sz w:val="22"/>
                <w:szCs w:val="22"/>
              </w:rPr>
              <w:t>Technical Assistance</w:t>
            </w:r>
          </w:p>
        </w:tc>
      </w:tr>
    </w:tbl>
    <w:p w:rsidR="00E21452" w:rsidRPr="007E33E3" w:rsidRDefault="00E21452" w:rsidP="00E21452">
      <w:pPr>
        <w:ind w:right="254"/>
        <w:rPr>
          <w:rFonts w:ascii="Verdana" w:hAnsi="Verdan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961"/>
      </w:tblGrid>
      <w:tr w:rsidR="00E21452" w:rsidRPr="007E33E3" w:rsidTr="00DA4B46">
        <w:tc>
          <w:tcPr>
            <w:tcW w:w="3936" w:type="dxa"/>
          </w:tcPr>
          <w:p w:rsidR="00E21452" w:rsidRPr="007E33E3" w:rsidRDefault="00E21452" w:rsidP="00E21452">
            <w:pPr>
              <w:ind w:right="254"/>
              <w:rPr>
                <w:rFonts w:ascii="Verdana" w:hAnsi="Verdana"/>
                <w:b/>
                <w:sz w:val="22"/>
                <w:szCs w:val="22"/>
              </w:rPr>
            </w:pPr>
            <w:r w:rsidRPr="007E33E3">
              <w:rPr>
                <w:rFonts w:ascii="Verdana" w:hAnsi="Verdana"/>
                <w:b/>
                <w:sz w:val="22"/>
                <w:szCs w:val="22"/>
              </w:rPr>
              <w:t>FUND</w:t>
            </w:r>
          </w:p>
        </w:tc>
        <w:tc>
          <w:tcPr>
            <w:tcW w:w="4961" w:type="dxa"/>
          </w:tcPr>
          <w:p w:rsidR="00E21452" w:rsidRPr="007E33E3" w:rsidRDefault="00E21452" w:rsidP="00E21452">
            <w:pPr>
              <w:ind w:right="254"/>
              <w:rPr>
                <w:rFonts w:ascii="Verdana" w:hAnsi="Verdana"/>
                <w:b/>
                <w:sz w:val="22"/>
                <w:szCs w:val="22"/>
              </w:rPr>
            </w:pPr>
            <w:r w:rsidRPr="007E33E3">
              <w:rPr>
                <w:rFonts w:ascii="Verdana" w:hAnsi="Verdana"/>
                <w:b/>
                <w:sz w:val="22"/>
                <w:szCs w:val="22"/>
              </w:rPr>
              <w:t>European Regional Development Fund</w:t>
            </w:r>
          </w:p>
        </w:tc>
      </w:tr>
    </w:tbl>
    <w:p w:rsidR="00E21452" w:rsidRPr="007E33E3" w:rsidRDefault="00E21452" w:rsidP="00E21452">
      <w:pPr>
        <w:ind w:right="254"/>
        <w:rPr>
          <w:rFonts w:ascii="Verdana" w:hAnsi="Verdan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961"/>
      </w:tblGrid>
      <w:tr w:rsidR="00E21452" w:rsidRPr="007E33E3" w:rsidTr="00DA4B46">
        <w:tc>
          <w:tcPr>
            <w:tcW w:w="3936" w:type="dxa"/>
          </w:tcPr>
          <w:p w:rsidR="00E21452" w:rsidRPr="007E33E3" w:rsidRDefault="00E21452" w:rsidP="00E21452">
            <w:pPr>
              <w:ind w:right="254"/>
              <w:rPr>
                <w:rFonts w:ascii="Verdana" w:hAnsi="Verdana"/>
                <w:b/>
                <w:sz w:val="22"/>
                <w:szCs w:val="22"/>
              </w:rPr>
            </w:pPr>
            <w:r w:rsidRPr="007E33E3">
              <w:rPr>
                <w:rFonts w:ascii="Verdana" w:hAnsi="Verdana"/>
                <w:b/>
                <w:sz w:val="22"/>
                <w:szCs w:val="22"/>
              </w:rPr>
              <w:t>INVESTMENT PRIORITY</w:t>
            </w:r>
          </w:p>
        </w:tc>
        <w:tc>
          <w:tcPr>
            <w:tcW w:w="4961" w:type="dxa"/>
          </w:tcPr>
          <w:p w:rsidR="00E21452" w:rsidRPr="007E33E3" w:rsidRDefault="00E21452" w:rsidP="00E21452">
            <w:pPr>
              <w:ind w:right="254"/>
              <w:rPr>
                <w:rFonts w:ascii="Verdana" w:hAnsi="Verdana"/>
                <w:b/>
                <w:sz w:val="22"/>
                <w:szCs w:val="22"/>
              </w:rPr>
            </w:pPr>
            <w:r w:rsidRPr="007E33E3">
              <w:rPr>
                <w:rFonts w:ascii="Verdana" w:hAnsi="Verdana"/>
                <w:b/>
                <w:sz w:val="22"/>
                <w:szCs w:val="22"/>
              </w:rPr>
              <w:t>Thematic Objective 11</w:t>
            </w:r>
          </w:p>
        </w:tc>
      </w:tr>
    </w:tbl>
    <w:p w:rsidR="00E21452" w:rsidRPr="007E33E3" w:rsidRDefault="00E21452" w:rsidP="00E21452">
      <w:pPr>
        <w:ind w:right="254"/>
        <w:rPr>
          <w:rFonts w:ascii="Verdana" w:hAnsi="Verdan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961"/>
      </w:tblGrid>
      <w:tr w:rsidR="00E21452" w:rsidRPr="007E33E3" w:rsidTr="00DA4B46">
        <w:tc>
          <w:tcPr>
            <w:tcW w:w="3936" w:type="dxa"/>
          </w:tcPr>
          <w:p w:rsidR="00E21452" w:rsidRPr="007E33E3" w:rsidRDefault="00364438" w:rsidP="00E21452">
            <w:pPr>
              <w:ind w:right="254"/>
              <w:rPr>
                <w:rFonts w:ascii="Verdana" w:hAnsi="Verdana"/>
                <w:b/>
                <w:sz w:val="22"/>
                <w:szCs w:val="22"/>
              </w:rPr>
            </w:pPr>
            <w:r w:rsidRPr="007E33E3">
              <w:rPr>
                <w:rFonts w:ascii="Verdana" w:hAnsi="Verdana"/>
                <w:b/>
                <w:sz w:val="22"/>
                <w:szCs w:val="22"/>
              </w:rPr>
              <w:t>CALCULATION BASIS FOR UNION SUPPORT</w:t>
            </w:r>
          </w:p>
        </w:tc>
        <w:tc>
          <w:tcPr>
            <w:tcW w:w="4961" w:type="dxa"/>
          </w:tcPr>
          <w:p w:rsidR="00E21452" w:rsidRPr="007E33E3" w:rsidRDefault="00E21452" w:rsidP="00E21452">
            <w:pPr>
              <w:ind w:right="254"/>
              <w:rPr>
                <w:rFonts w:ascii="Verdana" w:hAnsi="Verdana"/>
                <w:b/>
                <w:sz w:val="22"/>
                <w:szCs w:val="22"/>
              </w:rPr>
            </w:pPr>
            <w:r w:rsidRPr="007E33E3">
              <w:rPr>
                <w:rFonts w:ascii="Verdana" w:hAnsi="Verdana"/>
                <w:b/>
                <w:sz w:val="22"/>
                <w:szCs w:val="22"/>
              </w:rPr>
              <w:t>Total eligible cost</w:t>
            </w:r>
          </w:p>
        </w:tc>
      </w:tr>
    </w:tbl>
    <w:p w:rsidR="00E21452" w:rsidRPr="007E33E3" w:rsidRDefault="00E21452" w:rsidP="00B21572">
      <w:pPr>
        <w:pStyle w:val="Nagwek2"/>
        <w:rPr>
          <w:sz w:val="22"/>
          <w:szCs w:val="22"/>
        </w:rPr>
      </w:pPr>
    </w:p>
    <w:p w:rsidR="00E21452" w:rsidRPr="004F5F2B" w:rsidRDefault="00B21572" w:rsidP="003F234F">
      <w:pPr>
        <w:pStyle w:val="Nagwek2"/>
        <w:spacing w:after="120" w:line="276" w:lineRule="auto"/>
        <w:contextualSpacing/>
      </w:pPr>
      <w:bookmarkStart w:id="24" w:name="_Toc401325794"/>
      <w:r w:rsidRPr="004F5F2B">
        <w:t>2.</w:t>
      </w:r>
      <w:r w:rsidR="008F49F8" w:rsidRPr="004F5F2B">
        <w:t>B.1</w:t>
      </w:r>
      <w:r w:rsidR="007B5752">
        <w:t>.</w:t>
      </w:r>
      <w:r w:rsidR="007B5752">
        <w:tab/>
      </w:r>
      <w:r w:rsidR="00E21452" w:rsidRPr="004F5F2B">
        <w:t xml:space="preserve">Specific objective and expected results – </w:t>
      </w:r>
      <w:bookmarkEnd w:id="24"/>
    </w:p>
    <w:p w:rsidR="00E21452" w:rsidRPr="007E33E3" w:rsidRDefault="00E21452" w:rsidP="003F234F">
      <w:pPr>
        <w:spacing w:after="120" w:line="276" w:lineRule="auto"/>
        <w:ind w:right="566"/>
        <w:contextualSpacing/>
        <w:jc w:val="both"/>
        <w:rPr>
          <w:rFonts w:ascii="Verdana" w:hAnsi="Verdana"/>
          <w:b/>
          <w:sz w:val="22"/>
          <w:szCs w:val="22"/>
        </w:rPr>
      </w:pPr>
    </w:p>
    <w:p w:rsidR="00E21452" w:rsidRPr="007E33E3" w:rsidRDefault="00E21452" w:rsidP="003F234F">
      <w:pPr>
        <w:spacing w:after="120" w:line="276" w:lineRule="auto"/>
        <w:ind w:right="566"/>
        <w:contextualSpacing/>
        <w:jc w:val="both"/>
        <w:rPr>
          <w:rFonts w:ascii="Verdana" w:hAnsi="Verdana"/>
          <w:sz w:val="22"/>
          <w:szCs w:val="22"/>
        </w:rPr>
      </w:pPr>
      <w:r w:rsidRPr="007E33E3">
        <w:rPr>
          <w:rFonts w:ascii="Verdana" w:hAnsi="Verdana"/>
          <w:b/>
          <w:sz w:val="22"/>
          <w:szCs w:val="22"/>
        </w:rPr>
        <w:t xml:space="preserve">Objective: </w:t>
      </w:r>
      <w:r w:rsidRPr="007E33E3">
        <w:rPr>
          <w:rFonts w:ascii="Verdana" w:hAnsi="Verdana" w:cs="Arial"/>
          <w:sz w:val="22"/>
          <w:szCs w:val="22"/>
        </w:rPr>
        <w:t>To maximise the effectiveness and efficiency of the management and implementation of the URBACT III programme</w:t>
      </w:r>
    </w:p>
    <w:p w:rsidR="00E21452" w:rsidRPr="007E33E3" w:rsidRDefault="00E21452" w:rsidP="003F234F">
      <w:pPr>
        <w:spacing w:after="120" w:line="276" w:lineRule="auto"/>
        <w:ind w:right="566"/>
        <w:contextualSpacing/>
        <w:jc w:val="both"/>
        <w:rPr>
          <w:rFonts w:ascii="Verdana" w:hAnsi="Verdana" w:cs="Arial"/>
          <w:sz w:val="22"/>
          <w:szCs w:val="22"/>
        </w:rPr>
      </w:pPr>
    </w:p>
    <w:p w:rsidR="00E21452" w:rsidRPr="007E33E3" w:rsidRDefault="00E21452" w:rsidP="003F234F">
      <w:pPr>
        <w:spacing w:after="120" w:line="276" w:lineRule="auto"/>
        <w:ind w:right="566"/>
        <w:contextualSpacing/>
        <w:jc w:val="both"/>
        <w:rPr>
          <w:rFonts w:ascii="Verdana" w:hAnsi="Verdana" w:cs="Arial"/>
          <w:b/>
          <w:sz w:val="22"/>
          <w:szCs w:val="22"/>
        </w:rPr>
      </w:pPr>
      <w:r w:rsidRPr="007E33E3">
        <w:rPr>
          <w:rFonts w:ascii="Verdana" w:hAnsi="Verdana" w:cs="Arial"/>
          <w:b/>
          <w:sz w:val="22"/>
          <w:szCs w:val="22"/>
        </w:rPr>
        <w:t xml:space="preserve">Expected results: </w:t>
      </w:r>
      <w:r w:rsidRPr="007E33E3">
        <w:rPr>
          <w:rFonts w:ascii="Verdana" w:hAnsi="Verdana" w:cs="Arial"/>
          <w:sz w:val="22"/>
          <w:szCs w:val="22"/>
        </w:rPr>
        <w:t>An effective and efficient delivery of the URBACT programme over the 2014-2020 period.</w:t>
      </w:r>
      <w:r w:rsidRPr="007E33E3">
        <w:rPr>
          <w:rFonts w:ascii="Verdana" w:hAnsi="Verdana" w:cs="Arial"/>
          <w:b/>
          <w:sz w:val="22"/>
          <w:szCs w:val="22"/>
        </w:rPr>
        <w:t xml:space="preserve"> </w:t>
      </w:r>
    </w:p>
    <w:p w:rsidR="00E21452" w:rsidRPr="007E33E3" w:rsidRDefault="00E21452" w:rsidP="003F234F">
      <w:pPr>
        <w:spacing w:after="120" w:line="276" w:lineRule="auto"/>
        <w:ind w:right="566"/>
        <w:contextualSpacing/>
        <w:jc w:val="both"/>
        <w:rPr>
          <w:rFonts w:ascii="Verdana" w:hAnsi="Verdana" w:cs="Arial"/>
          <w:b/>
          <w:sz w:val="22"/>
          <w:szCs w:val="22"/>
        </w:rPr>
      </w:pPr>
    </w:p>
    <w:p w:rsidR="00E21452" w:rsidRPr="007E33E3" w:rsidRDefault="00E21452" w:rsidP="003F234F">
      <w:pPr>
        <w:spacing w:after="120" w:line="276" w:lineRule="auto"/>
        <w:ind w:right="566"/>
        <w:contextualSpacing/>
        <w:jc w:val="both"/>
        <w:rPr>
          <w:rFonts w:ascii="Verdana" w:hAnsi="Verdana"/>
          <w:sz w:val="22"/>
          <w:szCs w:val="22"/>
        </w:rPr>
      </w:pPr>
      <w:r w:rsidRPr="007E33E3">
        <w:rPr>
          <w:rFonts w:ascii="Verdana" w:hAnsi="Verdana"/>
          <w:sz w:val="22"/>
          <w:szCs w:val="22"/>
        </w:rPr>
        <w:t xml:space="preserve">This requires the establishment of project support structures and the development of tools and activities at programme level to provide the highest levels of effectiveness and efficiency in programme management and implementation.  </w:t>
      </w:r>
    </w:p>
    <w:p w:rsidR="00E21452" w:rsidRPr="007E33E3" w:rsidRDefault="00E21452" w:rsidP="003F234F">
      <w:pPr>
        <w:spacing w:after="120" w:line="276" w:lineRule="auto"/>
        <w:ind w:right="566"/>
        <w:contextualSpacing/>
        <w:jc w:val="both"/>
        <w:rPr>
          <w:rFonts w:ascii="Verdana" w:hAnsi="Verdana"/>
          <w:sz w:val="22"/>
          <w:szCs w:val="22"/>
        </w:rPr>
      </w:pPr>
    </w:p>
    <w:p w:rsidR="00E21452" w:rsidRPr="007E33E3" w:rsidRDefault="00E21452" w:rsidP="003F234F">
      <w:pPr>
        <w:spacing w:after="120" w:line="276" w:lineRule="auto"/>
        <w:ind w:right="566"/>
        <w:contextualSpacing/>
        <w:jc w:val="both"/>
        <w:rPr>
          <w:rFonts w:ascii="Verdana" w:hAnsi="Verdana"/>
          <w:sz w:val="22"/>
          <w:szCs w:val="22"/>
        </w:rPr>
      </w:pPr>
      <w:r w:rsidRPr="007E33E3">
        <w:rPr>
          <w:rFonts w:ascii="Verdana" w:hAnsi="Verdana"/>
          <w:sz w:val="22"/>
          <w:szCs w:val="22"/>
        </w:rPr>
        <w:t>These include the following activities:</w:t>
      </w:r>
    </w:p>
    <w:p w:rsidR="00E21452" w:rsidRPr="007E33E3" w:rsidRDefault="00E21452" w:rsidP="00D67ECF">
      <w:pPr>
        <w:pStyle w:val="Paragraphedeliste3"/>
        <w:numPr>
          <w:ilvl w:val="0"/>
          <w:numId w:val="4"/>
        </w:numPr>
        <w:spacing w:after="120"/>
        <w:ind w:right="566"/>
        <w:jc w:val="both"/>
        <w:rPr>
          <w:rFonts w:ascii="Verdana" w:hAnsi="Verdana"/>
        </w:rPr>
      </w:pPr>
      <w:r w:rsidRPr="007E33E3">
        <w:rPr>
          <w:rFonts w:ascii="Verdana" w:hAnsi="Verdana"/>
        </w:rPr>
        <w:t>an efficient monitoring and control system that provides strong insight in the progress, quality and impact of the supported interventions with as little administrative burden to beneficiaries and programme bodies as possible.</w:t>
      </w:r>
    </w:p>
    <w:p w:rsidR="00E21452" w:rsidRPr="007E33E3" w:rsidRDefault="00E21452" w:rsidP="00D67ECF">
      <w:pPr>
        <w:pStyle w:val="Paragraphedeliste3"/>
        <w:numPr>
          <w:ilvl w:val="0"/>
          <w:numId w:val="4"/>
        </w:numPr>
        <w:spacing w:after="120"/>
        <w:ind w:right="566"/>
        <w:jc w:val="both"/>
        <w:rPr>
          <w:rFonts w:ascii="Verdana" w:hAnsi="Verdana"/>
        </w:rPr>
      </w:pPr>
      <w:r w:rsidRPr="007E33E3">
        <w:rPr>
          <w:rFonts w:ascii="Verdana" w:hAnsi="Verdana"/>
        </w:rPr>
        <w:t xml:space="preserve">an effective project generation and selection process that leads to manageable numbers of applications of good quality proposals relevant to the programme. </w:t>
      </w:r>
    </w:p>
    <w:p w:rsidR="00D63D58" w:rsidRPr="007E33E3" w:rsidRDefault="00E21452" w:rsidP="00D67ECF">
      <w:pPr>
        <w:pStyle w:val="Paragraphedeliste3"/>
        <w:numPr>
          <w:ilvl w:val="0"/>
          <w:numId w:val="4"/>
        </w:numPr>
        <w:spacing w:after="120"/>
        <w:ind w:right="566"/>
        <w:jc w:val="both"/>
        <w:rPr>
          <w:rFonts w:ascii="Verdana" w:hAnsi="Verdana"/>
        </w:rPr>
      </w:pPr>
      <w:r w:rsidRPr="007E33E3">
        <w:rPr>
          <w:rFonts w:ascii="Verdana" w:hAnsi="Verdana"/>
        </w:rPr>
        <w:t>a strong support structure to those partners involved in URBACT networks and other activities of the programme.</w:t>
      </w:r>
    </w:p>
    <w:p w:rsidR="007E33E3" w:rsidRDefault="007E33E3" w:rsidP="003F234F">
      <w:pPr>
        <w:pStyle w:val="Nagwek2"/>
        <w:spacing w:after="120" w:line="276" w:lineRule="auto"/>
        <w:contextualSpacing/>
      </w:pPr>
    </w:p>
    <w:p w:rsidR="00E21452" w:rsidRPr="004F5F2B" w:rsidRDefault="00E21452" w:rsidP="003F234F">
      <w:pPr>
        <w:pStyle w:val="Nagwek2"/>
        <w:spacing w:after="120" w:line="276" w:lineRule="auto"/>
        <w:contextualSpacing/>
      </w:pPr>
      <w:bookmarkStart w:id="25" w:name="_Toc401325795"/>
      <w:r w:rsidRPr="004F5F2B">
        <w:t>2.B.2</w:t>
      </w:r>
      <w:r w:rsidR="007B5752">
        <w:t>.</w:t>
      </w:r>
      <w:r w:rsidR="007B5752">
        <w:tab/>
      </w:r>
      <w:r w:rsidRPr="004F5F2B">
        <w:t>Result Indicators</w:t>
      </w:r>
      <w:bookmarkEnd w:id="25"/>
    </w:p>
    <w:p w:rsidR="00E21452" w:rsidRPr="004F5F2B" w:rsidRDefault="00E21452" w:rsidP="003F234F">
      <w:pPr>
        <w:spacing w:after="120" w:line="276" w:lineRule="auto"/>
        <w:ind w:right="566"/>
        <w:contextualSpacing/>
        <w:jc w:val="both"/>
        <w:rPr>
          <w:rFonts w:ascii="Verdana" w:hAnsi="Verdana"/>
          <w:b/>
          <w:u w:val="single"/>
        </w:rPr>
      </w:pPr>
    </w:p>
    <w:p w:rsidR="00E21452" w:rsidRPr="004F5F2B" w:rsidRDefault="00E21452" w:rsidP="003F234F">
      <w:pPr>
        <w:spacing w:after="120" w:line="276" w:lineRule="auto"/>
        <w:ind w:right="566"/>
        <w:contextualSpacing/>
        <w:jc w:val="both"/>
        <w:rPr>
          <w:rFonts w:ascii="Verdana" w:hAnsi="Verdana"/>
        </w:rPr>
      </w:pPr>
      <w:r w:rsidRPr="004F5F2B">
        <w:rPr>
          <w:rFonts w:ascii="Verdana" w:hAnsi="Verdana"/>
        </w:rPr>
        <w:t>Not applicable to URBACT III as the TA budget is below 15m€</w:t>
      </w:r>
    </w:p>
    <w:p w:rsidR="00E21452" w:rsidRPr="004F5F2B" w:rsidRDefault="00E21452" w:rsidP="003F234F">
      <w:pPr>
        <w:spacing w:after="120" w:line="276" w:lineRule="auto"/>
        <w:ind w:right="566"/>
        <w:contextualSpacing/>
        <w:jc w:val="both"/>
        <w:rPr>
          <w:rFonts w:ascii="Verdana" w:hAnsi="Verdana"/>
          <w:b/>
          <w:u w:val="single"/>
        </w:rPr>
      </w:pPr>
    </w:p>
    <w:p w:rsidR="00E21452" w:rsidRPr="004F5F2B" w:rsidRDefault="00B21572" w:rsidP="003F234F">
      <w:pPr>
        <w:pStyle w:val="Nagwek2"/>
        <w:spacing w:after="120" w:line="276" w:lineRule="auto"/>
        <w:contextualSpacing/>
      </w:pPr>
      <w:bookmarkStart w:id="26" w:name="_Toc401325796"/>
      <w:r w:rsidRPr="004F5F2B">
        <w:t>2.</w:t>
      </w:r>
      <w:r w:rsidR="008F49F8" w:rsidRPr="004F5F2B">
        <w:t>B.3</w:t>
      </w:r>
      <w:r w:rsidR="00E21452" w:rsidRPr="004F5F2B">
        <w:t>.</w:t>
      </w:r>
      <w:r w:rsidR="007B5752">
        <w:tab/>
      </w:r>
      <w:r w:rsidR="00E21452" w:rsidRPr="004F5F2B">
        <w:t xml:space="preserve">Actions to be supported and their expected contribution to the specific objective - </w:t>
      </w:r>
      <w:bookmarkEnd w:id="26"/>
    </w:p>
    <w:p w:rsidR="00E21452" w:rsidRPr="004F5F2B" w:rsidRDefault="00E21452" w:rsidP="003F234F">
      <w:pPr>
        <w:spacing w:after="120" w:line="276" w:lineRule="auto"/>
        <w:ind w:right="566"/>
        <w:contextualSpacing/>
        <w:jc w:val="both"/>
        <w:rPr>
          <w:rFonts w:ascii="Verdana" w:hAnsi="Verdana"/>
          <w:b/>
          <w:i/>
        </w:rPr>
      </w:pPr>
    </w:p>
    <w:p w:rsidR="00E21452" w:rsidRPr="007E33E3" w:rsidRDefault="00B21572" w:rsidP="003F234F">
      <w:pPr>
        <w:spacing w:after="120" w:line="276" w:lineRule="auto"/>
        <w:ind w:right="566"/>
        <w:contextualSpacing/>
        <w:jc w:val="both"/>
        <w:rPr>
          <w:rFonts w:ascii="Verdana" w:hAnsi="Verdana"/>
          <w:b/>
          <w:i/>
          <w:sz w:val="22"/>
          <w:szCs w:val="22"/>
          <w:u w:val="single"/>
        </w:rPr>
      </w:pPr>
      <w:r w:rsidRPr="007E33E3">
        <w:rPr>
          <w:rFonts w:ascii="Verdana" w:hAnsi="Verdana"/>
          <w:b/>
          <w:sz w:val="22"/>
          <w:szCs w:val="22"/>
        </w:rPr>
        <w:t>2.</w:t>
      </w:r>
      <w:r w:rsidR="008F49F8" w:rsidRPr="007E33E3">
        <w:rPr>
          <w:rFonts w:ascii="Verdana" w:hAnsi="Verdana"/>
          <w:b/>
          <w:sz w:val="22"/>
          <w:szCs w:val="22"/>
        </w:rPr>
        <w:t>B.3.1</w:t>
      </w:r>
      <w:r w:rsidR="00E21452" w:rsidRPr="007E33E3">
        <w:rPr>
          <w:rFonts w:ascii="Verdana" w:hAnsi="Verdana"/>
          <w:b/>
          <w:sz w:val="22"/>
          <w:szCs w:val="22"/>
        </w:rPr>
        <w:t xml:space="preserve"> A description of the actions to be supported and their contribution to the specific objective - </w:t>
      </w:r>
    </w:p>
    <w:p w:rsidR="00E21452" w:rsidRPr="007E33E3" w:rsidRDefault="00E21452" w:rsidP="003F234F">
      <w:pPr>
        <w:spacing w:after="120" w:line="276" w:lineRule="auto"/>
        <w:ind w:right="566"/>
        <w:contextualSpacing/>
        <w:jc w:val="both"/>
        <w:rPr>
          <w:rFonts w:ascii="Verdana" w:hAnsi="Verdana"/>
          <w:sz w:val="22"/>
          <w:szCs w:val="22"/>
        </w:rPr>
      </w:pPr>
      <w:r w:rsidRPr="007E33E3">
        <w:rPr>
          <w:rFonts w:ascii="Verdana" w:hAnsi="Verdana"/>
          <w:sz w:val="22"/>
          <w:szCs w:val="22"/>
        </w:rPr>
        <w:t>Pivotal to the delivery of the URBACT III programme is the programmes’ Joint Secretariat. This secretariat needs to consist of a team of professionals who possess the skills and competences needed for the management, content delivery, financial and communication tasks related to implementing this EU-wide cooperation programme. Adequately staffing and equipping this Joint Secretariat is a core part of the Technical Assistance budget expenditure.</w:t>
      </w:r>
    </w:p>
    <w:p w:rsidR="00E21452" w:rsidRPr="007E33E3" w:rsidRDefault="00E21452" w:rsidP="003F234F">
      <w:pPr>
        <w:spacing w:after="120" w:line="276" w:lineRule="auto"/>
        <w:ind w:right="566"/>
        <w:contextualSpacing/>
        <w:jc w:val="both"/>
        <w:rPr>
          <w:rFonts w:ascii="Verdana" w:hAnsi="Verdana"/>
          <w:sz w:val="22"/>
          <w:szCs w:val="22"/>
        </w:rPr>
      </w:pPr>
    </w:p>
    <w:p w:rsidR="00E21452" w:rsidRPr="007E33E3" w:rsidRDefault="00E21452" w:rsidP="003F234F">
      <w:pPr>
        <w:spacing w:after="120" w:line="276" w:lineRule="auto"/>
        <w:ind w:right="566"/>
        <w:contextualSpacing/>
        <w:jc w:val="both"/>
        <w:rPr>
          <w:rFonts w:ascii="Verdana" w:hAnsi="Verdana"/>
          <w:sz w:val="22"/>
          <w:szCs w:val="22"/>
        </w:rPr>
      </w:pPr>
      <w:r w:rsidRPr="007E33E3">
        <w:rPr>
          <w:rFonts w:ascii="Verdana" w:hAnsi="Verdana"/>
          <w:sz w:val="22"/>
          <w:szCs w:val="22"/>
        </w:rPr>
        <w:t>The Technical Assistance priority will support a range of activities and tools that are instrumental to achieving the specific objective of this priority. These include following types of activities:</w:t>
      </w:r>
    </w:p>
    <w:p w:rsidR="00E21452" w:rsidRPr="007E33E3" w:rsidRDefault="00E21452" w:rsidP="003F234F">
      <w:pPr>
        <w:spacing w:after="120" w:line="276" w:lineRule="auto"/>
        <w:ind w:right="566"/>
        <w:contextualSpacing/>
        <w:jc w:val="both"/>
        <w:rPr>
          <w:rFonts w:ascii="Verdana" w:hAnsi="Verdana"/>
          <w:sz w:val="22"/>
          <w:szCs w:val="22"/>
        </w:rPr>
      </w:pPr>
    </w:p>
    <w:p w:rsidR="00E21452" w:rsidRPr="007E33E3" w:rsidRDefault="00E21452" w:rsidP="003F234F">
      <w:pPr>
        <w:spacing w:after="120" w:line="276" w:lineRule="auto"/>
        <w:ind w:right="566"/>
        <w:contextualSpacing/>
        <w:jc w:val="both"/>
        <w:rPr>
          <w:rFonts w:ascii="Verdana" w:hAnsi="Verdana"/>
          <w:sz w:val="22"/>
          <w:szCs w:val="22"/>
        </w:rPr>
      </w:pPr>
      <w:r w:rsidRPr="007E33E3">
        <w:rPr>
          <w:rFonts w:ascii="Verdana" w:hAnsi="Verdana"/>
          <w:sz w:val="22"/>
          <w:szCs w:val="22"/>
        </w:rPr>
        <w:t xml:space="preserve">Monitoring, control and reporting </w:t>
      </w:r>
    </w:p>
    <w:p w:rsidR="00E21452" w:rsidRPr="008B00B7" w:rsidRDefault="00E21452" w:rsidP="008166DD">
      <w:pPr>
        <w:pStyle w:val="Akapitzlist"/>
        <w:numPr>
          <w:ilvl w:val="0"/>
          <w:numId w:val="34"/>
        </w:numPr>
        <w:spacing w:after="120"/>
        <w:ind w:left="714" w:right="567" w:hanging="357"/>
        <w:jc w:val="both"/>
        <w:rPr>
          <w:rFonts w:ascii="Verdana" w:hAnsi="Verdana"/>
        </w:rPr>
      </w:pPr>
      <w:r w:rsidRPr="008B00B7">
        <w:rPr>
          <w:rFonts w:ascii="Verdana" w:hAnsi="Verdana"/>
        </w:rPr>
        <w:t xml:space="preserve">The operation of a computerised system for programme management, monitoring, audit and control. </w:t>
      </w:r>
    </w:p>
    <w:p w:rsidR="00E21452" w:rsidRPr="008B00B7" w:rsidRDefault="00E21452" w:rsidP="008166DD">
      <w:pPr>
        <w:pStyle w:val="Akapitzlist"/>
        <w:numPr>
          <w:ilvl w:val="0"/>
          <w:numId w:val="34"/>
        </w:numPr>
        <w:spacing w:after="120"/>
        <w:ind w:left="714" w:right="567" w:hanging="357"/>
        <w:jc w:val="both"/>
        <w:rPr>
          <w:rFonts w:ascii="Verdana" w:hAnsi="Verdana"/>
        </w:rPr>
      </w:pPr>
      <w:r w:rsidRPr="008B00B7">
        <w:rPr>
          <w:rFonts w:ascii="Verdana" w:hAnsi="Verdana"/>
        </w:rPr>
        <w:t>Strong and clear guidance and support to ensure adequate control of the programme interventions at all levels (partners, controllers, Partner State bodies responsible for first level controller approbation) e.g. through seminars, guidance documents and advice.</w:t>
      </w:r>
    </w:p>
    <w:p w:rsidR="00E21452" w:rsidRPr="008B00B7" w:rsidRDefault="00E21452" w:rsidP="008166DD">
      <w:pPr>
        <w:pStyle w:val="Akapitzlist"/>
        <w:numPr>
          <w:ilvl w:val="0"/>
          <w:numId w:val="34"/>
        </w:numPr>
        <w:spacing w:after="120"/>
        <w:ind w:left="714" w:right="567" w:hanging="357"/>
        <w:jc w:val="both"/>
        <w:rPr>
          <w:rFonts w:ascii="Verdana" w:hAnsi="Verdana"/>
        </w:rPr>
      </w:pPr>
      <w:r w:rsidRPr="008B00B7">
        <w:rPr>
          <w:rFonts w:ascii="Verdana" w:hAnsi="Verdana"/>
        </w:rPr>
        <w:t>Coordination and organisation of programme level audit activities, including the (external) audits on projects and supporting the Group of Auditors. The audits will contribute to quality projects which use systems and procedures that adhere to EU rules.</w:t>
      </w:r>
    </w:p>
    <w:p w:rsidR="00E21452" w:rsidRPr="008B00B7" w:rsidRDefault="00E21452" w:rsidP="008166DD">
      <w:pPr>
        <w:pStyle w:val="Akapitzlist"/>
        <w:numPr>
          <w:ilvl w:val="0"/>
          <w:numId w:val="34"/>
        </w:numPr>
        <w:spacing w:after="120"/>
        <w:ind w:left="714" w:right="567" w:hanging="357"/>
        <w:jc w:val="both"/>
        <w:rPr>
          <w:rFonts w:ascii="Verdana" w:hAnsi="Verdana"/>
        </w:rPr>
      </w:pPr>
      <w:r w:rsidRPr="008B00B7">
        <w:rPr>
          <w:rFonts w:ascii="Verdana" w:hAnsi="Verdana"/>
        </w:rPr>
        <w:t>Regular reporting to the European Commission on progress of the programme with focus on impact and results.</w:t>
      </w:r>
    </w:p>
    <w:p w:rsidR="00E21452" w:rsidRPr="007E33E3" w:rsidRDefault="00E21452" w:rsidP="003F234F">
      <w:pPr>
        <w:spacing w:after="120" w:line="276" w:lineRule="auto"/>
        <w:ind w:right="566"/>
        <w:contextualSpacing/>
        <w:jc w:val="both"/>
        <w:rPr>
          <w:rFonts w:ascii="Verdana" w:hAnsi="Verdana"/>
          <w:sz w:val="22"/>
          <w:szCs w:val="22"/>
        </w:rPr>
      </w:pPr>
    </w:p>
    <w:p w:rsidR="00E21452" w:rsidRPr="007E33E3" w:rsidRDefault="00E21452" w:rsidP="003F234F">
      <w:pPr>
        <w:spacing w:after="120" w:line="276" w:lineRule="auto"/>
        <w:ind w:right="566"/>
        <w:contextualSpacing/>
        <w:jc w:val="both"/>
        <w:rPr>
          <w:rFonts w:ascii="Verdana" w:hAnsi="Verdana"/>
          <w:sz w:val="22"/>
          <w:szCs w:val="22"/>
        </w:rPr>
      </w:pPr>
      <w:r w:rsidRPr="007E33E3">
        <w:rPr>
          <w:rFonts w:ascii="Verdana" w:hAnsi="Verdana"/>
          <w:sz w:val="22"/>
          <w:szCs w:val="22"/>
        </w:rPr>
        <w:t xml:space="preserve">Project generation and selection </w:t>
      </w:r>
    </w:p>
    <w:p w:rsidR="00E21452" w:rsidRPr="007E33E3" w:rsidRDefault="00E21452" w:rsidP="008166DD">
      <w:pPr>
        <w:numPr>
          <w:ilvl w:val="0"/>
          <w:numId w:val="35"/>
        </w:numPr>
        <w:spacing w:after="120" w:line="276" w:lineRule="auto"/>
        <w:ind w:left="714" w:right="567" w:hanging="357"/>
        <w:contextualSpacing/>
        <w:jc w:val="both"/>
        <w:rPr>
          <w:rFonts w:ascii="Verdana" w:hAnsi="Verdana"/>
          <w:sz w:val="22"/>
          <w:szCs w:val="22"/>
        </w:rPr>
      </w:pPr>
      <w:r w:rsidRPr="007E33E3">
        <w:rPr>
          <w:rFonts w:ascii="Verdana" w:hAnsi="Verdana"/>
          <w:sz w:val="22"/>
          <w:szCs w:val="22"/>
        </w:rPr>
        <w:t>Developing application forms, calls for proposals/terms of reference and guidance documents for potential project applicants.</w:t>
      </w:r>
    </w:p>
    <w:p w:rsidR="00E21452" w:rsidRPr="007E33E3" w:rsidRDefault="00E21452" w:rsidP="008166DD">
      <w:pPr>
        <w:numPr>
          <w:ilvl w:val="0"/>
          <w:numId w:val="35"/>
        </w:numPr>
        <w:spacing w:after="120" w:line="276" w:lineRule="auto"/>
        <w:ind w:left="714" w:right="567" w:hanging="357"/>
        <w:contextualSpacing/>
        <w:jc w:val="both"/>
        <w:rPr>
          <w:rFonts w:ascii="Verdana" w:hAnsi="Verdana"/>
          <w:sz w:val="22"/>
          <w:szCs w:val="22"/>
        </w:rPr>
      </w:pPr>
      <w:r w:rsidRPr="007E33E3">
        <w:rPr>
          <w:rFonts w:ascii="Verdana" w:hAnsi="Verdana"/>
          <w:sz w:val="22"/>
          <w:szCs w:val="22"/>
        </w:rPr>
        <w:t>Providing assistance and advice to potential applicants in the process of developing their project application to ensure high quality proposals.</w:t>
      </w:r>
    </w:p>
    <w:p w:rsidR="00E21452" w:rsidRPr="007E33E3" w:rsidRDefault="00E21452" w:rsidP="008166DD">
      <w:pPr>
        <w:numPr>
          <w:ilvl w:val="0"/>
          <w:numId w:val="35"/>
        </w:numPr>
        <w:spacing w:after="120" w:line="276" w:lineRule="auto"/>
        <w:ind w:left="714" w:right="567" w:hanging="357"/>
        <w:contextualSpacing/>
        <w:jc w:val="both"/>
        <w:rPr>
          <w:rFonts w:ascii="Verdana" w:hAnsi="Verdana"/>
          <w:sz w:val="22"/>
          <w:szCs w:val="22"/>
        </w:rPr>
      </w:pPr>
      <w:r w:rsidRPr="007E33E3">
        <w:rPr>
          <w:rFonts w:ascii="Verdana" w:hAnsi="Verdana"/>
          <w:sz w:val="22"/>
          <w:szCs w:val="22"/>
        </w:rPr>
        <w:t>Coordination of quality assessments of applications for projects.</w:t>
      </w:r>
    </w:p>
    <w:p w:rsidR="008F49F8" w:rsidRPr="007E33E3" w:rsidRDefault="008F49F8" w:rsidP="003F234F">
      <w:pPr>
        <w:spacing w:after="120" w:line="276" w:lineRule="auto"/>
        <w:ind w:right="566"/>
        <w:contextualSpacing/>
        <w:jc w:val="both"/>
        <w:rPr>
          <w:rFonts w:ascii="Verdana" w:hAnsi="Verdana"/>
          <w:sz w:val="22"/>
          <w:szCs w:val="22"/>
        </w:rPr>
      </w:pPr>
    </w:p>
    <w:p w:rsidR="008B00B7" w:rsidRDefault="008B00B7">
      <w:pPr>
        <w:rPr>
          <w:rFonts w:ascii="Verdana" w:hAnsi="Verdana"/>
          <w:sz w:val="22"/>
          <w:szCs w:val="22"/>
        </w:rPr>
      </w:pPr>
      <w:r>
        <w:rPr>
          <w:rFonts w:ascii="Verdana" w:hAnsi="Verdana"/>
          <w:sz w:val="22"/>
          <w:szCs w:val="22"/>
        </w:rPr>
        <w:br w:type="page"/>
      </w:r>
    </w:p>
    <w:p w:rsidR="00E21452" w:rsidRPr="007E33E3" w:rsidRDefault="00E21452" w:rsidP="003F234F">
      <w:pPr>
        <w:spacing w:after="120" w:line="276" w:lineRule="auto"/>
        <w:ind w:right="566"/>
        <w:contextualSpacing/>
        <w:jc w:val="both"/>
        <w:rPr>
          <w:rFonts w:ascii="Verdana" w:hAnsi="Verdana"/>
          <w:sz w:val="22"/>
          <w:szCs w:val="22"/>
        </w:rPr>
      </w:pPr>
      <w:r w:rsidRPr="007E33E3">
        <w:rPr>
          <w:rFonts w:ascii="Verdana" w:hAnsi="Verdana"/>
          <w:sz w:val="22"/>
          <w:szCs w:val="22"/>
        </w:rPr>
        <w:t xml:space="preserve">Support to the actors involved in URBACT projects </w:t>
      </w:r>
    </w:p>
    <w:p w:rsidR="00E21452" w:rsidRPr="007E33E3" w:rsidRDefault="00E21452" w:rsidP="008166DD">
      <w:pPr>
        <w:numPr>
          <w:ilvl w:val="0"/>
          <w:numId w:val="36"/>
        </w:numPr>
        <w:spacing w:after="120" w:line="276" w:lineRule="auto"/>
        <w:ind w:left="714" w:right="567" w:hanging="357"/>
        <w:contextualSpacing/>
        <w:jc w:val="both"/>
        <w:rPr>
          <w:rFonts w:ascii="Verdana" w:hAnsi="Verdana"/>
          <w:sz w:val="22"/>
          <w:szCs w:val="22"/>
        </w:rPr>
      </w:pPr>
      <w:r w:rsidRPr="007E33E3">
        <w:rPr>
          <w:rFonts w:ascii="Verdana" w:hAnsi="Verdana"/>
          <w:sz w:val="22"/>
          <w:szCs w:val="22"/>
        </w:rPr>
        <w:t>Providing tools and guidance documentation to project beneficiaries to help them effectively deliver their activities.</w:t>
      </w:r>
    </w:p>
    <w:p w:rsidR="00E21452" w:rsidRPr="007E33E3" w:rsidRDefault="00E21452" w:rsidP="008166DD">
      <w:pPr>
        <w:numPr>
          <w:ilvl w:val="0"/>
          <w:numId w:val="36"/>
        </w:numPr>
        <w:spacing w:after="120" w:line="276" w:lineRule="auto"/>
        <w:ind w:left="714" w:right="567" w:hanging="357"/>
        <w:contextualSpacing/>
        <w:jc w:val="both"/>
        <w:rPr>
          <w:rFonts w:ascii="Verdana" w:hAnsi="Verdana"/>
          <w:sz w:val="22"/>
          <w:szCs w:val="22"/>
        </w:rPr>
      </w:pPr>
      <w:r w:rsidRPr="007E33E3">
        <w:rPr>
          <w:rFonts w:ascii="Verdana" w:hAnsi="Verdana"/>
          <w:sz w:val="22"/>
          <w:szCs w:val="22"/>
        </w:rPr>
        <w:t>Providing on-going assistance and advice to lead partners and partners on the implementation of their project.</w:t>
      </w:r>
    </w:p>
    <w:p w:rsidR="00E21452" w:rsidRPr="007E33E3" w:rsidRDefault="00E21452" w:rsidP="008166DD">
      <w:pPr>
        <w:numPr>
          <w:ilvl w:val="0"/>
          <w:numId w:val="36"/>
        </w:numPr>
        <w:spacing w:after="120" w:line="276" w:lineRule="auto"/>
        <w:ind w:left="714" w:right="567" w:hanging="357"/>
        <w:contextualSpacing/>
        <w:jc w:val="both"/>
        <w:rPr>
          <w:rFonts w:ascii="Verdana" w:hAnsi="Verdana"/>
          <w:sz w:val="22"/>
          <w:szCs w:val="22"/>
        </w:rPr>
      </w:pPr>
      <w:r w:rsidRPr="007E33E3">
        <w:rPr>
          <w:rFonts w:ascii="Verdana" w:hAnsi="Verdana"/>
          <w:sz w:val="22"/>
          <w:szCs w:val="22"/>
        </w:rPr>
        <w:t>Participation of personnel of the Joint Secretariat in project related meetings and events to address project progress, outputs and results as well as obstacles in the implementation.</w:t>
      </w:r>
    </w:p>
    <w:p w:rsidR="00E21452" w:rsidRPr="007E33E3" w:rsidRDefault="00E21452" w:rsidP="003F234F">
      <w:pPr>
        <w:spacing w:after="120" w:line="276" w:lineRule="auto"/>
        <w:ind w:right="566"/>
        <w:contextualSpacing/>
        <w:jc w:val="both"/>
        <w:rPr>
          <w:rFonts w:ascii="Verdana" w:hAnsi="Verdana"/>
          <w:sz w:val="22"/>
          <w:szCs w:val="22"/>
        </w:rPr>
      </w:pPr>
    </w:p>
    <w:p w:rsidR="00E21452" w:rsidRPr="007E33E3" w:rsidRDefault="00E21452" w:rsidP="003F234F">
      <w:pPr>
        <w:spacing w:after="120" w:line="276" w:lineRule="auto"/>
        <w:ind w:right="566"/>
        <w:contextualSpacing/>
        <w:jc w:val="both"/>
        <w:rPr>
          <w:rFonts w:ascii="Verdana" w:hAnsi="Verdana"/>
          <w:sz w:val="22"/>
          <w:szCs w:val="22"/>
        </w:rPr>
      </w:pPr>
      <w:r w:rsidRPr="007E33E3">
        <w:rPr>
          <w:rFonts w:ascii="Verdana" w:hAnsi="Verdana"/>
          <w:sz w:val="22"/>
          <w:szCs w:val="22"/>
        </w:rPr>
        <w:t xml:space="preserve">Information about the activities of the programme </w:t>
      </w:r>
    </w:p>
    <w:p w:rsidR="00E21452" w:rsidRPr="007E33E3" w:rsidRDefault="00E21452" w:rsidP="008166DD">
      <w:pPr>
        <w:pStyle w:val="Paragraphedeliste3"/>
        <w:numPr>
          <w:ilvl w:val="0"/>
          <w:numId w:val="37"/>
        </w:numPr>
        <w:spacing w:after="120"/>
        <w:ind w:left="714" w:right="567" w:hanging="357"/>
        <w:jc w:val="both"/>
        <w:rPr>
          <w:rFonts w:ascii="Verdana" w:hAnsi="Verdana"/>
        </w:rPr>
      </w:pPr>
      <w:r w:rsidRPr="007E33E3">
        <w:rPr>
          <w:rFonts w:ascii="Verdana" w:hAnsi="Verdana"/>
        </w:rPr>
        <w:t xml:space="preserve">Dissemination of information among partners in the programme and beyond by means of digitalized and written outputs. </w:t>
      </w:r>
    </w:p>
    <w:p w:rsidR="00E21452" w:rsidRDefault="00E21452" w:rsidP="003F234F">
      <w:pPr>
        <w:spacing w:after="120" w:line="276" w:lineRule="auto"/>
        <w:ind w:right="566"/>
        <w:contextualSpacing/>
        <w:jc w:val="both"/>
        <w:rPr>
          <w:rFonts w:ascii="Verdana" w:hAnsi="Verdana"/>
          <w:sz w:val="22"/>
          <w:szCs w:val="22"/>
        </w:rPr>
      </w:pPr>
    </w:p>
    <w:p w:rsidR="008B00B7" w:rsidRPr="007E33E3" w:rsidRDefault="008B00B7" w:rsidP="003F234F">
      <w:pPr>
        <w:spacing w:after="120" w:line="276" w:lineRule="auto"/>
        <w:ind w:right="566"/>
        <w:contextualSpacing/>
        <w:jc w:val="both"/>
        <w:rPr>
          <w:rFonts w:ascii="Verdana" w:hAnsi="Verdana"/>
          <w:sz w:val="22"/>
          <w:szCs w:val="22"/>
        </w:rPr>
      </w:pPr>
    </w:p>
    <w:p w:rsidR="00E21452" w:rsidRPr="007E33E3" w:rsidRDefault="00B21572" w:rsidP="003F234F">
      <w:pPr>
        <w:spacing w:after="120" w:line="276" w:lineRule="auto"/>
        <w:ind w:right="566"/>
        <w:contextualSpacing/>
        <w:rPr>
          <w:rFonts w:ascii="Verdana" w:hAnsi="Verdana"/>
          <w:b/>
          <w:i/>
          <w:sz w:val="22"/>
          <w:szCs w:val="22"/>
        </w:rPr>
      </w:pPr>
      <w:r w:rsidRPr="007E33E3">
        <w:rPr>
          <w:rFonts w:ascii="Verdana" w:hAnsi="Verdana"/>
          <w:b/>
          <w:sz w:val="22"/>
          <w:szCs w:val="22"/>
        </w:rPr>
        <w:t>2.</w:t>
      </w:r>
      <w:r w:rsidR="008F49F8" w:rsidRPr="007E33E3">
        <w:rPr>
          <w:rFonts w:ascii="Verdana" w:hAnsi="Verdana"/>
          <w:b/>
          <w:sz w:val="22"/>
          <w:szCs w:val="22"/>
        </w:rPr>
        <w:t>B.3.2</w:t>
      </w:r>
      <w:r w:rsidR="00E21452" w:rsidRPr="007E33E3">
        <w:rPr>
          <w:rFonts w:ascii="Verdana" w:hAnsi="Verdana"/>
          <w:b/>
          <w:sz w:val="22"/>
          <w:szCs w:val="22"/>
        </w:rPr>
        <w:t xml:space="preserve"> Output indicators - </w:t>
      </w:r>
    </w:p>
    <w:p w:rsidR="00E21452" w:rsidRDefault="00E21452" w:rsidP="003F234F">
      <w:pPr>
        <w:spacing w:after="120" w:line="276" w:lineRule="auto"/>
        <w:ind w:right="566"/>
        <w:contextualSpacing/>
        <w:jc w:val="both"/>
        <w:rPr>
          <w:rFonts w:ascii="Verdana" w:hAnsi="Verdana"/>
          <w:sz w:val="22"/>
          <w:szCs w:val="22"/>
        </w:rPr>
      </w:pPr>
    </w:p>
    <w:p w:rsidR="008B00B7" w:rsidRPr="007E33E3" w:rsidRDefault="008B00B7" w:rsidP="003F234F">
      <w:pPr>
        <w:spacing w:after="120" w:line="276" w:lineRule="auto"/>
        <w:ind w:right="566"/>
        <w:contextualSpacing/>
        <w:jc w:val="both"/>
        <w:rPr>
          <w:rFonts w:ascii="Verdana" w:hAnsi="Verdana"/>
          <w:sz w:val="22"/>
          <w:szCs w:val="22"/>
        </w:rPr>
      </w:pPr>
    </w:p>
    <w:p w:rsidR="00E21452" w:rsidRPr="007E33E3" w:rsidRDefault="00E21452" w:rsidP="003F234F">
      <w:pPr>
        <w:spacing w:after="120" w:line="276" w:lineRule="auto"/>
        <w:ind w:right="566"/>
        <w:contextualSpacing/>
        <w:jc w:val="both"/>
        <w:rPr>
          <w:rFonts w:ascii="Verdana" w:hAnsi="Verdana"/>
          <w:b/>
          <w:sz w:val="22"/>
          <w:szCs w:val="22"/>
        </w:rPr>
      </w:pPr>
      <w:r w:rsidRPr="007E33E3">
        <w:rPr>
          <w:rFonts w:ascii="Verdana" w:hAnsi="Verdana"/>
          <w:b/>
          <w:sz w:val="22"/>
          <w:szCs w:val="22"/>
        </w:rPr>
        <w:t>Table 12: Common and Programme Specific Output Indicators</w:t>
      </w:r>
    </w:p>
    <w:p w:rsidR="00E21452" w:rsidRPr="004F5F2B" w:rsidRDefault="00E21452" w:rsidP="00E21452">
      <w:pPr>
        <w:ind w:right="566"/>
        <w:jc w:val="both"/>
        <w:rPr>
          <w:rFonts w:ascii="Verdana" w:hAnsi="Verdana"/>
          <w: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3"/>
        <w:gridCol w:w="2680"/>
        <w:gridCol w:w="2411"/>
        <w:gridCol w:w="1274"/>
        <w:gridCol w:w="2411"/>
      </w:tblGrid>
      <w:tr w:rsidR="00E21452" w:rsidRPr="007E33E3" w:rsidTr="007E33E3">
        <w:trPr>
          <w:trHeight w:val="870"/>
        </w:trPr>
        <w:tc>
          <w:tcPr>
            <w:tcW w:w="563" w:type="pct"/>
            <w:tcBorders>
              <w:top w:val="single" w:sz="4" w:space="0" w:color="auto"/>
              <w:left w:val="single" w:sz="4" w:space="0" w:color="auto"/>
              <w:bottom w:val="single" w:sz="4" w:space="0" w:color="auto"/>
              <w:right w:val="single" w:sz="4" w:space="0" w:color="auto"/>
            </w:tcBorders>
            <w:vAlign w:val="center"/>
          </w:tcPr>
          <w:p w:rsidR="00E21452" w:rsidRPr="007E33E3" w:rsidRDefault="00E21452" w:rsidP="007E33E3">
            <w:pPr>
              <w:jc w:val="center"/>
              <w:rPr>
                <w:rFonts w:ascii="Verdana" w:hAnsi="Verdana"/>
                <w:b/>
                <w:i/>
                <w:sz w:val="22"/>
                <w:szCs w:val="22"/>
              </w:rPr>
            </w:pPr>
            <w:r w:rsidRPr="007E33E3">
              <w:rPr>
                <w:rFonts w:ascii="Verdana" w:hAnsi="Verdana"/>
                <w:b/>
                <w:i/>
                <w:sz w:val="22"/>
                <w:szCs w:val="22"/>
              </w:rPr>
              <w:t>ID</w:t>
            </w:r>
          </w:p>
        </w:tc>
        <w:tc>
          <w:tcPr>
            <w:tcW w:w="1355" w:type="pct"/>
            <w:tcBorders>
              <w:top w:val="single" w:sz="4" w:space="0" w:color="auto"/>
              <w:left w:val="single" w:sz="4" w:space="0" w:color="auto"/>
              <w:bottom w:val="single" w:sz="4" w:space="0" w:color="auto"/>
              <w:right w:val="single" w:sz="4" w:space="0" w:color="auto"/>
            </w:tcBorders>
            <w:vAlign w:val="center"/>
          </w:tcPr>
          <w:p w:rsidR="00E21452" w:rsidRPr="007E33E3" w:rsidRDefault="00E21452" w:rsidP="007E33E3">
            <w:pPr>
              <w:jc w:val="center"/>
              <w:rPr>
                <w:rFonts w:ascii="Verdana" w:hAnsi="Verdana"/>
                <w:b/>
                <w:i/>
                <w:sz w:val="22"/>
                <w:szCs w:val="22"/>
              </w:rPr>
            </w:pPr>
            <w:r w:rsidRPr="007E33E3">
              <w:rPr>
                <w:rFonts w:ascii="Verdana" w:hAnsi="Verdana"/>
                <w:b/>
                <w:i/>
                <w:sz w:val="22"/>
                <w:szCs w:val="22"/>
              </w:rPr>
              <w:t>Indicator</w:t>
            </w:r>
          </w:p>
        </w:tc>
        <w:tc>
          <w:tcPr>
            <w:tcW w:w="1219" w:type="pct"/>
            <w:tcBorders>
              <w:top w:val="single" w:sz="4" w:space="0" w:color="auto"/>
              <w:left w:val="single" w:sz="4" w:space="0" w:color="auto"/>
              <w:bottom w:val="single" w:sz="4" w:space="0" w:color="auto"/>
              <w:right w:val="single" w:sz="4" w:space="0" w:color="auto"/>
            </w:tcBorders>
            <w:vAlign w:val="center"/>
          </w:tcPr>
          <w:p w:rsidR="00DA4B46" w:rsidRPr="007E33E3" w:rsidRDefault="00E21452" w:rsidP="007E33E3">
            <w:pPr>
              <w:jc w:val="center"/>
              <w:rPr>
                <w:rFonts w:ascii="Verdana" w:hAnsi="Verdana"/>
                <w:b/>
                <w:i/>
                <w:sz w:val="22"/>
                <w:szCs w:val="22"/>
              </w:rPr>
            </w:pPr>
            <w:r w:rsidRPr="007E33E3">
              <w:rPr>
                <w:rFonts w:ascii="Verdana" w:hAnsi="Verdana"/>
                <w:b/>
                <w:i/>
                <w:sz w:val="22"/>
                <w:szCs w:val="22"/>
              </w:rPr>
              <w:t>Measurement</w:t>
            </w:r>
          </w:p>
          <w:p w:rsidR="00E21452" w:rsidRPr="007E33E3" w:rsidRDefault="00E21452" w:rsidP="007E33E3">
            <w:pPr>
              <w:jc w:val="center"/>
              <w:rPr>
                <w:rFonts w:ascii="Verdana" w:hAnsi="Verdana"/>
                <w:b/>
                <w:i/>
                <w:sz w:val="22"/>
                <w:szCs w:val="22"/>
              </w:rPr>
            </w:pPr>
            <w:r w:rsidRPr="007E33E3">
              <w:rPr>
                <w:rFonts w:ascii="Verdana" w:hAnsi="Verdana"/>
                <w:b/>
                <w:i/>
                <w:sz w:val="22"/>
                <w:szCs w:val="22"/>
              </w:rPr>
              <w:t>Unit</w:t>
            </w:r>
          </w:p>
        </w:tc>
        <w:tc>
          <w:tcPr>
            <w:tcW w:w="644" w:type="pct"/>
            <w:tcBorders>
              <w:top w:val="single" w:sz="4" w:space="0" w:color="auto"/>
              <w:left w:val="single" w:sz="4" w:space="0" w:color="auto"/>
              <w:bottom w:val="single" w:sz="4" w:space="0" w:color="auto"/>
              <w:right w:val="single" w:sz="4" w:space="0" w:color="auto"/>
            </w:tcBorders>
            <w:vAlign w:val="center"/>
          </w:tcPr>
          <w:p w:rsidR="00E21452" w:rsidRPr="007E33E3" w:rsidRDefault="00E21452" w:rsidP="007E33E3">
            <w:pPr>
              <w:jc w:val="center"/>
              <w:rPr>
                <w:rFonts w:ascii="Verdana" w:hAnsi="Verdana"/>
                <w:b/>
                <w:i/>
                <w:sz w:val="22"/>
                <w:szCs w:val="22"/>
              </w:rPr>
            </w:pPr>
            <w:r w:rsidRPr="007E33E3">
              <w:rPr>
                <w:rFonts w:ascii="Verdana" w:hAnsi="Verdana"/>
                <w:b/>
                <w:i/>
                <w:sz w:val="22"/>
                <w:szCs w:val="22"/>
              </w:rPr>
              <w:t>Target Value</w:t>
            </w:r>
          </w:p>
          <w:p w:rsidR="00E21452" w:rsidRPr="007E33E3" w:rsidRDefault="00E21452" w:rsidP="007E33E3">
            <w:pPr>
              <w:jc w:val="center"/>
              <w:rPr>
                <w:rFonts w:ascii="Verdana" w:hAnsi="Verdana"/>
                <w:b/>
                <w:i/>
                <w:sz w:val="22"/>
                <w:szCs w:val="22"/>
              </w:rPr>
            </w:pPr>
            <w:r w:rsidRPr="007E33E3">
              <w:rPr>
                <w:rFonts w:ascii="Verdana" w:hAnsi="Verdana"/>
                <w:b/>
                <w:i/>
                <w:sz w:val="22"/>
                <w:szCs w:val="22"/>
              </w:rPr>
              <w:t>2022</w:t>
            </w:r>
          </w:p>
        </w:tc>
        <w:tc>
          <w:tcPr>
            <w:tcW w:w="1219" w:type="pct"/>
            <w:tcBorders>
              <w:top w:val="single" w:sz="4" w:space="0" w:color="auto"/>
              <w:left w:val="single" w:sz="4" w:space="0" w:color="auto"/>
              <w:bottom w:val="single" w:sz="4" w:space="0" w:color="auto"/>
              <w:right w:val="single" w:sz="4" w:space="0" w:color="auto"/>
            </w:tcBorders>
            <w:vAlign w:val="center"/>
          </w:tcPr>
          <w:p w:rsidR="00E21452" w:rsidRPr="007E33E3" w:rsidRDefault="00E21452" w:rsidP="007E33E3">
            <w:pPr>
              <w:jc w:val="center"/>
              <w:rPr>
                <w:rFonts w:ascii="Verdana" w:hAnsi="Verdana"/>
                <w:b/>
                <w:i/>
                <w:sz w:val="22"/>
                <w:szCs w:val="22"/>
              </w:rPr>
            </w:pPr>
            <w:r w:rsidRPr="007E33E3">
              <w:rPr>
                <w:rFonts w:ascii="Verdana" w:hAnsi="Verdana"/>
                <w:b/>
                <w:i/>
                <w:sz w:val="22"/>
                <w:szCs w:val="22"/>
              </w:rPr>
              <w:t>Source of data</w:t>
            </w:r>
          </w:p>
        </w:tc>
      </w:tr>
      <w:tr w:rsidR="00E21452" w:rsidRPr="007E33E3" w:rsidTr="00C4514D">
        <w:trPr>
          <w:trHeight w:val="618"/>
        </w:trPr>
        <w:tc>
          <w:tcPr>
            <w:tcW w:w="563" w:type="pct"/>
            <w:tcBorders>
              <w:top w:val="single" w:sz="4" w:space="0" w:color="auto"/>
              <w:left w:val="single" w:sz="4" w:space="0" w:color="auto"/>
              <w:bottom w:val="single" w:sz="4" w:space="0" w:color="auto"/>
              <w:right w:val="single" w:sz="4" w:space="0" w:color="auto"/>
            </w:tcBorders>
          </w:tcPr>
          <w:p w:rsidR="00E21452" w:rsidRPr="007E33E3" w:rsidRDefault="00E21452" w:rsidP="00C4514D">
            <w:pPr>
              <w:spacing w:before="120" w:after="120"/>
              <w:jc w:val="center"/>
              <w:rPr>
                <w:rFonts w:ascii="Verdana" w:hAnsi="Verdana"/>
                <w:b/>
                <w:i/>
                <w:sz w:val="22"/>
                <w:szCs w:val="22"/>
              </w:rPr>
            </w:pPr>
            <w:r w:rsidRPr="007E33E3">
              <w:rPr>
                <w:rFonts w:ascii="Verdana" w:hAnsi="Verdana"/>
                <w:b/>
                <w:i/>
                <w:sz w:val="22"/>
                <w:szCs w:val="22"/>
              </w:rPr>
              <w:t>1</w:t>
            </w:r>
          </w:p>
        </w:tc>
        <w:tc>
          <w:tcPr>
            <w:tcW w:w="1355" w:type="pct"/>
            <w:tcBorders>
              <w:top w:val="single" w:sz="4" w:space="0" w:color="auto"/>
              <w:left w:val="single" w:sz="4" w:space="0" w:color="auto"/>
              <w:bottom w:val="single" w:sz="4" w:space="0" w:color="auto"/>
              <w:right w:val="single" w:sz="4" w:space="0" w:color="auto"/>
            </w:tcBorders>
          </w:tcPr>
          <w:p w:rsidR="00E21452" w:rsidRPr="007E33E3" w:rsidRDefault="00E21452" w:rsidP="00C4514D">
            <w:pPr>
              <w:spacing w:before="120" w:after="120"/>
              <w:rPr>
                <w:rFonts w:ascii="Verdana" w:hAnsi="Verdana"/>
                <w:b/>
                <w:i/>
                <w:sz w:val="22"/>
                <w:szCs w:val="22"/>
              </w:rPr>
            </w:pPr>
            <w:r w:rsidRPr="007E33E3">
              <w:rPr>
                <w:rFonts w:ascii="Verdana" w:hAnsi="Verdana"/>
                <w:i/>
                <w:sz w:val="22"/>
                <w:szCs w:val="22"/>
              </w:rPr>
              <w:t>Number of Monitoring Committee meetings organized</w:t>
            </w:r>
          </w:p>
        </w:tc>
        <w:tc>
          <w:tcPr>
            <w:tcW w:w="1219" w:type="pct"/>
            <w:tcBorders>
              <w:top w:val="single" w:sz="4" w:space="0" w:color="auto"/>
              <w:left w:val="single" w:sz="4" w:space="0" w:color="auto"/>
              <w:bottom w:val="single" w:sz="4" w:space="0" w:color="auto"/>
              <w:right w:val="single" w:sz="4" w:space="0" w:color="auto"/>
            </w:tcBorders>
          </w:tcPr>
          <w:p w:rsidR="00E21452" w:rsidRPr="007E33E3" w:rsidRDefault="00E21452" w:rsidP="00C4514D">
            <w:pPr>
              <w:spacing w:before="120" w:after="120"/>
              <w:jc w:val="center"/>
              <w:rPr>
                <w:rFonts w:ascii="Verdana" w:hAnsi="Verdana"/>
                <w:i/>
                <w:sz w:val="22"/>
                <w:szCs w:val="22"/>
              </w:rPr>
            </w:pPr>
            <w:r w:rsidRPr="007E33E3">
              <w:rPr>
                <w:rFonts w:ascii="Verdana" w:hAnsi="Verdana"/>
                <w:i/>
                <w:sz w:val="22"/>
                <w:szCs w:val="22"/>
              </w:rPr>
              <w:t>Number</w:t>
            </w:r>
          </w:p>
        </w:tc>
        <w:tc>
          <w:tcPr>
            <w:tcW w:w="644" w:type="pct"/>
            <w:tcBorders>
              <w:top w:val="single" w:sz="4" w:space="0" w:color="auto"/>
              <w:left w:val="single" w:sz="4" w:space="0" w:color="auto"/>
              <w:bottom w:val="single" w:sz="4" w:space="0" w:color="auto"/>
              <w:right w:val="single" w:sz="4" w:space="0" w:color="auto"/>
            </w:tcBorders>
          </w:tcPr>
          <w:p w:rsidR="00E21452" w:rsidRPr="007E33E3" w:rsidRDefault="00E21452" w:rsidP="00C4514D">
            <w:pPr>
              <w:spacing w:before="120" w:after="120"/>
              <w:jc w:val="center"/>
              <w:rPr>
                <w:rFonts w:ascii="Verdana" w:hAnsi="Verdana"/>
                <w:i/>
                <w:sz w:val="22"/>
                <w:szCs w:val="22"/>
              </w:rPr>
            </w:pPr>
            <w:r w:rsidRPr="007E33E3">
              <w:rPr>
                <w:rFonts w:ascii="Verdana" w:hAnsi="Verdana"/>
                <w:i/>
                <w:sz w:val="22"/>
                <w:szCs w:val="22"/>
              </w:rPr>
              <w:t>20</w:t>
            </w:r>
          </w:p>
        </w:tc>
        <w:tc>
          <w:tcPr>
            <w:tcW w:w="1219" w:type="pct"/>
            <w:tcBorders>
              <w:top w:val="single" w:sz="4" w:space="0" w:color="auto"/>
              <w:left w:val="single" w:sz="4" w:space="0" w:color="auto"/>
              <w:bottom w:val="single" w:sz="4" w:space="0" w:color="auto"/>
              <w:right w:val="single" w:sz="4" w:space="0" w:color="auto"/>
            </w:tcBorders>
          </w:tcPr>
          <w:p w:rsidR="00E21452" w:rsidRPr="007E33E3" w:rsidRDefault="00E21452" w:rsidP="00C4514D">
            <w:pPr>
              <w:spacing w:before="120" w:after="120"/>
              <w:jc w:val="center"/>
              <w:rPr>
                <w:rFonts w:ascii="Verdana" w:hAnsi="Verdana"/>
                <w:b/>
                <w:i/>
                <w:sz w:val="22"/>
                <w:szCs w:val="22"/>
              </w:rPr>
            </w:pPr>
            <w:r w:rsidRPr="007E33E3">
              <w:rPr>
                <w:rFonts w:ascii="Verdana" w:hAnsi="Verdana"/>
                <w:i/>
                <w:sz w:val="22"/>
                <w:szCs w:val="22"/>
              </w:rPr>
              <w:t>Programme monitoring</w:t>
            </w:r>
          </w:p>
        </w:tc>
      </w:tr>
      <w:tr w:rsidR="00E21452" w:rsidRPr="007E33E3" w:rsidTr="00C4514D">
        <w:trPr>
          <w:trHeight w:val="420"/>
        </w:trPr>
        <w:tc>
          <w:tcPr>
            <w:tcW w:w="563" w:type="pct"/>
            <w:tcBorders>
              <w:top w:val="single" w:sz="4" w:space="0" w:color="auto"/>
              <w:left w:val="single" w:sz="4" w:space="0" w:color="auto"/>
              <w:bottom w:val="single" w:sz="4" w:space="0" w:color="auto"/>
              <w:right w:val="single" w:sz="4" w:space="0" w:color="auto"/>
            </w:tcBorders>
          </w:tcPr>
          <w:p w:rsidR="00E21452" w:rsidRPr="007E33E3" w:rsidRDefault="00E21452" w:rsidP="00C4514D">
            <w:pPr>
              <w:spacing w:before="120" w:after="120"/>
              <w:jc w:val="center"/>
              <w:rPr>
                <w:rFonts w:ascii="Verdana" w:hAnsi="Verdana"/>
                <w:b/>
                <w:i/>
                <w:sz w:val="22"/>
                <w:szCs w:val="22"/>
              </w:rPr>
            </w:pPr>
            <w:r w:rsidRPr="007E33E3">
              <w:rPr>
                <w:rFonts w:ascii="Verdana" w:hAnsi="Verdana"/>
                <w:b/>
                <w:i/>
                <w:sz w:val="22"/>
                <w:szCs w:val="22"/>
              </w:rPr>
              <w:t>2</w:t>
            </w:r>
          </w:p>
        </w:tc>
        <w:tc>
          <w:tcPr>
            <w:tcW w:w="1355" w:type="pct"/>
            <w:tcBorders>
              <w:top w:val="single" w:sz="4" w:space="0" w:color="auto"/>
              <w:left w:val="single" w:sz="4" w:space="0" w:color="auto"/>
              <w:bottom w:val="single" w:sz="4" w:space="0" w:color="auto"/>
              <w:right w:val="single" w:sz="4" w:space="0" w:color="auto"/>
            </w:tcBorders>
          </w:tcPr>
          <w:p w:rsidR="00E21452" w:rsidRPr="007E33E3" w:rsidRDefault="00E21452" w:rsidP="00C4514D">
            <w:pPr>
              <w:spacing w:before="120" w:after="120"/>
              <w:rPr>
                <w:rFonts w:ascii="Verdana" w:hAnsi="Verdana"/>
                <w:b/>
                <w:i/>
                <w:sz w:val="22"/>
                <w:szCs w:val="22"/>
              </w:rPr>
            </w:pPr>
            <w:r w:rsidRPr="007E33E3">
              <w:rPr>
                <w:rFonts w:ascii="Verdana" w:hAnsi="Verdana"/>
                <w:i/>
                <w:sz w:val="22"/>
                <w:szCs w:val="22"/>
              </w:rPr>
              <w:t>Number of Group of Auditors meetings organized</w:t>
            </w:r>
          </w:p>
        </w:tc>
        <w:tc>
          <w:tcPr>
            <w:tcW w:w="1219" w:type="pct"/>
            <w:tcBorders>
              <w:top w:val="single" w:sz="4" w:space="0" w:color="auto"/>
              <w:left w:val="single" w:sz="4" w:space="0" w:color="auto"/>
              <w:bottom w:val="single" w:sz="4" w:space="0" w:color="auto"/>
              <w:right w:val="single" w:sz="4" w:space="0" w:color="auto"/>
            </w:tcBorders>
          </w:tcPr>
          <w:p w:rsidR="00E21452" w:rsidRPr="007E33E3" w:rsidRDefault="00E21452" w:rsidP="00C4514D">
            <w:pPr>
              <w:spacing w:before="120" w:after="120"/>
              <w:jc w:val="center"/>
              <w:rPr>
                <w:rFonts w:ascii="Verdana" w:hAnsi="Verdana"/>
                <w:b/>
                <w:i/>
                <w:sz w:val="22"/>
                <w:szCs w:val="22"/>
              </w:rPr>
            </w:pPr>
            <w:r w:rsidRPr="007E33E3">
              <w:rPr>
                <w:rFonts w:ascii="Verdana" w:hAnsi="Verdana"/>
                <w:i/>
                <w:sz w:val="22"/>
                <w:szCs w:val="22"/>
              </w:rPr>
              <w:t>Number</w:t>
            </w:r>
          </w:p>
        </w:tc>
        <w:tc>
          <w:tcPr>
            <w:tcW w:w="644" w:type="pct"/>
            <w:tcBorders>
              <w:top w:val="single" w:sz="4" w:space="0" w:color="auto"/>
              <w:left w:val="single" w:sz="4" w:space="0" w:color="auto"/>
              <w:bottom w:val="single" w:sz="4" w:space="0" w:color="auto"/>
              <w:right w:val="single" w:sz="4" w:space="0" w:color="auto"/>
            </w:tcBorders>
          </w:tcPr>
          <w:p w:rsidR="00E21452" w:rsidRPr="007E33E3" w:rsidRDefault="00E21452" w:rsidP="00C4514D">
            <w:pPr>
              <w:spacing w:before="120" w:after="120"/>
              <w:jc w:val="center"/>
              <w:rPr>
                <w:rFonts w:ascii="Verdana" w:hAnsi="Verdana"/>
                <w:i/>
                <w:sz w:val="22"/>
                <w:szCs w:val="22"/>
              </w:rPr>
            </w:pPr>
            <w:r w:rsidRPr="007E33E3">
              <w:rPr>
                <w:rFonts w:ascii="Verdana" w:hAnsi="Verdana"/>
                <w:i/>
                <w:sz w:val="22"/>
                <w:szCs w:val="22"/>
              </w:rPr>
              <w:t>7</w:t>
            </w:r>
          </w:p>
        </w:tc>
        <w:tc>
          <w:tcPr>
            <w:tcW w:w="1219" w:type="pct"/>
            <w:tcBorders>
              <w:top w:val="single" w:sz="4" w:space="0" w:color="auto"/>
              <w:left w:val="single" w:sz="4" w:space="0" w:color="auto"/>
              <w:bottom w:val="single" w:sz="4" w:space="0" w:color="auto"/>
              <w:right w:val="single" w:sz="4" w:space="0" w:color="auto"/>
            </w:tcBorders>
          </w:tcPr>
          <w:p w:rsidR="00E21452" w:rsidRPr="007E33E3" w:rsidRDefault="00E21452" w:rsidP="00C4514D">
            <w:pPr>
              <w:spacing w:before="120" w:after="120"/>
              <w:jc w:val="center"/>
              <w:rPr>
                <w:rFonts w:ascii="Verdana" w:hAnsi="Verdana"/>
                <w:b/>
                <w:i/>
                <w:sz w:val="22"/>
                <w:szCs w:val="22"/>
              </w:rPr>
            </w:pPr>
            <w:r w:rsidRPr="007E33E3">
              <w:rPr>
                <w:rFonts w:ascii="Verdana" w:hAnsi="Verdana"/>
                <w:i/>
                <w:sz w:val="22"/>
                <w:szCs w:val="22"/>
              </w:rPr>
              <w:t>Programme monitoring</w:t>
            </w:r>
          </w:p>
        </w:tc>
      </w:tr>
      <w:tr w:rsidR="00E21452" w:rsidRPr="007E33E3" w:rsidTr="00C4514D">
        <w:trPr>
          <w:trHeight w:val="420"/>
        </w:trPr>
        <w:tc>
          <w:tcPr>
            <w:tcW w:w="563" w:type="pct"/>
            <w:tcBorders>
              <w:top w:val="single" w:sz="4" w:space="0" w:color="auto"/>
              <w:left w:val="single" w:sz="4" w:space="0" w:color="auto"/>
              <w:bottom w:val="single" w:sz="4" w:space="0" w:color="auto"/>
              <w:right w:val="single" w:sz="4" w:space="0" w:color="auto"/>
            </w:tcBorders>
          </w:tcPr>
          <w:p w:rsidR="00E21452" w:rsidRPr="007E33E3" w:rsidRDefault="00E21452" w:rsidP="00C4514D">
            <w:pPr>
              <w:spacing w:before="120" w:after="120"/>
              <w:jc w:val="center"/>
              <w:rPr>
                <w:rFonts w:ascii="Verdana" w:hAnsi="Verdana"/>
                <w:b/>
                <w:i/>
                <w:sz w:val="22"/>
                <w:szCs w:val="22"/>
              </w:rPr>
            </w:pPr>
            <w:r w:rsidRPr="007E33E3">
              <w:rPr>
                <w:rFonts w:ascii="Verdana" w:hAnsi="Verdana"/>
                <w:b/>
                <w:i/>
                <w:sz w:val="22"/>
                <w:szCs w:val="22"/>
              </w:rPr>
              <w:t>3</w:t>
            </w:r>
          </w:p>
        </w:tc>
        <w:tc>
          <w:tcPr>
            <w:tcW w:w="1355" w:type="pct"/>
            <w:tcBorders>
              <w:top w:val="single" w:sz="4" w:space="0" w:color="auto"/>
              <w:left w:val="single" w:sz="4" w:space="0" w:color="auto"/>
              <w:bottom w:val="single" w:sz="4" w:space="0" w:color="auto"/>
              <w:right w:val="single" w:sz="4" w:space="0" w:color="auto"/>
            </w:tcBorders>
          </w:tcPr>
          <w:p w:rsidR="00E21452" w:rsidRPr="007E33E3" w:rsidRDefault="00E21452" w:rsidP="00C4514D">
            <w:pPr>
              <w:spacing w:before="120" w:after="120"/>
              <w:rPr>
                <w:rFonts w:ascii="Verdana" w:hAnsi="Verdana"/>
                <w:i/>
                <w:sz w:val="22"/>
                <w:szCs w:val="22"/>
              </w:rPr>
            </w:pPr>
            <w:r w:rsidRPr="007E33E3">
              <w:rPr>
                <w:rFonts w:ascii="Verdana" w:hAnsi="Verdana"/>
                <w:i/>
                <w:sz w:val="22"/>
                <w:szCs w:val="22"/>
              </w:rPr>
              <w:t>Number of Annual Implementation reports produced</w:t>
            </w:r>
          </w:p>
        </w:tc>
        <w:tc>
          <w:tcPr>
            <w:tcW w:w="1219" w:type="pct"/>
            <w:tcBorders>
              <w:top w:val="single" w:sz="4" w:space="0" w:color="auto"/>
              <w:left w:val="single" w:sz="4" w:space="0" w:color="auto"/>
              <w:bottom w:val="single" w:sz="4" w:space="0" w:color="auto"/>
              <w:right w:val="single" w:sz="4" w:space="0" w:color="auto"/>
            </w:tcBorders>
          </w:tcPr>
          <w:p w:rsidR="00E21452" w:rsidRPr="007E33E3" w:rsidRDefault="00E21452" w:rsidP="00C4514D">
            <w:pPr>
              <w:spacing w:before="120" w:after="120"/>
              <w:jc w:val="center"/>
              <w:rPr>
                <w:rFonts w:ascii="Verdana" w:hAnsi="Verdana"/>
                <w:i/>
                <w:sz w:val="22"/>
                <w:szCs w:val="22"/>
              </w:rPr>
            </w:pPr>
            <w:r w:rsidRPr="007E33E3">
              <w:rPr>
                <w:rFonts w:ascii="Verdana" w:hAnsi="Verdana"/>
                <w:i/>
                <w:sz w:val="22"/>
                <w:szCs w:val="22"/>
              </w:rPr>
              <w:t>Number</w:t>
            </w:r>
          </w:p>
        </w:tc>
        <w:tc>
          <w:tcPr>
            <w:tcW w:w="644" w:type="pct"/>
            <w:tcBorders>
              <w:top w:val="single" w:sz="4" w:space="0" w:color="auto"/>
              <w:left w:val="single" w:sz="4" w:space="0" w:color="auto"/>
              <w:bottom w:val="single" w:sz="4" w:space="0" w:color="auto"/>
              <w:right w:val="single" w:sz="4" w:space="0" w:color="auto"/>
            </w:tcBorders>
          </w:tcPr>
          <w:p w:rsidR="00E21452" w:rsidRPr="007E33E3" w:rsidRDefault="00E21452" w:rsidP="00C4514D">
            <w:pPr>
              <w:spacing w:before="120" w:after="120"/>
              <w:jc w:val="center"/>
              <w:rPr>
                <w:rFonts w:ascii="Verdana" w:hAnsi="Verdana"/>
                <w:i/>
                <w:sz w:val="22"/>
                <w:szCs w:val="22"/>
              </w:rPr>
            </w:pPr>
            <w:r w:rsidRPr="007E33E3">
              <w:rPr>
                <w:rFonts w:ascii="Verdana" w:hAnsi="Verdana"/>
                <w:i/>
                <w:sz w:val="22"/>
                <w:szCs w:val="22"/>
              </w:rPr>
              <w:t>6</w:t>
            </w:r>
          </w:p>
        </w:tc>
        <w:tc>
          <w:tcPr>
            <w:tcW w:w="1219" w:type="pct"/>
            <w:tcBorders>
              <w:top w:val="single" w:sz="4" w:space="0" w:color="auto"/>
              <w:left w:val="single" w:sz="4" w:space="0" w:color="auto"/>
              <w:bottom w:val="single" w:sz="4" w:space="0" w:color="auto"/>
              <w:right w:val="single" w:sz="4" w:space="0" w:color="auto"/>
            </w:tcBorders>
          </w:tcPr>
          <w:p w:rsidR="00E21452" w:rsidRPr="007E33E3" w:rsidRDefault="00E21452" w:rsidP="00C4514D">
            <w:pPr>
              <w:spacing w:before="120" w:after="120"/>
              <w:jc w:val="center"/>
              <w:rPr>
                <w:rFonts w:ascii="Verdana" w:hAnsi="Verdana"/>
                <w:b/>
                <w:i/>
                <w:sz w:val="22"/>
                <w:szCs w:val="22"/>
              </w:rPr>
            </w:pPr>
            <w:r w:rsidRPr="007E33E3">
              <w:rPr>
                <w:rFonts w:ascii="Verdana" w:hAnsi="Verdana"/>
                <w:i/>
                <w:sz w:val="22"/>
                <w:szCs w:val="22"/>
              </w:rPr>
              <w:t>Programme monitoring</w:t>
            </w:r>
          </w:p>
        </w:tc>
      </w:tr>
    </w:tbl>
    <w:p w:rsidR="008F49F8" w:rsidRPr="004F5F2B" w:rsidRDefault="008F49F8">
      <w:pPr>
        <w:spacing w:after="200" w:line="276" w:lineRule="auto"/>
        <w:rPr>
          <w:rFonts w:ascii="Verdana" w:hAnsi="Verdana"/>
          <w:b/>
        </w:rPr>
      </w:pPr>
      <w:r w:rsidRPr="004F5F2B">
        <w:rPr>
          <w:rFonts w:ascii="Verdana" w:hAnsi="Verdana"/>
          <w:b/>
        </w:rPr>
        <w:br w:type="page"/>
      </w:r>
    </w:p>
    <w:p w:rsidR="00E21452" w:rsidRPr="00C4514D" w:rsidRDefault="00B21572" w:rsidP="00D63D58">
      <w:pPr>
        <w:pStyle w:val="Nagwek2"/>
        <w:rPr>
          <w:sz w:val="22"/>
          <w:szCs w:val="22"/>
        </w:rPr>
      </w:pPr>
      <w:bookmarkStart w:id="27" w:name="_Toc401325797"/>
      <w:r w:rsidRPr="00C4514D">
        <w:rPr>
          <w:sz w:val="22"/>
          <w:szCs w:val="22"/>
        </w:rPr>
        <w:t>2.</w:t>
      </w:r>
      <w:r w:rsidR="008F49F8" w:rsidRPr="00C4514D">
        <w:rPr>
          <w:sz w:val="22"/>
          <w:szCs w:val="22"/>
        </w:rPr>
        <w:t>B.4</w:t>
      </w:r>
      <w:r w:rsidR="007B5752">
        <w:rPr>
          <w:sz w:val="22"/>
          <w:szCs w:val="22"/>
        </w:rPr>
        <w:t>.</w:t>
      </w:r>
      <w:r w:rsidR="007B5752">
        <w:rPr>
          <w:sz w:val="22"/>
          <w:szCs w:val="22"/>
        </w:rPr>
        <w:tab/>
      </w:r>
      <w:r w:rsidR="00E21452" w:rsidRPr="00C4514D">
        <w:rPr>
          <w:sz w:val="22"/>
          <w:szCs w:val="22"/>
        </w:rPr>
        <w:t xml:space="preserve">Categories of Intervention </w:t>
      </w:r>
      <w:bookmarkEnd w:id="27"/>
    </w:p>
    <w:p w:rsidR="00E21452" w:rsidRPr="00C4514D" w:rsidRDefault="00E21452" w:rsidP="00E21452">
      <w:pPr>
        <w:ind w:right="566"/>
        <w:jc w:val="both"/>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3027"/>
        <w:gridCol w:w="3167"/>
      </w:tblGrid>
      <w:tr w:rsidR="00E21452" w:rsidRPr="00C4514D" w:rsidTr="00DA4B46">
        <w:tc>
          <w:tcPr>
            <w:tcW w:w="10384" w:type="dxa"/>
            <w:gridSpan w:val="3"/>
          </w:tcPr>
          <w:p w:rsidR="00E21452" w:rsidRPr="00C4514D" w:rsidRDefault="00E21452" w:rsidP="00E21452">
            <w:pPr>
              <w:ind w:right="566"/>
              <w:jc w:val="both"/>
              <w:rPr>
                <w:rFonts w:ascii="Verdana" w:hAnsi="Verdana"/>
                <w:b/>
                <w:sz w:val="22"/>
                <w:szCs w:val="22"/>
              </w:rPr>
            </w:pPr>
            <w:r w:rsidRPr="00C4514D">
              <w:rPr>
                <w:rFonts w:ascii="Verdana" w:hAnsi="Verdana"/>
                <w:b/>
                <w:sz w:val="22"/>
                <w:szCs w:val="22"/>
              </w:rPr>
              <w:t>Table 12 Dimension 1 Intervention Field</w:t>
            </w:r>
          </w:p>
        </w:tc>
      </w:tr>
      <w:tr w:rsidR="00E21452" w:rsidRPr="00C4514D" w:rsidTr="00DA4B46">
        <w:tc>
          <w:tcPr>
            <w:tcW w:w="3461" w:type="dxa"/>
          </w:tcPr>
          <w:p w:rsidR="00E21452" w:rsidRPr="00C4514D" w:rsidRDefault="00E21452" w:rsidP="00E21452">
            <w:pPr>
              <w:ind w:right="566"/>
              <w:jc w:val="both"/>
              <w:rPr>
                <w:rFonts w:ascii="Verdana" w:hAnsi="Verdana"/>
                <w:b/>
                <w:sz w:val="22"/>
                <w:szCs w:val="22"/>
              </w:rPr>
            </w:pPr>
            <w:r w:rsidRPr="00C4514D">
              <w:rPr>
                <w:rFonts w:ascii="Verdana" w:hAnsi="Verdana"/>
                <w:b/>
                <w:sz w:val="22"/>
                <w:szCs w:val="22"/>
              </w:rPr>
              <w:t>Priority Axis</w:t>
            </w:r>
          </w:p>
        </w:tc>
        <w:tc>
          <w:tcPr>
            <w:tcW w:w="3461" w:type="dxa"/>
          </w:tcPr>
          <w:p w:rsidR="00E21452" w:rsidRPr="00C4514D" w:rsidRDefault="00E21452" w:rsidP="00E21452">
            <w:pPr>
              <w:ind w:right="566"/>
              <w:jc w:val="both"/>
              <w:rPr>
                <w:rFonts w:ascii="Verdana" w:hAnsi="Verdana"/>
                <w:b/>
                <w:sz w:val="22"/>
                <w:szCs w:val="22"/>
              </w:rPr>
            </w:pPr>
            <w:r w:rsidRPr="00C4514D">
              <w:rPr>
                <w:rFonts w:ascii="Verdana" w:hAnsi="Verdana"/>
                <w:b/>
                <w:sz w:val="22"/>
                <w:szCs w:val="22"/>
              </w:rPr>
              <w:t>Code</w:t>
            </w:r>
          </w:p>
        </w:tc>
        <w:tc>
          <w:tcPr>
            <w:tcW w:w="3462" w:type="dxa"/>
          </w:tcPr>
          <w:p w:rsidR="00E21452" w:rsidRPr="00C4514D" w:rsidRDefault="00E21452" w:rsidP="00E21452">
            <w:pPr>
              <w:ind w:right="566"/>
              <w:jc w:val="both"/>
              <w:rPr>
                <w:rFonts w:ascii="Verdana" w:hAnsi="Verdana"/>
                <w:b/>
                <w:sz w:val="22"/>
                <w:szCs w:val="22"/>
              </w:rPr>
            </w:pPr>
            <w:r w:rsidRPr="00C4514D">
              <w:rPr>
                <w:rFonts w:ascii="Verdana" w:hAnsi="Verdana"/>
                <w:b/>
                <w:sz w:val="22"/>
                <w:szCs w:val="22"/>
              </w:rPr>
              <w:t>€ EU support</w:t>
            </w:r>
          </w:p>
        </w:tc>
      </w:tr>
      <w:tr w:rsidR="00E21452" w:rsidRPr="00C4514D" w:rsidTr="00DA4B46">
        <w:tc>
          <w:tcPr>
            <w:tcW w:w="3461" w:type="dxa"/>
          </w:tcPr>
          <w:p w:rsidR="00E21452" w:rsidRPr="00C4514D" w:rsidRDefault="00E21452" w:rsidP="00E21452">
            <w:pPr>
              <w:ind w:right="566"/>
              <w:jc w:val="both"/>
              <w:rPr>
                <w:rFonts w:ascii="Verdana" w:hAnsi="Verdana"/>
                <w:sz w:val="22"/>
                <w:szCs w:val="22"/>
              </w:rPr>
            </w:pPr>
            <w:r w:rsidRPr="00C4514D">
              <w:rPr>
                <w:rFonts w:ascii="Verdana" w:hAnsi="Verdana"/>
                <w:sz w:val="22"/>
                <w:szCs w:val="22"/>
              </w:rPr>
              <w:t>PA 2</w:t>
            </w:r>
          </w:p>
        </w:tc>
        <w:tc>
          <w:tcPr>
            <w:tcW w:w="3461" w:type="dxa"/>
          </w:tcPr>
          <w:p w:rsidR="00E21452" w:rsidRPr="00C4514D" w:rsidRDefault="00E21452" w:rsidP="005C22F6">
            <w:pPr>
              <w:ind w:right="566"/>
              <w:jc w:val="both"/>
              <w:rPr>
                <w:rFonts w:ascii="Verdana" w:hAnsi="Verdana"/>
                <w:sz w:val="22"/>
                <w:szCs w:val="22"/>
              </w:rPr>
            </w:pPr>
            <w:r w:rsidRPr="00C4514D">
              <w:rPr>
                <w:rFonts w:ascii="Verdana" w:hAnsi="Verdana"/>
                <w:sz w:val="22"/>
                <w:szCs w:val="22"/>
              </w:rPr>
              <w:t>12</w:t>
            </w:r>
            <w:r w:rsidR="005C22F6">
              <w:rPr>
                <w:rFonts w:ascii="Verdana" w:hAnsi="Verdana"/>
                <w:sz w:val="22"/>
                <w:szCs w:val="22"/>
              </w:rPr>
              <w:t>1</w:t>
            </w:r>
          </w:p>
        </w:tc>
        <w:tc>
          <w:tcPr>
            <w:tcW w:w="3462" w:type="dxa"/>
          </w:tcPr>
          <w:p w:rsidR="00E21452" w:rsidRPr="00C4514D" w:rsidRDefault="00E21452" w:rsidP="00E00F86">
            <w:pPr>
              <w:ind w:right="566"/>
              <w:jc w:val="both"/>
              <w:rPr>
                <w:rFonts w:ascii="Verdana" w:hAnsi="Verdana"/>
                <w:sz w:val="22"/>
                <w:szCs w:val="22"/>
              </w:rPr>
            </w:pPr>
            <w:r w:rsidRPr="00C4514D">
              <w:rPr>
                <w:rFonts w:ascii="Verdana" w:hAnsi="Verdana"/>
                <w:sz w:val="22"/>
                <w:szCs w:val="22"/>
              </w:rPr>
              <w:t>3 958 1</w:t>
            </w:r>
            <w:r w:rsidR="005C22F6">
              <w:rPr>
                <w:rFonts w:ascii="Verdana" w:hAnsi="Verdana"/>
                <w:sz w:val="22"/>
                <w:szCs w:val="22"/>
              </w:rPr>
              <w:t>1</w:t>
            </w:r>
            <w:r w:rsidR="00E00F86">
              <w:rPr>
                <w:rFonts w:ascii="Verdana" w:hAnsi="Verdana"/>
                <w:sz w:val="22"/>
                <w:szCs w:val="22"/>
              </w:rPr>
              <w:t>4</w:t>
            </w:r>
            <w:r w:rsidRPr="00C4514D">
              <w:rPr>
                <w:rFonts w:ascii="Verdana" w:hAnsi="Verdana"/>
                <w:sz w:val="22"/>
                <w:szCs w:val="22"/>
              </w:rPr>
              <w:t>€</w:t>
            </w:r>
          </w:p>
        </w:tc>
      </w:tr>
      <w:tr w:rsidR="00E21452" w:rsidRPr="00C4514D" w:rsidTr="00DA4B46">
        <w:tc>
          <w:tcPr>
            <w:tcW w:w="3461" w:type="dxa"/>
          </w:tcPr>
          <w:p w:rsidR="00E21452" w:rsidRPr="00C4514D" w:rsidRDefault="00E21452" w:rsidP="00E21452">
            <w:pPr>
              <w:ind w:right="566"/>
              <w:jc w:val="both"/>
              <w:rPr>
                <w:rFonts w:ascii="Verdana" w:hAnsi="Verdana"/>
                <w:sz w:val="22"/>
                <w:szCs w:val="22"/>
              </w:rPr>
            </w:pPr>
            <w:r w:rsidRPr="00C4514D">
              <w:rPr>
                <w:rFonts w:ascii="Verdana" w:hAnsi="Verdana"/>
                <w:sz w:val="22"/>
                <w:szCs w:val="22"/>
              </w:rPr>
              <w:t>PA 2</w:t>
            </w:r>
          </w:p>
        </w:tc>
        <w:tc>
          <w:tcPr>
            <w:tcW w:w="3461" w:type="dxa"/>
          </w:tcPr>
          <w:p w:rsidR="00E21452" w:rsidRPr="00C4514D" w:rsidRDefault="00E21452" w:rsidP="005C22F6">
            <w:pPr>
              <w:ind w:right="566"/>
              <w:jc w:val="both"/>
              <w:rPr>
                <w:rFonts w:ascii="Verdana" w:hAnsi="Verdana"/>
                <w:sz w:val="22"/>
                <w:szCs w:val="22"/>
              </w:rPr>
            </w:pPr>
            <w:r w:rsidRPr="00C4514D">
              <w:rPr>
                <w:rFonts w:ascii="Verdana" w:hAnsi="Verdana"/>
                <w:sz w:val="22"/>
                <w:szCs w:val="22"/>
              </w:rPr>
              <w:t>12</w:t>
            </w:r>
            <w:r w:rsidR="005C22F6">
              <w:rPr>
                <w:rFonts w:ascii="Verdana" w:hAnsi="Verdana"/>
                <w:sz w:val="22"/>
                <w:szCs w:val="22"/>
              </w:rPr>
              <w:t>2</w:t>
            </w:r>
          </w:p>
        </w:tc>
        <w:tc>
          <w:tcPr>
            <w:tcW w:w="3462" w:type="dxa"/>
          </w:tcPr>
          <w:p w:rsidR="00E21452" w:rsidRPr="00C4514D" w:rsidRDefault="00E21452" w:rsidP="00E21452">
            <w:pPr>
              <w:ind w:right="566"/>
              <w:jc w:val="both"/>
              <w:rPr>
                <w:rFonts w:ascii="Verdana" w:hAnsi="Verdana"/>
                <w:sz w:val="22"/>
                <w:szCs w:val="22"/>
              </w:rPr>
            </w:pPr>
            <w:r w:rsidRPr="00C4514D">
              <w:rPr>
                <w:rFonts w:ascii="Verdana" w:hAnsi="Verdana"/>
                <w:sz w:val="22"/>
                <w:szCs w:val="22"/>
              </w:rPr>
              <w:t>500 000€</w:t>
            </w:r>
          </w:p>
        </w:tc>
      </w:tr>
    </w:tbl>
    <w:p w:rsidR="00E21452" w:rsidRPr="00C4514D" w:rsidRDefault="00E21452" w:rsidP="00E21452">
      <w:pPr>
        <w:ind w:right="566"/>
        <w:jc w:val="both"/>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3027"/>
        <w:gridCol w:w="3167"/>
      </w:tblGrid>
      <w:tr w:rsidR="00E21452" w:rsidRPr="00C4514D" w:rsidTr="00DA4B46">
        <w:tc>
          <w:tcPr>
            <w:tcW w:w="10384" w:type="dxa"/>
            <w:gridSpan w:val="3"/>
          </w:tcPr>
          <w:p w:rsidR="00E21452" w:rsidRPr="00C4514D" w:rsidRDefault="00364438" w:rsidP="00E21452">
            <w:pPr>
              <w:ind w:right="566"/>
              <w:jc w:val="both"/>
              <w:rPr>
                <w:rFonts w:ascii="Verdana" w:hAnsi="Verdana"/>
                <w:b/>
                <w:sz w:val="22"/>
                <w:szCs w:val="22"/>
              </w:rPr>
            </w:pPr>
            <w:r w:rsidRPr="00C4514D">
              <w:rPr>
                <w:rFonts w:ascii="Verdana" w:hAnsi="Verdana"/>
                <w:b/>
                <w:sz w:val="22"/>
                <w:szCs w:val="22"/>
              </w:rPr>
              <w:t>Table 13 Dimension 2 Form of Finance</w:t>
            </w:r>
          </w:p>
        </w:tc>
      </w:tr>
      <w:tr w:rsidR="00E21452" w:rsidRPr="00C4514D" w:rsidTr="00DA4B46">
        <w:tc>
          <w:tcPr>
            <w:tcW w:w="3461" w:type="dxa"/>
          </w:tcPr>
          <w:p w:rsidR="00E21452" w:rsidRPr="00C4514D" w:rsidRDefault="00E21452" w:rsidP="00E21452">
            <w:pPr>
              <w:ind w:right="566"/>
              <w:jc w:val="both"/>
              <w:rPr>
                <w:rFonts w:ascii="Verdana" w:hAnsi="Verdana"/>
                <w:b/>
                <w:sz w:val="22"/>
                <w:szCs w:val="22"/>
              </w:rPr>
            </w:pPr>
            <w:r w:rsidRPr="00C4514D">
              <w:rPr>
                <w:rFonts w:ascii="Verdana" w:hAnsi="Verdana"/>
                <w:b/>
                <w:sz w:val="22"/>
                <w:szCs w:val="22"/>
              </w:rPr>
              <w:t>Priority Axis</w:t>
            </w:r>
          </w:p>
        </w:tc>
        <w:tc>
          <w:tcPr>
            <w:tcW w:w="3461" w:type="dxa"/>
          </w:tcPr>
          <w:p w:rsidR="00E21452" w:rsidRPr="00C4514D" w:rsidRDefault="00E21452" w:rsidP="00E21452">
            <w:pPr>
              <w:ind w:right="566"/>
              <w:jc w:val="both"/>
              <w:rPr>
                <w:rFonts w:ascii="Verdana" w:hAnsi="Verdana"/>
                <w:b/>
                <w:sz w:val="22"/>
                <w:szCs w:val="22"/>
              </w:rPr>
            </w:pPr>
            <w:r w:rsidRPr="00C4514D">
              <w:rPr>
                <w:rFonts w:ascii="Verdana" w:hAnsi="Verdana"/>
                <w:b/>
                <w:sz w:val="22"/>
                <w:szCs w:val="22"/>
              </w:rPr>
              <w:t>Code</w:t>
            </w:r>
          </w:p>
        </w:tc>
        <w:tc>
          <w:tcPr>
            <w:tcW w:w="3462" w:type="dxa"/>
          </w:tcPr>
          <w:p w:rsidR="00E21452" w:rsidRPr="00C4514D" w:rsidRDefault="00E21452" w:rsidP="00E21452">
            <w:pPr>
              <w:ind w:right="566"/>
              <w:jc w:val="both"/>
              <w:rPr>
                <w:rFonts w:ascii="Verdana" w:hAnsi="Verdana"/>
                <w:b/>
                <w:sz w:val="22"/>
                <w:szCs w:val="22"/>
              </w:rPr>
            </w:pPr>
            <w:r w:rsidRPr="00C4514D">
              <w:rPr>
                <w:rFonts w:ascii="Verdana" w:hAnsi="Verdana"/>
                <w:b/>
                <w:sz w:val="22"/>
                <w:szCs w:val="22"/>
              </w:rPr>
              <w:t>€ EU support</w:t>
            </w:r>
          </w:p>
        </w:tc>
      </w:tr>
      <w:tr w:rsidR="00E21452" w:rsidRPr="00C4514D" w:rsidTr="00DA4B46">
        <w:tc>
          <w:tcPr>
            <w:tcW w:w="3461" w:type="dxa"/>
          </w:tcPr>
          <w:p w:rsidR="00E21452" w:rsidRPr="00C4514D" w:rsidRDefault="00E21452" w:rsidP="00E21452">
            <w:pPr>
              <w:ind w:right="566"/>
              <w:jc w:val="both"/>
              <w:rPr>
                <w:rFonts w:ascii="Verdana" w:hAnsi="Verdana"/>
                <w:sz w:val="22"/>
                <w:szCs w:val="22"/>
              </w:rPr>
            </w:pPr>
            <w:r w:rsidRPr="00C4514D">
              <w:rPr>
                <w:rFonts w:ascii="Verdana" w:hAnsi="Verdana"/>
                <w:sz w:val="22"/>
                <w:szCs w:val="22"/>
              </w:rPr>
              <w:t>PA 2</w:t>
            </w:r>
          </w:p>
        </w:tc>
        <w:tc>
          <w:tcPr>
            <w:tcW w:w="3461" w:type="dxa"/>
          </w:tcPr>
          <w:p w:rsidR="00E21452" w:rsidRPr="00C4514D" w:rsidRDefault="00E21452" w:rsidP="00E21452">
            <w:pPr>
              <w:ind w:right="566"/>
              <w:jc w:val="both"/>
              <w:rPr>
                <w:rFonts w:ascii="Verdana" w:hAnsi="Verdana"/>
                <w:sz w:val="22"/>
                <w:szCs w:val="22"/>
              </w:rPr>
            </w:pPr>
            <w:r w:rsidRPr="00C4514D">
              <w:rPr>
                <w:rFonts w:ascii="Verdana" w:hAnsi="Verdana"/>
                <w:sz w:val="22"/>
                <w:szCs w:val="22"/>
              </w:rPr>
              <w:t>01</w:t>
            </w:r>
          </w:p>
        </w:tc>
        <w:tc>
          <w:tcPr>
            <w:tcW w:w="3462" w:type="dxa"/>
          </w:tcPr>
          <w:p w:rsidR="00E21452" w:rsidRPr="00C4514D" w:rsidRDefault="00E21452" w:rsidP="0073002B">
            <w:pPr>
              <w:ind w:right="566"/>
              <w:jc w:val="both"/>
              <w:rPr>
                <w:rFonts w:ascii="Verdana" w:hAnsi="Verdana"/>
                <w:sz w:val="22"/>
                <w:szCs w:val="22"/>
              </w:rPr>
            </w:pPr>
            <w:r w:rsidRPr="00C4514D">
              <w:rPr>
                <w:rFonts w:ascii="Verdana" w:hAnsi="Verdana"/>
                <w:sz w:val="22"/>
                <w:szCs w:val="22"/>
              </w:rPr>
              <w:t>4 458 1</w:t>
            </w:r>
            <w:r w:rsidR="005C22F6">
              <w:rPr>
                <w:rFonts w:ascii="Verdana" w:hAnsi="Verdana"/>
                <w:sz w:val="22"/>
                <w:szCs w:val="22"/>
              </w:rPr>
              <w:t>1</w:t>
            </w:r>
            <w:r w:rsidR="0073002B">
              <w:rPr>
                <w:rFonts w:ascii="Verdana" w:hAnsi="Verdana"/>
                <w:sz w:val="22"/>
                <w:szCs w:val="22"/>
              </w:rPr>
              <w:t>4</w:t>
            </w:r>
            <w:r w:rsidRPr="00C4514D">
              <w:rPr>
                <w:rFonts w:ascii="Verdana" w:hAnsi="Verdana"/>
                <w:sz w:val="22"/>
                <w:szCs w:val="22"/>
              </w:rPr>
              <w:t>€</w:t>
            </w:r>
          </w:p>
        </w:tc>
      </w:tr>
    </w:tbl>
    <w:p w:rsidR="00E21452" w:rsidRPr="00C4514D" w:rsidRDefault="00E21452" w:rsidP="00E21452">
      <w:pPr>
        <w:ind w:right="566"/>
        <w:jc w:val="both"/>
        <w:rPr>
          <w:rFonts w:ascii="Verdana" w:hAnsi="Verdana"/>
          <w:sz w:val="22"/>
          <w:szCs w:val="22"/>
        </w:rPr>
      </w:pPr>
    </w:p>
    <w:p w:rsidR="00E21452" w:rsidRPr="00C4514D" w:rsidRDefault="00E21452" w:rsidP="00E21452">
      <w:pPr>
        <w:ind w:right="566"/>
        <w:jc w:val="both"/>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052"/>
        <w:gridCol w:w="3121"/>
      </w:tblGrid>
      <w:tr w:rsidR="00E21452" w:rsidRPr="00C4514D" w:rsidTr="00DA4B46">
        <w:tc>
          <w:tcPr>
            <w:tcW w:w="10384" w:type="dxa"/>
            <w:gridSpan w:val="3"/>
          </w:tcPr>
          <w:p w:rsidR="00E21452" w:rsidRPr="00C4514D" w:rsidRDefault="00E21452" w:rsidP="00E21452">
            <w:pPr>
              <w:ind w:right="566"/>
              <w:jc w:val="both"/>
              <w:rPr>
                <w:rFonts w:ascii="Verdana" w:hAnsi="Verdana"/>
                <w:b/>
                <w:sz w:val="22"/>
                <w:szCs w:val="22"/>
              </w:rPr>
            </w:pPr>
            <w:r w:rsidRPr="00C4514D">
              <w:rPr>
                <w:rFonts w:ascii="Verdana" w:hAnsi="Verdana"/>
                <w:b/>
                <w:sz w:val="22"/>
                <w:szCs w:val="22"/>
              </w:rPr>
              <w:t>Table 14 Dimension 3 Territory</w:t>
            </w:r>
          </w:p>
        </w:tc>
      </w:tr>
      <w:tr w:rsidR="00E21452" w:rsidRPr="00C4514D" w:rsidTr="00DA4B46">
        <w:tc>
          <w:tcPr>
            <w:tcW w:w="3461" w:type="dxa"/>
          </w:tcPr>
          <w:p w:rsidR="00E21452" w:rsidRPr="00C4514D" w:rsidRDefault="00E21452" w:rsidP="00E21452">
            <w:pPr>
              <w:ind w:right="566"/>
              <w:jc w:val="both"/>
              <w:rPr>
                <w:rFonts w:ascii="Verdana" w:hAnsi="Verdana"/>
                <w:b/>
                <w:sz w:val="22"/>
                <w:szCs w:val="22"/>
              </w:rPr>
            </w:pPr>
            <w:r w:rsidRPr="00C4514D">
              <w:rPr>
                <w:rFonts w:ascii="Verdana" w:hAnsi="Verdana"/>
                <w:b/>
                <w:sz w:val="22"/>
                <w:szCs w:val="22"/>
              </w:rPr>
              <w:t>Priority Axis</w:t>
            </w:r>
          </w:p>
        </w:tc>
        <w:tc>
          <w:tcPr>
            <w:tcW w:w="3461" w:type="dxa"/>
          </w:tcPr>
          <w:p w:rsidR="00E21452" w:rsidRPr="00C4514D" w:rsidRDefault="00E21452" w:rsidP="00E21452">
            <w:pPr>
              <w:ind w:right="566"/>
              <w:jc w:val="both"/>
              <w:rPr>
                <w:rFonts w:ascii="Verdana" w:hAnsi="Verdana"/>
                <w:b/>
                <w:sz w:val="22"/>
                <w:szCs w:val="22"/>
              </w:rPr>
            </w:pPr>
            <w:r w:rsidRPr="00C4514D">
              <w:rPr>
                <w:rFonts w:ascii="Verdana" w:hAnsi="Verdana"/>
                <w:b/>
                <w:sz w:val="22"/>
                <w:szCs w:val="22"/>
              </w:rPr>
              <w:t>Code</w:t>
            </w:r>
          </w:p>
        </w:tc>
        <w:tc>
          <w:tcPr>
            <w:tcW w:w="3462" w:type="dxa"/>
          </w:tcPr>
          <w:p w:rsidR="00E21452" w:rsidRPr="00C4514D" w:rsidRDefault="00E21452" w:rsidP="00E21452">
            <w:pPr>
              <w:ind w:right="566"/>
              <w:jc w:val="both"/>
              <w:rPr>
                <w:rFonts w:ascii="Verdana" w:hAnsi="Verdana"/>
                <w:b/>
                <w:sz w:val="22"/>
                <w:szCs w:val="22"/>
              </w:rPr>
            </w:pPr>
            <w:r w:rsidRPr="00C4514D">
              <w:rPr>
                <w:rFonts w:ascii="Verdana" w:hAnsi="Verdana"/>
                <w:b/>
                <w:sz w:val="22"/>
                <w:szCs w:val="22"/>
              </w:rPr>
              <w:t>€ EU support</w:t>
            </w:r>
          </w:p>
        </w:tc>
      </w:tr>
      <w:tr w:rsidR="00E21452" w:rsidRPr="00C4514D" w:rsidTr="00DA4B46">
        <w:tc>
          <w:tcPr>
            <w:tcW w:w="3461" w:type="dxa"/>
          </w:tcPr>
          <w:p w:rsidR="00E21452" w:rsidRPr="00C4514D" w:rsidRDefault="00E21452" w:rsidP="00E21452">
            <w:pPr>
              <w:ind w:right="566"/>
              <w:jc w:val="both"/>
              <w:rPr>
                <w:rFonts w:ascii="Verdana" w:hAnsi="Verdana"/>
                <w:sz w:val="22"/>
                <w:szCs w:val="22"/>
              </w:rPr>
            </w:pPr>
            <w:r w:rsidRPr="00C4514D">
              <w:rPr>
                <w:rFonts w:ascii="Verdana" w:hAnsi="Verdana"/>
                <w:sz w:val="22"/>
                <w:szCs w:val="22"/>
              </w:rPr>
              <w:t>PA 2</w:t>
            </w:r>
          </w:p>
        </w:tc>
        <w:tc>
          <w:tcPr>
            <w:tcW w:w="3461" w:type="dxa"/>
          </w:tcPr>
          <w:p w:rsidR="00E21452" w:rsidRPr="00C4514D" w:rsidRDefault="00E21452" w:rsidP="005C22F6">
            <w:pPr>
              <w:ind w:right="566"/>
              <w:jc w:val="both"/>
              <w:rPr>
                <w:rFonts w:ascii="Verdana" w:hAnsi="Verdana"/>
                <w:sz w:val="22"/>
                <w:szCs w:val="22"/>
              </w:rPr>
            </w:pPr>
            <w:r w:rsidRPr="00C4514D">
              <w:rPr>
                <w:rFonts w:ascii="Verdana" w:hAnsi="Verdana"/>
                <w:sz w:val="22"/>
                <w:szCs w:val="22"/>
              </w:rPr>
              <w:t>0</w:t>
            </w:r>
            <w:r w:rsidR="005C22F6">
              <w:rPr>
                <w:rFonts w:ascii="Verdana" w:hAnsi="Verdana"/>
                <w:sz w:val="22"/>
                <w:szCs w:val="22"/>
              </w:rPr>
              <w:t>7</w:t>
            </w:r>
          </w:p>
        </w:tc>
        <w:tc>
          <w:tcPr>
            <w:tcW w:w="3462" w:type="dxa"/>
          </w:tcPr>
          <w:p w:rsidR="00E21452" w:rsidRPr="00C4514D" w:rsidRDefault="00E21452" w:rsidP="0073002B">
            <w:pPr>
              <w:ind w:right="566"/>
              <w:jc w:val="both"/>
              <w:rPr>
                <w:rFonts w:ascii="Verdana" w:hAnsi="Verdana"/>
                <w:sz w:val="22"/>
                <w:szCs w:val="22"/>
              </w:rPr>
            </w:pPr>
            <w:r w:rsidRPr="00C4514D">
              <w:rPr>
                <w:rFonts w:ascii="Verdana" w:hAnsi="Verdana"/>
                <w:sz w:val="22"/>
                <w:szCs w:val="22"/>
              </w:rPr>
              <w:t>4 458 1</w:t>
            </w:r>
            <w:r w:rsidR="005C22F6">
              <w:rPr>
                <w:rFonts w:ascii="Verdana" w:hAnsi="Verdana"/>
                <w:sz w:val="22"/>
                <w:szCs w:val="22"/>
              </w:rPr>
              <w:t>1</w:t>
            </w:r>
            <w:r w:rsidR="0073002B">
              <w:rPr>
                <w:rFonts w:ascii="Verdana" w:hAnsi="Verdana"/>
                <w:sz w:val="22"/>
                <w:szCs w:val="22"/>
              </w:rPr>
              <w:t>4</w:t>
            </w:r>
            <w:r w:rsidRPr="00C4514D">
              <w:rPr>
                <w:rFonts w:ascii="Verdana" w:hAnsi="Verdana"/>
                <w:sz w:val="22"/>
                <w:szCs w:val="22"/>
              </w:rPr>
              <w:t>€</w:t>
            </w:r>
          </w:p>
        </w:tc>
      </w:tr>
    </w:tbl>
    <w:p w:rsidR="00E21452" w:rsidRPr="00C4514D" w:rsidRDefault="00E21452" w:rsidP="00E21452">
      <w:pPr>
        <w:ind w:right="566"/>
        <w:jc w:val="both"/>
        <w:rPr>
          <w:rFonts w:ascii="Verdana" w:hAnsi="Verdana"/>
          <w:sz w:val="22"/>
          <w:szCs w:val="22"/>
        </w:rPr>
      </w:pPr>
    </w:p>
    <w:p w:rsidR="009400AD" w:rsidRPr="00C4514D" w:rsidRDefault="009400AD" w:rsidP="00592786">
      <w:pPr>
        <w:ind w:firstLine="708"/>
        <w:rPr>
          <w:rFonts w:ascii="Verdana" w:hAnsi="Verdana"/>
          <w:sz w:val="22"/>
          <w:szCs w:val="22"/>
        </w:rPr>
      </w:pPr>
    </w:p>
    <w:p w:rsidR="00DA4B46" w:rsidRPr="00C4514D" w:rsidRDefault="00DA4B46" w:rsidP="00592786">
      <w:pPr>
        <w:ind w:firstLine="708"/>
        <w:rPr>
          <w:rFonts w:ascii="Verdana" w:hAnsi="Verdana"/>
          <w:sz w:val="22"/>
          <w:szCs w:val="22"/>
        </w:rPr>
      </w:pPr>
    </w:p>
    <w:p w:rsidR="00DA4B46" w:rsidRPr="00C4514D" w:rsidRDefault="00DA4B46">
      <w:pPr>
        <w:spacing w:after="200" w:line="276" w:lineRule="auto"/>
        <w:rPr>
          <w:rFonts w:ascii="Verdana" w:hAnsi="Verdana"/>
          <w:sz w:val="22"/>
          <w:szCs w:val="22"/>
        </w:rPr>
      </w:pPr>
      <w:r w:rsidRPr="00C4514D">
        <w:rPr>
          <w:rFonts w:ascii="Verdana" w:hAnsi="Verdana"/>
          <w:sz w:val="22"/>
          <w:szCs w:val="22"/>
        </w:rPr>
        <w:br w:type="page"/>
      </w:r>
    </w:p>
    <w:p w:rsidR="00DA4B46" w:rsidRPr="004F5F2B" w:rsidRDefault="00DA4B46" w:rsidP="00592786">
      <w:pPr>
        <w:ind w:firstLine="708"/>
        <w:rPr>
          <w:rFonts w:ascii="Verdana" w:hAnsi="Verdana"/>
        </w:rPr>
      </w:pPr>
    </w:p>
    <w:p w:rsidR="00DA4B46" w:rsidRPr="004F5F2B" w:rsidRDefault="00DA4B46" w:rsidP="00592786">
      <w:pPr>
        <w:ind w:firstLine="708"/>
        <w:rPr>
          <w:rFonts w:ascii="Verdana" w:hAnsi="Verdana"/>
        </w:rPr>
      </w:pPr>
    </w:p>
    <w:p w:rsidR="00DA4B46" w:rsidRPr="004F5F2B" w:rsidRDefault="00DA4B46" w:rsidP="00592786">
      <w:pPr>
        <w:ind w:firstLine="708"/>
        <w:rPr>
          <w:rFonts w:ascii="Verdana" w:hAnsi="Verdana"/>
        </w:rPr>
      </w:pPr>
    </w:p>
    <w:p w:rsidR="00DA4B46" w:rsidRPr="004F5F2B" w:rsidRDefault="00DA4B46" w:rsidP="00592786">
      <w:pPr>
        <w:ind w:firstLine="708"/>
        <w:rPr>
          <w:rFonts w:ascii="Verdana" w:hAnsi="Verdana"/>
        </w:rPr>
      </w:pPr>
    </w:p>
    <w:p w:rsidR="00AC759C" w:rsidRPr="004F5F2B" w:rsidRDefault="00AC759C" w:rsidP="00DA4B46">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p>
    <w:p w:rsidR="00DA4B46" w:rsidRPr="004F5F2B" w:rsidRDefault="00DA4B46" w:rsidP="00DA4B46">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r w:rsidRPr="004F5F2B">
        <w:rPr>
          <w:rFonts w:ascii="Verdana" w:hAnsi="Verdana"/>
          <w:b/>
          <w:bCs/>
        </w:rPr>
        <w:t>SECTION THREE</w:t>
      </w:r>
    </w:p>
    <w:p w:rsidR="00DA4B46" w:rsidRPr="004F5F2B" w:rsidRDefault="00DA4B46" w:rsidP="00DA4B46">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p>
    <w:p w:rsidR="00DA4B46" w:rsidRPr="004F5F2B" w:rsidRDefault="00DA4B46" w:rsidP="00DA4B46">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p>
    <w:p w:rsidR="00DA4B46" w:rsidRPr="004F5F2B" w:rsidRDefault="00DA4B46" w:rsidP="00DA4B46">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sz w:val="36"/>
          <w:szCs w:val="36"/>
        </w:rPr>
      </w:pPr>
      <w:r w:rsidRPr="004F5F2B">
        <w:rPr>
          <w:rFonts w:ascii="Verdana" w:hAnsi="Verdana"/>
          <w:b/>
          <w:sz w:val="36"/>
          <w:szCs w:val="36"/>
        </w:rPr>
        <w:t>The Financing Plan</w:t>
      </w:r>
    </w:p>
    <w:p w:rsidR="00DA4B46" w:rsidRPr="004F5F2B" w:rsidRDefault="00DA4B46" w:rsidP="00DA4B46">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sz w:val="36"/>
          <w:szCs w:val="36"/>
        </w:rPr>
      </w:pPr>
      <w:r w:rsidRPr="004F5F2B">
        <w:rPr>
          <w:rFonts w:ascii="Verdana" w:hAnsi="Verdana"/>
          <w:b/>
          <w:sz w:val="36"/>
          <w:szCs w:val="36"/>
        </w:rPr>
        <w:t>for the Cooperation Programme</w:t>
      </w:r>
    </w:p>
    <w:p w:rsidR="00DA4B46" w:rsidRPr="004F5F2B" w:rsidRDefault="00DA4B46" w:rsidP="00DA4B46">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sz w:val="32"/>
          <w:szCs w:val="32"/>
        </w:rPr>
      </w:pPr>
    </w:p>
    <w:p w:rsidR="00DA4B46" w:rsidRPr="004F5F2B" w:rsidRDefault="00DA4B46" w:rsidP="00DA4B46">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DA4B46" w:rsidRPr="004F5F2B" w:rsidRDefault="00DA4B46" w:rsidP="00DA4B46">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DA4B46" w:rsidRPr="004F5F2B" w:rsidRDefault="00DA4B46" w:rsidP="00DA4B46">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DA4B46" w:rsidRPr="004F5F2B" w:rsidRDefault="00DA4B46" w:rsidP="00DA4B46">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DA4B46" w:rsidRPr="004F5F2B" w:rsidRDefault="00DA4B46" w:rsidP="00592786">
      <w:pPr>
        <w:ind w:firstLine="708"/>
        <w:rPr>
          <w:rFonts w:ascii="Verdana" w:hAnsi="Verdana"/>
        </w:rPr>
      </w:pPr>
    </w:p>
    <w:p w:rsidR="00DA4B46" w:rsidRPr="004F5F2B" w:rsidRDefault="00DA4B46" w:rsidP="00592786">
      <w:pPr>
        <w:ind w:firstLine="708"/>
        <w:rPr>
          <w:rFonts w:ascii="Verdana" w:hAnsi="Verdana"/>
        </w:rPr>
      </w:pPr>
    </w:p>
    <w:p w:rsidR="00DA4B46" w:rsidRPr="004F5F2B" w:rsidRDefault="00DA4B46" w:rsidP="00592786">
      <w:pPr>
        <w:ind w:firstLine="708"/>
        <w:rPr>
          <w:rFonts w:ascii="Verdana" w:hAnsi="Verdana"/>
        </w:rPr>
      </w:pPr>
    </w:p>
    <w:p w:rsidR="00DA4B46" w:rsidRPr="004F5F2B" w:rsidRDefault="00DA4B46" w:rsidP="00592786">
      <w:pPr>
        <w:ind w:firstLine="708"/>
        <w:rPr>
          <w:rFonts w:ascii="Verdana" w:hAnsi="Verdana"/>
        </w:rPr>
      </w:pPr>
    </w:p>
    <w:p w:rsidR="00DA4B46" w:rsidRPr="004F5F2B" w:rsidRDefault="00DA4B46" w:rsidP="00592786">
      <w:pPr>
        <w:ind w:firstLine="708"/>
        <w:rPr>
          <w:rFonts w:ascii="Verdana" w:hAnsi="Verdana"/>
        </w:rPr>
      </w:pPr>
    </w:p>
    <w:p w:rsidR="00DA4B46" w:rsidRPr="004F5F2B" w:rsidRDefault="00DA4B46" w:rsidP="00592786">
      <w:pPr>
        <w:ind w:firstLine="708"/>
        <w:rPr>
          <w:rFonts w:ascii="Verdana" w:hAnsi="Verdana"/>
        </w:rPr>
      </w:pPr>
    </w:p>
    <w:p w:rsidR="00DA4B46" w:rsidRPr="004F5F2B" w:rsidRDefault="00DA4B46" w:rsidP="00592786">
      <w:pPr>
        <w:ind w:firstLine="708"/>
        <w:rPr>
          <w:rFonts w:ascii="Verdana" w:hAnsi="Verdana"/>
        </w:rPr>
      </w:pPr>
    </w:p>
    <w:p w:rsidR="00DA4B46" w:rsidRPr="004F5F2B" w:rsidRDefault="00DA4B46" w:rsidP="00592786">
      <w:pPr>
        <w:ind w:firstLine="708"/>
        <w:rPr>
          <w:rFonts w:ascii="Verdana" w:hAnsi="Verdana"/>
        </w:rPr>
      </w:pPr>
    </w:p>
    <w:p w:rsidR="00DA4B46" w:rsidRPr="004F5F2B" w:rsidRDefault="00DA4B46" w:rsidP="00592786">
      <w:pPr>
        <w:ind w:firstLine="708"/>
        <w:rPr>
          <w:rFonts w:ascii="Verdana" w:hAnsi="Verdana"/>
        </w:rPr>
      </w:pPr>
    </w:p>
    <w:p w:rsidR="00DA4B46" w:rsidRPr="004F5F2B" w:rsidRDefault="00DA4B46" w:rsidP="00592786">
      <w:pPr>
        <w:ind w:firstLine="708"/>
        <w:rPr>
          <w:rFonts w:ascii="Verdana" w:hAnsi="Verdana"/>
        </w:rPr>
      </w:pPr>
    </w:p>
    <w:p w:rsidR="009400AD" w:rsidRPr="004F5F2B" w:rsidRDefault="009400AD" w:rsidP="00592786">
      <w:pPr>
        <w:ind w:firstLine="708"/>
        <w:rPr>
          <w:rFonts w:ascii="Verdana" w:hAnsi="Verdana"/>
        </w:rPr>
      </w:pPr>
    </w:p>
    <w:p w:rsidR="008F49F8" w:rsidRPr="004F5F2B" w:rsidRDefault="008F49F8">
      <w:pPr>
        <w:spacing w:after="200" w:line="276" w:lineRule="auto"/>
        <w:rPr>
          <w:rFonts w:ascii="Verdana" w:hAnsi="Verdana"/>
        </w:rPr>
        <w:sectPr w:rsidR="008F49F8" w:rsidRPr="004F5F2B" w:rsidSect="009400AD">
          <w:footerReference w:type="default" r:id="rId30"/>
          <w:pgSz w:w="11906" w:h="16838"/>
          <w:pgMar w:top="1417" w:right="1417" w:bottom="1417" w:left="1417" w:header="708" w:footer="708" w:gutter="0"/>
          <w:cols w:space="708"/>
          <w:docGrid w:linePitch="360"/>
        </w:sectPr>
      </w:pPr>
    </w:p>
    <w:p w:rsidR="008F49F8" w:rsidRPr="004F5F2B" w:rsidRDefault="008F49F8">
      <w:pPr>
        <w:spacing w:after="200" w:line="276" w:lineRule="auto"/>
        <w:rPr>
          <w:rFonts w:ascii="Verdana" w:hAnsi="Verdana"/>
        </w:rPr>
      </w:pPr>
    </w:p>
    <w:p w:rsidR="008F49F8" w:rsidRPr="004F5F2B" w:rsidRDefault="008F49F8" w:rsidP="00592786">
      <w:pPr>
        <w:ind w:firstLine="708"/>
        <w:rPr>
          <w:rFonts w:ascii="Verdana" w:hAnsi="Verdana"/>
        </w:rPr>
      </w:pPr>
    </w:p>
    <w:p w:rsidR="00A40420" w:rsidRDefault="00FF01A8" w:rsidP="00A40420">
      <w:pPr>
        <w:pStyle w:val="StyleHeading1Hanging085cm"/>
      </w:pPr>
      <w:bookmarkStart w:id="28" w:name="_Toc401325798"/>
      <w:r w:rsidRPr="007B5752">
        <w:t>S</w:t>
      </w:r>
      <w:r w:rsidR="00A40420">
        <w:t>ection</w:t>
      </w:r>
      <w:r w:rsidRPr="007B5752">
        <w:t xml:space="preserve"> 3 </w:t>
      </w:r>
      <w:r w:rsidRPr="004F5F2B">
        <w:t>The Financing Plan for the Cooperation Programme</w:t>
      </w:r>
      <w:bookmarkEnd w:id="28"/>
      <w:r w:rsidRPr="004F5F2B">
        <w:t xml:space="preserve"> </w:t>
      </w:r>
    </w:p>
    <w:p w:rsidR="00FF01A8" w:rsidRDefault="00FF01A8" w:rsidP="00FF01A8">
      <w:pPr>
        <w:rPr>
          <w:rFonts w:ascii="Verdana" w:hAnsi="Verdana"/>
          <w:b/>
        </w:rPr>
      </w:pPr>
    </w:p>
    <w:p w:rsidR="00A40420" w:rsidRPr="004F5F2B" w:rsidRDefault="00A40420" w:rsidP="00FF01A8">
      <w:pPr>
        <w:rPr>
          <w:rFonts w:ascii="Verdana" w:hAnsi="Verdana"/>
          <w:b/>
        </w:rPr>
      </w:pPr>
    </w:p>
    <w:p w:rsidR="00FF01A8" w:rsidRPr="001B277B" w:rsidRDefault="00383400" w:rsidP="001B277B">
      <w:pPr>
        <w:pStyle w:val="Nagwek2"/>
        <w:rPr>
          <w:sz w:val="22"/>
          <w:szCs w:val="22"/>
        </w:rPr>
      </w:pPr>
      <w:bookmarkStart w:id="29" w:name="_Toc401325799"/>
      <w:r w:rsidRPr="001B277B">
        <w:rPr>
          <w:bCs w:val="0"/>
          <w:sz w:val="22"/>
          <w:szCs w:val="22"/>
        </w:rPr>
        <w:t>3.1.</w:t>
      </w:r>
      <w:r w:rsidRPr="001B277B">
        <w:rPr>
          <w:bCs w:val="0"/>
          <w:sz w:val="22"/>
          <w:szCs w:val="22"/>
        </w:rPr>
        <w:tab/>
      </w:r>
      <w:r w:rsidR="00FF01A8" w:rsidRPr="001B277B">
        <w:rPr>
          <w:bCs w:val="0"/>
          <w:sz w:val="22"/>
          <w:szCs w:val="22"/>
        </w:rPr>
        <w:t>A table specifying for each year</w:t>
      </w:r>
      <w:r w:rsidR="00FF01A8" w:rsidRPr="001B277B">
        <w:rPr>
          <w:sz w:val="22"/>
          <w:szCs w:val="22"/>
        </w:rPr>
        <w:t>, in accordance with Article 53,110 and 111 of the CPR, the amount of the total financial appropriation envisaged for the support from the ERDF</w:t>
      </w:r>
      <w:bookmarkEnd w:id="29"/>
    </w:p>
    <w:p w:rsidR="00FF01A8" w:rsidRPr="004F5F2B" w:rsidRDefault="00FF01A8" w:rsidP="00FF01A8">
      <w:pPr>
        <w:rPr>
          <w:rFonts w:ascii="Verdana" w:hAnsi="Verdana"/>
          <w:sz w:val="16"/>
          <w:szCs w:val="16"/>
        </w:rPr>
      </w:pPr>
    </w:p>
    <w:tbl>
      <w:tblPr>
        <w:tblW w:w="12520" w:type="dxa"/>
        <w:tblCellMar>
          <w:left w:w="0" w:type="dxa"/>
          <w:right w:w="0" w:type="dxa"/>
        </w:tblCellMar>
        <w:tblLook w:val="04A0" w:firstRow="1" w:lastRow="0" w:firstColumn="1" w:lastColumn="0" w:noHBand="0" w:noVBand="1"/>
      </w:tblPr>
      <w:tblGrid>
        <w:gridCol w:w="2119"/>
        <w:gridCol w:w="1301"/>
        <w:gridCol w:w="1301"/>
        <w:gridCol w:w="1300"/>
        <w:gridCol w:w="1300"/>
        <w:gridCol w:w="1300"/>
        <w:gridCol w:w="1300"/>
        <w:gridCol w:w="1300"/>
        <w:gridCol w:w="1300"/>
      </w:tblGrid>
      <w:tr w:rsidR="00BB522E" w:rsidTr="00BB522E">
        <w:trPr>
          <w:trHeight w:val="300"/>
        </w:trPr>
        <w:tc>
          <w:tcPr>
            <w:tcW w:w="4720" w:type="dxa"/>
            <w:gridSpan w:val="3"/>
            <w:tcBorders>
              <w:top w:val="nil"/>
              <w:left w:val="nil"/>
              <w:bottom w:val="nil"/>
              <w:right w:val="nil"/>
            </w:tcBorders>
            <w:shd w:val="clear" w:color="auto" w:fill="auto"/>
            <w:noWrap/>
            <w:tcMar>
              <w:top w:w="15" w:type="dxa"/>
              <w:left w:w="15" w:type="dxa"/>
              <w:bottom w:w="0" w:type="dxa"/>
              <w:right w:w="15" w:type="dxa"/>
            </w:tcMar>
            <w:vAlign w:val="bottom"/>
            <w:hideMark/>
          </w:tcPr>
          <w:p w:rsidR="00BB522E" w:rsidRDefault="00BB522E">
            <w:pPr>
              <w:rPr>
                <w:rFonts w:ascii="Calibri" w:hAnsi="Calibri"/>
                <w:b/>
                <w:bCs/>
                <w:color w:val="000000"/>
                <w:sz w:val="22"/>
                <w:szCs w:val="22"/>
              </w:rPr>
            </w:pPr>
            <w:r>
              <w:rPr>
                <w:rFonts w:ascii="Calibri" w:hAnsi="Calibri"/>
                <w:b/>
                <w:bCs/>
                <w:color w:val="000000"/>
                <w:sz w:val="22"/>
                <w:szCs w:val="22"/>
              </w:rPr>
              <w:t>Table 15  3.1 Annual Allocations of ERDF</w:t>
            </w:r>
          </w:p>
        </w:tc>
        <w:tc>
          <w:tcPr>
            <w:tcW w:w="1300" w:type="dxa"/>
            <w:tcBorders>
              <w:top w:val="nil"/>
              <w:left w:val="nil"/>
              <w:bottom w:val="nil"/>
              <w:right w:val="nil"/>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p>
        </w:tc>
        <w:tc>
          <w:tcPr>
            <w:tcW w:w="1300" w:type="dxa"/>
            <w:tcBorders>
              <w:top w:val="nil"/>
              <w:left w:val="nil"/>
              <w:bottom w:val="nil"/>
              <w:right w:val="nil"/>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p>
        </w:tc>
        <w:tc>
          <w:tcPr>
            <w:tcW w:w="1300" w:type="dxa"/>
            <w:tcBorders>
              <w:top w:val="nil"/>
              <w:left w:val="nil"/>
              <w:bottom w:val="nil"/>
              <w:right w:val="nil"/>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p>
        </w:tc>
        <w:tc>
          <w:tcPr>
            <w:tcW w:w="1300" w:type="dxa"/>
            <w:tcBorders>
              <w:top w:val="nil"/>
              <w:left w:val="nil"/>
              <w:bottom w:val="nil"/>
              <w:right w:val="nil"/>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p>
        </w:tc>
        <w:tc>
          <w:tcPr>
            <w:tcW w:w="1300" w:type="dxa"/>
            <w:tcBorders>
              <w:top w:val="nil"/>
              <w:left w:val="nil"/>
              <w:bottom w:val="nil"/>
              <w:right w:val="nil"/>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p>
        </w:tc>
        <w:tc>
          <w:tcPr>
            <w:tcW w:w="1300" w:type="dxa"/>
            <w:tcBorders>
              <w:top w:val="nil"/>
              <w:left w:val="nil"/>
              <w:bottom w:val="nil"/>
              <w:right w:val="nil"/>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p>
        </w:tc>
      </w:tr>
      <w:tr w:rsidR="00BB522E" w:rsidTr="00BB522E">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p>
        </w:tc>
      </w:tr>
      <w:tr w:rsidR="00BB522E" w:rsidTr="00BB522E">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p>
        </w:tc>
      </w:tr>
      <w:tr w:rsidR="00BB522E" w:rsidTr="00BB522E">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522E" w:rsidRDefault="00BB522E">
            <w:pPr>
              <w:jc w:val="center"/>
              <w:rPr>
                <w:rFonts w:ascii="Calibri" w:hAnsi="Calibri"/>
                <w:b/>
                <w:bCs/>
                <w:color w:val="000000"/>
                <w:sz w:val="22"/>
                <w:szCs w:val="22"/>
              </w:rPr>
            </w:pPr>
            <w:r>
              <w:rPr>
                <w:rFonts w:ascii="Calibri" w:hAnsi="Calibri"/>
                <w:b/>
                <w:bCs/>
                <w:color w:val="000000"/>
                <w:sz w:val="22"/>
                <w:szCs w:val="22"/>
              </w:rPr>
              <w:t xml:space="preserve">Fund </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522E" w:rsidRDefault="00BB522E">
            <w:pPr>
              <w:jc w:val="center"/>
              <w:rPr>
                <w:rFonts w:ascii="Calibri" w:hAnsi="Calibri"/>
                <w:b/>
                <w:bCs/>
                <w:color w:val="000000"/>
                <w:sz w:val="22"/>
                <w:szCs w:val="22"/>
              </w:rPr>
            </w:pPr>
            <w:r>
              <w:rPr>
                <w:rFonts w:ascii="Calibri" w:hAnsi="Calibri"/>
                <w:b/>
                <w:bCs/>
                <w:color w:val="000000"/>
                <w:sz w:val="22"/>
                <w:szCs w:val="22"/>
              </w:rPr>
              <w:t>2014</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522E" w:rsidRDefault="00BB522E">
            <w:pPr>
              <w:jc w:val="center"/>
              <w:rPr>
                <w:rFonts w:ascii="Calibri" w:hAnsi="Calibri"/>
                <w:b/>
                <w:bCs/>
                <w:color w:val="000000"/>
                <w:sz w:val="22"/>
                <w:szCs w:val="22"/>
              </w:rPr>
            </w:pPr>
            <w:r>
              <w:rPr>
                <w:rFonts w:ascii="Calibri" w:hAnsi="Calibri"/>
                <w:b/>
                <w:bCs/>
                <w:color w:val="000000"/>
                <w:sz w:val="22"/>
                <w:szCs w:val="22"/>
              </w:rPr>
              <w:t>2015</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522E" w:rsidRDefault="00BB522E">
            <w:pPr>
              <w:jc w:val="center"/>
              <w:rPr>
                <w:rFonts w:ascii="Calibri" w:hAnsi="Calibri"/>
                <w:b/>
                <w:bCs/>
                <w:color w:val="000000"/>
                <w:sz w:val="22"/>
                <w:szCs w:val="22"/>
              </w:rPr>
            </w:pPr>
            <w:r>
              <w:rPr>
                <w:rFonts w:ascii="Calibri" w:hAnsi="Calibri"/>
                <w:b/>
                <w:bCs/>
                <w:color w:val="000000"/>
                <w:sz w:val="22"/>
                <w:szCs w:val="22"/>
              </w:rPr>
              <w:t>2016</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522E" w:rsidRDefault="00BB522E">
            <w:pPr>
              <w:jc w:val="center"/>
              <w:rPr>
                <w:rFonts w:ascii="Calibri" w:hAnsi="Calibri"/>
                <w:b/>
                <w:bCs/>
                <w:color w:val="000000"/>
                <w:sz w:val="22"/>
                <w:szCs w:val="22"/>
              </w:rPr>
            </w:pPr>
            <w:r>
              <w:rPr>
                <w:rFonts w:ascii="Calibri" w:hAnsi="Calibri"/>
                <w:b/>
                <w:bCs/>
                <w:color w:val="000000"/>
                <w:sz w:val="22"/>
                <w:szCs w:val="22"/>
              </w:rPr>
              <w:t>2017</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522E" w:rsidRDefault="00BB522E">
            <w:pPr>
              <w:jc w:val="center"/>
              <w:rPr>
                <w:rFonts w:ascii="Calibri" w:hAnsi="Calibri"/>
                <w:b/>
                <w:bCs/>
                <w:color w:val="000000"/>
                <w:sz w:val="22"/>
                <w:szCs w:val="22"/>
              </w:rPr>
            </w:pPr>
            <w:r>
              <w:rPr>
                <w:rFonts w:ascii="Calibri" w:hAnsi="Calibri"/>
                <w:b/>
                <w:bCs/>
                <w:color w:val="000000"/>
                <w:sz w:val="22"/>
                <w:szCs w:val="22"/>
              </w:rPr>
              <w:t>2018</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522E" w:rsidRDefault="00BB522E">
            <w:pPr>
              <w:jc w:val="center"/>
              <w:rPr>
                <w:rFonts w:ascii="Calibri" w:hAnsi="Calibri"/>
                <w:b/>
                <w:bCs/>
                <w:color w:val="000000"/>
                <w:sz w:val="22"/>
                <w:szCs w:val="22"/>
              </w:rPr>
            </w:pPr>
            <w:r>
              <w:rPr>
                <w:rFonts w:ascii="Calibri" w:hAnsi="Calibri"/>
                <w:b/>
                <w:bCs/>
                <w:color w:val="000000"/>
                <w:sz w:val="22"/>
                <w:szCs w:val="22"/>
              </w:rPr>
              <w:t>2019</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522E" w:rsidRDefault="00BB522E">
            <w:pPr>
              <w:jc w:val="center"/>
              <w:rPr>
                <w:rFonts w:ascii="Calibri" w:hAnsi="Calibri"/>
                <w:b/>
                <w:bCs/>
                <w:color w:val="000000"/>
                <w:sz w:val="22"/>
                <w:szCs w:val="22"/>
              </w:rPr>
            </w:pPr>
            <w:r>
              <w:rPr>
                <w:rFonts w:ascii="Calibri" w:hAnsi="Calibri"/>
                <w:b/>
                <w:bCs/>
                <w:color w:val="000000"/>
                <w:sz w:val="22"/>
                <w:szCs w:val="22"/>
              </w:rPr>
              <w:t>2020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BB522E" w:rsidRDefault="00BB522E">
            <w:pPr>
              <w:jc w:val="center"/>
              <w:rPr>
                <w:rFonts w:ascii="Calibri" w:hAnsi="Calibri"/>
                <w:b/>
                <w:bCs/>
                <w:color w:val="000000"/>
                <w:sz w:val="22"/>
                <w:szCs w:val="22"/>
              </w:rPr>
            </w:pPr>
            <w:r>
              <w:rPr>
                <w:rFonts w:ascii="Calibri" w:hAnsi="Calibri"/>
                <w:b/>
                <w:bCs/>
                <w:color w:val="000000"/>
                <w:sz w:val="22"/>
                <w:szCs w:val="22"/>
              </w:rPr>
              <w:t>TOTAL</w:t>
            </w:r>
          </w:p>
        </w:tc>
      </w:tr>
      <w:tr w:rsidR="00BB522E" w:rsidTr="00BB522E">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r>
              <w:rPr>
                <w:rFonts w:ascii="Calibri" w:hAnsi="Calibri"/>
                <w:color w:val="000000"/>
                <w:sz w:val="22"/>
                <w:szCs w:val="22"/>
              </w:rPr>
              <w:t>ERDF</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jc w:val="right"/>
              <w:rPr>
                <w:rFonts w:ascii="Calibri" w:hAnsi="Calibri"/>
                <w:color w:val="000000"/>
                <w:sz w:val="22"/>
                <w:szCs w:val="22"/>
              </w:rPr>
            </w:pPr>
            <w:r>
              <w:rPr>
                <w:rFonts w:ascii="Calibri" w:hAnsi="Calibri"/>
                <w:color w:val="000000"/>
                <w:sz w:val="22"/>
                <w:szCs w:val="22"/>
              </w:rPr>
              <w:t>3 685 435 €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jc w:val="right"/>
              <w:rPr>
                <w:rFonts w:ascii="Calibri" w:hAnsi="Calibri"/>
                <w:color w:val="000000"/>
                <w:sz w:val="22"/>
                <w:szCs w:val="22"/>
              </w:rPr>
            </w:pPr>
            <w:r>
              <w:rPr>
                <w:rFonts w:ascii="Calibri" w:hAnsi="Calibri"/>
                <w:color w:val="000000"/>
                <w:sz w:val="22"/>
                <w:szCs w:val="22"/>
              </w:rPr>
              <w:t>5 381 234 €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jc w:val="right"/>
              <w:rPr>
                <w:rFonts w:ascii="Calibri" w:hAnsi="Calibri"/>
                <w:color w:val="000000"/>
                <w:sz w:val="22"/>
                <w:szCs w:val="22"/>
              </w:rPr>
            </w:pPr>
            <w:r>
              <w:rPr>
                <w:rFonts w:ascii="Calibri" w:hAnsi="Calibri"/>
                <w:color w:val="000000"/>
                <w:sz w:val="22"/>
                <w:szCs w:val="22"/>
              </w:rPr>
              <w:t>7 684 742 €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jc w:val="right"/>
              <w:rPr>
                <w:rFonts w:ascii="Calibri" w:hAnsi="Calibri"/>
                <w:color w:val="000000"/>
                <w:sz w:val="22"/>
                <w:szCs w:val="22"/>
              </w:rPr>
            </w:pPr>
            <w:r>
              <w:rPr>
                <w:rFonts w:ascii="Calibri" w:hAnsi="Calibri"/>
                <w:color w:val="000000"/>
                <w:sz w:val="22"/>
                <w:szCs w:val="22"/>
              </w:rPr>
              <w:t>13 963 118 €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jc w:val="right"/>
              <w:rPr>
                <w:rFonts w:ascii="Calibri" w:hAnsi="Calibri"/>
                <w:color w:val="000000"/>
                <w:sz w:val="22"/>
                <w:szCs w:val="22"/>
              </w:rPr>
            </w:pPr>
            <w:r>
              <w:rPr>
                <w:rFonts w:ascii="Calibri" w:hAnsi="Calibri"/>
                <w:color w:val="000000"/>
                <w:sz w:val="22"/>
                <w:szCs w:val="22"/>
              </w:rPr>
              <w:t>14 242 380 €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jc w:val="right"/>
              <w:rPr>
                <w:rFonts w:ascii="Calibri" w:hAnsi="Calibri"/>
                <w:color w:val="000000"/>
                <w:sz w:val="22"/>
                <w:szCs w:val="22"/>
              </w:rPr>
            </w:pPr>
            <w:r>
              <w:rPr>
                <w:rFonts w:ascii="Calibri" w:hAnsi="Calibri"/>
                <w:color w:val="000000"/>
                <w:sz w:val="22"/>
                <w:szCs w:val="22"/>
              </w:rPr>
              <w:t>14 527 228 €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jc w:val="right"/>
              <w:rPr>
                <w:rFonts w:ascii="Calibri" w:hAnsi="Calibri"/>
                <w:color w:val="000000"/>
                <w:sz w:val="22"/>
                <w:szCs w:val="22"/>
              </w:rPr>
            </w:pPr>
            <w:r>
              <w:rPr>
                <w:rFonts w:ascii="Calibri" w:hAnsi="Calibri"/>
                <w:color w:val="000000"/>
                <w:sz w:val="22"/>
                <w:szCs w:val="22"/>
              </w:rPr>
              <w:t>14 817 772 €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jc w:val="right"/>
              <w:rPr>
                <w:rFonts w:ascii="Calibri" w:hAnsi="Calibri"/>
                <w:color w:val="000000"/>
                <w:sz w:val="22"/>
                <w:szCs w:val="22"/>
              </w:rPr>
            </w:pPr>
            <w:r>
              <w:rPr>
                <w:rFonts w:ascii="Calibri" w:hAnsi="Calibri"/>
                <w:color w:val="000000"/>
                <w:sz w:val="22"/>
                <w:szCs w:val="22"/>
              </w:rPr>
              <w:t>74 301 909 €</w:t>
            </w:r>
          </w:p>
        </w:tc>
      </w:tr>
      <w:tr w:rsidR="00BB522E" w:rsidTr="00BB522E">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r>
              <w:rPr>
                <w:rFonts w:ascii="Calibri" w:hAnsi="Calibri"/>
                <w:color w:val="000000"/>
                <w:sz w:val="22"/>
                <w:szCs w:val="22"/>
              </w:rPr>
              <w:t xml:space="preserve">IPA </w:t>
            </w:r>
            <w:r>
              <w:rPr>
                <w:rFonts w:ascii="Calibri" w:hAnsi="Calibri"/>
                <w:color w:val="000000"/>
                <w:sz w:val="18"/>
                <w:szCs w:val="18"/>
              </w:rPr>
              <w:t>(where applicable)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r>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r>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r>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r>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r>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r>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r>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r>
              <w:rPr>
                <w:rFonts w:ascii="Calibri" w:hAnsi="Calibri"/>
                <w:color w:val="000000"/>
                <w:sz w:val="22"/>
                <w:szCs w:val="22"/>
              </w:rPr>
              <w:t> </w:t>
            </w:r>
          </w:p>
        </w:tc>
      </w:tr>
      <w:tr w:rsidR="00BB522E" w:rsidTr="00BB522E">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r>
              <w:rPr>
                <w:rFonts w:ascii="Calibri" w:hAnsi="Calibri"/>
                <w:color w:val="000000"/>
                <w:sz w:val="22"/>
                <w:szCs w:val="22"/>
              </w:rPr>
              <w:t xml:space="preserve">ENI </w:t>
            </w:r>
            <w:r>
              <w:rPr>
                <w:rFonts w:ascii="Calibri" w:hAnsi="Calibri"/>
                <w:color w:val="000000"/>
                <w:sz w:val="18"/>
                <w:szCs w:val="18"/>
              </w:rPr>
              <w:t>(where applicable)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r>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r>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r>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r>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r>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r>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r>
              <w:rPr>
                <w:rFonts w:ascii="Calibri" w:hAnsi="Calibri"/>
                <w:color w:val="000000"/>
                <w:sz w:val="22"/>
                <w:szCs w:val="22"/>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r>
              <w:rPr>
                <w:rFonts w:ascii="Calibri" w:hAnsi="Calibri"/>
                <w:color w:val="000000"/>
                <w:sz w:val="22"/>
                <w:szCs w:val="22"/>
              </w:rPr>
              <w:t> </w:t>
            </w:r>
          </w:p>
        </w:tc>
      </w:tr>
      <w:tr w:rsidR="00BB522E" w:rsidTr="00BB522E">
        <w:trPr>
          <w:trHeight w:val="300"/>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rPr>
                <w:rFonts w:ascii="Calibri" w:hAnsi="Calibri"/>
                <w:color w:val="000000"/>
                <w:sz w:val="22"/>
                <w:szCs w:val="22"/>
              </w:rPr>
            </w:pPr>
            <w:r>
              <w:rPr>
                <w:rFonts w:ascii="Calibri" w:hAnsi="Calibri"/>
                <w:color w:val="000000"/>
                <w:sz w:val="22"/>
                <w:szCs w:val="22"/>
              </w:rPr>
              <w:t>Total</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jc w:val="right"/>
              <w:rPr>
                <w:rFonts w:ascii="Calibri" w:hAnsi="Calibri"/>
                <w:color w:val="000000"/>
                <w:sz w:val="22"/>
                <w:szCs w:val="22"/>
              </w:rPr>
            </w:pPr>
            <w:r>
              <w:rPr>
                <w:rFonts w:ascii="Calibri" w:hAnsi="Calibri"/>
                <w:color w:val="000000"/>
                <w:sz w:val="22"/>
                <w:szCs w:val="22"/>
              </w:rPr>
              <w:t>3 685 435 €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jc w:val="right"/>
              <w:rPr>
                <w:rFonts w:ascii="Calibri" w:hAnsi="Calibri"/>
                <w:color w:val="000000"/>
                <w:sz w:val="22"/>
                <w:szCs w:val="22"/>
              </w:rPr>
            </w:pPr>
            <w:r>
              <w:rPr>
                <w:rFonts w:ascii="Calibri" w:hAnsi="Calibri"/>
                <w:color w:val="000000"/>
                <w:sz w:val="22"/>
                <w:szCs w:val="22"/>
              </w:rPr>
              <w:t>5 381 234 €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jc w:val="right"/>
              <w:rPr>
                <w:rFonts w:ascii="Calibri" w:hAnsi="Calibri"/>
                <w:color w:val="000000"/>
                <w:sz w:val="22"/>
                <w:szCs w:val="22"/>
              </w:rPr>
            </w:pPr>
            <w:r>
              <w:rPr>
                <w:rFonts w:ascii="Calibri" w:hAnsi="Calibri"/>
                <w:color w:val="000000"/>
                <w:sz w:val="22"/>
                <w:szCs w:val="22"/>
              </w:rPr>
              <w:t>7 684 742 €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jc w:val="right"/>
              <w:rPr>
                <w:rFonts w:ascii="Calibri" w:hAnsi="Calibri"/>
                <w:color w:val="000000"/>
                <w:sz w:val="22"/>
                <w:szCs w:val="22"/>
              </w:rPr>
            </w:pPr>
            <w:r>
              <w:rPr>
                <w:rFonts w:ascii="Calibri" w:hAnsi="Calibri"/>
                <w:color w:val="000000"/>
                <w:sz w:val="22"/>
                <w:szCs w:val="22"/>
              </w:rPr>
              <w:t>13 963 118 €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jc w:val="right"/>
              <w:rPr>
                <w:rFonts w:ascii="Calibri" w:hAnsi="Calibri"/>
                <w:color w:val="000000"/>
                <w:sz w:val="22"/>
                <w:szCs w:val="22"/>
              </w:rPr>
            </w:pPr>
            <w:r>
              <w:rPr>
                <w:rFonts w:ascii="Calibri" w:hAnsi="Calibri"/>
                <w:color w:val="000000"/>
                <w:sz w:val="22"/>
                <w:szCs w:val="22"/>
              </w:rPr>
              <w:t>14 242 380 €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jc w:val="right"/>
              <w:rPr>
                <w:rFonts w:ascii="Calibri" w:hAnsi="Calibri"/>
                <w:color w:val="000000"/>
                <w:sz w:val="22"/>
                <w:szCs w:val="22"/>
              </w:rPr>
            </w:pPr>
            <w:r>
              <w:rPr>
                <w:rFonts w:ascii="Calibri" w:hAnsi="Calibri"/>
                <w:color w:val="000000"/>
                <w:sz w:val="22"/>
                <w:szCs w:val="22"/>
              </w:rPr>
              <w:t>14 527 228 €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jc w:val="right"/>
              <w:rPr>
                <w:rFonts w:ascii="Calibri" w:hAnsi="Calibri"/>
                <w:color w:val="000000"/>
                <w:sz w:val="22"/>
                <w:szCs w:val="22"/>
              </w:rPr>
            </w:pPr>
            <w:r>
              <w:rPr>
                <w:rFonts w:ascii="Calibri" w:hAnsi="Calibri"/>
                <w:color w:val="000000"/>
                <w:sz w:val="22"/>
                <w:szCs w:val="22"/>
              </w:rPr>
              <w:t>14 817 772 €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BB522E" w:rsidRDefault="00BB522E">
            <w:pPr>
              <w:jc w:val="right"/>
              <w:rPr>
                <w:rFonts w:ascii="Calibri" w:hAnsi="Calibri"/>
                <w:color w:val="000000"/>
                <w:sz w:val="22"/>
                <w:szCs w:val="22"/>
              </w:rPr>
            </w:pPr>
            <w:r>
              <w:rPr>
                <w:rFonts w:ascii="Calibri" w:hAnsi="Calibri"/>
                <w:color w:val="000000"/>
                <w:sz w:val="22"/>
                <w:szCs w:val="22"/>
              </w:rPr>
              <w:t>74 301 909 €</w:t>
            </w:r>
          </w:p>
        </w:tc>
      </w:tr>
    </w:tbl>
    <w:p w:rsidR="00FF01A8" w:rsidRPr="004F5F2B" w:rsidRDefault="00BB522E" w:rsidP="00FF01A8">
      <w:pPr>
        <w:rPr>
          <w:rFonts w:ascii="Verdana" w:hAnsi="Verdana"/>
          <w:sz w:val="16"/>
          <w:szCs w:val="16"/>
        </w:rPr>
      </w:pPr>
      <w:r w:rsidRPr="004F5F2B">
        <w:rPr>
          <w:rFonts w:ascii="Verdana" w:hAnsi="Verdana"/>
          <w:sz w:val="16"/>
          <w:szCs w:val="16"/>
        </w:rPr>
        <w:t xml:space="preserve"> </w:t>
      </w:r>
      <w:r w:rsidR="00FF01A8" w:rsidRPr="004F5F2B">
        <w:rPr>
          <w:rFonts w:ascii="Verdana" w:hAnsi="Verdana"/>
          <w:sz w:val="16"/>
          <w:szCs w:val="16"/>
        </w:rPr>
        <w:br w:type="page"/>
      </w:r>
    </w:p>
    <w:p w:rsidR="00FF01A8" w:rsidRPr="001B277B" w:rsidRDefault="00FF01A8" w:rsidP="001B277B">
      <w:pPr>
        <w:pStyle w:val="Nagwek2"/>
        <w:numPr>
          <w:ilvl w:val="1"/>
          <w:numId w:val="3"/>
        </w:numPr>
        <w:rPr>
          <w:bCs w:val="0"/>
          <w:sz w:val="22"/>
          <w:szCs w:val="22"/>
        </w:rPr>
      </w:pPr>
      <w:bookmarkStart w:id="30" w:name="_Toc401325800"/>
      <w:r w:rsidRPr="001B277B">
        <w:rPr>
          <w:sz w:val="22"/>
          <w:szCs w:val="22"/>
        </w:rPr>
        <w:t>A financial plan of the cooperation</w:t>
      </w:r>
      <w:r w:rsidRPr="001B277B">
        <w:rPr>
          <w:bCs w:val="0"/>
          <w:sz w:val="22"/>
          <w:szCs w:val="22"/>
        </w:rPr>
        <w:t xml:space="preserve"> programme specifying, for the whole programming period, for the programme priority axis, the amount of the total financial appropriation of the support from the ERDF and the national counterparts</w:t>
      </w:r>
      <w:bookmarkEnd w:id="30"/>
    </w:p>
    <w:tbl>
      <w:tblPr>
        <w:tblW w:w="13566" w:type="dxa"/>
        <w:tblInd w:w="55" w:type="dxa"/>
        <w:tblCellMar>
          <w:left w:w="70" w:type="dxa"/>
          <w:right w:w="70" w:type="dxa"/>
        </w:tblCellMar>
        <w:tblLook w:val="04A0" w:firstRow="1" w:lastRow="0" w:firstColumn="1" w:lastColumn="0" w:noHBand="0" w:noVBand="1"/>
      </w:tblPr>
      <w:tblGrid>
        <w:gridCol w:w="1500"/>
        <w:gridCol w:w="1200"/>
        <w:gridCol w:w="1200"/>
        <w:gridCol w:w="821"/>
        <w:gridCol w:w="379"/>
        <w:gridCol w:w="921"/>
        <w:gridCol w:w="279"/>
        <w:gridCol w:w="1021"/>
        <w:gridCol w:w="179"/>
        <w:gridCol w:w="1121"/>
        <w:gridCol w:w="79"/>
        <w:gridCol w:w="1200"/>
        <w:gridCol w:w="21"/>
        <w:gridCol w:w="1179"/>
        <w:gridCol w:w="121"/>
        <w:gridCol w:w="1079"/>
        <w:gridCol w:w="221"/>
        <w:gridCol w:w="1045"/>
      </w:tblGrid>
      <w:tr w:rsidR="00FF01A8" w:rsidRPr="00C4514D" w:rsidTr="00C4514D">
        <w:trPr>
          <w:gridAfter w:val="1"/>
          <w:wAfter w:w="1045" w:type="dxa"/>
          <w:trHeight w:val="300"/>
        </w:trPr>
        <w:tc>
          <w:tcPr>
            <w:tcW w:w="4721" w:type="dxa"/>
            <w:gridSpan w:val="4"/>
            <w:tcBorders>
              <w:top w:val="nil"/>
              <w:left w:val="nil"/>
              <w:bottom w:val="nil"/>
              <w:right w:val="nil"/>
            </w:tcBorders>
            <w:shd w:val="clear" w:color="auto" w:fill="auto"/>
            <w:noWrap/>
            <w:vAlign w:val="bottom"/>
          </w:tcPr>
          <w:p w:rsidR="00C4514D" w:rsidRPr="00C4514D" w:rsidRDefault="00C4514D" w:rsidP="00FF01A8">
            <w:pPr>
              <w:rPr>
                <w:rFonts w:ascii="Verdana" w:hAnsi="Verdana"/>
                <w:b/>
                <w:bCs/>
                <w:color w:val="000000"/>
                <w:sz w:val="22"/>
                <w:szCs w:val="22"/>
              </w:rPr>
            </w:pPr>
          </w:p>
          <w:p w:rsidR="00FF01A8" w:rsidRPr="00C4514D" w:rsidRDefault="00FF01A8" w:rsidP="00FF01A8">
            <w:pPr>
              <w:rPr>
                <w:rFonts w:ascii="Verdana" w:hAnsi="Verdana"/>
                <w:b/>
                <w:bCs/>
                <w:color w:val="000000"/>
                <w:sz w:val="22"/>
                <w:szCs w:val="22"/>
              </w:rPr>
            </w:pPr>
            <w:r w:rsidRPr="00C4514D">
              <w:rPr>
                <w:rFonts w:ascii="Verdana" w:hAnsi="Verdana"/>
                <w:b/>
                <w:bCs/>
                <w:color w:val="000000"/>
                <w:sz w:val="22"/>
                <w:szCs w:val="22"/>
              </w:rPr>
              <w:t xml:space="preserve">Table 16 </w:t>
            </w:r>
          </w:p>
        </w:tc>
        <w:tc>
          <w:tcPr>
            <w:tcW w:w="1300" w:type="dxa"/>
            <w:gridSpan w:val="2"/>
            <w:tcBorders>
              <w:top w:val="nil"/>
              <w:left w:val="nil"/>
              <w:bottom w:val="nil"/>
              <w:right w:val="nil"/>
            </w:tcBorders>
            <w:shd w:val="clear" w:color="auto" w:fill="auto"/>
            <w:noWrap/>
            <w:vAlign w:val="bottom"/>
          </w:tcPr>
          <w:p w:rsidR="00FF01A8" w:rsidRPr="00C4514D" w:rsidRDefault="00FF01A8" w:rsidP="00FF01A8">
            <w:pPr>
              <w:rPr>
                <w:rFonts w:ascii="Verdana" w:hAnsi="Verdana"/>
                <w:color w:val="000000"/>
                <w:sz w:val="22"/>
                <w:szCs w:val="22"/>
              </w:rPr>
            </w:pPr>
          </w:p>
        </w:tc>
        <w:tc>
          <w:tcPr>
            <w:tcW w:w="1300" w:type="dxa"/>
            <w:gridSpan w:val="2"/>
            <w:tcBorders>
              <w:top w:val="nil"/>
              <w:left w:val="nil"/>
              <w:bottom w:val="nil"/>
              <w:right w:val="nil"/>
            </w:tcBorders>
            <w:shd w:val="clear" w:color="auto" w:fill="auto"/>
            <w:noWrap/>
            <w:vAlign w:val="bottom"/>
          </w:tcPr>
          <w:p w:rsidR="00FF01A8" w:rsidRPr="00C4514D" w:rsidRDefault="00FF01A8" w:rsidP="00FF01A8">
            <w:pPr>
              <w:rPr>
                <w:rFonts w:ascii="Verdana" w:hAnsi="Verdana"/>
                <w:color w:val="000000"/>
                <w:sz w:val="22"/>
                <w:szCs w:val="22"/>
              </w:rPr>
            </w:pPr>
          </w:p>
        </w:tc>
        <w:tc>
          <w:tcPr>
            <w:tcW w:w="1300" w:type="dxa"/>
            <w:gridSpan w:val="2"/>
            <w:tcBorders>
              <w:top w:val="nil"/>
              <w:left w:val="nil"/>
              <w:bottom w:val="nil"/>
              <w:right w:val="nil"/>
            </w:tcBorders>
            <w:shd w:val="clear" w:color="auto" w:fill="auto"/>
            <w:noWrap/>
            <w:vAlign w:val="bottom"/>
          </w:tcPr>
          <w:p w:rsidR="00FF01A8" w:rsidRPr="00C4514D" w:rsidRDefault="00FF01A8" w:rsidP="00FF01A8">
            <w:pPr>
              <w:rPr>
                <w:rFonts w:ascii="Verdana" w:hAnsi="Verdana"/>
                <w:color w:val="000000"/>
                <w:sz w:val="22"/>
                <w:szCs w:val="22"/>
              </w:rPr>
            </w:pPr>
          </w:p>
        </w:tc>
        <w:tc>
          <w:tcPr>
            <w:tcW w:w="1300" w:type="dxa"/>
            <w:gridSpan w:val="3"/>
            <w:tcBorders>
              <w:top w:val="nil"/>
              <w:left w:val="nil"/>
              <w:bottom w:val="nil"/>
              <w:right w:val="nil"/>
            </w:tcBorders>
            <w:shd w:val="clear" w:color="auto" w:fill="auto"/>
            <w:noWrap/>
            <w:vAlign w:val="bottom"/>
          </w:tcPr>
          <w:p w:rsidR="00FF01A8" w:rsidRPr="00C4514D" w:rsidRDefault="00FF01A8" w:rsidP="00FF01A8">
            <w:pPr>
              <w:rPr>
                <w:rFonts w:ascii="Verdana" w:hAnsi="Verdana"/>
                <w:color w:val="000000"/>
                <w:sz w:val="22"/>
                <w:szCs w:val="22"/>
              </w:rPr>
            </w:pPr>
          </w:p>
        </w:tc>
        <w:tc>
          <w:tcPr>
            <w:tcW w:w="1300" w:type="dxa"/>
            <w:gridSpan w:val="2"/>
            <w:tcBorders>
              <w:top w:val="nil"/>
              <w:left w:val="nil"/>
              <w:bottom w:val="nil"/>
              <w:right w:val="nil"/>
            </w:tcBorders>
            <w:shd w:val="clear" w:color="auto" w:fill="auto"/>
            <w:noWrap/>
            <w:vAlign w:val="bottom"/>
          </w:tcPr>
          <w:p w:rsidR="00FF01A8" w:rsidRPr="00C4514D" w:rsidRDefault="00FF01A8" w:rsidP="00FF01A8">
            <w:pPr>
              <w:rPr>
                <w:rFonts w:ascii="Verdana" w:hAnsi="Verdana"/>
                <w:color w:val="000000"/>
                <w:sz w:val="22"/>
                <w:szCs w:val="22"/>
              </w:rPr>
            </w:pPr>
          </w:p>
        </w:tc>
        <w:tc>
          <w:tcPr>
            <w:tcW w:w="1300" w:type="dxa"/>
            <w:gridSpan w:val="2"/>
            <w:tcBorders>
              <w:top w:val="nil"/>
              <w:left w:val="nil"/>
              <w:bottom w:val="nil"/>
              <w:right w:val="nil"/>
            </w:tcBorders>
            <w:shd w:val="clear" w:color="auto" w:fill="auto"/>
            <w:noWrap/>
            <w:vAlign w:val="bottom"/>
          </w:tcPr>
          <w:p w:rsidR="00FF01A8" w:rsidRPr="00C4514D" w:rsidRDefault="00FF01A8" w:rsidP="00FF01A8">
            <w:pPr>
              <w:rPr>
                <w:rFonts w:ascii="Verdana" w:hAnsi="Verdana"/>
                <w:color w:val="000000"/>
                <w:sz w:val="22"/>
                <w:szCs w:val="22"/>
              </w:rPr>
            </w:pPr>
          </w:p>
        </w:tc>
      </w:tr>
      <w:tr w:rsidR="00FF01A8" w:rsidRPr="004F5F2B" w:rsidTr="00C4514D">
        <w:trPr>
          <w:trHeight w:val="315"/>
        </w:trPr>
        <w:tc>
          <w:tcPr>
            <w:tcW w:w="1500" w:type="dxa"/>
            <w:tcBorders>
              <w:top w:val="nil"/>
              <w:left w:val="nil"/>
              <w:bottom w:val="nil"/>
              <w:right w:val="nil"/>
            </w:tcBorders>
            <w:shd w:val="clear" w:color="auto" w:fill="auto"/>
            <w:noWrap/>
            <w:vAlign w:val="bottom"/>
          </w:tcPr>
          <w:p w:rsidR="00FF01A8" w:rsidRPr="004F5F2B" w:rsidRDefault="00FF01A8" w:rsidP="00FF01A8">
            <w:pPr>
              <w:rPr>
                <w:rFonts w:ascii="Calibri" w:hAnsi="Calibri"/>
                <w:color w:val="000000"/>
              </w:rPr>
            </w:pPr>
          </w:p>
        </w:tc>
        <w:tc>
          <w:tcPr>
            <w:tcW w:w="1200" w:type="dxa"/>
            <w:tcBorders>
              <w:top w:val="nil"/>
              <w:left w:val="nil"/>
              <w:bottom w:val="nil"/>
              <w:right w:val="nil"/>
            </w:tcBorders>
            <w:shd w:val="clear" w:color="auto" w:fill="auto"/>
            <w:noWrap/>
            <w:vAlign w:val="bottom"/>
          </w:tcPr>
          <w:p w:rsidR="00FF01A8" w:rsidRPr="004F5F2B" w:rsidRDefault="00FF01A8" w:rsidP="00FF01A8">
            <w:pPr>
              <w:rPr>
                <w:rFonts w:ascii="Calibri" w:hAnsi="Calibri"/>
                <w:color w:val="000000"/>
              </w:rPr>
            </w:pPr>
          </w:p>
        </w:tc>
        <w:tc>
          <w:tcPr>
            <w:tcW w:w="1200" w:type="dxa"/>
            <w:tcBorders>
              <w:top w:val="nil"/>
              <w:left w:val="nil"/>
              <w:bottom w:val="nil"/>
              <w:right w:val="nil"/>
            </w:tcBorders>
            <w:shd w:val="clear" w:color="auto" w:fill="auto"/>
            <w:noWrap/>
            <w:vAlign w:val="bottom"/>
          </w:tcPr>
          <w:p w:rsidR="00FF01A8" w:rsidRPr="004F5F2B" w:rsidRDefault="00FF01A8" w:rsidP="00FF01A8">
            <w:pPr>
              <w:rPr>
                <w:rFonts w:ascii="Calibri" w:hAnsi="Calibri"/>
                <w:color w:val="000000"/>
              </w:rPr>
            </w:pPr>
          </w:p>
        </w:tc>
        <w:tc>
          <w:tcPr>
            <w:tcW w:w="1200" w:type="dxa"/>
            <w:gridSpan w:val="2"/>
            <w:tcBorders>
              <w:top w:val="nil"/>
              <w:left w:val="nil"/>
              <w:bottom w:val="nil"/>
              <w:right w:val="nil"/>
            </w:tcBorders>
            <w:shd w:val="clear" w:color="auto" w:fill="auto"/>
            <w:noWrap/>
            <w:vAlign w:val="bottom"/>
          </w:tcPr>
          <w:p w:rsidR="00FF01A8" w:rsidRPr="004F5F2B" w:rsidRDefault="00FF01A8" w:rsidP="00FF01A8">
            <w:pPr>
              <w:rPr>
                <w:rFonts w:ascii="Calibri" w:hAnsi="Calibri"/>
                <w:color w:val="000000"/>
              </w:rPr>
            </w:pPr>
          </w:p>
        </w:tc>
        <w:tc>
          <w:tcPr>
            <w:tcW w:w="1200" w:type="dxa"/>
            <w:gridSpan w:val="2"/>
            <w:tcBorders>
              <w:top w:val="nil"/>
              <w:left w:val="nil"/>
              <w:bottom w:val="nil"/>
              <w:right w:val="nil"/>
            </w:tcBorders>
            <w:shd w:val="clear" w:color="auto" w:fill="auto"/>
            <w:noWrap/>
            <w:vAlign w:val="bottom"/>
          </w:tcPr>
          <w:p w:rsidR="00FF01A8" w:rsidRPr="004F5F2B" w:rsidRDefault="00FF01A8" w:rsidP="00FF01A8">
            <w:pPr>
              <w:rPr>
                <w:rFonts w:ascii="Calibri" w:hAnsi="Calibri"/>
                <w:color w:val="000000"/>
              </w:rPr>
            </w:pPr>
          </w:p>
        </w:tc>
        <w:tc>
          <w:tcPr>
            <w:tcW w:w="1200" w:type="dxa"/>
            <w:gridSpan w:val="2"/>
            <w:tcBorders>
              <w:top w:val="nil"/>
              <w:left w:val="nil"/>
              <w:bottom w:val="nil"/>
              <w:right w:val="nil"/>
            </w:tcBorders>
            <w:shd w:val="clear" w:color="auto" w:fill="auto"/>
            <w:noWrap/>
            <w:vAlign w:val="bottom"/>
          </w:tcPr>
          <w:p w:rsidR="00FF01A8" w:rsidRPr="004F5F2B" w:rsidRDefault="00FF01A8" w:rsidP="00FF01A8">
            <w:pPr>
              <w:rPr>
                <w:rFonts w:ascii="Calibri" w:hAnsi="Calibri"/>
                <w:color w:val="000000"/>
              </w:rPr>
            </w:pPr>
          </w:p>
        </w:tc>
        <w:tc>
          <w:tcPr>
            <w:tcW w:w="1200" w:type="dxa"/>
            <w:gridSpan w:val="2"/>
            <w:tcBorders>
              <w:top w:val="nil"/>
              <w:left w:val="nil"/>
              <w:bottom w:val="nil"/>
              <w:right w:val="nil"/>
            </w:tcBorders>
            <w:shd w:val="clear" w:color="auto" w:fill="auto"/>
            <w:noWrap/>
            <w:vAlign w:val="bottom"/>
          </w:tcPr>
          <w:p w:rsidR="00FF01A8" w:rsidRPr="004F5F2B" w:rsidRDefault="00FF01A8" w:rsidP="00FF01A8">
            <w:pPr>
              <w:rPr>
                <w:rFonts w:ascii="Calibri" w:hAnsi="Calibri"/>
                <w:color w:val="000000"/>
              </w:rPr>
            </w:pPr>
          </w:p>
        </w:tc>
        <w:tc>
          <w:tcPr>
            <w:tcW w:w="1200" w:type="dxa"/>
            <w:tcBorders>
              <w:top w:val="nil"/>
              <w:left w:val="nil"/>
              <w:bottom w:val="nil"/>
              <w:right w:val="nil"/>
            </w:tcBorders>
            <w:shd w:val="clear" w:color="auto" w:fill="auto"/>
            <w:noWrap/>
            <w:vAlign w:val="bottom"/>
          </w:tcPr>
          <w:p w:rsidR="00FF01A8" w:rsidRPr="004F5F2B" w:rsidRDefault="00FF01A8" w:rsidP="00FF01A8">
            <w:pPr>
              <w:rPr>
                <w:rFonts w:ascii="Calibri" w:hAnsi="Calibri"/>
                <w:color w:val="000000"/>
              </w:rPr>
            </w:pPr>
          </w:p>
        </w:tc>
        <w:tc>
          <w:tcPr>
            <w:tcW w:w="1200" w:type="dxa"/>
            <w:gridSpan w:val="2"/>
            <w:tcBorders>
              <w:top w:val="nil"/>
              <w:left w:val="nil"/>
              <w:bottom w:val="nil"/>
              <w:right w:val="nil"/>
            </w:tcBorders>
            <w:shd w:val="clear" w:color="auto" w:fill="auto"/>
            <w:noWrap/>
            <w:vAlign w:val="bottom"/>
          </w:tcPr>
          <w:p w:rsidR="00FF01A8" w:rsidRPr="004F5F2B" w:rsidRDefault="00FF01A8" w:rsidP="00FF01A8">
            <w:pPr>
              <w:rPr>
                <w:rFonts w:ascii="Calibri" w:hAnsi="Calibri"/>
                <w:color w:val="000000"/>
              </w:rPr>
            </w:pPr>
          </w:p>
        </w:tc>
        <w:tc>
          <w:tcPr>
            <w:tcW w:w="1200" w:type="dxa"/>
            <w:gridSpan w:val="2"/>
            <w:tcBorders>
              <w:top w:val="nil"/>
              <w:left w:val="nil"/>
              <w:bottom w:val="nil"/>
              <w:right w:val="nil"/>
            </w:tcBorders>
            <w:shd w:val="clear" w:color="auto" w:fill="auto"/>
            <w:noWrap/>
            <w:vAlign w:val="bottom"/>
          </w:tcPr>
          <w:p w:rsidR="00FF01A8" w:rsidRPr="004F5F2B" w:rsidRDefault="00FF01A8" w:rsidP="00FF01A8">
            <w:pPr>
              <w:rPr>
                <w:rFonts w:ascii="Calibri" w:hAnsi="Calibri"/>
                <w:color w:val="000000"/>
              </w:rPr>
            </w:pPr>
          </w:p>
        </w:tc>
        <w:tc>
          <w:tcPr>
            <w:tcW w:w="1266" w:type="dxa"/>
            <w:gridSpan w:val="2"/>
            <w:tcBorders>
              <w:top w:val="nil"/>
              <w:left w:val="nil"/>
              <w:bottom w:val="nil"/>
              <w:right w:val="nil"/>
            </w:tcBorders>
            <w:shd w:val="clear" w:color="auto" w:fill="auto"/>
            <w:noWrap/>
            <w:vAlign w:val="bottom"/>
          </w:tcPr>
          <w:p w:rsidR="00FF01A8" w:rsidRPr="004F5F2B" w:rsidRDefault="00FF01A8" w:rsidP="00FF01A8">
            <w:pPr>
              <w:rPr>
                <w:rFonts w:ascii="Calibri" w:hAnsi="Calibri"/>
                <w:color w:val="000000"/>
              </w:rPr>
            </w:pPr>
          </w:p>
        </w:tc>
      </w:tr>
      <w:tr w:rsidR="00FF01A8" w:rsidRPr="004F5F2B" w:rsidTr="00C4514D">
        <w:trPr>
          <w:trHeight w:val="900"/>
        </w:trPr>
        <w:tc>
          <w:tcPr>
            <w:tcW w:w="1500" w:type="dxa"/>
            <w:tcBorders>
              <w:top w:val="nil"/>
              <w:left w:val="nil"/>
              <w:bottom w:val="nil"/>
              <w:right w:val="nil"/>
            </w:tcBorders>
            <w:shd w:val="clear" w:color="auto" w:fill="auto"/>
            <w:noWrap/>
            <w:vAlign w:val="bottom"/>
          </w:tcPr>
          <w:p w:rsidR="00FF01A8" w:rsidRPr="004F5F2B" w:rsidRDefault="00FF01A8" w:rsidP="00FF01A8">
            <w:pPr>
              <w:rPr>
                <w:rFonts w:ascii="Verdana" w:hAnsi="Verdana"/>
                <w:color w:val="000000"/>
              </w:rPr>
            </w:pP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auto"/>
          </w:tcPr>
          <w:p w:rsidR="00FF01A8" w:rsidRPr="004F5F2B" w:rsidRDefault="00FF01A8" w:rsidP="003B7BFA">
            <w:pPr>
              <w:spacing w:before="120"/>
              <w:jc w:val="both"/>
              <w:rPr>
                <w:rFonts w:ascii="Verdana" w:hAnsi="Verdana"/>
                <w:color w:val="000000"/>
                <w:sz w:val="16"/>
                <w:szCs w:val="16"/>
              </w:rPr>
            </w:pPr>
            <w:r w:rsidRPr="004F5F2B">
              <w:rPr>
                <w:rFonts w:ascii="Verdana" w:hAnsi="Verdana"/>
                <w:color w:val="000000"/>
                <w:sz w:val="16"/>
                <w:szCs w:val="16"/>
              </w:rPr>
              <w:t> </w:t>
            </w:r>
          </w:p>
        </w:tc>
        <w:tc>
          <w:tcPr>
            <w:tcW w:w="1200" w:type="dxa"/>
            <w:vMerge w:val="restart"/>
            <w:tcBorders>
              <w:top w:val="single" w:sz="8" w:space="0" w:color="auto"/>
              <w:left w:val="single" w:sz="8" w:space="0" w:color="auto"/>
              <w:bottom w:val="single" w:sz="8" w:space="0" w:color="000000"/>
              <w:right w:val="single" w:sz="8" w:space="0" w:color="auto"/>
            </w:tcBorders>
            <w:shd w:val="clear" w:color="auto" w:fill="auto"/>
          </w:tcPr>
          <w:p w:rsidR="00FF01A8" w:rsidRPr="004F5F2B" w:rsidRDefault="00FF01A8" w:rsidP="003B7BFA">
            <w:pPr>
              <w:spacing w:before="120"/>
              <w:jc w:val="both"/>
              <w:rPr>
                <w:rFonts w:ascii="Verdana" w:hAnsi="Verdana"/>
                <w:color w:val="000000"/>
                <w:sz w:val="16"/>
                <w:szCs w:val="16"/>
              </w:rPr>
            </w:pPr>
            <w:r w:rsidRPr="004F5F2B">
              <w:rPr>
                <w:rFonts w:ascii="Verdana" w:hAnsi="Verdana"/>
                <w:color w:val="000000"/>
                <w:sz w:val="16"/>
                <w:szCs w:val="16"/>
              </w:rPr>
              <w:t>Fund</w:t>
            </w:r>
          </w:p>
        </w:tc>
        <w:tc>
          <w:tcPr>
            <w:tcW w:w="1200" w:type="dxa"/>
            <w:gridSpan w:val="2"/>
            <w:tcBorders>
              <w:top w:val="single" w:sz="8" w:space="0" w:color="auto"/>
              <w:left w:val="nil"/>
              <w:bottom w:val="nil"/>
              <w:right w:val="single" w:sz="8" w:space="0" w:color="auto"/>
            </w:tcBorders>
            <w:shd w:val="clear" w:color="auto" w:fill="auto"/>
          </w:tcPr>
          <w:p w:rsidR="00FF01A8" w:rsidRPr="004F5F2B" w:rsidRDefault="00FF01A8" w:rsidP="003B7BFA">
            <w:pPr>
              <w:spacing w:before="120"/>
              <w:jc w:val="both"/>
              <w:rPr>
                <w:rFonts w:ascii="Verdana" w:hAnsi="Verdana"/>
                <w:color w:val="000000"/>
                <w:sz w:val="16"/>
                <w:szCs w:val="16"/>
              </w:rPr>
            </w:pPr>
            <w:r w:rsidRPr="004F5F2B">
              <w:rPr>
                <w:rFonts w:ascii="Verdana" w:hAnsi="Verdana"/>
                <w:color w:val="000000"/>
                <w:sz w:val="16"/>
                <w:szCs w:val="16"/>
              </w:rPr>
              <w:t>Basis for the calculation of the Union support</w:t>
            </w:r>
          </w:p>
        </w:tc>
        <w:tc>
          <w:tcPr>
            <w:tcW w:w="1200" w:type="dxa"/>
            <w:gridSpan w:val="2"/>
            <w:vMerge w:val="restart"/>
            <w:tcBorders>
              <w:top w:val="single" w:sz="8" w:space="0" w:color="auto"/>
              <w:left w:val="single" w:sz="8" w:space="0" w:color="auto"/>
              <w:bottom w:val="single" w:sz="8" w:space="0" w:color="000000"/>
              <w:right w:val="single" w:sz="8" w:space="0" w:color="auto"/>
            </w:tcBorders>
            <w:shd w:val="clear" w:color="auto" w:fill="auto"/>
          </w:tcPr>
          <w:p w:rsidR="00FF01A8" w:rsidRPr="004F5F2B" w:rsidRDefault="00FF01A8" w:rsidP="003B7BFA">
            <w:pPr>
              <w:spacing w:before="120"/>
              <w:jc w:val="both"/>
              <w:rPr>
                <w:rFonts w:ascii="Verdana" w:hAnsi="Verdana"/>
                <w:color w:val="000000"/>
                <w:sz w:val="16"/>
                <w:szCs w:val="16"/>
              </w:rPr>
            </w:pPr>
            <w:r w:rsidRPr="004F5F2B">
              <w:rPr>
                <w:rFonts w:ascii="Verdana" w:hAnsi="Verdana"/>
                <w:color w:val="000000"/>
                <w:sz w:val="16"/>
                <w:szCs w:val="16"/>
              </w:rPr>
              <w:t>Union support (a)</w:t>
            </w:r>
          </w:p>
        </w:tc>
        <w:tc>
          <w:tcPr>
            <w:tcW w:w="1200" w:type="dxa"/>
            <w:gridSpan w:val="2"/>
            <w:tcBorders>
              <w:top w:val="single" w:sz="8" w:space="0" w:color="auto"/>
              <w:left w:val="nil"/>
              <w:bottom w:val="nil"/>
              <w:right w:val="single" w:sz="8" w:space="0" w:color="auto"/>
            </w:tcBorders>
            <w:shd w:val="clear" w:color="auto" w:fill="auto"/>
          </w:tcPr>
          <w:p w:rsidR="00FF01A8" w:rsidRPr="004F5F2B" w:rsidRDefault="00FF01A8" w:rsidP="003B7BFA">
            <w:pPr>
              <w:spacing w:before="120"/>
              <w:jc w:val="both"/>
              <w:rPr>
                <w:rFonts w:ascii="Verdana" w:hAnsi="Verdana"/>
                <w:color w:val="000000"/>
                <w:sz w:val="16"/>
                <w:szCs w:val="16"/>
              </w:rPr>
            </w:pPr>
            <w:r w:rsidRPr="004F5F2B">
              <w:rPr>
                <w:rFonts w:ascii="Verdana" w:hAnsi="Verdana"/>
                <w:color w:val="000000"/>
                <w:sz w:val="16"/>
                <w:szCs w:val="16"/>
              </w:rPr>
              <w:t>National counterpart</w:t>
            </w:r>
          </w:p>
        </w:tc>
        <w:tc>
          <w:tcPr>
            <w:tcW w:w="2400" w:type="dxa"/>
            <w:gridSpan w:val="3"/>
            <w:vMerge w:val="restart"/>
            <w:tcBorders>
              <w:top w:val="single" w:sz="8" w:space="0" w:color="auto"/>
              <w:left w:val="single" w:sz="8" w:space="0" w:color="auto"/>
              <w:bottom w:val="single" w:sz="8" w:space="0" w:color="000000"/>
              <w:right w:val="single" w:sz="8" w:space="0" w:color="000000"/>
            </w:tcBorders>
            <w:shd w:val="clear" w:color="auto" w:fill="auto"/>
          </w:tcPr>
          <w:p w:rsidR="00FF01A8" w:rsidRPr="004F5F2B" w:rsidRDefault="00FF01A8" w:rsidP="003B7BFA">
            <w:pPr>
              <w:spacing w:before="120"/>
              <w:jc w:val="both"/>
              <w:rPr>
                <w:rFonts w:ascii="Verdana" w:hAnsi="Verdana"/>
                <w:color w:val="000000"/>
                <w:sz w:val="16"/>
                <w:szCs w:val="16"/>
              </w:rPr>
            </w:pPr>
            <w:r w:rsidRPr="004F5F2B">
              <w:rPr>
                <w:rFonts w:ascii="Verdana" w:hAnsi="Verdana"/>
                <w:color w:val="000000"/>
                <w:sz w:val="16"/>
                <w:szCs w:val="16"/>
              </w:rPr>
              <w:t>Indicative breakdown of the national counterpart</w:t>
            </w:r>
          </w:p>
        </w:tc>
        <w:tc>
          <w:tcPr>
            <w:tcW w:w="1200" w:type="dxa"/>
            <w:gridSpan w:val="2"/>
            <w:tcBorders>
              <w:top w:val="single" w:sz="8" w:space="0" w:color="auto"/>
              <w:left w:val="nil"/>
              <w:bottom w:val="nil"/>
              <w:right w:val="single" w:sz="8" w:space="0" w:color="auto"/>
            </w:tcBorders>
            <w:shd w:val="clear" w:color="auto" w:fill="auto"/>
          </w:tcPr>
          <w:p w:rsidR="00FF01A8" w:rsidRPr="004F5F2B" w:rsidRDefault="00FF01A8" w:rsidP="003B7BFA">
            <w:pPr>
              <w:spacing w:before="120"/>
              <w:jc w:val="both"/>
              <w:rPr>
                <w:rFonts w:ascii="Verdana" w:hAnsi="Verdana"/>
                <w:color w:val="000000"/>
                <w:sz w:val="16"/>
                <w:szCs w:val="16"/>
              </w:rPr>
            </w:pPr>
            <w:r w:rsidRPr="004F5F2B">
              <w:rPr>
                <w:rFonts w:ascii="Verdana" w:hAnsi="Verdana"/>
                <w:color w:val="000000"/>
                <w:sz w:val="16"/>
                <w:szCs w:val="16"/>
              </w:rPr>
              <w:t>Total funding</w:t>
            </w:r>
          </w:p>
        </w:tc>
        <w:tc>
          <w:tcPr>
            <w:tcW w:w="1200" w:type="dxa"/>
            <w:gridSpan w:val="2"/>
            <w:tcBorders>
              <w:top w:val="single" w:sz="8" w:space="0" w:color="auto"/>
              <w:left w:val="nil"/>
              <w:bottom w:val="nil"/>
              <w:right w:val="single" w:sz="8" w:space="0" w:color="auto"/>
            </w:tcBorders>
            <w:shd w:val="clear" w:color="auto" w:fill="auto"/>
          </w:tcPr>
          <w:p w:rsidR="00FF01A8" w:rsidRPr="004F5F2B" w:rsidRDefault="00FF01A8" w:rsidP="003B7BFA">
            <w:pPr>
              <w:spacing w:before="120"/>
              <w:jc w:val="both"/>
              <w:rPr>
                <w:rFonts w:ascii="Verdana" w:hAnsi="Verdana"/>
                <w:color w:val="000000"/>
                <w:sz w:val="16"/>
                <w:szCs w:val="16"/>
              </w:rPr>
            </w:pPr>
            <w:r w:rsidRPr="004F5F2B">
              <w:rPr>
                <w:rFonts w:ascii="Verdana" w:hAnsi="Verdana"/>
                <w:color w:val="000000"/>
                <w:sz w:val="16"/>
                <w:szCs w:val="16"/>
              </w:rPr>
              <w:t>Co-financing rate</w:t>
            </w:r>
          </w:p>
        </w:tc>
        <w:tc>
          <w:tcPr>
            <w:tcW w:w="1266" w:type="dxa"/>
            <w:gridSpan w:val="2"/>
            <w:tcBorders>
              <w:top w:val="single" w:sz="8" w:space="0" w:color="auto"/>
              <w:left w:val="nil"/>
              <w:bottom w:val="nil"/>
              <w:right w:val="single" w:sz="8" w:space="0" w:color="auto"/>
            </w:tcBorders>
            <w:shd w:val="clear" w:color="auto" w:fill="auto"/>
          </w:tcPr>
          <w:p w:rsidR="00FF01A8" w:rsidRPr="004F5F2B" w:rsidRDefault="00FF01A8" w:rsidP="003B7BFA">
            <w:pPr>
              <w:spacing w:before="120"/>
              <w:jc w:val="both"/>
              <w:rPr>
                <w:rFonts w:ascii="Verdana" w:hAnsi="Verdana"/>
                <w:color w:val="000000"/>
                <w:sz w:val="16"/>
                <w:szCs w:val="16"/>
              </w:rPr>
            </w:pPr>
            <w:r w:rsidRPr="004F5F2B">
              <w:rPr>
                <w:rFonts w:ascii="Verdana" w:hAnsi="Verdana"/>
                <w:color w:val="000000"/>
                <w:sz w:val="16"/>
                <w:szCs w:val="16"/>
              </w:rPr>
              <w:t xml:space="preserve">For </w:t>
            </w:r>
          </w:p>
        </w:tc>
      </w:tr>
      <w:tr w:rsidR="00FF01A8" w:rsidRPr="004F5F2B" w:rsidTr="00C4514D">
        <w:trPr>
          <w:trHeight w:val="690"/>
        </w:trPr>
        <w:tc>
          <w:tcPr>
            <w:tcW w:w="1500" w:type="dxa"/>
            <w:tcBorders>
              <w:top w:val="nil"/>
              <w:left w:val="nil"/>
              <w:bottom w:val="nil"/>
              <w:right w:val="nil"/>
            </w:tcBorders>
            <w:shd w:val="clear" w:color="auto" w:fill="auto"/>
            <w:noWrap/>
            <w:vAlign w:val="bottom"/>
          </w:tcPr>
          <w:p w:rsidR="00FF01A8" w:rsidRPr="004F5F2B" w:rsidRDefault="00FF01A8" w:rsidP="00FF01A8">
            <w:pPr>
              <w:rPr>
                <w:rFonts w:ascii="Verdana" w:hAnsi="Verdana"/>
                <w:color w:val="000000"/>
              </w:rPr>
            </w:pPr>
          </w:p>
        </w:tc>
        <w:tc>
          <w:tcPr>
            <w:tcW w:w="1200" w:type="dxa"/>
            <w:vMerge/>
            <w:tcBorders>
              <w:top w:val="single" w:sz="8" w:space="0" w:color="auto"/>
              <w:left w:val="single" w:sz="8" w:space="0" w:color="auto"/>
              <w:bottom w:val="single" w:sz="8" w:space="0" w:color="000000"/>
              <w:right w:val="single" w:sz="8" w:space="0" w:color="auto"/>
            </w:tcBorders>
            <w:vAlign w:val="center"/>
          </w:tcPr>
          <w:p w:rsidR="00FF01A8" w:rsidRPr="004F5F2B" w:rsidRDefault="00FF01A8" w:rsidP="003B7BFA">
            <w:pPr>
              <w:spacing w:before="120"/>
              <w:rPr>
                <w:rFonts w:ascii="Verdana" w:hAnsi="Verdana"/>
                <w:color w:val="000000"/>
                <w:sz w:val="16"/>
                <w:szCs w:val="16"/>
              </w:rPr>
            </w:pPr>
          </w:p>
        </w:tc>
        <w:tc>
          <w:tcPr>
            <w:tcW w:w="1200" w:type="dxa"/>
            <w:vMerge/>
            <w:tcBorders>
              <w:top w:val="single" w:sz="8" w:space="0" w:color="auto"/>
              <w:left w:val="single" w:sz="8" w:space="0" w:color="auto"/>
              <w:bottom w:val="single" w:sz="8" w:space="0" w:color="000000"/>
              <w:right w:val="single" w:sz="8" w:space="0" w:color="auto"/>
            </w:tcBorders>
            <w:vAlign w:val="center"/>
          </w:tcPr>
          <w:p w:rsidR="00FF01A8" w:rsidRPr="004F5F2B" w:rsidRDefault="00FF01A8" w:rsidP="003B7BFA">
            <w:pPr>
              <w:spacing w:before="120"/>
              <w:rPr>
                <w:rFonts w:ascii="Verdana" w:hAnsi="Verdana"/>
                <w:color w:val="000000"/>
                <w:sz w:val="16"/>
                <w:szCs w:val="16"/>
              </w:rPr>
            </w:pPr>
          </w:p>
        </w:tc>
        <w:tc>
          <w:tcPr>
            <w:tcW w:w="1200" w:type="dxa"/>
            <w:gridSpan w:val="2"/>
            <w:tcBorders>
              <w:top w:val="nil"/>
              <w:left w:val="nil"/>
              <w:bottom w:val="single" w:sz="8" w:space="0" w:color="auto"/>
              <w:right w:val="single" w:sz="8" w:space="0" w:color="auto"/>
            </w:tcBorders>
            <w:shd w:val="clear" w:color="auto" w:fill="auto"/>
          </w:tcPr>
          <w:p w:rsidR="00FF01A8" w:rsidRPr="004F5F2B" w:rsidRDefault="00FF01A8" w:rsidP="003B7BFA">
            <w:pPr>
              <w:spacing w:before="120"/>
              <w:jc w:val="both"/>
              <w:rPr>
                <w:rFonts w:ascii="Verdana" w:hAnsi="Verdana"/>
                <w:color w:val="000000"/>
                <w:sz w:val="16"/>
                <w:szCs w:val="16"/>
              </w:rPr>
            </w:pPr>
            <w:r w:rsidRPr="004F5F2B">
              <w:rPr>
                <w:rFonts w:ascii="Verdana" w:hAnsi="Verdana"/>
                <w:color w:val="000000"/>
                <w:sz w:val="16"/>
                <w:szCs w:val="16"/>
              </w:rPr>
              <w:t>(Total eligible cost or public eligible cost)</w:t>
            </w:r>
          </w:p>
        </w:tc>
        <w:tc>
          <w:tcPr>
            <w:tcW w:w="1200" w:type="dxa"/>
            <w:gridSpan w:val="2"/>
            <w:vMerge/>
            <w:tcBorders>
              <w:top w:val="single" w:sz="8" w:space="0" w:color="auto"/>
              <w:left w:val="single" w:sz="8" w:space="0" w:color="auto"/>
              <w:bottom w:val="single" w:sz="8" w:space="0" w:color="000000"/>
              <w:right w:val="single" w:sz="8" w:space="0" w:color="auto"/>
            </w:tcBorders>
            <w:vAlign w:val="center"/>
          </w:tcPr>
          <w:p w:rsidR="00FF01A8" w:rsidRPr="004F5F2B" w:rsidRDefault="00FF01A8" w:rsidP="003B7BFA">
            <w:pPr>
              <w:spacing w:before="120"/>
              <w:rPr>
                <w:rFonts w:ascii="Verdana" w:hAnsi="Verdana"/>
                <w:color w:val="000000"/>
                <w:sz w:val="16"/>
                <w:szCs w:val="16"/>
              </w:rPr>
            </w:pPr>
          </w:p>
        </w:tc>
        <w:tc>
          <w:tcPr>
            <w:tcW w:w="1200" w:type="dxa"/>
            <w:gridSpan w:val="2"/>
            <w:tcBorders>
              <w:top w:val="nil"/>
              <w:left w:val="nil"/>
              <w:bottom w:val="single" w:sz="8" w:space="0" w:color="auto"/>
              <w:right w:val="single" w:sz="8" w:space="0" w:color="auto"/>
            </w:tcBorders>
            <w:shd w:val="clear" w:color="auto" w:fill="auto"/>
          </w:tcPr>
          <w:p w:rsidR="00FF01A8" w:rsidRPr="004F5F2B" w:rsidRDefault="00FF01A8" w:rsidP="003B7BFA">
            <w:pPr>
              <w:spacing w:before="120"/>
              <w:jc w:val="both"/>
              <w:rPr>
                <w:rFonts w:ascii="Verdana" w:hAnsi="Verdana"/>
                <w:color w:val="000000"/>
                <w:sz w:val="16"/>
                <w:szCs w:val="16"/>
              </w:rPr>
            </w:pPr>
            <w:r w:rsidRPr="004F5F2B">
              <w:rPr>
                <w:rFonts w:ascii="Verdana" w:hAnsi="Verdana"/>
                <w:color w:val="000000"/>
                <w:sz w:val="16"/>
                <w:szCs w:val="16"/>
              </w:rPr>
              <w:t>(b) = (c) + (d))</w:t>
            </w:r>
          </w:p>
        </w:tc>
        <w:tc>
          <w:tcPr>
            <w:tcW w:w="2400" w:type="dxa"/>
            <w:gridSpan w:val="3"/>
            <w:vMerge/>
            <w:tcBorders>
              <w:top w:val="nil"/>
              <w:left w:val="nil"/>
              <w:bottom w:val="single" w:sz="8" w:space="0" w:color="auto"/>
              <w:right w:val="single" w:sz="8" w:space="0" w:color="auto"/>
            </w:tcBorders>
            <w:vAlign w:val="center"/>
          </w:tcPr>
          <w:p w:rsidR="00FF01A8" w:rsidRPr="004F5F2B" w:rsidRDefault="00FF01A8" w:rsidP="003B7BFA">
            <w:pPr>
              <w:spacing w:before="120"/>
              <w:rPr>
                <w:rFonts w:ascii="Verdana" w:hAnsi="Verdana"/>
                <w:color w:val="000000"/>
                <w:sz w:val="16"/>
                <w:szCs w:val="16"/>
              </w:rPr>
            </w:pPr>
          </w:p>
        </w:tc>
        <w:tc>
          <w:tcPr>
            <w:tcW w:w="1200" w:type="dxa"/>
            <w:gridSpan w:val="2"/>
            <w:tcBorders>
              <w:top w:val="nil"/>
              <w:left w:val="nil"/>
              <w:bottom w:val="single" w:sz="8" w:space="0" w:color="auto"/>
              <w:right w:val="single" w:sz="8" w:space="0" w:color="auto"/>
            </w:tcBorders>
            <w:shd w:val="clear" w:color="auto" w:fill="auto"/>
          </w:tcPr>
          <w:p w:rsidR="00FF01A8" w:rsidRPr="004F5F2B" w:rsidRDefault="006F7B95" w:rsidP="003B7BFA">
            <w:pPr>
              <w:spacing w:before="120"/>
              <w:jc w:val="both"/>
              <w:rPr>
                <w:rFonts w:ascii="Verdana" w:hAnsi="Verdana"/>
                <w:color w:val="0000FF"/>
                <w:sz w:val="16"/>
                <w:szCs w:val="16"/>
                <w:u w:val="single"/>
              </w:rPr>
            </w:pPr>
            <w:hyperlink r:id="rId31" w:anchor="E0079#E0079" w:history="1">
              <w:r w:rsidR="00FF01A8" w:rsidRPr="004F5F2B">
                <w:rPr>
                  <w:rFonts w:ascii="Verdana" w:hAnsi="Verdana"/>
                  <w:color w:val="0000FF"/>
                  <w:sz w:val="16"/>
                  <w:szCs w:val="16"/>
                  <w:u w:val="single"/>
                </w:rPr>
                <w:t>(e) = (a) + (b) (2)</w:t>
              </w:r>
            </w:hyperlink>
          </w:p>
        </w:tc>
        <w:tc>
          <w:tcPr>
            <w:tcW w:w="1200" w:type="dxa"/>
            <w:gridSpan w:val="2"/>
            <w:tcBorders>
              <w:top w:val="nil"/>
              <w:left w:val="nil"/>
              <w:bottom w:val="single" w:sz="8" w:space="0" w:color="auto"/>
              <w:right w:val="single" w:sz="8" w:space="0" w:color="auto"/>
            </w:tcBorders>
            <w:shd w:val="clear" w:color="auto" w:fill="auto"/>
          </w:tcPr>
          <w:p w:rsidR="00FF01A8" w:rsidRPr="004F5F2B" w:rsidRDefault="00FF01A8" w:rsidP="003B7BFA">
            <w:pPr>
              <w:spacing w:before="120"/>
              <w:jc w:val="both"/>
              <w:rPr>
                <w:rFonts w:ascii="Verdana" w:hAnsi="Verdana"/>
                <w:color w:val="000000"/>
                <w:sz w:val="16"/>
                <w:szCs w:val="16"/>
              </w:rPr>
            </w:pPr>
            <w:r w:rsidRPr="004F5F2B">
              <w:rPr>
                <w:rFonts w:ascii="Verdana" w:hAnsi="Verdana"/>
                <w:color w:val="000000"/>
                <w:sz w:val="16"/>
                <w:szCs w:val="16"/>
              </w:rPr>
              <w:t>(f)  = (a)/(e)</w:t>
            </w:r>
          </w:p>
        </w:tc>
        <w:tc>
          <w:tcPr>
            <w:tcW w:w="1266" w:type="dxa"/>
            <w:gridSpan w:val="2"/>
            <w:tcBorders>
              <w:top w:val="nil"/>
              <w:left w:val="nil"/>
              <w:bottom w:val="single" w:sz="8" w:space="0" w:color="auto"/>
              <w:right w:val="single" w:sz="8" w:space="0" w:color="auto"/>
            </w:tcBorders>
            <w:shd w:val="clear" w:color="auto" w:fill="auto"/>
          </w:tcPr>
          <w:p w:rsidR="00FF01A8" w:rsidRPr="004F5F2B" w:rsidRDefault="00FF01A8" w:rsidP="003B7BFA">
            <w:pPr>
              <w:spacing w:before="120"/>
              <w:jc w:val="both"/>
              <w:rPr>
                <w:rFonts w:ascii="Verdana" w:hAnsi="Verdana"/>
                <w:color w:val="000000"/>
                <w:sz w:val="16"/>
                <w:szCs w:val="16"/>
              </w:rPr>
            </w:pPr>
            <w:r w:rsidRPr="004F5F2B">
              <w:rPr>
                <w:rFonts w:ascii="Verdana" w:hAnsi="Verdana"/>
                <w:color w:val="000000"/>
                <w:sz w:val="16"/>
                <w:szCs w:val="16"/>
              </w:rPr>
              <w:t>information</w:t>
            </w:r>
          </w:p>
        </w:tc>
      </w:tr>
      <w:tr w:rsidR="00FF01A8" w:rsidRPr="004F5F2B" w:rsidTr="00C4514D">
        <w:trPr>
          <w:trHeight w:val="900"/>
        </w:trPr>
        <w:tc>
          <w:tcPr>
            <w:tcW w:w="1500" w:type="dxa"/>
            <w:tcBorders>
              <w:top w:val="nil"/>
              <w:left w:val="nil"/>
              <w:bottom w:val="nil"/>
              <w:right w:val="nil"/>
            </w:tcBorders>
            <w:shd w:val="clear" w:color="auto" w:fill="auto"/>
            <w:noWrap/>
            <w:vAlign w:val="bottom"/>
          </w:tcPr>
          <w:p w:rsidR="00FF01A8" w:rsidRPr="004F5F2B" w:rsidRDefault="00FF01A8" w:rsidP="00FF01A8">
            <w:pPr>
              <w:rPr>
                <w:rFonts w:ascii="Verdana" w:hAnsi="Verdana"/>
                <w:color w:val="000000"/>
              </w:rPr>
            </w:pPr>
          </w:p>
        </w:tc>
        <w:tc>
          <w:tcPr>
            <w:tcW w:w="1200" w:type="dxa"/>
            <w:vMerge/>
            <w:tcBorders>
              <w:top w:val="single" w:sz="8" w:space="0" w:color="auto"/>
              <w:left w:val="single" w:sz="8" w:space="0" w:color="auto"/>
              <w:bottom w:val="single" w:sz="8" w:space="0" w:color="000000"/>
              <w:right w:val="single" w:sz="8" w:space="0" w:color="auto"/>
            </w:tcBorders>
            <w:vAlign w:val="center"/>
          </w:tcPr>
          <w:p w:rsidR="00FF01A8" w:rsidRPr="004F5F2B" w:rsidRDefault="00FF01A8" w:rsidP="003B7BFA">
            <w:pPr>
              <w:spacing w:before="120"/>
              <w:rPr>
                <w:rFonts w:ascii="Verdana" w:hAnsi="Verdana"/>
                <w:color w:val="000000"/>
                <w:sz w:val="16"/>
                <w:szCs w:val="16"/>
              </w:rPr>
            </w:pPr>
          </w:p>
        </w:tc>
        <w:tc>
          <w:tcPr>
            <w:tcW w:w="1200" w:type="dxa"/>
            <w:vMerge w:val="restart"/>
            <w:tcBorders>
              <w:top w:val="nil"/>
              <w:left w:val="single" w:sz="8" w:space="0" w:color="auto"/>
              <w:bottom w:val="single" w:sz="8" w:space="0" w:color="000000"/>
              <w:right w:val="single" w:sz="8" w:space="0" w:color="auto"/>
            </w:tcBorders>
            <w:shd w:val="clear" w:color="auto" w:fill="auto"/>
          </w:tcPr>
          <w:p w:rsidR="00FF01A8" w:rsidRPr="004F5F2B" w:rsidRDefault="00FF01A8" w:rsidP="003B7BFA">
            <w:pPr>
              <w:spacing w:before="120"/>
              <w:jc w:val="both"/>
              <w:rPr>
                <w:rFonts w:ascii="Verdana" w:hAnsi="Verdana"/>
                <w:color w:val="000000"/>
                <w:sz w:val="16"/>
                <w:szCs w:val="16"/>
              </w:rPr>
            </w:pPr>
            <w:r w:rsidRPr="004F5F2B">
              <w:rPr>
                <w:rFonts w:ascii="Verdana" w:hAnsi="Verdana"/>
                <w:color w:val="000000"/>
                <w:sz w:val="16"/>
                <w:szCs w:val="16"/>
              </w:rPr>
              <w:t> </w:t>
            </w:r>
          </w:p>
        </w:tc>
        <w:tc>
          <w:tcPr>
            <w:tcW w:w="1200" w:type="dxa"/>
            <w:gridSpan w:val="2"/>
            <w:vMerge w:val="restart"/>
            <w:tcBorders>
              <w:top w:val="nil"/>
              <w:left w:val="single" w:sz="8" w:space="0" w:color="auto"/>
              <w:bottom w:val="single" w:sz="8" w:space="0" w:color="000000"/>
              <w:right w:val="single" w:sz="8" w:space="0" w:color="auto"/>
            </w:tcBorders>
            <w:shd w:val="clear" w:color="auto" w:fill="auto"/>
          </w:tcPr>
          <w:p w:rsidR="00FF01A8" w:rsidRPr="004F5F2B" w:rsidRDefault="00FF01A8" w:rsidP="003B7BFA">
            <w:pPr>
              <w:spacing w:before="120"/>
              <w:jc w:val="both"/>
              <w:rPr>
                <w:rFonts w:ascii="Verdana" w:hAnsi="Verdana"/>
                <w:color w:val="000000"/>
                <w:sz w:val="16"/>
                <w:szCs w:val="16"/>
              </w:rPr>
            </w:pPr>
            <w:r w:rsidRPr="004F5F2B">
              <w:rPr>
                <w:rFonts w:ascii="Verdana" w:hAnsi="Verdana"/>
                <w:color w:val="000000"/>
                <w:sz w:val="16"/>
                <w:szCs w:val="16"/>
              </w:rPr>
              <w:t> </w:t>
            </w:r>
          </w:p>
        </w:tc>
        <w:tc>
          <w:tcPr>
            <w:tcW w:w="1200" w:type="dxa"/>
            <w:gridSpan w:val="2"/>
            <w:vMerge w:val="restart"/>
            <w:tcBorders>
              <w:top w:val="nil"/>
              <w:left w:val="single" w:sz="8" w:space="0" w:color="auto"/>
              <w:bottom w:val="single" w:sz="8" w:space="0" w:color="000000"/>
              <w:right w:val="single" w:sz="8" w:space="0" w:color="auto"/>
            </w:tcBorders>
            <w:shd w:val="clear" w:color="auto" w:fill="auto"/>
          </w:tcPr>
          <w:p w:rsidR="00FF01A8" w:rsidRPr="004F5F2B" w:rsidRDefault="00FF01A8" w:rsidP="003B7BFA">
            <w:pPr>
              <w:spacing w:before="120"/>
              <w:jc w:val="both"/>
              <w:rPr>
                <w:rFonts w:ascii="Verdana" w:hAnsi="Verdana"/>
                <w:color w:val="000000"/>
                <w:sz w:val="16"/>
                <w:szCs w:val="16"/>
              </w:rPr>
            </w:pPr>
            <w:r w:rsidRPr="004F5F2B">
              <w:rPr>
                <w:rFonts w:ascii="Verdana" w:hAnsi="Verdana"/>
                <w:color w:val="000000"/>
                <w:sz w:val="16"/>
                <w:szCs w:val="16"/>
              </w:rPr>
              <w:t> </w:t>
            </w:r>
          </w:p>
        </w:tc>
        <w:tc>
          <w:tcPr>
            <w:tcW w:w="1200" w:type="dxa"/>
            <w:gridSpan w:val="2"/>
            <w:vMerge w:val="restart"/>
            <w:tcBorders>
              <w:top w:val="nil"/>
              <w:left w:val="single" w:sz="8" w:space="0" w:color="auto"/>
              <w:bottom w:val="single" w:sz="8" w:space="0" w:color="000000"/>
              <w:right w:val="single" w:sz="8" w:space="0" w:color="auto"/>
            </w:tcBorders>
            <w:shd w:val="clear" w:color="auto" w:fill="auto"/>
          </w:tcPr>
          <w:p w:rsidR="00FF01A8" w:rsidRPr="004F5F2B" w:rsidRDefault="00FF01A8" w:rsidP="003B7BFA">
            <w:pPr>
              <w:spacing w:before="120"/>
              <w:jc w:val="both"/>
              <w:rPr>
                <w:rFonts w:ascii="Verdana" w:hAnsi="Verdana"/>
                <w:color w:val="000000"/>
                <w:sz w:val="16"/>
                <w:szCs w:val="16"/>
              </w:rPr>
            </w:pPr>
            <w:r w:rsidRPr="004F5F2B">
              <w:rPr>
                <w:rFonts w:ascii="Verdana" w:hAnsi="Verdana"/>
                <w:color w:val="000000"/>
                <w:sz w:val="16"/>
                <w:szCs w:val="16"/>
              </w:rPr>
              <w:t> </w:t>
            </w:r>
          </w:p>
        </w:tc>
        <w:tc>
          <w:tcPr>
            <w:tcW w:w="1200" w:type="dxa"/>
            <w:gridSpan w:val="2"/>
            <w:tcBorders>
              <w:top w:val="nil"/>
              <w:left w:val="nil"/>
              <w:bottom w:val="nil"/>
              <w:right w:val="single" w:sz="8" w:space="0" w:color="auto"/>
            </w:tcBorders>
            <w:shd w:val="clear" w:color="auto" w:fill="auto"/>
          </w:tcPr>
          <w:p w:rsidR="00FF01A8" w:rsidRPr="004F5F2B" w:rsidRDefault="00FF01A8" w:rsidP="003B7BFA">
            <w:pPr>
              <w:spacing w:before="120"/>
              <w:jc w:val="both"/>
              <w:rPr>
                <w:rFonts w:ascii="Verdana" w:hAnsi="Verdana"/>
                <w:color w:val="000000"/>
                <w:sz w:val="16"/>
                <w:szCs w:val="16"/>
              </w:rPr>
            </w:pPr>
            <w:r w:rsidRPr="004F5F2B">
              <w:rPr>
                <w:rFonts w:ascii="Verdana" w:hAnsi="Verdana"/>
                <w:color w:val="000000"/>
                <w:sz w:val="16"/>
                <w:szCs w:val="16"/>
              </w:rPr>
              <w:t>National Public funding</w:t>
            </w:r>
          </w:p>
        </w:tc>
        <w:tc>
          <w:tcPr>
            <w:tcW w:w="1200" w:type="dxa"/>
            <w:tcBorders>
              <w:top w:val="nil"/>
              <w:left w:val="nil"/>
              <w:bottom w:val="nil"/>
              <w:right w:val="single" w:sz="8" w:space="0" w:color="auto"/>
            </w:tcBorders>
            <w:shd w:val="clear" w:color="auto" w:fill="auto"/>
          </w:tcPr>
          <w:p w:rsidR="00FF01A8" w:rsidRPr="004F5F2B" w:rsidRDefault="006F7B95" w:rsidP="003B7BFA">
            <w:pPr>
              <w:spacing w:before="120"/>
              <w:jc w:val="both"/>
              <w:rPr>
                <w:rFonts w:ascii="Verdana" w:hAnsi="Verdana"/>
                <w:color w:val="0000FF"/>
                <w:sz w:val="16"/>
                <w:szCs w:val="16"/>
                <w:u w:val="single"/>
              </w:rPr>
            </w:pPr>
            <w:hyperlink r:id="rId32" w:anchor="E0078#E0078" w:history="1">
              <w:r w:rsidR="00FF01A8" w:rsidRPr="004F5F2B">
                <w:rPr>
                  <w:rFonts w:ascii="Verdana" w:hAnsi="Verdana"/>
                  <w:color w:val="0000FF"/>
                  <w:sz w:val="16"/>
                  <w:szCs w:val="16"/>
                  <w:u w:val="single"/>
                </w:rPr>
                <w:t xml:space="preserve">National private funding (1) </w:t>
              </w:r>
            </w:hyperlink>
          </w:p>
        </w:tc>
        <w:tc>
          <w:tcPr>
            <w:tcW w:w="1200" w:type="dxa"/>
            <w:gridSpan w:val="2"/>
            <w:vMerge w:val="restart"/>
            <w:tcBorders>
              <w:top w:val="nil"/>
              <w:left w:val="single" w:sz="8" w:space="0" w:color="auto"/>
              <w:bottom w:val="single" w:sz="8" w:space="0" w:color="000000"/>
              <w:right w:val="single" w:sz="8" w:space="0" w:color="auto"/>
            </w:tcBorders>
            <w:shd w:val="clear" w:color="auto" w:fill="auto"/>
          </w:tcPr>
          <w:p w:rsidR="00FF01A8" w:rsidRPr="004F5F2B" w:rsidRDefault="00FF01A8" w:rsidP="003B7BFA">
            <w:pPr>
              <w:spacing w:before="120"/>
              <w:jc w:val="both"/>
              <w:rPr>
                <w:rFonts w:ascii="Verdana" w:hAnsi="Verdana"/>
                <w:color w:val="000000"/>
                <w:sz w:val="16"/>
                <w:szCs w:val="16"/>
              </w:rPr>
            </w:pPr>
            <w:r w:rsidRPr="004F5F2B">
              <w:rPr>
                <w:rFonts w:ascii="Verdana" w:hAnsi="Verdana"/>
                <w:color w:val="000000"/>
                <w:sz w:val="16"/>
                <w:szCs w:val="16"/>
              </w:rPr>
              <w:t> </w:t>
            </w:r>
          </w:p>
        </w:tc>
        <w:tc>
          <w:tcPr>
            <w:tcW w:w="1200" w:type="dxa"/>
            <w:gridSpan w:val="2"/>
            <w:vMerge w:val="restart"/>
            <w:tcBorders>
              <w:top w:val="nil"/>
              <w:left w:val="single" w:sz="8" w:space="0" w:color="auto"/>
              <w:bottom w:val="single" w:sz="8" w:space="0" w:color="000000"/>
              <w:right w:val="single" w:sz="8" w:space="0" w:color="auto"/>
            </w:tcBorders>
            <w:shd w:val="clear" w:color="auto" w:fill="auto"/>
          </w:tcPr>
          <w:p w:rsidR="00FF01A8" w:rsidRPr="004F5F2B" w:rsidRDefault="00FF01A8" w:rsidP="003B7BFA">
            <w:pPr>
              <w:spacing w:before="120"/>
              <w:jc w:val="both"/>
              <w:rPr>
                <w:rFonts w:ascii="Verdana" w:hAnsi="Verdana"/>
                <w:color w:val="000000"/>
                <w:sz w:val="16"/>
                <w:szCs w:val="16"/>
              </w:rPr>
            </w:pPr>
            <w:r w:rsidRPr="004F5F2B">
              <w:rPr>
                <w:rFonts w:ascii="Verdana" w:hAnsi="Verdana"/>
                <w:color w:val="000000"/>
                <w:sz w:val="16"/>
                <w:szCs w:val="16"/>
              </w:rPr>
              <w:t> </w:t>
            </w:r>
          </w:p>
        </w:tc>
        <w:tc>
          <w:tcPr>
            <w:tcW w:w="1266" w:type="dxa"/>
            <w:gridSpan w:val="2"/>
            <w:vMerge w:val="restart"/>
            <w:tcBorders>
              <w:top w:val="nil"/>
              <w:left w:val="single" w:sz="8" w:space="0" w:color="auto"/>
              <w:bottom w:val="single" w:sz="8" w:space="0" w:color="000000"/>
              <w:right w:val="single" w:sz="8" w:space="0" w:color="auto"/>
            </w:tcBorders>
            <w:shd w:val="clear" w:color="auto" w:fill="auto"/>
          </w:tcPr>
          <w:p w:rsidR="00FF01A8" w:rsidRPr="004F5F2B" w:rsidRDefault="00FF01A8" w:rsidP="003B7BFA">
            <w:pPr>
              <w:spacing w:before="120"/>
              <w:jc w:val="both"/>
              <w:rPr>
                <w:rFonts w:ascii="Verdana" w:hAnsi="Verdana"/>
                <w:color w:val="000000"/>
                <w:sz w:val="16"/>
                <w:szCs w:val="16"/>
              </w:rPr>
            </w:pPr>
            <w:r w:rsidRPr="004F5F2B">
              <w:rPr>
                <w:rFonts w:ascii="Verdana" w:hAnsi="Verdana"/>
                <w:color w:val="000000"/>
                <w:sz w:val="16"/>
                <w:szCs w:val="16"/>
              </w:rPr>
              <w:t xml:space="preserve">EIB </w:t>
            </w:r>
            <w:r w:rsidR="004F5F2B" w:rsidRPr="004F5F2B">
              <w:rPr>
                <w:rFonts w:ascii="Verdana" w:hAnsi="Verdana"/>
                <w:color w:val="000000"/>
                <w:sz w:val="16"/>
                <w:szCs w:val="16"/>
              </w:rPr>
              <w:t>contributions</w:t>
            </w:r>
            <w:r w:rsidRPr="004F5F2B">
              <w:rPr>
                <w:rFonts w:ascii="Verdana" w:hAnsi="Verdana"/>
                <w:color w:val="000000"/>
                <w:sz w:val="16"/>
                <w:szCs w:val="16"/>
              </w:rPr>
              <w:t>/</w:t>
            </w:r>
            <w:r w:rsidR="004F5F2B">
              <w:rPr>
                <w:rFonts w:ascii="Verdana" w:hAnsi="Verdana"/>
                <w:color w:val="000000"/>
                <w:sz w:val="16"/>
                <w:szCs w:val="16"/>
              </w:rPr>
              <w:t xml:space="preserve"> </w:t>
            </w:r>
            <w:r w:rsidRPr="004F5F2B">
              <w:rPr>
                <w:rFonts w:ascii="Verdana" w:hAnsi="Verdana"/>
                <w:color w:val="000000"/>
                <w:sz w:val="16"/>
                <w:szCs w:val="16"/>
              </w:rPr>
              <w:t>Contributions from third countries/EDF</w:t>
            </w:r>
          </w:p>
        </w:tc>
      </w:tr>
      <w:tr w:rsidR="00FF01A8" w:rsidRPr="004F5F2B" w:rsidTr="00C4514D">
        <w:trPr>
          <w:trHeight w:val="315"/>
        </w:trPr>
        <w:tc>
          <w:tcPr>
            <w:tcW w:w="1500" w:type="dxa"/>
            <w:tcBorders>
              <w:top w:val="nil"/>
              <w:left w:val="nil"/>
              <w:bottom w:val="nil"/>
              <w:right w:val="nil"/>
            </w:tcBorders>
            <w:shd w:val="clear" w:color="auto" w:fill="auto"/>
            <w:noWrap/>
            <w:vAlign w:val="bottom"/>
          </w:tcPr>
          <w:p w:rsidR="00FF01A8" w:rsidRPr="004F5F2B" w:rsidRDefault="00FF01A8" w:rsidP="00FF01A8">
            <w:pPr>
              <w:rPr>
                <w:rFonts w:ascii="Verdana" w:hAnsi="Verdana"/>
                <w:color w:val="000000"/>
              </w:rPr>
            </w:pPr>
          </w:p>
        </w:tc>
        <w:tc>
          <w:tcPr>
            <w:tcW w:w="1200" w:type="dxa"/>
            <w:vMerge/>
            <w:tcBorders>
              <w:top w:val="single" w:sz="8" w:space="0" w:color="auto"/>
              <w:left w:val="single" w:sz="8" w:space="0" w:color="auto"/>
              <w:bottom w:val="single" w:sz="8" w:space="0" w:color="000000"/>
              <w:right w:val="single" w:sz="8" w:space="0" w:color="auto"/>
            </w:tcBorders>
            <w:vAlign w:val="center"/>
          </w:tcPr>
          <w:p w:rsidR="00FF01A8" w:rsidRPr="004F5F2B" w:rsidRDefault="00FF01A8" w:rsidP="00FF01A8">
            <w:pPr>
              <w:rPr>
                <w:rFonts w:ascii="Verdana" w:hAnsi="Verdana"/>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tcPr>
          <w:p w:rsidR="00FF01A8" w:rsidRPr="004F5F2B" w:rsidRDefault="00FF01A8" w:rsidP="00FF01A8">
            <w:pPr>
              <w:rPr>
                <w:rFonts w:ascii="Verdana" w:hAnsi="Verdana"/>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tcPr>
          <w:p w:rsidR="00FF01A8" w:rsidRPr="004F5F2B" w:rsidRDefault="00FF01A8" w:rsidP="00FF01A8">
            <w:pPr>
              <w:rPr>
                <w:rFonts w:ascii="Verdana" w:hAnsi="Verdana"/>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tcPr>
          <w:p w:rsidR="00FF01A8" w:rsidRPr="004F5F2B" w:rsidRDefault="00FF01A8" w:rsidP="00FF01A8">
            <w:pPr>
              <w:rPr>
                <w:rFonts w:ascii="Verdana" w:hAnsi="Verdana"/>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tcPr>
          <w:p w:rsidR="00FF01A8" w:rsidRPr="004F5F2B" w:rsidRDefault="00FF01A8" w:rsidP="00FF01A8">
            <w:pPr>
              <w:rPr>
                <w:rFonts w:ascii="Verdana" w:hAnsi="Verdana"/>
                <w:color w:val="000000"/>
                <w:sz w:val="16"/>
                <w:szCs w:val="16"/>
              </w:rPr>
            </w:pPr>
          </w:p>
        </w:tc>
        <w:tc>
          <w:tcPr>
            <w:tcW w:w="1200" w:type="dxa"/>
            <w:gridSpan w:val="2"/>
            <w:tcBorders>
              <w:top w:val="nil"/>
              <w:left w:val="nil"/>
              <w:bottom w:val="single" w:sz="8" w:space="0" w:color="auto"/>
              <w:right w:val="single" w:sz="8" w:space="0" w:color="auto"/>
            </w:tcBorders>
            <w:shd w:val="clear" w:color="auto" w:fill="auto"/>
          </w:tcPr>
          <w:p w:rsidR="00FF01A8" w:rsidRPr="004F5F2B" w:rsidRDefault="00FF01A8" w:rsidP="00FF01A8">
            <w:pPr>
              <w:jc w:val="both"/>
              <w:rPr>
                <w:rFonts w:ascii="Verdana" w:hAnsi="Verdana"/>
                <w:color w:val="000000"/>
                <w:sz w:val="16"/>
                <w:szCs w:val="16"/>
              </w:rPr>
            </w:pPr>
            <w:r w:rsidRPr="004F5F2B">
              <w:rPr>
                <w:rFonts w:ascii="Verdana" w:hAnsi="Verdana"/>
                <w:color w:val="000000"/>
                <w:sz w:val="16"/>
                <w:szCs w:val="16"/>
              </w:rPr>
              <w:t>(c)</w:t>
            </w:r>
          </w:p>
        </w:tc>
        <w:tc>
          <w:tcPr>
            <w:tcW w:w="1200" w:type="dxa"/>
            <w:tcBorders>
              <w:top w:val="nil"/>
              <w:left w:val="nil"/>
              <w:bottom w:val="single" w:sz="8" w:space="0" w:color="auto"/>
              <w:right w:val="single" w:sz="8" w:space="0" w:color="auto"/>
            </w:tcBorders>
            <w:shd w:val="clear" w:color="auto" w:fill="auto"/>
          </w:tcPr>
          <w:p w:rsidR="00FF01A8" w:rsidRPr="004F5F2B" w:rsidRDefault="00FF01A8" w:rsidP="00FF01A8">
            <w:pPr>
              <w:jc w:val="both"/>
              <w:rPr>
                <w:rFonts w:ascii="Verdana" w:hAnsi="Verdana"/>
                <w:color w:val="000000"/>
                <w:sz w:val="16"/>
                <w:szCs w:val="16"/>
              </w:rPr>
            </w:pPr>
            <w:r w:rsidRPr="004F5F2B">
              <w:rPr>
                <w:rFonts w:ascii="Verdana" w:hAnsi="Verdana"/>
                <w:color w:val="000000"/>
                <w:sz w:val="16"/>
                <w:szCs w:val="16"/>
              </w:rPr>
              <w:t>(d)</w:t>
            </w:r>
          </w:p>
        </w:tc>
        <w:tc>
          <w:tcPr>
            <w:tcW w:w="1200" w:type="dxa"/>
            <w:gridSpan w:val="2"/>
            <w:vMerge/>
            <w:tcBorders>
              <w:top w:val="nil"/>
              <w:left w:val="single" w:sz="8" w:space="0" w:color="auto"/>
              <w:bottom w:val="single" w:sz="8" w:space="0" w:color="000000"/>
              <w:right w:val="single" w:sz="8" w:space="0" w:color="auto"/>
            </w:tcBorders>
            <w:vAlign w:val="center"/>
          </w:tcPr>
          <w:p w:rsidR="00FF01A8" w:rsidRPr="004F5F2B" w:rsidRDefault="00FF01A8" w:rsidP="00FF01A8">
            <w:pPr>
              <w:rPr>
                <w:rFonts w:ascii="Verdana" w:hAnsi="Verdana"/>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tcPr>
          <w:p w:rsidR="00FF01A8" w:rsidRPr="004F5F2B" w:rsidRDefault="00FF01A8" w:rsidP="00FF01A8">
            <w:pPr>
              <w:rPr>
                <w:rFonts w:ascii="Verdana" w:hAnsi="Verdana"/>
                <w:color w:val="000000"/>
                <w:sz w:val="16"/>
                <w:szCs w:val="16"/>
              </w:rPr>
            </w:pPr>
          </w:p>
        </w:tc>
        <w:tc>
          <w:tcPr>
            <w:tcW w:w="1266" w:type="dxa"/>
            <w:gridSpan w:val="2"/>
            <w:vMerge/>
            <w:tcBorders>
              <w:top w:val="nil"/>
              <w:left w:val="single" w:sz="8" w:space="0" w:color="auto"/>
              <w:bottom w:val="single" w:sz="8" w:space="0" w:color="000000"/>
              <w:right w:val="single" w:sz="8" w:space="0" w:color="auto"/>
            </w:tcBorders>
            <w:vAlign w:val="center"/>
          </w:tcPr>
          <w:p w:rsidR="00FF01A8" w:rsidRPr="004F5F2B" w:rsidRDefault="00FF01A8" w:rsidP="00FF01A8">
            <w:pPr>
              <w:rPr>
                <w:rFonts w:ascii="Verdana" w:hAnsi="Verdana"/>
                <w:color w:val="000000"/>
                <w:sz w:val="16"/>
                <w:szCs w:val="16"/>
              </w:rPr>
            </w:pPr>
          </w:p>
        </w:tc>
      </w:tr>
      <w:tr w:rsidR="00FF01A8" w:rsidRPr="004F5F2B" w:rsidTr="00C4514D">
        <w:trPr>
          <w:trHeight w:val="810"/>
        </w:trPr>
        <w:tc>
          <w:tcPr>
            <w:tcW w:w="1500" w:type="dxa"/>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FF01A8" w:rsidRPr="004F5F2B" w:rsidRDefault="00FF01A8" w:rsidP="003B7BFA">
            <w:pPr>
              <w:spacing w:before="120"/>
              <w:jc w:val="center"/>
              <w:rPr>
                <w:rFonts w:ascii="Verdana" w:hAnsi="Verdana"/>
                <w:color w:val="000000"/>
                <w:sz w:val="16"/>
                <w:szCs w:val="16"/>
              </w:rPr>
            </w:pPr>
            <w:r w:rsidRPr="004F5F2B">
              <w:rPr>
                <w:rFonts w:ascii="Verdana" w:hAnsi="Verdana"/>
                <w:color w:val="000000"/>
                <w:sz w:val="16"/>
                <w:szCs w:val="16"/>
              </w:rPr>
              <w:t> </w:t>
            </w:r>
          </w:p>
        </w:tc>
        <w:tc>
          <w:tcPr>
            <w:tcW w:w="1200" w:type="dxa"/>
            <w:vMerge w:val="restart"/>
            <w:tcBorders>
              <w:top w:val="nil"/>
              <w:left w:val="single" w:sz="8" w:space="0" w:color="auto"/>
              <w:bottom w:val="single" w:sz="8" w:space="0" w:color="000000"/>
              <w:right w:val="single" w:sz="8" w:space="0" w:color="auto"/>
            </w:tcBorders>
            <w:shd w:val="clear" w:color="auto" w:fill="auto"/>
          </w:tcPr>
          <w:p w:rsidR="00FF01A8" w:rsidRPr="004F5F2B" w:rsidRDefault="00FF01A8" w:rsidP="003B7BFA">
            <w:pPr>
              <w:spacing w:before="120"/>
              <w:jc w:val="both"/>
              <w:rPr>
                <w:rFonts w:ascii="Verdana" w:hAnsi="Verdana"/>
                <w:i/>
                <w:iCs/>
                <w:color w:val="000000"/>
                <w:sz w:val="16"/>
                <w:szCs w:val="16"/>
              </w:rPr>
            </w:pPr>
            <w:r w:rsidRPr="004F5F2B">
              <w:rPr>
                <w:rFonts w:ascii="Verdana" w:hAnsi="Verdana"/>
                <w:i/>
                <w:iCs/>
                <w:color w:val="000000"/>
                <w:sz w:val="16"/>
                <w:szCs w:val="16"/>
              </w:rPr>
              <w:t>Priority axis 1</w:t>
            </w:r>
            <w:r w:rsidRPr="004F5F2B">
              <w:rPr>
                <w:rFonts w:ascii="Verdana" w:hAnsi="Verdana"/>
                <w:color w:val="000000"/>
                <w:sz w:val="16"/>
                <w:szCs w:val="16"/>
              </w:rPr>
              <w:t xml:space="preserve"> </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tcPr>
          <w:p w:rsidR="00FF01A8" w:rsidRPr="004F5F2B" w:rsidRDefault="00FF01A8" w:rsidP="003B7BFA">
            <w:pPr>
              <w:spacing w:before="120"/>
              <w:jc w:val="center"/>
              <w:rPr>
                <w:rFonts w:ascii="Verdana" w:hAnsi="Verdana"/>
                <w:color w:val="000000"/>
                <w:sz w:val="16"/>
                <w:szCs w:val="16"/>
              </w:rPr>
            </w:pPr>
            <w:r w:rsidRPr="004F5F2B">
              <w:rPr>
                <w:rFonts w:ascii="Verdana" w:hAnsi="Verdana"/>
                <w:color w:val="000000"/>
                <w:sz w:val="16"/>
                <w:szCs w:val="16"/>
              </w:rPr>
              <w:t>ERDF (incl. amounts transferred from IPA  and ENI)</w:t>
            </w:r>
          </w:p>
        </w:tc>
        <w:tc>
          <w:tcPr>
            <w:tcW w:w="1200" w:type="dxa"/>
            <w:gridSpan w:val="2"/>
            <w:vMerge w:val="restart"/>
            <w:tcBorders>
              <w:top w:val="nil"/>
              <w:left w:val="single" w:sz="8" w:space="0" w:color="auto"/>
              <w:bottom w:val="single" w:sz="8" w:space="0" w:color="000000"/>
              <w:right w:val="single" w:sz="8" w:space="0" w:color="auto"/>
            </w:tcBorders>
            <w:shd w:val="clear" w:color="auto" w:fill="auto"/>
            <w:vAlign w:val="center"/>
          </w:tcPr>
          <w:p w:rsidR="00FF01A8" w:rsidRPr="004F5F2B" w:rsidRDefault="00FF01A8" w:rsidP="003B7BFA">
            <w:pPr>
              <w:spacing w:before="120"/>
              <w:jc w:val="center"/>
              <w:rPr>
                <w:rFonts w:ascii="Verdana" w:hAnsi="Verdana"/>
                <w:color w:val="000000"/>
                <w:sz w:val="16"/>
                <w:szCs w:val="16"/>
              </w:rPr>
            </w:pPr>
            <w:r w:rsidRPr="004F5F2B">
              <w:rPr>
                <w:rFonts w:ascii="Verdana" w:hAnsi="Verdana"/>
                <w:color w:val="000000"/>
                <w:sz w:val="16"/>
                <w:szCs w:val="16"/>
              </w:rPr>
              <w:t> </w:t>
            </w:r>
          </w:p>
        </w:tc>
        <w:tc>
          <w:tcPr>
            <w:tcW w:w="1200" w:type="dxa"/>
            <w:gridSpan w:val="2"/>
            <w:vMerge w:val="restart"/>
            <w:tcBorders>
              <w:top w:val="nil"/>
              <w:left w:val="single" w:sz="8" w:space="0" w:color="auto"/>
              <w:bottom w:val="single" w:sz="8" w:space="0" w:color="000000"/>
              <w:right w:val="single" w:sz="8" w:space="0" w:color="auto"/>
            </w:tcBorders>
            <w:shd w:val="clear" w:color="auto" w:fill="auto"/>
            <w:vAlign w:val="center"/>
          </w:tcPr>
          <w:p w:rsidR="00FF01A8" w:rsidRPr="004F5F2B" w:rsidRDefault="00FF01A8" w:rsidP="00E00F86">
            <w:pPr>
              <w:spacing w:before="120"/>
              <w:jc w:val="center"/>
              <w:rPr>
                <w:rFonts w:ascii="Verdana" w:hAnsi="Verdana"/>
                <w:color w:val="000000"/>
                <w:sz w:val="16"/>
                <w:szCs w:val="16"/>
              </w:rPr>
            </w:pPr>
            <w:r w:rsidRPr="004F5F2B">
              <w:rPr>
                <w:rFonts w:ascii="Verdana" w:hAnsi="Verdana"/>
                <w:color w:val="000000"/>
                <w:sz w:val="16"/>
                <w:szCs w:val="16"/>
              </w:rPr>
              <w:t>69</w:t>
            </w:r>
            <w:r w:rsidR="003B7BFA">
              <w:rPr>
                <w:rFonts w:ascii="Verdana" w:hAnsi="Verdana"/>
                <w:color w:val="000000"/>
                <w:sz w:val="16"/>
                <w:szCs w:val="16"/>
              </w:rPr>
              <w:t> </w:t>
            </w:r>
            <w:r w:rsidRPr="004F5F2B">
              <w:rPr>
                <w:rFonts w:ascii="Verdana" w:hAnsi="Verdana"/>
                <w:color w:val="000000"/>
                <w:sz w:val="16"/>
                <w:szCs w:val="16"/>
              </w:rPr>
              <w:t>843</w:t>
            </w:r>
            <w:r w:rsidR="003B7BFA">
              <w:rPr>
                <w:rFonts w:ascii="Verdana" w:hAnsi="Verdana"/>
                <w:color w:val="000000"/>
                <w:sz w:val="16"/>
                <w:szCs w:val="16"/>
              </w:rPr>
              <w:t xml:space="preserve"> </w:t>
            </w:r>
            <w:r w:rsidR="00697F59">
              <w:rPr>
                <w:rFonts w:ascii="Verdana" w:hAnsi="Verdana"/>
                <w:color w:val="000000"/>
                <w:sz w:val="16"/>
                <w:szCs w:val="16"/>
              </w:rPr>
              <w:t>79</w:t>
            </w:r>
            <w:r w:rsidR="00E00F86">
              <w:rPr>
                <w:rFonts w:ascii="Verdana" w:hAnsi="Verdana"/>
                <w:color w:val="000000"/>
                <w:sz w:val="16"/>
                <w:szCs w:val="16"/>
              </w:rPr>
              <w:t>5</w:t>
            </w:r>
          </w:p>
        </w:tc>
        <w:tc>
          <w:tcPr>
            <w:tcW w:w="1200" w:type="dxa"/>
            <w:gridSpan w:val="2"/>
            <w:vMerge w:val="restart"/>
            <w:tcBorders>
              <w:top w:val="nil"/>
              <w:left w:val="single" w:sz="8" w:space="0" w:color="auto"/>
              <w:bottom w:val="single" w:sz="8" w:space="0" w:color="000000"/>
              <w:right w:val="single" w:sz="8" w:space="0" w:color="auto"/>
            </w:tcBorders>
            <w:shd w:val="clear" w:color="auto" w:fill="auto"/>
            <w:vAlign w:val="center"/>
          </w:tcPr>
          <w:p w:rsidR="00FF01A8" w:rsidRPr="004F5F2B" w:rsidRDefault="00FF01A8" w:rsidP="00697F59">
            <w:pPr>
              <w:spacing w:before="120"/>
              <w:jc w:val="center"/>
              <w:rPr>
                <w:rFonts w:ascii="Verdana" w:hAnsi="Verdana"/>
                <w:color w:val="000000"/>
                <w:sz w:val="16"/>
                <w:szCs w:val="16"/>
              </w:rPr>
            </w:pPr>
            <w:r w:rsidRPr="004F5F2B">
              <w:rPr>
                <w:rFonts w:ascii="Verdana" w:hAnsi="Verdana"/>
                <w:color w:val="000000"/>
                <w:sz w:val="16"/>
                <w:szCs w:val="16"/>
              </w:rPr>
              <w:t>18</w:t>
            </w:r>
            <w:r w:rsidR="003B7BFA">
              <w:rPr>
                <w:rFonts w:ascii="Verdana" w:hAnsi="Verdana"/>
                <w:color w:val="000000"/>
                <w:sz w:val="16"/>
                <w:szCs w:val="16"/>
              </w:rPr>
              <w:t xml:space="preserve"> </w:t>
            </w:r>
            <w:r w:rsidRPr="004F5F2B">
              <w:rPr>
                <w:rFonts w:ascii="Verdana" w:hAnsi="Verdana"/>
                <w:color w:val="000000"/>
                <w:sz w:val="16"/>
                <w:szCs w:val="16"/>
              </w:rPr>
              <w:t>375</w:t>
            </w:r>
            <w:r w:rsidR="003B7BFA">
              <w:rPr>
                <w:rFonts w:ascii="Verdana" w:hAnsi="Verdana"/>
                <w:color w:val="000000"/>
                <w:sz w:val="16"/>
                <w:szCs w:val="16"/>
              </w:rPr>
              <w:t xml:space="preserve"> </w:t>
            </w:r>
            <w:r w:rsidRPr="004F5F2B">
              <w:rPr>
                <w:rFonts w:ascii="Verdana" w:hAnsi="Verdana"/>
                <w:color w:val="000000"/>
                <w:sz w:val="16"/>
                <w:szCs w:val="16"/>
              </w:rPr>
              <w:t>0</w:t>
            </w:r>
            <w:r w:rsidR="00697F59">
              <w:rPr>
                <w:rFonts w:ascii="Verdana" w:hAnsi="Verdana"/>
                <w:color w:val="000000"/>
                <w:sz w:val="16"/>
                <w:szCs w:val="16"/>
              </w:rPr>
              <w:t>88</w:t>
            </w:r>
          </w:p>
        </w:tc>
        <w:tc>
          <w:tcPr>
            <w:tcW w:w="1200" w:type="dxa"/>
            <w:gridSpan w:val="2"/>
            <w:vMerge w:val="restart"/>
            <w:tcBorders>
              <w:top w:val="nil"/>
              <w:left w:val="single" w:sz="8" w:space="0" w:color="auto"/>
              <w:bottom w:val="single" w:sz="8" w:space="0" w:color="000000"/>
              <w:right w:val="single" w:sz="8" w:space="0" w:color="auto"/>
            </w:tcBorders>
            <w:shd w:val="clear" w:color="auto" w:fill="auto"/>
            <w:vAlign w:val="center"/>
          </w:tcPr>
          <w:p w:rsidR="00FF01A8" w:rsidRPr="004F5F2B" w:rsidRDefault="00FF01A8" w:rsidP="00697F59">
            <w:pPr>
              <w:spacing w:before="120"/>
              <w:jc w:val="center"/>
              <w:rPr>
                <w:rFonts w:ascii="Verdana" w:hAnsi="Verdana"/>
                <w:color w:val="000000"/>
                <w:sz w:val="16"/>
                <w:szCs w:val="16"/>
              </w:rPr>
            </w:pPr>
            <w:r w:rsidRPr="004F5F2B">
              <w:rPr>
                <w:rFonts w:ascii="Verdana" w:hAnsi="Verdana"/>
                <w:color w:val="000000"/>
                <w:sz w:val="16"/>
                <w:szCs w:val="16"/>
              </w:rPr>
              <w:t>18</w:t>
            </w:r>
            <w:r w:rsidR="003B7BFA">
              <w:rPr>
                <w:rFonts w:ascii="Verdana" w:hAnsi="Verdana"/>
                <w:color w:val="000000"/>
                <w:sz w:val="16"/>
                <w:szCs w:val="16"/>
              </w:rPr>
              <w:t> </w:t>
            </w:r>
            <w:r w:rsidRPr="004F5F2B">
              <w:rPr>
                <w:rFonts w:ascii="Verdana" w:hAnsi="Verdana"/>
                <w:color w:val="000000"/>
                <w:sz w:val="16"/>
                <w:szCs w:val="16"/>
              </w:rPr>
              <w:t>375</w:t>
            </w:r>
            <w:r w:rsidR="003B7BFA">
              <w:rPr>
                <w:rFonts w:ascii="Verdana" w:hAnsi="Verdana"/>
                <w:color w:val="000000"/>
                <w:sz w:val="16"/>
                <w:szCs w:val="16"/>
              </w:rPr>
              <w:t xml:space="preserve"> </w:t>
            </w:r>
            <w:r w:rsidRPr="004F5F2B">
              <w:rPr>
                <w:rFonts w:ascii="Verdana" w:hAnsi="Verdana"/>
                <w:color w:val="000000"/>
                <w:sz w:val="16"/>
                <w:szCs w:val="16"/>
              </w:rPr>
              <w:t>0</w:t>
            </w:r>
            <w:r w:rsidR="00697F59">
              <w:rPr>
                <w:rFonts w:ascii="Verdana" w:hAnsi="Verdana"/>
                <w:color w:val="000000"/>
                <w:sz w:val="16"/>
                <w:szCs w:val="16"/>
              </w:rPr>
              <w:t>88</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tcPr>
          <w:p w:rsidR="00FF01A8" w:rsidRPr="004F5F2B" w:rsidRDefault="00FF01A8" w:rsidP="003B7BFA">
            <w:pPr>
              <w:spacing w:before="120"/>
              <w:jc w:val="center"/>
              <w:rPr>
                <w:rFonts w:ascii="Verdana" w:hAnsi="Verdana"/>
                <w:color w:val="000000"/>
                <w:sz w:val="16"/>
                <w:szCs w:val="16"/>
              </w:rPr>
            </w:pPr>
            <w:r w:rsidRPr="004F5F2B">
              <w:rPr>
                <w:rFonts w:ascii="Verdana" w:hAnsi="Verdana"/>
                <w:color w:val="000000"/>
                <w:sz w:val="16"/>
                <w:szCs w:val="16"/>
              </w:rPr>
              <w:t>0</w:t>
            </w:r>
          </w:p>
        </w:tc>
        <w:tc>
          <w:tcPr>
            <w:tcW w:w="1200" w:type="dxa"/>
            <w:gridSpan w:val="2"/>
            <w:vMerge w:val="restart"/>
            <w:tcBorders>
              <w:top w:val="nil"/>
              <w:left w:val="single" w:sz="8" w:space="0" w:color="auto"/>
              <w:bottom w:val="single" w:sz="8" w:space="0" w:color="000000"/>
              <w:right w:val="single" w:sz="8" w:space="0" w:color="auto"/>
            </w:tcBorders>
            <w:shd w:val="clear" w:color="auto" w:fill="auto"/>
            <w:vAlign w:val="center"/>
          </w:tcPr>
          <w:p w:rsidR="00FF01A8" w:rsidRPr="004F5F2B" w:rsidRDefault="00FF01A8" w:rsidP="00E00F86">
            <w:pPr>
              <w:spacing w:before="120"/>
              <w:jc w:val="center"/>
              <w:rPr>
                <w:rFonts w:ascii="Verdana" w:hAnsi="Verdana"/>
                <w:color w:val="000000"/>
                <w:sz w:val="16"/>
                <w:szCs w:val="16"/>
              </w:rPr>
            </w:pPr>
            <w:r w:rsidRPr="004F5F2B">
              <w:rPr>
                <w:rFonts w:ascii="Verdana" w:hAnsi="Verdana"/>
                <w:color w:val="000000"/>
                <w:sz w:val="16"/>
                <w:szCs w:val="16"/>
              </w:rPr>
              <w:t>88</w:t>
            </w:r>
            <w:r w:rsidR="003B7BFA">
              <w:rPr>
                <w:rFonts w:ascii="Verdana" w:hAnsi="Verdana"/>
                <w:color w:val="000000"/>
                <w:sz w:val="16"/>
                <w:szCs w:val="16"/>
              </w:rPr>
              <w:t xml:space="preserve"> </w:t>
            </w:r>
            <w:r w:rsidRPr="004F5F2B">
              <w:rPr>
                <w:rFonts w:ascii="Verdana" w:hAnsi="Verdana"/>
                <w:color w:val="000000"/>
                <w:sz w:val="16"/>
                <w:szCs w:val="16"/>
              </w:rPr>
              <w:t>218</w:t>
            </w:r>
            <w:r w:rsidR="003B7BFA">
              <w:rPr>
                <w:rFonts w:ascii="Verdana" w:hAnsi="Verdana"/>
                <w:color w:val="000000"/>
                <w:sz w:val="16"/>
                <w:szCs w:val="16"/>
              </w:rPr>
              <w:t xml:space="preserve"> </w:t>
            </w:r>
            <w:r w:rsidRPr="004F5F2B">
              <w:rPr>
                <w:rFonts w:ascii="Verdana" w:hAnsi="Verdana"/>
                <w:color w:val="000000"/>
                <w:sz w:val="16"/>
                <w:szCs w:val="16"/>
              </w:rPr>
              <w:t>88</w:t>
            </w:r>
            <w:r w:rsidR="00E00F86">
              <w:rPr>
                <w:rFonts w:ascii="Verdana" w:hAnsi="Verdana"/>
                <w:color w:val="000000"/>
                <w:sz w:val="16"/>
                <w:szCs w:val="16"/>
              </w:rPr>
              <w:t>3</w:t>
            </w:r>
          </w:p>
        </w:tc>
        <w:tc>
          <w:tcPr>
            <w:tcW w:w="1200" w:type="dxa"/>
            <w:gridSpan w:val="2"/>
            <w:vMerge w:val="restart"/>
            <w:tcBorders>
              <w:top w:val="nil"/>
              <w:left w:val="single" w:sz="8" w:space="0" w:color="auto"/>
              <w:bottom w:val="single" w:sz="8" w:space="0" w:color="000000"/>
              <w:right w:val="single" w:sz="8" w:space="0" w:color="auto"/>
            </w:tcBorders>
            <w:shd w:val="clear" w:color="auto" w:fill="auto"/>
            <w:vAlign w:val="center"/>
          </w:tcPr>
          <w:p w:rsidR="00FF01A8" w:rsidRPr="004F5F2B" w:rsidRDefault="00FF01A8" w:rsidP="003B7BFA">
            <w:pPr>
              <w:spacing w:before="120"/>
              <w:jc w:val="center"/>
              <w:rPr>
                <w:rFonts w:ascii="Verdana" w:hAnsi="Verdana"/>
                <w:color w:val="000000"/>
                <w:sz w:val="16"/>
                <w:szCs w:val="16"/>
              </w:rPr>
            </w:pPr>
            <w:r w:rsidRPr="004F5F2B">
              <w:rPr>
                <w:rFonts w:ascii="Verdana" w:hAnsi="Verdana"/>
                <w:color w:val="000000"/>
                <w:sz w:val="16"/>
                <w:szCs w:val="16"/>
              </w:rPr>
              <w:t>79,17%</w:t>
            </w:r>
          </w:p>
        </w:tc>
        <w:tc>
          <w:tcPr>
            <w:tcW w:w="1266" w:type="dxa"/>
            <w:gridSpan w:val="2"/>
            <w:vMerge w:val="restart"/>
            <w:tcBorders>
              <w:top w:val="nil"/>
              <w:left w:val="single" w:sz="8" w:space="0" w:color="auto"/>
              <w:bottom w:val="single" w:sz="8" w:space="0" w:color="000000"/>
              <w:right w:val="single" w:sz="8" w:space="0" w:color="auto"/>
            </w:tcBorders>
            <w:shd w:val="clear" w:color="auto" w:fill="auto"/>
            <w:vAlign w:val="center"/>
          </w:tcPr>
          <w:p w:rsidR="00FF01A8" w:rsidRPr="004F5F2B" w:rsidRDefault="00FF01A8" w:rsidP="003B7BFA">
            <w:pPr>
              <w:spacing w:before="120"/>
              <w:jc w:val="both"/>
              <w:rPr>
                <w:rFonts w:ascii="Verdana" w:hAnsi="Verdana"/>
                <w:color w:val="000000"/>
                <w:sz w:val="16"/>
                <w:szCs w:val="16"/>
              </w:rPr>
            </w:pPr>
            <w:r w:rsidRPr="004F5F2B">
              <w:rPr>
                <w:rFonts w:ascii="Verdana" w:hAnsi="Verdana"/>
                <w:color w:val="000000"/>
                <w:sz w:val="16"/>
                <w:szCs w:val="16"/>
              </w:rPr>
              <w:t> </w:t>
            </w:r>
          </w:p>
        </w:tc>
      </w:tr>
      <w:tr w:rsidR="00FF01A8" w:rsidRPr="004F5F2B" w:rsidTr="00C4514D">
        <w:trPr>
          <w:trHeight w:val="315"/>
        </w:trPr>
        <w:tc>
          <w:tcPr>
            <w:tcW w:w="1500" w:type="dxa"/>
            <w:vMerge/>
            <w:tcBorders>
              <w:top w:val="single" w:sz="8" w:space="0" w:color="auto"/>
              <w:left w:val="single" w:sz="8" w:space="0" w:color="auto"/>
              <w:bottom w:val="single" w:sz="8" w:space="0" w:color="000000"/>
              <w:right w:val="single" w:sz="8" w:space="0" w:color="auto"/>
            </w:tcBorders>
            <w:vAlign w:val="center"/>
          </w:tcPr>
          <w:p w:rsidR="00FF01A8" w:rsidRPr="004F5F2B" w:rsidRDefault="00FF01A8" w:rsidP="003B7BFA">
            <w:pPr>
              <w:spacing w:before="120"/>
              <w:rPr>
                <w:rFonts w:ascii="Verdana" w:hAnsi="Verdana"/>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tcPr>
          <w:p w:rsidR="00FF01A8" w:rsidRPr="004F5F2B" w:rsidRDefault="00FF01A8" w:rsidP="003B7BFA">
            <w:pPr>
              <w:spacing w:before="120"/>
              <w:rPr>
                <w:rFonts w:ascii="Verdana" w:hAnsi="Verdana"/>
                <w:i/>
                <w:i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tcPr>
          <w:p w:rsidR="00FF01A8" w:rsidRPr="004F5F2B" w:rsidRDefault="00FF01A8" w:rsidP="003B7BFA">
            <w:pPr>
              <w:spacing w:before="120"/>
              <w:rPr>
                <w:rFonts w:ascii="Verdana" w:hAnsi="Verdana"/>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tcPr>
          <w:p w:rsidR="00FF01A8" w:rsidRPr="004F5F2B" w:rsidRDefault="00FF01A8" w:rsidP="003B7BFA">
            <w:pPr>
              <w:spacing w:before="120"/>
              <w:rPr>
                <w:rFonts w:ascii="Verdana" w:hAnsi="Verdana"/>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tcPr>
          <w:p w:rsidR="00FF01A8" w:rsidRPr="004F5F2B" w:rsidRDefault="00FF01A8" w:rsidP="003B7BFA">
            <w:pPr>
              <w:spacing w:before="120"/>
              <w:rPr>
                <w:rFonts w:ascii="Verdana" w:hAnsi="Verdana"/>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tcPr>
          <w:p w:rsidR="00FF01A8" w:rsidRPr="004F5F2B" w:rsidRDefault="00FF01A8" w:rsidP="003B7BFA">
            <w:pPr>
              <w:spacing w:before="120"/>
              <w:rPr>
                <w:rFonts w:ascii="Verdana" w:hAnsi="Verdana"/>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tcPr>
          <w:p w:rsidR="00FF01A8" w:rsidRPr="004F5F2B" w:rsidRDefault="00FF01A8" w:rsidP="003B7BFA">
            <w:pPr>
              <w:spacing w:before="120"/>
              <w:rPr>
                <w:rFonts w:ascii="Verdana" w:hAnsi="Verdana"/>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tcPr>
          <w:p w:rsidR="00FF01A8" w:rsidRPr="004F5F2B" w:rsidRDefault="00FF01A8" w:rsidP="003B7BFA">
            <w:pPr>
              <w:spacing w:before="120"/>
              <w:rPr>
                <w:rFonts w:ascii="Verdana" w:hAnsi="Verdana"/>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tcPr>
          <w:p w:rsidR="00FF01A8" w:rsidRPr="004F5F2B" w:rsidRDefault="00FF01A8" w:rsidP="003B7BFA">
            <w:pPr>
              <w:spacing w:before="120"/>
              <w:rPr>
                <w:rFonts w:ascii="Verdana" w:hAnsi="Verdana"/>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tcPr>
          <w:p w:rsidR="00FF01A8" w:rsidRPr="004F5F2B" w:rsidRDefault="00FF01A8" w:rsidP="003B7BFA">
            <w:pPr>
              <w:spacing w:before="120"/>
              <w:rPr>
                <w:rFonts w:ascii="Verdana" w:hAnsi="Verdana"/>
                <w:color w:val="000000"/>
                <w:sz w:val="16"/>
                <w:szCs w:val="16"/>
              </w:rPr>
            </w:pPr>
          </w:p>
        </w:tc>
        <w:tc>
          <w:tcPr>
            <w:tcW w:w="1266" w:type="dxa"/>
            <w:gridSpan w:val="2"/>
            <w:vMerge/>
            <w:tcBorders>
              <w:top w:val="nil"/>
              <w:left w:val="single" w:sz="8" w:space="0" w:color="auto"/>
              <w:bottom w:val="single" w:sz="8" w:space="0" w:color="000000"/>
              <w:right w:val="single" w:sz="8" w:space="0" w:color="auto"/>
            </w:tcBorders>
            <w:vAlign w:val="center"/>
          </w:tcPr>
          <w:p w:rsidR="00FF01A8" w:rsidRPr="004F5F2B" w:rsidRDefault="00FF01A8" w:rsidP="003B7BFA">
            <w:pPr>
              <w:spacing w:before="120"/>
              <w:rPr>
                <w:rFonts w:ascii="Verdana" w:hAnsi="Verdana"/>
                <w:color w:val="000000"/>
                <w:sz w:val="16"/>
                <w:szCs w:val="16"/>
              </w:rPr>
            </w:pPr>
          </w:p>
        </w:tc>
      </w:tr>
      <w:tr w:rsidR="00FF01A8" w:rsidRPr="004F5F2B" w:rsidTr="00C4514D">
        <w:trPr>
          <w:trHeight w:val="810"/>
        </w:trPr>
        <w:tc>
          <w:tcPr>
            <w:tcW w:w="1500" w:type="dxa"/>
            <w:vMerge w:val="restart"/>
            <w:tcBorders>
              <w:top w:val="nil"/>
              <w:left w:val="single" w:sz="8" w:space="0" w:color="auto"/>
              <w:bottom w:val="single" w:sz="8" w:space="0" w:color="000000"/>
              <w:right w:val="single" w:sz="8" w:space="0" w:color="auto"/>
            </w:tcBorders>
            <w:shd w:val="clear" w:color="auto" w:fill="auto"/>
            <w:vAlign w:val="center"/>
          </w:tcPr>
          <w:p w:rsidR="00FF01A8" w:rsidRPr="004F5F2B" w:rsidRDefault="00FF01A8" w:rsidP="003B7BFA">
            <w:pPr>
              <w:spacing w:before="120"/>
              <w:jc w:val="center"/>
              <w:rPr>
                <w:rFonts w:ascii="Verdana" w:hAnsi="Verdana"/>
                <w:color w:val="000000"/>
                <w:sz w:val="16"/>
                <w:szCs w:val="16"/>
              </w:rPr>
            </w:pPr>
            <w:r w:rsidRPr="004F5F2B">
              <w:rPr>
                <w:rFonts w:ascii="Verdana" w:hAnsi="Verdana"/>
                <w:color w:val="000000"/>
                <w:sz w:val="16"/>
                <w:szCs w:val="16"/>
              </w:rPr>
              <w:t> </w:t>
            </w:r>
          </w:p>
        </w:tc>
        <w:tc>
          <w:tcPr>
            <w:tcW w:w="1200" w:type="dxa"/>
            <w:vMerge w:val="restart"/>
            <w:tcBorders>
              <w:top w:val="nil"/>
              <w:left w:val="single" w:sz="8" w:space="0" w:color="auto"/>
              <w:bottom w:val="single" w:sz="8" w:space="0" w:color="000000"/>
              <w:right w:val="single" w:sz="8" w:space="0" w:color="auto"/>
            </w:tcBorders>
            <w:shd w:val="clear" w:color="auto" w:fill="auto"/>
          </w:tcPr>
          <w:p w:rsidR="00FF01A8" w:rsidRPr="004F5F2B" w:rsidRDefault="00FF01A8" w:rsidP="003B7BFA">
            <w:pPr>
              <w:spacing w:before="120"/>
              <w:jc w:val="both"/>
              <w:rPr>
                <w:rFonts w:ascii="Verdana" w:hAnsi="Verdana"/>
                <w:i/>
                <w:iCs/>
                <w:color w:val="000000"/>
                <w:sz w:val="16"/>
                <w:szCs w:val="16"/>
              </w:rPr>
            </w:pPr>
            <w:r w:rsidRPr="004F5F2B">
              <w:rPr>
                <w:rFonts w:ascii="Verdana" w:hAnsi="Verdana"/>
                <w:i/>
                <w:iCs/>
                <w:color w:val="000000"/>
                <w:sz w:val="16"/>
                <w:szCs w:val="16"/>
              </w:rPr>
              <w:t>Priority axis 2</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tcPr>
          <w:p w:rsidR="00FF01A8" w:rsidRPr="004F5F2B" w:rsidRDefault="00FF01A8" w:rsidP="003B7BFA">
            <w:pPr>
              <w:spacing w:before="120"/>
              <w:jc w:val="center"/>
              <w:rPr>
                <w:rFonts w:ascii="Verdana" w:hAnsi="Verdana"/>
                <w:color w:val="000000"/>
                <w:sz w:val="16"/>
                <w:szCs w:val="16"/>
              </w:rPr>
            </w:pPr>
            <w:r w:rsidRPr="004F5F2B">
              <w:rPr>
                <w:rFonts w:ascii="Verdana" w:hAnsi="Verdana"/>
                <w:color w:val="000000"/>
                <w:sz w:val="16"/>
                <w:szCs w:val="16"/>
              </w:rPr>
              <w:t>ERDF (incl. amounts transferred from IPA  and ENI)</w:t>
            </w:r>
          </w:p>
        </w:tc>
        <w:tc>
          <w:tcPr>
            <w:tcW w:w="1200" w:type="dxa"/>
            <w:gridSpan w:val="2"/>
            <w:vMerge w:val="restart"/>
            <w:tcBorders>
              <w:top w:val="nil"/>
              <w:left w:val="single" w:sz="8" w:space="0" w:color="auto"/>
              <w:bottom w:val="single" w:sz="8" w:space="0" w:color="000000"/>
              <w:right w:val="single" w:sz="8" w:space="0" w:color="auto"/>
            </w:tcBorders>
            <w:shd w:val="clear" w:color="auto" w:fill="auto"/>
            <w:vAlign w:val="center"/>
          </w:tcPr>
          <w:p w:rsidR="00FF01A8" w:rsidRPr="004F5F2B" w:rsidRDefault="00FF01A8" w:rsidP="003B7BFA">
            <w:pPr>
              <w:spacing w:before="120"/>
              <w:jc w:val="center"/>
              <w:rPr>
                <w:rFonts w:ascii="Verdana" w:hAnsi="Verdana"/>
                <w:color w:val="000000"/>
                <w:sz w:val="16"/>
                <w:szCs w:val="16"/>
              </w:rPr>
            </w:pPr>
            <w:r w:rsidRPr="004F5F2B">
              <w:rPr>
                <w:rFonts w:ascii="Verdana" w:hAnsi="Verdana"/>
                <w:color w:val="000000"/>
                <w:sz w:val="16"/>
                <w:szCs w:val="16"/>
              </w:rPr>
              <w:t> </w:t>
            </w:r>
          </w:p>
        </w:tc>
        <w:tc>
          <w:tcPr>
            <w:tcW w:w="1200" w:type="dxa"/>
            <w:gridSpan w:val="2"/>
            <w:vMerge w:val="restart"/>
            <w:tcBorders>
              <w:top w:val="nil"/>
              <w:left w:val="single" w:sz="8" w:space="0" w:color="auto"/>
              <w:bottom w:val="single" w:sz="8" w:space="0" w:color="000000"/>
              <w:right w:val="single" w:sz="8" w:space="0" w:color="auto"/>
            </w:tcBorders>
            <w:shd w:val="clear" w:color="auto" w:fill="auto"/>
            <w:vAlign w:val="center"/>
          </w:tcPr>
          <w:p w:rsidR="00FF01A8" w:rsidRPr="004F5F2B" w:rsidRDefault="00FF01A8" w:rsidP="0073002B">
            <w:pPr>
              <w:spacing w:before="120"/>
              <w:jc w:val="center"/>
              <w:rPr>
                <w:rFonts w:ascii="Verdana" w:hAnsi="Verdana"/>
                <w:color w:val="000000"/>
                <w:sz w:val="16"/>
                <w:szCs w:val="16"/>
              </w:rPr>
            </w:pPr>
            <w:r w:rsidRPr="004F5F2B">
              <w:rPr>
                <w:rFonts w:ascii="Verdana" w:hAnsi="Verdana"/>
                <w:color w:val="000000"/>
                <w:sz w:val="16"/>
                <w:szCs w:val="16"/>
              </w:rPr>
              <w:t>4</w:t>
            </w:r>
            <w:r w:rsidR="003B7BFA">
              <w:rPr>
                <w:rFonts w:ascii="Verdana" w:hAnsi="Verdana"/>
                <w:color w:val="000000"/>
                <w:sz w:val="16"/>
                <w:szCs w:val="16"/>
              </w:rPr>
              <w:t xml:space="preserve"> </w:t>
            </w:r>
            <w:r w:rsidRPr="004F5F2B">
              <w:rPr>
                <w:rFonts w:ascii="Verdana" w:hAnsi="Verdana"/>
                <w:color w:val="000000"/>
                <w:sz w:val="16"/>
                <w:szCs w:val="16"/>
              </w:rPr>
              <w:t>458</w:t>
            </w:r>
            <w:r w:rsidR="003B7BFA">
              <w:rPr>
                <w:rFonts w:ascii="Verdana" w:hAnsi="Verdana"/>
                <w:color w:val="000000"/>
                <w:sz w:val="16"/>
                <w:szCs w:val="16"/>
              </w:rPr>
              <w:t xml:space="preserve"> </w:t>
            </w:r>
            <w:r w:rsidRPr="004F5F2B">
              <w:rPr>
                <w:rFonts w:ascii="Verdana" w:hAnsi="Verdana"/>
                <w:color w:val="000000"/>
                <w:sz w:val="16"/>
                <w:szCs w:val="16"/>
              </w:rPr>
              <w:t>1</w:t>
            </w:r>
            <w:r w:rsidR="00697F59">
              <w:rPr>
                <w:rFonts w:ascii="Verdana" w:hAnsi="Verdana"/>
                <w:color w:val="000000"/>
                <w:sz w:val="16"/>
                <w:szCs w:val="16"/>
              </w:rPr>
              <w:t>1</w:t>
            </w:r>
            <w:r w:rsidR="0073002B">
              <w:rPr>
                <w:rFonts w:ascii="Verdana" w:hAnsi="Verdana"/>
                <w:color w:val="000000"/>
                <w:sz w:val="16"/>
                <w:szCs w:val="16"/>
              </w:rPr>
              <w:t>4</w:t>
            </w:r>
          </w:p>
        </w:tc>
        <w:tc>
          <w:tcPr>
            <w:tcW w:w="1200" w:type="dxa"/>
            <w:gridSpan w:val="2"/>
            <w:vMerge w:val="restart"/>
            <w:tcBorders>
              <w:top w:val="nil"/>
              <w:left w:val="single" w:sz="8" w:space="0" w:color="auto"/>
              <w:bottom w:val="single" w:sz="8" w:space="0" w:color="000000"/>
              <w:right w:val="single" w:sz="8" w:space="0" w:color="auto"/>
            </w:tcBorders>
            <w:shd w:val="clear" w:color="auto" w:fill="auto"/>
            <w:vAlign w:val="center"/>
          </w:tcPr>
          <w:p w:rsidR="00FF01A8" w:rsidRPr="004F5F2B" w:rsidRDefault="00FF01A8" w:rsidP="003B7BFA">
            <w:pPr>
              <w:spacing w:before="120"/>
              <w:jc w:val="center"/>
              <w:rPr>
                <w:rFonts w:ascii="Verdana" w:hAnsi="Verdana"/>
                <w:color w:val="000000"/>
                <w:sz w:val="16"/>
                <w:szCs w:val="16"/>
              </w:rPr>
            </w:pPr>
            <w:r w:rsidRPr="004F5F2B">
              <w:rPr>
                <w:rFonts w:ascii="Verdana" w:hAnsi="Verdana"/>
                <w:color w:val="000000"/>
                <w:sz w:val="16"/>
                <w:szCs w:val="16"/>
              </w:rPr>
              <w:t>3</w:t>
            </w:r>
            <w:r w:rsidR="003B7BFA">
              <w:rPr>
                <w:rFonts w:ascii="Verdana" w:hAnsi="Verdana"/>
                <w:color w:val="000000"/>
                <w:sz w:val="16"/>
                <w:szCs w:val="16"/>
              </w:rPr>
              <w:t xml:space="preserve"> </w:t>
            </w:r>
            <w:r w:rsidRPr="004F5F2B">
              <w:rPr>
                <w:rFonts w:ascii="Verdana" w:hAnsi="Verdana"/>
                <w:color w:val="000000"/>
                <w:sz w:val="16"/>
                <w:szCs w:val="16"/>
              </w:rPr>
              <w:t>647</w:t>
            </w:r>
            <w:r w:rsidR="003B7BFA">
              <w:rPr>
                <w:rFonts w:ascii="Verdana" w:hAnsi="Verdana"/>
                <w:color w:val="000000"/>
                <w:sz w:val="16"/>
                <w:szCs w:val="16"/>
              </w:rPr>
              <w:t xml:space="preserve"> </w:t>
            </w:r>
            <w:r w:rsidRPr="004F5F2B">
              <w:rPr>
                <w:rFonts w:ascii="Verdana" w:hAnsi="Verdana"/>
                <w:color w:val="000000"/>
                <w:sz w:val="16"/>
                <w:szCs w:val="16"/>
              </w:rPr>
              <w:t>553</w:t>
            </w:r>
          </w:p>
        </w:tc>
        <w:tc>
          <w:tcPr>
            <w:tcW w:w="1200" w:type="dxa"/>
            <w:gridSpan w:val="2"/>
            <w:vMerge w:val="restart"/>
            <w:tcBorders>
              <w:top w:val="nil"/>
              <w:left w:val="single" w:sz="8" w:space="0" w:color="auto"/>
              <w:bottom w:val="single" w:sz="8" w:space="0" w:color="000000"/>
              <w:right w:val="single" w:sz="8" w:space="0" w:color="auto"/>
            </w:tcBorders>
            <w:shd w:val="clear" w:color="auto" w:fill="auto"/>
            <w:vAlign w:val="center"/>
          </w:tcPr>
          <w:p w:rsidR="00FF01A8" w:rsidRPr="004F5F2B" w:rsidRDefault="00FF01A8" w:rsidP="003B7BFA">
            <w:pPr>
              <w:spacing w:before="120"/>
              <w:jc w:val="center"/>
              <w:rPr>
                <w:rFonts w:ascii="Verdana" w:hAnsi="Verdana"/>
                <w:color w:val="000000"/>
                <w:sz w:val="16"/>
                <w:szCs w:val="16"/>
              </w:rPr>
            </w:pPr>
            <w:r w:rsidRPr="004F5F2B">
              <w:rPr>
                <w:rFonts w:ascii="Verdana" w:hAnsi="Verdana"/>
                <w:color w:val="000000"/>
                <w:sz w:val="16"/>
                <w:szCs w:val="16"/>
              </w:rPr>
              <w:t>3</w:t>
            </w:r>
            <w:r w:rsidR="003B7BFA">
              <w:rPr>
                <w:rFonts w:ascii="Verdana" w:hAnsi="Verdana"/>
                <w:color w:val="000000"/>
                <w:sz w:val="16"/>
                <w:szCs w:val="16"/>
              </w:rPr>
              <w:t xml:space="preserve"> </w:t>
            </w:r>
            <w:r w:rsidRPr="004F5F2B">
              <w:rPr>
                <w:rFonts w:ascii="Verdana" w:hAnsi="Verdana"/>
                <w:color w:val="000000"/>
                <w:sz w:val="16"/>
                <w:szCs w:val="16"/>
              </w:rPr>
              <w:t>647</w:t>
            </w:r>
            <w:r w:rsidR="003B7BFA">
              <w:rPr>
                <w:rFonts w:ascii="Verdana" w:hAnsi="Verdana"/>
                <w:color w:val="000000"/>
                <w:sz w:val="16"/>
                <w:szCs w:val="16"/>
              </w:rPr>
              <w:t xml:space="preserve"> </w:t>
            </w:r>
            <w:r w:rsidRPr="004F5F2B">
              <w:rPr>
                <w:rFonts w:ascii="Verdana" w:hAnsi="Verdana"/>
                <w:color w:val="000000"/>
                <w:sz w:val="16"/>
                <w:szCs w:val="16"/>
              </w:rPr>
              <w:t>553</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tcPr>
          <w:p w:rsidR="00FF01A8" w:rsidRPr="004F5F2B" w:rsidRDefault="00FF01A8" w:rsidP="003B7BFA">
            <w:pPr>
              <w:spacing w:before="120"/>
              <w:jc w:val="center"/>
              <w:rPr>
                <w:rFonts w:ascii="Verdana" w:hAnsi="Verdana"/>
                <w:color w:val="000000"/>
                <w:sz w:val="16"/>
                <w:szCs w:val="16"/>
              </w:rPr>
            </w:pPr>
            <w:r w:rsidRPr="004F5F2B">
              <w:rPr>
                <w:rFonts w:ascii="Verdana" w:hAnsi="Verdana"/>
                <w:color w:val="000000"/>
                <w:sz w:val="16"/>
                <w:szCs w:val="16"/>
              </w:rPr>
              <w:t>0</w:t>
            </w:r>
          </w:p>
        </w:tc>
        <w:tc>
          <w:tcPr>
            <w:tcW w:w="1200" w:type="dxa"/>
            <w:gridSpan w:val="2"/>
            <w:vMerge w:val="restart"/>
            <w:tcBorders>
              <w:top w:val="nil"/>
              <w:left w:val="single" w:sz="8" w:space="0" w:color="auto"/>
              <w:bottom w:val="single" w:sz="8" w:space="0" w:color="000000"/>
              <w:right w:val="single" w:sz="8" w:space="0" w:color="auto"/>
            </w:tcBorders>
            <w:shd w:val="clear" w:color="auto" w:fill="auto"/>
            <w:vAlign w:val="center"/>
          </w:tcPr>
          <w:p w:rsidR="00FF01A8" w:rsidRPr="004F5F2B" w:rsidRDefault="00FF01A8" w:rsidP="0073002B">
            <w:pPr>
              <w:spacing w:before="120"/>
              <w:jc w:val="center"/>
              <w:rPr>
                <w:rFonts w:ascii="Verdana" w:hAnsi="Verdana"/>
                <w:color w:val="000000"/>
                <w:sz w:val="16"/>
                <w:szCs w:val="16"/>
              </w:rPr>
            </w:pPr>
            <w:r w:rsidRPr="004F5F2B">
              <w:rPr>
                <w:rFonts w:ascii="Verdana" w:hAnsi="Verdana"/>
                <w:color w:val="000000"/>
                <w:sz w:val="16"/>
                <w:szCs w:val="16"/>
              </w:rPr>
              <w:t>8</w:t>
            </w:r>
            <w:r w:rsidR="003B7BFA">
              <w:rPr>
                <w:rFonts w:ascii="Verdana" w:hAnsi="Verdana"/>
                <w:color w:val="000000"/>
                <w:sz w:val="16"/>
                <w:szCs w:val="16"/>
              </w:rPr>
              <w:t xml:space="preserve"> </w:t>
            </w:r>
            <w:r w:rsidRPr="004F5F2B">
              <w:rPr>
                <w:rFonts w:ascii="Verdana" w:hAnsi="Verdana"/>
                <w:color w:val="000000"/>
                <w:sz w:val="16"/>
                <w:szCs w:val="16"/>
              </w:rPr>
              <w:t>105</w:t>
            </w:r>
            <w:r w:rsidR="003B7BFA">
              <w:rPr>
                <w:rFonts w:ascii="Verdana" w:hAnsi="Verdana"/>
                <w:color w:val="000000"/>
                <w:sz w:val="16"/>
                <w:szCs w:val="16"/>
              </w:rPr>
              <w:t xml:space="preserve"> </w:t>
            </w:r>
            <w:r w:rsidRPr="004F5F2B">
              <w:rPr>
                <w:rFonts w:ascii="Verdana" w:hAnsi="Verdana"/>
                <w:color w:val="000000"/>
                <w:sz w:val="16"/>
                <w:szCs w:val="16"/>
              </w:rPr>
              <w:t>6</w:t>
            </w:r>
            <w:r w:rsidR="00697F59">
              <w:rPr>
                <w:rFonts w:ascii="Verdana" w:hAnsi="Verdana"/>
                <w:color w:val="000000"/>
                <w:sz w:val="16"/>
                <w:szCs w:val="16"/>
              </w:rPr>
              <w:t>6</w:t>
            </w:r>
            <w:r w:rsidR="0073002B">
              <w:rPr>
                <w:rFonts w:ascii="Verdana" w:hAnsi="Verdana"/>
                <w:color w:val="000000"/>
                <w:sz w:val="16"/>
                <w:szCs w:val="16"/>
              </w:rPr>
              <w:t>7</w:t>
            </w:r>
          </w:p>
        </w:tc>
        <w:tc>
          <w:tcPr>
            <w:tcW w:w="1200" w:type="dxa"/>
            <w:gridSpan w:val="2"/>
            <w:vMerge w:val="restart"/>
            <w:tcBorders>
              <w:top w:val="nil"/>
              <w:left w:val="single" w:sz="8" w:space="0" w:color="auto"/>
              <w:bottom w:val="single" w:sz="8" w:space="0" w:color="000000"/>
              <w:right w:val="single" w:sz="8" w:space="0" w:color="auto"/>
            </w:tcBorders>
            <w:shd w:val="clear" w:color="auto" w:fill="auto"/>
            <w:vAlign w:val="center"/>
          </w:tcPr>
          <w:p w:rsidR="00FF01A8" w:rsidRPr="004F5F2B" w:rsidRDefault="00FF01A8" w:rsidP="003B7BFA">
            <w:pPr>
              <w:spacing w:before="120"/>
              <w:jc w:val="center"/>
              <w:rPr>
                <w:rFonts w:ascii="Verdana" w:hAnsi="Verdana"/>
                <w:color w:val="000000"/>
                <w:sz w:val="16"/>
                <w:szCs w:val="16"/>
              </w:rPr>
            </w:pPr>
            <w:r w:rsidRPr="004F5F2B">
              <w:rPr>
                <w:rFonts w:ascii="Verdana" w:hAnsi="Verdana"/>
                <w:color w:val="000000"/>
                <w:sz w:val="16"/>
                <w:szCs w:val="16"/>
              </w:rPr>
              <w:t>55,00%</w:t>
            </w:r>
          </w:p>
        </w:tc>
        <w:tc>
          <w:tcPr>
            <w:tcW w:w="1266" w:type="dxa"/>
            <w:gridSpan w:val="2"/>
            <w:vMerge w:val="restart"/>
            <w:tcBorders>
              <w:top w:val="nil"/>
              <w:left w:val="single" w:sz="8" w:space="0" w:color="auto"/>
              <w:bottom w:val="single" w:sz="8" w:space="0" w:color="000000"/>
              <w:right w:val="single" w:sz="8" w:space="0" w:color="auto"/>
            </w:tcBorders>
            <w:shd w:val="clear" w:color="auto" w:fill="auto"/>
            <w:vAlign w:val="center"/>
          </w:tcPr>
          <w:p w:rsidR="00FF01A8" w:rsidRPr="004F5F2B" w:rsidRDefault="00FF01A8" w:rsidP="003B7BFA">
            <w:pPr>
              <w:spacing w:before="120"/>
              <w:jc w:val="both"/>
              <w:rPr>
                <w:rFonts w:ascii="Verdana" w:hAnsi="Verdana"/>
                <w:color w:val="000000"/>
                <w:sz w:val="16"/>
                <w:szCs w:val="16"/>
              </w:rPr>
            </w:pPr>
            <w:r w:rsidRPr="004F5F2B">
              <w:rPr>
                <w:rFonts w:ascii="Verdana" w:hAnsi="Verdana"/>
                <w:color w:val="000000"/>
                <w:sz w:val="16"/>
                <w:szCs w:val="16"/>
              </w:rPr>
              <w:t> </w:t>
            </w:r>
          </w:p>
        </w:tc>
      </w:tr>
      <w:tr w:rsidR="00FF01A8" w:rsidRPr="004F5F2B" w:rsidTr="00C4514D">
        <w:trPr>
          <w:trHeight w:val="315"/>
        </w:trPr>
        <w:tc>
          <w:tcPr>
            <w:tcW w:w="1500" w:type="dxa"/>
            <w:vMerge/>
            <w:tcBorders>
              <w:top w:val="nil"/>
              <w:left w:val="single" w:sz="8" w:space="0" w:color="auto"/>
              <w:bottom w:val="single" w:sz="8" w:space="0" w:color="000000"/>
              <w:right w:val="single" w:sz="8" w:space="0" w:color="auto"/>
            </w:tcBorders>
            <w:vAlign w:val="center"/>
          </w:tcPr>
          <w:p w:rsidR="00FF01A8" w:rsidRPr="004F5F2B" w:rsidRDefault="00FF01A8" w:rsidP="003B7BFA">
            <w:pPr>
              <w:spacing w:before="120"/>
              <w:rPr>
                <w:rFonts w:ascii="Verdana" w:hAnsi="Verdana"/>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tcPr>
          <w:p w:rsidR="00FF01A8" w:rsidRPr="004F5F2B" w:rsidRDefault="00FF01A8" w:rsidP="003B7BFA">
            <w:pPr>
              <w:spacing w:before="120"/>
              <w:rPr>
                <w:rFonts w:ascii="Verdana" w:hAnsi="Verdana"/>
                <w:i/>
                <w:i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tcPr>
          <w:p w:rsidR="00FF01A8" w:rsidRPr="004F5F2B" w:rsidRDefault="00FF01A8" w:rsidP="003B7BFA">
            <w:pPr>
              <w:spacing w:before="120"/>
              <w:rPr>
                <w:rFonts w:ascii="Verdana" w:hAnsi="Verdana"/>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tcPr>
          <w:p w:rsidR="00FF01A8" w:rsidRPr="004F5F2B" w:rsidRDefault="00FF01A8" w:rsidP="003B7BFA">
            <w:pPr>
              <w:spacing w:before="120"/>
              <w:rPr>
                <w:rFonts w:ascii="Verdana" w:hAnsi="Verdana"/>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tcPr>
          <w:p w:rsidR="00FF01A8" w:rsidRPr="004F5F2B" w:rsidRDefault="00FF01A8" w:rsidP="003B7BFA">
            <w:pPr>
              <w:spacing w:before="120"/>
              <w:rPr>
                <w:rFonts w:ascii="Verdana" w:hAnsi="Verdana"/>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tcPr>
          <w:p w:rsidR="00FF01A8" w:rsidRPr="004F5F2B" w:rsidRDefault="00FF01A8" w:rsidP="003B7BFA">
            <w:pPr>
              <w:spacing w:before="120"/>
              <w:rPr>
                <w:rFonts w:ascii="Verdana" w:hAnsi="Verdana"/>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tcPr>
          <w:p w:rsidR="00FF01A8" w:rsidRPr="004F5F2B" w:rsidRDefault="00FF01A8" w:rsidP="003B7BFA">
            <w:pPr>
              <w:spacing w:before="120"/>
              <w:rPr>
                <w:rFonts w:ascii="Verdana" w:hAnsi="Verdana"/>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tcPr>
          <w:p w:rsidR="00FF01A8" w:rsidRPr="004F5F2B" w:rsidRDefault="00FF01A8" w:rsidP="003B7BFA">
            <w:pPr>
              <w:spacing w:before="120"/>
              <w:rPr>
                <w:rFonts w:ascii="Verdana" w:hAnsi="Verdana"/>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tcPr>
          <w:p w:rsidR="00FF01A8" w:rsidRPr="004F5F2B" w:rsidRDefault="00FF01A8" w:rsidP="003B7BFA">
            <w:pPr>
              <w:spacing w:before="120"/>
              <w:rPr>
                <w:rFonts w:ascii="Verdana" w:hAnsi="Verdana"/>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tcPr>
          <w:p w:rsidR="00FF01A8" w:rsidRPr="004F5F2B" w:rsidRDefault="00FF01A8" w:rsidP="003B7BFA">
            <w:pPr>
              <w:spacing w:before="120"/>
              <w:rPr>
                <w:rFonts w:ascii="Verdana" w:hAnsi="Verdana"/>
                <w:color w:val="000000"/>
                <w:sz w:val="16"/>
                <w:szCs w:val="16"/>
              </w:rPr>
            </w:pPr>
          </w:p>
        </w:tc>
        <w:tc>
          <w:tcPr>
            <w:tcW w:w="1266" w:type="dxa"/>
            <w:gridSpan w:val="2"/>
            <w:vMerge/>
            <w:tcBorders>
              <w:top w:val="nil"/>
              <w:left w:val="single" w:sz="8" w:space="0" w:color="auto"/>
              <w:bottom w:val="single" w:sz="8" w:space="0" w:color="000000"/>
              <w:right w:val="single" w:sz="8" w:space="0" w:color="auto"/>
            </w:tcBorders>
            <w:vAlign w:val="center"/>
          </w:tcPr>
          <w:p w:rsidR="00FF01A8" w:rsidRPr="004F5F2B" w:rsidRDefault="00FF01A8" w:rsidP="003B7BFA">
            <w:pPr>
              <w:spacing w:before="120"/>
              <w:rPr>
                <w:rFonts w:ascii="Verdana" w:hAnsi="Verdana"/>
                <w:color w:val="000000"/>
                <w:sz w:val="16"/>
                <w:szCs w:val="16"/>
              </w:rPr>
            </w:pPr>
          </w:p>
        </w:tc>
      </w:tr>
      <w:tr w:rsidR="00FF01A8" w:rsidRPr="004F5F2B" w:rsidTr="00C4514D">
        <w:trPr>
          <w:trHeight w:val="810"/>
        </w:trPr>
        <w:tc>
          <w:tcPr>
            <w:tcW w:w="1500" w:type="dxa"/>
            <w:vMerge w:val="restart"/>
            <w:tcBorders>
              <w:top w:val="nil"/>
              <w:left w:val="single" w:sz="8" w:space="0" w:color="auto"/>
              <w:bottom w:val="single" w:sz="8" w:space="0" w:color="000000"/>
              <w:right w:val="single" w:sz="8" w:space="0" w:color="auto"/>
            </w:tcBorders>
            <w:shd w:val="clear" w:color="auto" w:fill="auto"/>
            <w:vAlign w:val="center"/>
          </w:tcPr>
          <w:p w:rsidR="00FF01A8" w:rsidRPr="004F5F2B" w:rsidRDefault="00FF01A8" w:rsidP="003B7BFA">
            <w:pPr>
              <w:spacing w:before="120"/>
              <w:jc w:val="center"/>
              <w:rPr>
                <w:rFonts w:ascii="Verdana" w:hAnsi="Verdana"/>
                <w:b/>
                <w:bCs/>
                <w:color w:val="000000"/>
                <w:sz w:val="16"/>
                <w:szCs w:val="16"/>
              </w:rPr>
            </w:pPr>
            <w:r w:rsidRPr="004F5F2B">
              <w:rPr>
                <w:rFonts w:ascii="Verdana" w:hAnsi="Verdana"/>
                <w:b/>
                <w:bCs/>
                <w:color w:val="000000"/>
                <w:sz w:val="16"/>
                <w:szCs w:val="16"/>
              </w:rPr>
              <w:t> </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tcPr>
          <w:p w:rsidR="00FF01A8" w:rsidRPr="004F5F2B" w:rsidRDefault="00FF01A8" w:rsidP="003B7BFA">
            <w:pPr>
              <w:spacing w:before="120"/>
              <w:jc w:val="center"/>
              <w:rPr>
                <w:rFonts w:ascii="Verdana" w:hAnsi="Verdana"/>
                <w:b/>
                <w:bCs/>
                <w:color w:val="000000"/>
                <w:sz w:val="16"/>
                <w:szCs w:val="16"/>
              </w:rPr>
            </w:pPr>
            <w:r w:rsidRPr="004F5F2B">
              <w:rPr>
                <w:rFonts w:ascii="Verdana" w:hAnsi="Verdana"/>
                <w:b/>
                <w:bCs/>
                <w:color w:val="000000"/>
                <w:sz w:val="16"/>
                <w:szCs w:val="16"/>
              </w:rPr>
              <w:t>TOTAL</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tcPr>
          <w:p w:rsidR="00FF01A8" w:rsidRPr="004F5F2B" w:rsidRDefault="00FF01A8" w:rsidP="003B7BFA">
            <w:pPr>
              <w:spacing w:before="120"/>
              <w:jc w:val="center"/>
              <w:rPr>
                <w:rFonts w:ascii="Verdana" w:hAnsi="Verdana"/>
                <w:b/>
                <w:bCs/>
                <w:color w:val="000000"/>
                <w:sz w:val="16"/>
                <w:szCs w:val="16"/>
              </w:rPr>
            </w:pPr>
            <w:r w:rsidRPr="004F5F2B">
              <w:rPr>
                <w:rFonts w:ascii="Verdana" w:hAnsi="Verdana"/>
                <w:b/>
                <w:bCs/>
                <w:color w:val="000000"/>
                <w:sz w:val="16"/>
                <w:szCs w:val="16"/>
              </w:rPr>
              <w:t>ERDF (incl. amounts transferred from IPA  and ENI)</w:t>
            </w:r>
          </w:p>
        </w:tc>
        <w:tc>
          <w:tcPr>
            <w:tcW w:w="1200" w:type="dxa"/>
            <w:gridSpan w:val="2"/>
            <w:vMerge w:val="restart"/>
            <w:tcBorders>
              <w:top w:val="nil"/>
              <w:left w:val="single" w:sz="8" w:space="0" w:color="auto"/>
              <w:bottom w:val="single" w:sz="8" w:space="0" w:color="000000"/>
              <w:right w:val="single" w:sz="8" w:space="0" w:color="auto"/>
            </w:tcBorders>
            <w:shd w:val="clear" w:color="auto" w:fill="auto"/>
            <w:vAlign w:val="center"/>
          </w:tcPr>
          <w:p w:rsidR="00FF01A8" w:rsidRPr="004F5F2B" w:rsidRDefault="00FF01A8" w:rsidP="003B7BFA">
            <w:pPr>
              <w:spacing w:before="120"/>
              <w:jc w:val="center"/>
              <w:rPr>
                <w:rFonts w:ascii="Verdana" w:hAnsi="Verdana"/>
                <w:b/>
                <w:bCs/>
                <w:color w:val="000000"/>
                <w:sz w:val="16"/>
                <w:szCs w:val="16"/>
              </w:rPr>
            </w:pPr>
            <w:r w:rsidRPr="004F5F2B">
              <w:rPr>
                <w:rFonts w:ascii="Verdana" w:hAnsi="Verdana"/>
                <w:b/>
                <w:bCs/>
                <w:color w:val="000000"/>
                <w:sz w:val="16"/>
                <w:szCs w:val="16"/>
              </w:rPr>
              <w:t> </w:t>
            </w:r>
          </w:p>
        </w:tc>
        <w:tc>
          <w:tcPr>
            <w:tcW w:w="1200" w:type="dxa"/>
            <w:gridSpan w:val="2"/>
            <w:vMerge w:val="restart"/>
            <w:tcBorders>
              <w:top w:val="nil"/>
              <w:left w:val="single" w:sz="8" w:space="0" w:color="auto"/>
              <w:bottom w:val="single" w:sz="8" w:space="0" w:color="000000"/>
              <w:right w:val="single" w:sz="8" w:space="0" w:color="auto"/>
            </w:tcBorders>
            <w:shd w:val="clear" w:color="auto" w:fill="auto"/>
            <w:vAlign w:val="center"/>
          </w:tcPr>
          <w:p w:rsidR="00FF01A8" w:rsidRPr="004F5F2B" w:rsidRDefault="00FF01A8" w:rsidP="0073002B">
            <w:pPr>
              <w:spacing w:before="120"/>
              <w:jc w:val="center"/>
              <w:rPr>
                <w:rFonts w:ascii="Verdana" w:hAnsi="Verdana"/>
                <w:b/>
                <w:bCs/>
                <w:color w:val="000000"/>
                <w:sz w:val="16"/>
                <w:szCs w:val="16"/>
              </w:rPr>
            </w:pPr>
            <w:r w:rsidRPr="004F5F2B">
              <w:rPr>
                <w:rFonts w:ascii="Verdana" w:hAnsi="Verdana"/>
                <w:b/>
                <w:bCs/>
                <w:color w:val="000000"/>
                <w:sz w:val="16"/>
                <w:szCs w:val="16"/>
              </w:rPr>
              <w:t>74</w:t>
            </w:r>
            <w:r w:rsidR="003B7BFA">
              <w:rPr>
                <w:rFonts w:ascii="Verdana" w:hAnsi="Verdana"/>
                <w:b/>
                <w:bCs/>
                <w:color w:val="000000"/>
                <w:sz w:val="16"/>
                <w:szCs w:val="16"/>
              </w:rPr>
              <w:t xml:space="preserve"> </w:t>
            </w:r>
            <w:r w:rsidRPr="004F5F2B">
              <w:rPr>
                <w:rFonts w:ascii="Verdana" w:hAnsi="Verdana"/>
                <w:b/>
                <w:bCs/>
                <w:color w:val="000000"/>
                <w:sz w:val="16"/>
                <w:szCs w:val="16"/>
              </w:rPr>
              <w:t>30</w:t>
            </w:r>
            <w:r w:rsidR="00697F59">
              <w:rPr>
                <w:rFonts w:ascii="Verdana" w:hAnsi="Verdana"/>
                <w:b/>
                <w:bCs/>
                <w:color w:val="000000"/>
                <w:sz w:val="16"/>
                <w:szCs w:val="16"/>
              </w:rPr>
              <w:t>1</w:t>
            </w:r>
            <w:r w:rsidR="003B7BFA">
              <w:rPr>
                <w:rFonts w:ascii="Verdana" w:hAnsi="Verdana"/>
                <w:b/>
                <w:bCs/>
                <w:color w:val="000000"/>
                <w:sz w:val="16"/>
                <w:szCs w:val="16"/>
              </w:rPr>
              <w:t xml:space="preserve"> </w:t>
            </w:r>
            <w:r w:rsidR="00697F59">
              <w:rPr>
                <w:rFonts w:ascii="Verdana" w:hAnsi="Verdana"/>
                <w:b/>
                <w:bCs/>
                <w:color w:val="000000"/>
                <w:sz w:val="16"/>
                <w:szCs w:val="16"/>
              </w:rPr>
              <w:t>909</w:t>
            </w:r>
          </w:p>
        </w:tc>
        <w:tc>
          <w:tcPr>
            <w:tcW w:w="1200" w:type="dxa"/>
            <w:gridSpan w:val="2"/>
            <w:vMerge w:val="restart"/>
            <w:tcBorders>
              <w:top w:val="nil"/>
              <w:left w:val="single" w:sz="8" w:space="0" w:color="auto"/>
              <w:bottom w:val="single" w:sz="8" w:space="0" w:color="000000"/>
              <w:right w:val="single" w:sz="8" w:space="0" w:color="auto"/>
            </w:tcBorders>
            <w:shd w:val="clear" w:color="auto" w:fill="auto"/>
            <w:vAlign w:val="center"/>
          </w:tcPr>
          <w:p w:rsidR="00FF01A8" w:rsidRPr="004F5F2B" w:rsidRDefault="00FF01A8" w:rsidP="00697F59">
            <w:pPr>
              <w:spacing w:before="120"/>
              <w:jc w:val="center"/>
              <w:rPr>
                <w:rFonts w:ascii="Verdana" w:hAnsi="Verdana"/>
                <w:b/>
                <w:bCs/>
                <w:color w:val="000000"/>
                <w:sz w:val="16"/>
                <w:szCs w:val="16"/>
              </w:rPr>
            </w:pPr>
            <w:r w:rsidRPr="004F5F2B">
              <w:rPr>
                <w:rFonts w:ascii="Verdana" w:hAnsi="Verdana"/>
                <w:b/>
                <w:bCs/>
                <w:color w:val="000000"/>
                <w:sz w:val="16"/>
                <w:szCs w:val="16"/>
              </w:rPr>
              <w:t>22</w:t>
            </w:r>
            <w:r w:rsidR="003B7BFA">
              <w:rPr>
                <w:rFonts w:ascii="Verdana" w:hAnsi="Verdana"/>
                <w:b/>
                <w:bCs/>
                <w:color w:val="000000"/>
                <w:sz w:val="16"/>
                <w:szCs w:val="16"/>
              </w:rPr>
              <w:t xml:space="preserve"> </w:t>
            </w:r>
            <w:r w:rsidRPr="004F5F2B">
              <w:rPr>
                <w:rFonts w:ascii="Verdana" w:hAnsi="Verdana"/>
                <w:b/>
                <w:bCs/>
                <w:color w:val="000000"/>
                <w:sz w:val="16"/>
                <w:szCs w:val="16"/>
              </w:rPr>
              <w:t>022</w:t>
            </w:r>
            <w:r w:rsidR="003B7BFA">
              <w:rPr>
                <w:rFonts w:ascii="Verdana" w:hAnsi="Verdana"/>
                <w:b/>
                <w:bCs/>
                <w:color w:val="000000"/>
                <w:sz w:val="16"/>
                <w:szCs w:val="16"/>
              </w:rPr>
              <w:t xml:space="preserve"> </w:t>
            </w:r>
            <w:r w:rsidR="00697F59">
              <w:rPr>
                <w:rFonts w:ascii="Verdana" w:hAnsi="Verdana"/>
                <w:b/>
                <w:bCs/>
                <w:color w:val="000000"/>
                <w:sz w:val="16"/>
                <w:szCs w:val="16"/>
              </w:rPr>
              <w:t>641</w:t>
            </w:r>
          </w:p>
        </w:tc>
        <w:tc>
          <w:tcPr>
            <w:tcW w:w="1200" w:type="dxa"/>
            <w:gridSpan w:val="2"/>
            <w:vMerge w:val="restart"/>
            <w:tcBorders>
              <w:top w:val="nil"/>
              <w:left w:val="single" w:sz="8" w:space="0" w:color="auto"/>
              <w:bottom w:val="single" w:sz="8" w:space="0" w:color="000000"/>
              <w:right w:val="single" w:sz="8" w:space="0" w:color="auto"/>
            </w:tcBorders>
            <w:shd w:val="clear" w:color="auto" w:fill="auto"/>
            <w:vAlign w:val="center"/>
          </w:tcPr>
          <w:p w:rsidR="00FF01A8" w:rsidRPr="004F5F2B" w:rsidRDefault="00FF01A8" w:rsidP="00697F59">
            <w:pPr>
              <w:spacing w:before="120"/>
              <w:jc w:val="center"/>
              <w:rPr>
                <w:rFonts w:ascii="Verdana" w:hAnsi="Verdana"/>
                <w:b/>
                <w:bCs/>
                <w:color w:val="000000"/>
                <w:sz w:val="16"/>
                <w:szCs w:val="16"/>
              </w:rPr>
            </w:pPr>
            <w:r w:rsidRPr="004F5F2B">
              <w:rPr>
                <w:rFonts w:ascii="Verdana" w:hAnsi="Verdana"/>
                <w:b/>
                <w:bCs/>
                <w:color w:val="000000"/>
                <w:sz w:val="16"/>
                <w:szCs w:val="16"/>
              </w:rPr>
              <w:t>22</w:t>
            </w:r>
            <w:r w:rsidR="003B7BFA">
              <w:rPr>
                <w:rFonts w:ascii="Verdana" w:hAnsi="Verdana"/>
                <w:b/>
                <w:bCs/>
                <w:color w:val="000000"/>
                <w:sz w:val="16"/>
                <w:szCs w:val="16"/>
              </w:rPr>
              <w:t xml:space="preserve"> </w:t>
            </w:r>
            <w:r w:rsidRPr="004F5F2B">
              <w:rPr>
                <w:rFonts w:ascii="Verdana" w:hAnsi="Verdana"/>
                <w:b/>
                <w:bCs/>
                <w:color w:val="000000"/>
                <w:sz w:val="16"/>
                <w:szCs w:val="16"/>
              </w:rPr>
              <w:t>022</w:t>
            </w:r>
            <w:r w:rsidR="003B7BFA">
              <w:rPr>
                <w:rFonts w:ascii="Verdana" w:hAnsi="Verdana"/>
                <w:b/>
                <w:bCs/>
                <w:color w:val="000000"/>
                <w:sz w:val="16"/>
                <w:szCs w:val="16"/>
              </w:rPr>
              <w:t xml:space="preserve"> </w:t>
            </w:r>
            <w:r w:rsidR="00697F59">
              <w:rPr>
                <w:rFonts w:ascii="Verdana" w:hAnsi="Verdana"/>
                <w:b/>
                <w:bCs/>
                <w:color w:val="000000"/>
                <w:sz w:val="16"/>
                <w:szCs w:val="16"/>
              </w:rPr>
              <w:t>641</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tcPr>
          <w:p w:rsidR="00FF01A8" w:rsidRPr="004F5F2B" w:rsidRDefault="00FF01A8" w:rsidP="003B7BFA">
            <w:pPr>
              <w:spacing w:before="120"/>
              <w:jc w:val="center"/>
              <w:rPr>
                <w:rFonts w:ascii="Verdana" w:hAnsi="Verdana"/>
                <w:b/>
                <w:bCs/>
                <w:color w:val="000000"/>
                <w:sz w:val="16"/>
                <w:szCs w:val="16"/>
              </w:rPr>
            </w:pPr>
            <w:r w:rsidRPr="004F5F2B">
              <w:rPr>
                <w:rFonts w:ascii="Verdana" w:hAnsi="Verdana"/>
                <w:b/>
                <w:bCs/>
                <w:color w:val="000000"/>
                <w:sz w:val="16"/>
                <w:szCs w:val="16"/>
              </w:rPr>
              <w:t>0</w:t>
            </w:r>
          </w:p>
        </w:tc>
        <w:tc>
          <w:tcPr>
            <w:tcW w:w="1200" w:type="dxa"/>
            <w:gridSpan w:val="2"/>
            <w:vMerge w:val="restart"/>
            <w:tcBorders>
              <w:top w:val="nil"/>
              <w:left w:val="single" w:sz="8" w:space="0" w:color="auto"/>
              <w:bottom w:val="single" w:sz="8" w:space="0" w:color="000000"/>
              <w:right w:val="single" w:sz="8" w:space="0" w:color="auto"/>
            </w:tcBorders>
            <w:shd w:val="clear" w:color="auto" w:fill="auto"/>
            <w:vAlign w:val="center"/>
          </w:tcPr>
          <w:p w:rsidR="00FF01A8" w:rsidRPr="004F5F2B" w:rsidRDefault="00FF01A8" w:rsidP="0073002B">
            <w:pPr>
              <w:spacing w:before="120"/>
              <w:jc w:val="center"/>
              <w:rPr>
                <w:rFonts w:ascii="Verdana" w:hAnsi="Verdana"/>
                <w:b/>
                <w:bCs/>
                <w:color w:val="000000"/>
                <w:sz w:val="16"/>
                <w:szCs w:val="16"/>
              </w:rPr>
            </w:pPr>
            <w:r w:rsidRPr="004F5F2B">
              <w:rPr>
                <w:rFonts w:ascii="Verdana" w:hAnsi="Verdana"/>
                <w:b/>
                <w:bCs/>
                <w:color w:val="000000"/>
                <w:sz w:val="16"/>
                <w:szCs w:val="16"/>
              </w:rPr>
              <w:t>96</w:t>
            </w:r>
            <w:r w:rsidR="003B7BFA">
              <w:rPr>
                <w:rFonts w:ascii="Verdana" w:hAnsi="Verdana"/>
                <w:b/>
                <w:bCs/>
                <w:color w:val="000000"/>
                <w:sz w:val="16"/>
                <w:szCs w:val="16"/>
              </w:rPr>
              <w:t xml:space="preserve"> </w:t>
            </w:r>
            <w:r w:rsidRPr="004F5F2B">
              <w:rPr>
                <w:rFonts w:ascii="Verdana" w:hAnsi="Verdana"/>
                <w:b/>
                <w:bCs/>
                <w:color w:val="000000"/>
                <w:sz w:val="16"/>
                <w:szCs w:val="16"/>
              </w:rPr>
              <w:t>324</w:t>
            </w:r>
            <w:r w:rsidR="003B7BFA">
              <w:rPr>
                <w:rFonts w:ascii="Verdana" w:hAnsi="Verdana"/>
                <w:b/>
                <w:bCs/>
                <w:color w:val="000000"/>
                <w:sz w:val="16"/>
                <w:szCs w:val="16"/>
              </w:rPr>
              <w:t xml:space="preserve"> </w:t>
            </w:r>
            <w:r w:rsidRPr="004F5F2B">
              <w:rPr>
                <w:rFonts w:ascii="Verdana" w:hAnsi="Verdana"/>
                <w:b/>
                <w:bCs/>
                <w:color w:val="000000"/>
                <w:sz w:val="16"/>
                <w:szCs w:val="16"/>
              </w:rPr>
              <w:t>55</w:t>
            </w:r>
            <w:r w:rsidR="00697F59">
              <w:rPr>
                <w:rFonts w:ascii="Verdana" w:hAnsi="Verdana"/>
                <w:b/>
                <w:bCs/>
                <w:color w:val="000000"/>
                <w:sz w:val="16"/>
                <w:szCs w:val="16"/>
              </w:rPr>
              <w:t>0</w:t>
            </w:r>
          </w:p>
        </w:tc>
        <w:tc>
          <w:tcPr>
            <w:tcW w:w="1200" w:type="dxa"/>
            <w:gridSpan w:val="2"/>
            <w:vMerge w:val="restart"/>
            <w:tcBorders>
              <w:top w:val="nil"/>
              <w:left w:val="single" w:sz="8" w:space="0" w:color="auto"/>
              <w:bottom w:val="single" w:sz="8" w:space="0" w:color="000000"/>
              <w:right w:val="single" w:sz="8" w:space="0" w:color="auto"/>
            </w:tcBorders>
            <w:shd w:val="clear" w:color="auto" w:fill="auto"/>
            <w:vAlign w:val="center"/>
          </w:tcPr>
          <w:p w:rsidR="00FF01A8" w:rsidRPr="004F5F2B" w:rsidRDefault="00FF01A8" w:rsidP="003B7BFA">
            <w:pPr>
              <w:spacing w:before="120"/>
              <w:jc w:val="center"/>
              <w:rPr>
                <w:rFonts w:ascii="Verdana" w:hAnsi="Verdana"/>
                <w:b/>
                <w:bCs/>
                <w:color w:val="000000"/>
                <w:sz w:val="16"/>
                <w:szCs w:val="16"/>
              </w:rPr>
            </w:pPr>
            <w:r w:rsidRPr="004F5F2B">
              <w:rPr>
                <w:rFonts w:ascii="Verdana" w:hAnsi="Verdana"/>
                <w:b/>
                <w:bCs/>
                <w:color w:val="000000"/>
                <w:sz w:val="16"/>
                <w:szCs w:val="16"/>
              </w:rPr>
              <w:t>77,14%</w:t>
            </w:r>
          </w:p>
        </w:tc>
        <w:tc>
          <w:tcPr>
            <w:tcW w:w="1266" w:type="dxa"/>
            <w:gridSpan w:val="2"/>
            <w:vMerge w:val="restart"/>
            <w:tcBorders>
              <w:top w:val="nil"/>
              <w:left w:val="single" w:sz="8" w:space="0" w:color="auto"/>
              <w:bottom w:val="single" w:sz="8" w:space="0" w:color="000000"/>
              <w:right w:val="single" w:sz="8" w:space="0" w:color="auto"/>
            </w:tcBorders>
            <w:shd w:val="clear" w:color="auto" w:fill="auto"/>
            <w:vAlign w:val="center"/>
          </w:tcPr>
          <w:p w:rsidR="00FF01A8" w:rsidRPr="004F5F2B" w:rsidRDefault="00FF01A8" w:rsidP="003B7BFA">
            <w:pPr>
              <w:spacing w:before="120"/>
              <w:jc w:val="both"/>
              <w:rPr>
                <w:rFonts w:ascii="Verdana" w:hAnsi="Verdana"/>
                <w:b/>
                <w:bCs/>
                <w:color w:val="000000"/>
                <w:sz w:val="16"/>
                <w:szCs w:val="16"/>
              </w:rPr>
            </w:pPr>
            <w:r w:rsidRPr="004F5F2B">
              <w:rPr>
                <w:rFonts w:ascii="Verdana" w:hAnsi="Verdana"/>
                <w:b/>
                <w:bCs/>
                <w:color w:val="000000"/>
                <w:sz w:val="16"/>
                <w:szCs w:val="16"/>
              </w:rPr>
              <w:t> </w:t>
            </w:r>
          </w:p>
        </w:tc>
      </w:tr>
      <w:tr w:rsidR="00FF01A8" w:rsidRPr="004F5F2B" w:rsidTr="00C4514D">
        <w:trPr>
          <w:trHeight w:val="315"/>
        </w:trPr>
        <w:tc>
          <w:tcPr>
            <w:tcW w:w="1500" w:type="dxa"/>
            <w:vMerge/>
            <w:tcBorders>
              <w:top w:val="nil"/>
              <w:left w:val="single" w:sz="8" w:space="0" w:color="auto"/>
              <w:bottom w:val="single" w:sz="8" w:space="0" w:color="000000"/>
              <w:right w:val="single" w:sz="8" w:space="0" w:color="auto"/>
            </w:tcBorders>
            <w:vAlign w:val="center"/>
          </w:tcPr>
          <w:p w:rsidR="00FF01A8" w:rsidRPr="004F5F2B" w:rsidRDefault="00FF01A8" w:rsidP="00FF01A8">
            <w:pPr>
              <w:rPr>
                <w:rFonts w:ascii="Verdana" w:hAnsi="Verdana"/>
                <w:b/>
                <w:b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tcPr>
          <w:p w:rsidR="00FF01A8" w:rsidRPr="004F5F2B" w:rsidRDefault="00FF01A8" w:rsidP="00FF01A8">
            <w:pPr>
              <w:rPr>
                <w:rFonts w:ascii="Verdana" w:hAnsi="Verdana"/>
                <w:b/>
                <w:b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tcPr>
          <w:p w:rsidR="00FF01A8" w:rsidRPr="004F5F2B" w:rsidRDefault="00FF01A8" w:rsidP="00FF01A8">
            <w:pPr>
              <w:rPr>
                <w:rFonts w:ascii="Verdana" w:hAnsi="Verdana"/>
                <w:b/>
                <w:b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tcPr>
          <w:p w:rsidR="00FF01A8" w:rsidRPr="004F5F2B" w:rsidRDefault="00FF01A8" w:rsidP="00FF01A8">
            <w:pPr>
              <w:rPr>
                <w:rFonts w:ascii="Verdana" w:hAnsi="Verdana"/>
                <w:b/>
                <w:b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tcPr>
          <w:p w:rsidR="00FF01A8" w:rsidRPr="004F5F2B" w:rsidRDefault="00FF01A8" w:rsidP="00FF01A8">
            <w:pPr>
              <w:rPr>
                <w:rFonts w:ascii="Verdana" w:hAnsi="Verdana"/>
                <w:b/>
                <w:b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tcPr>
          <w:p w:rsidR="00FF01A8" w:rsidRPr="004F5F2B" w:rsidRDefault="00FF01A8" w:rsidP="00FF01A8">
            <w:pPr>
              <w:rPr>
                <w:rFonts w:ascii="Verdana" w:hAnsi="Verdana"/>
                <w:b/>
                <w:b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tcPr>
          <w:p w:rsidR="00FF01A8" w:rsidRPr="004F5F2B" w:rsidRDefault="00FF01A8" w:rsidP="00FF01A8">
            <w:pPr>
              <w:rPr>
                <w:rFonts w:ascii="Verdana" w:hAnsi="Verdana"/>
                <w:b/>
                <w:bCs/>
                <w:color w:val="000000"/>
                <w:sz w:val="16"/>
                <w:szCs w:val="16"/>
              </w:rPr>
            </w:pPr>
          </w:p>
        </w:tc>
        <w:tc>
          <w:tcPr>
            <w:tcW w:w="1200" w:type="dxa"/>
            <w:vMerge/>
            <w:tcBorders>
              <w:top w:val="nil"/>
              <w:left w:val="single" w:sz="8" w:space="0" w:color="auto"/>
              <w:bottom w:val="single" w:sz="8" w:space="0" w:color="000000"/>
              <w:right w:val="single" w:sz="8" w:space="0" w:color="auto"/>
            </w:tcBorders>
            <w:vAlign w:val="center"/>
          </w:tcPr>
          <w:p w:rsidR="00FF01A8" w:rsidRPr="004F5F2B" w:rsidRDefault="00FF01A8" w:rsidP="00FF01A8">
            <w:pPr>
              <w:rPr>
                <w:rFonts w:ascii="Verdana" w:hAnsi="Verdana"/>
                <w:b/>
                <w:b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tcPr>
          <w:p w:rsidR="00FF01A8" w:rsidRPr="004F5F2B" w:rsidRDefault="00FF01A8" w:rsidP="00FF01A8">
            <w:pPr>
              <w:rPr>
                <w:rFonts w:ascii="Verdana" w:hAnsi="Verdana"/>
                <w:b/>
                <w:bCs/>
                <w:color w:val="000000"/>
                <w:sz w:val="16"/>
                <w:szCs w:val="16"/>
              </w:rPr>
            </w:pPr>
          </w:p>
        </w:tc>
        <w:tc>
          <w:tcPr>
            <w:tcW w:w="1200" w:type="dxa"/>
            <w:gridSpan w:val="2"/>
            <w:vMerge/>
            <w:tcBorders>
              <w:top w:val="nil"/>
              <w:left w:val="single" w:sz="8" w:space="0" w:color="auto"/>
              <w:bottom w:val="single" w:sz="8" w:space="0" w:color="000000"/>
              <w:right w:val="single" w:sz="8" w:space="0" w:color="auto"/>
            </w:tcBorders>
            <w:vAlign w:val="center"/>
          </w:tcPr>
          <w:p w:rsidR="00FF01A8" w:rsidRPr="004F5F2B" w:rsidRDefault="00FF01A8" w:rsidP="00FF01A8">
            <w:pPr>
              <w:rPr>
                <w:rFonts w:ascii="Verdana" w:hAnsi="Verdana"/>
                <w:b/>
                <w:bCs/>
                <w:color w:val="000000"/>
                <w:sz w:val="16"/>
                <w:szCs w:val="16"/>
              </w:rPr>
            </w:pPr>
          </w:p>
        </w:tc>
        <w:tc>
          <w:tcPr>
            <w:tcW w:w="1266" w:type="dxa"/>
            <w:gridSpan w:val="2"/>
            <w:vMerge/>
            <w:tcBorders>
              <w:top w:val="nil"/>
              <w:left w:val="single" w:sz="8" w:space="0" w:color="auto"/>
              <w:bottom w:val="single" w:sz="8" w:space="0" w:color="000000"/>
              <w:right w:val="single" w:sz="8" w:space="0" w:color="auto"/>
            </w:tcBorders>
            <w:vAlign w:val="center"/>
          </w:tcPr>
          <w:p w:rsidR="00FF01A8" w:rsidRPr="004F5F2B" w:rsidRDefault="00FF01A8" w:rsidP="00FF01A8">
            <w:pPr>
              <w:rPr>
                <w:rFonts w:ascii="Verdana" w:hAnsi="Verdana"/>
                <w:b/>
                <w:bCs/>
                <w:color w:val="000000"/>
                <w:sz w:val="16"/>
                <w:szCs w:val="16"/>
              </w:rPr>
            </w:pPr>
          </w:p>
        </w:tc>
      </w:tr>
    </w:tbl>
    <w:p w:rsidR="00FF01A8" w:rsidRPr="004F5F2B" w:rsidRDefault="00FF01A8" w:rsidP="00FF01A8">
      <w:pPr>
        <w:rPr>
          <w:rFonts w:ascii="Verdana" w:hAnsi="Verdana"/>
          <w:sz w:val="16"/>
          <w:szCs w:val="16"/>
        </w:rPr>
      </w:pPr>
    </w:p>
    <w:p w:rsidR="00FF01A8" w:rsidRPr="004F5F2B" w:rsidRDefault="00FF01A8" w:rsidP="00FF01A8">
      <w:pPr>
        <w:rPr>
          <w:rFonts w:ascii="Verdana" w:hAnsi="Verdana"/>
          <w:b/>
        </w:rPr>
        <w:sectPr w:rsidR="00FF01A8" w:rsidRPr="004F5F2B" w:rsidSect="001B277B">
          <w:pgSz w:w="16838" w:h="11906" w:orient="landscape"/>
          <w:pgMar w:top="1417" w:right="1417" w:bottom="1417" w:left="1417" w:header="708" w:footer="708" w:gutter="0"/>
          <w:cols w:space="708"/>
          <w:docGrid w:linePitch="360"/>
        </w:sectPr>
      </w:pPr>
    </w:p>
    <w:p w:rsidR="00FF01A8" w:rsidRPr="001B277B" w:rsidRDefault="00FF01A8" w:rsidP="001B277B">
      <w:pPr>
        <w:pStyle w:val="Nagwek2"/>
        <w:jc w:val="center"/>
        <w:rPr>
          <w:bCs w:val="0"/>
          <w:sz w:val="22"/>
          <w:szCs w:val="22"/>
        </w:rPr>
      </w:pPr>
      <w:bookmarkStart w:id="31" w:name="_Toc401325801"/>
      <w:r w:rsidRPr="001B277B">
        <w:rPr>
          <w:bCs w:val="0"/>
          <w:sz w:val="22"/>
          <w:szCs w:val="22"/>
        </w:rPr>
        <w:t xml:space="preserve">3.2 B </w:t>
      </w:r>
      <w:r w:rsidR="001B277B">
        <w:rPr>
          <w:bCs w:val="0"/>
          <w:sz w:val="22"/>
          <w:szCs w:val="22"/>
        </w:rPr>
        <w:tab/>
      </w:r>
      <w:r w:rsidRPr="001B277B">
        <w:rPr>
          <w:bCs w:val="0"/>
          <w:sz w:val="22"/>
          <w:szCs w:val="22"/>
        </w:rPr>
        <w:t>Breakdown of the financial plan of the cooperation programme by priority axis and thematic objective of ETC regulation</w:t>
      </w:r>
      <w:bookmarkEnd w:id="31"/>
    </w:p>
    <w:tbl>
      <w:tblPr>
        <w:tblW w:w="0" w:type="auto"/>
        <w:tblInd w:w="55" w:type="dxa"/>
        <w:tblCellMar>
          <w:left w:w="70" w:type="dxa"/>
          <w:right w:w="70" w:type="dxa"/>
        </w:tblCellMar>
        <w:tblLook w:val="04A0" w:firstRow="1" w:lastRow="0" w:firstColumn="1" w:lastColumn="0" w:noHBand="0" w:noVBand="1"/>
      </w:tblPr>
      <w:tblGrid>
        <w:gridCol w:w="1387"/>
        <w:gridCol w:w="2144"/>
        <w:gridCol w:w="1572"/>
        <w:gridCol w:w="2246"/>
        <w:gridCol w:w="1486"/>
      </w:tblGrid>
      <w:tr w:rsidR="00FF01A8" w:rsidRPr="00C4514D" w:rsidTr="00FF01A8">
        <w:trPr>
          <w:trHeight w:val="315"/>
        </w:trPr>
        <w:tc>
          <w:tcPr>
            <w:tcW w:w="0" w:type="auto"/>
            <w:tcBorders>
              <w:top w:val="nil"/>
              <w:left w:val="nil"/>
              <w:bottom w:val="nil"/>
              <w:right w:val="nil"/>
            </w:tcBorders>
            <w:shd w:val="clear" w:color="auto" w:fill="auto"/>
            <w:noWrap/>
            <w:vAlign w:val="bottom"/>
          </w:tcPr>
          <w:p w:rsidR="00FF01A8" w:rsidRPr="00C4514D" w:rsidRDefault="00FF01A8" w:rsidP="00FF01A8">
            <w:pPr>
              <w:jc w:val="both"/>
              <w:rPr>
                <w:rFonts w:ascii="Verdana" w:hAnsi="Verdana"/>
                <w:b/>
                <w:bCs/>
                <w:color w:val="000000"/>
                <w:sz w:val="22"/>
                <w:szCs w:val="22"/>
              </w:rPr>
            </w:pPr>
          </w:p>
          <w:p w:rsidR="00FF01A8" w:rsidRPr="00C4514D" w:rsidRDefault="00FF01A8" w:rsidP="00FF01A8">
            <w:pPr>
              <w:jc w:val="both"/>
              <w:rPr>
                <w:rFonts w:ascii="Verdana" w:hAnsi="Verdana"/>
                <w:b/>
                <w:bCs/>
                <w:color w:val="000000"/>
                <w:sz w:val="22"/>
                <w:szCs w:val="22"/>
              </w:rPr>
            </w:pPr>
            <w:r w:rsidRPr="00C4514D">
              <w:rPr>
                <w:rFonts w:ascii="Verdana" w:hAnsi="Verdana"/>
                <w:b/>
                <w:bCs/>
                <w:color w:val="000000"/>
                <w:sz w:val="22"/>
                <w:szCs w:val="22"/>
              </w:rPr>
              <w:t xml:space="preserve">Table 17 </w:t>
            </w:r>
          </w:p>
          <w:p w:rsidR="00FF01A8" w:rsidRPr="00C4514D" w:rsidRDefault="00FF01A8" w:rsidP="00FF01A8">
            <w:pPr>
              <w:jc w:val="both"/>
              <w:rPr>
                <w:rFonts w:ascii="Verdana" w:hAnsi="Verdana"/>
                <w:b/>
                <w:bCs/>
                <w:color w:val="000000"/>
                <w:sz w:val="22"/>
                <w:szCs w:val="22"/>
              </w:rPr>
            </w:pPr>
          </w:p>
        </w:tc>
        <w:tc>
          <w:tcPr>
            <w:tcW w:w="0" w:type="auto"/>
            <w:tcBorders>
              <w:top w:val="nil"/>
              <w:left w:val="nil"/>
              <w:bottom w:val="nil"/>
              <w:right w:val="nil"/>
            </w:tcBorders>
            <w:shd w:val="clear" w:color="auto" w:fill="auto"/>
            <w:noWrap/>
            <w:vAlign w:val="bottom"/>
          </w:tcPr>
          <w:p w:rsidR="00FF01A8" w:rsidRPr="00C4514D" w:rsidRDefault="00FF01A8" w:rsidP="00FF01A8">
            <w:pPr>
              <w:rPr>
                <w:rFonts w:ascii="Verdana" w:hAnsi="Verdana"/>
                <w:color w:val="000000"/>
                <w:sz w:val="22"/>
                <w:szCs w:val="22"/>
              </w:rPr>
            </w:pPr>
          </w:p>
        </w:tc>
        <w:tc>
          <w:tcPr>
            <w:tcW w:w="0" w:type="auto"/>
            <w:tcBorders>
              <w:top w:val="nil"/>
              <w:left w:val="nil"/>
              <w:bottom w:val="nil"/>
              <w:right w:val="nil"/>
            </w:tcBorders>
            <w:shd w:val="clear" w:color="auto" w:fill="auto"/>
            <w:noWrap/>
            <w:vAlign w:val="bottom"/>
          </w:tcPr>
          <w:p w:rsidR="00FF01A8" w:rsidRPr="00C4514D" w:rsidRDefault="00FF01A8" w:rsidP="00FF01A8">
            <w:pPr>
              <w:rPr>
                <w:rFonts w:ascii="Verdana" w:hAnsi="Verdana"/>
                <w:color w:val="000000"/>
                <w:sz w:val="22"/>
                <w:szCs w:val="22"/>
              </w:rPr>
            </w:pPr>
          </w:p>
        </w:tc>
        <w:tc>
          <w:tcPr>
            <w:tcW w:w="0" w:type="auto"/>
            <w:tcBorders>
              <w:top w:val="nil"/>
              <w:left w:val="nil"/>
              <w:bottom w:val="nil"/>
              <w:right w:val="nil"/>
            </w:tcBorders>
            <w:shd w:val="clear" w:color="auto" w:fill="auto"/>
            <w:noWrap/>
            <w:vAlign w:val="bottom"/>
          </w:tcPr>
          <w:p w:rsidR="00FF01A8" w:rsidRPr="00C4514D" w:rsidRDefault="00FF01A8" w:rsidP="00FF01A8">
            <w:pPr>
              <w:rPr>
                <w:rFonts w:ascii="Verdana" w:hAnsi="Verdana"/>
                <w:color w:val="000000"/>
                <w:sz w:val="22"/>
                <w:szCs w:val="22"/>
              </w:rPr>
            </w:pPr>
          </w:p>
        </w:tc>
        <w:tc>
          <w:tcPr>
            <w:tcW w:w="0" w:type="auto"/>
            <w:tcBorders>
              <w:top w:val="nil"/>
              <w:left w:val="nil"/>
              <w:bottom w:val="nil"/>
              <w:right w:val="nil"/>
            </w:tcBorders>
            <w:shd w:val="clear" w:color="auto" w:fill="auto"/>
            <w:noWrap/>
            <w:vAlign w:val="bottom"/>
          </w:tcPr>
          <w:p w:rsidR="00FF01A8" w:rsidRPr="00C4514D" w:rsidRDefault="00FF01A8" w:rsidP="00FF01A8">
            <w:pPr>
              <w:rPr>
                <w:rFonts w:ascii="Verdana" w:hAnsi="Verdana"/>
                <w:color w:val="000000"/>
                <w:sz w:val="22"/>
                <w:szCs w:val="22"/>
              </w:rPr>
            </w:pPr>
          </w:p>
        </w:tc>
      </w:tr>
      <w:tr w:rsidR="00FF01A8" w:rsidRPr="004F5F2B" w:rsidTr="00FF01A8">
        <w:trPr>
          <w:trHeight w:val="525"/>
        </w:trPr>
        <w:tc>
          <w:tcPr>
            <w:tcW w:w="0" w:type="auto"/>
            <w:tcBorders>
              <w:top w:val="single" w:sz="8" w:space="0" w:color="auto"/>
              <w:left w:val="single" w:sz="8" w:space="0" w:color="auto"/>
              <w:bottom w:val="nil"/>
              <w:right w:val="single" w:sz="8" w:space="0" w:color="auto"/>
            </w:tcBorders>
            <w:shd w:val="clear" w:color="auto" w:fill="auto"/>
            <w:vAlign w:val="center"/>
          </w:tcPr>
          <w:p w:rsidR="00FF01A8" w:rsidRPr="004F5F2B" w:rsidRDefault="00FF01A8" w:rsidP="00FF01A8">
            <w:pPr>
              <w:jc w:val="center"/>
              <w:rPr>
                <w:rFonts w:ascii="Verdana" w:hAnsi="Verdana"/>
                <w:b/>
                <w:bCs/>
                <w:color w:val="000000"/>
                <w:sz w:val="18"/>
                <w:szCs w:val="18"/>
              </w:rPr>
            </w:pPr>
            <w:r w:rsidRPr="004F5F2B">
              <w:rPr>
                <w:rFonts w:ascii="Verdana" w:hAnsi="Verdana"/>
                <w:b/>
                <w:bCs/>
                <w:color w:val="000000"/>
                <w:sz w:val="18"/>
                <w:szCs w:val="18"/>
              </w:rPr>
              <w:t>Priority axis</w:t>
            </w:r>
          </w:p>
        </w:tc>
        <w:tc>
          <w:tcPr>
            <w:tcW w:w="0" w:type="auto"/>
            <w:tcBorders>
              <w:top w:val="single" w:sz="8" w:space="0" w:color="auto"/>
              <w:left w:val="nil"/>
              <w:bottom w:val="single" w:sz="8" w:space="0" w:color="auto"/>
              <w:right w:val="single" w:sz="8" w:space="0" w:color="auto"/>
            </w:tcBorders>
            <w:shd w:val="clear" w:color="auto" w:fill="auto"/>
            <w:vAlign w:val="center"/>
          </w:tcPr>
          <w:p w:rsidR="00FF01A8" w:rsidRPr="004F5F2B" w:rsidRDefault="00FF01A8" w:rsidP="00FF01A8">
            <w:pPr>
              <w:jc w:val="center"/>
              <w:rPr>
                <w:rFonts w:ascii="Verdana" w:hAnsi="Verdana"/>
                <w:b/>
                <w:bCs/>
                <w:color w:val="000000"/>
                <w:sz w:val="18"/>
                <w:szCs w:val="18"/>
              </w:rPr>
            </w:pPr>
            <w:r w:rsidRPr="004F5F2B">
              <w:rPr>
                <w:rFonts w:ascii="Verdana" w:hAnsi="Verdana"/>
                <w:b/>
                <w:bCs/>
                <w:color w:val="000000"/>
                <w:sz w:val="18"/>
                <w:szCs w:val="18"/>
              </w:rPr>
              <w:t>Thematic objective</w:t>
            </w:r>
          </w:p>
        </w:tc>
        <w:tc>
          <w:tcPr>
            <w:tcW w:w="0" w:type="auto"/>
            <w:tcBorders>
              <w:top w:val="single" w:sz="8" w:space="0" w:color="auto"/>
              <w:left w:val="nil"/>
              <w:bottom w:val="single" w:sz="8" w:space="0" w:color="auto"/>
              <w:right w:val="single" w:sz="8" w:space="0" w:color="auto"/>
            </w:tcBorders>
            <w:shd w:val="clear" w:color="auto" w:fill="auto"/>
            <w:vAlign w:val="center"/>
          </w:tcPr>
          <w:p w:rsidR="00FF01A8" w:rsidRPr="004F5F2B" w:rsidRDefault="00FF01A8" w:rsidP="00FF01A8">
            <w:pPr>
              <w:jc w:val="center"/>
              <w:rPr>
                <w:rFonts w:ascii="Verdana" w:hAnsi="Verdana"/>
                <w:b/>
                <w:bCs/>
                <w:color w:val="000000"/>
                <w:sz w:val="18"/>
                <w:szCs w:val="18"/>
              </w:rPr>
            </w:pPr>
            <w:r w:rsidRPr="004F5F2B">
              <w:rPr>
                <w:rFonts w:ascii="Verdana" w:hAnsi="Verdana"/>
                <w:b/>
                <w:bCs/>
                <w:color w:val="000000"/>
                <w:sz w:val="18"/>
                <w:szCs w:val="18"/>
              </w:rPr>
              <w:t>Union support</w:t>
            </w:r>
          </w:p>
        </w:tc>
        <w:tc>
          <w:tcPr>
            <w:tcW w:w="0" w:type="auto"/>
            <w:tcBorders>
              <w:top w:val="single" w:sz="8" w:space="0" w:color="auto"/>
              <w:left w:val="nil"/>
              <w:bottom w:val="single" w:sz="8" w:space="0" w:color="auto"/>
              <w:right w:val="single" w:sz="8" w:space="0" w:color="auto"/>
            </w:tcBorders>
            <w:shd w:val="clear" w:color="auto" w:fill="auto"/>
            <w:vAlign w:val="center"/>
          </w:tcPr>
          <w:p w:rsidR="00FF01A8" w:rsidRPr="004F5F2B" w:rsidRDefault="00FF01A8" w:rsidP="00FF01A8">
            <w:pPr>
              <w:jc w:val="center"/>
              <w:rPr>
                <w:rFonts w:ascii="Verdana" w:hAnsi="Verdana"/>
                <w:b/>
                <w:bCs/>
                <w:color w:val="000000"/>
                <w:sz w:val="18"/>
                <w:szCs w:val="18"/>
              </w:rPr>
            </w:pPr>
            <w:r w:rsidRPr="004F5F2B">
              <w:rPr>
                <w:rFonts w:ascii="Verdana" w:hAnsi="Verdana"/>
                <w:b/>
                <w:bCs/>
                <w:color w:val="000000"/>
                <w:sz w:val="18"/>
                <w:szCs w:val="18"/>
              </w:rPr>
              <w:t>National counterpart</w:t>
            </w:r>
          </w:p>
        </w:tc>
        <w:tc>
          <w:tcPr>
            <w:tcW w:w="0" w:type="auto"/>
            <w:tcBorders>
              <w:top w:val="single" w:sz="8" w:space="0" w:color="auto"/>
              <w:left w:val="nil"/>
              <w:bottom w:val="single" w:sz="8" w:space="0" w:color="auto"/>
              <w:right w:val="single" w:sz="8" w:space="0" w:color="auto"/>
            </w:tcBorders>
            <w:shd w:val="clear" w:color="auto" w:fill="auto"/>
            <w:vAlign w:val="center"/>
          </w:tcPr>
          <w:p w:rsidR="00FF01A8" w:rsidRPr="004F5F2B" w:rsidRDefault="00FF01A8" w:rsidP="00FF01A8">
            <w:pPr>
              <w:jc w:val="center"/>
              <w:rPr>
                <w:rFonts w:ascii="Verdana" w:hAnsi="Verdana"/>
                <w:b/>
                <w:bCs/>
                <w:color w:val="000000"/>
                <w:sz w:val="18"/>
                <w:szCs w:val="18"/>
              </w:rPr>
            </w:pPr>
            <w:r w:rsidRPr="004F5F2B">
              <w:rPr>
                <w:rFonts w:ascii="Verdana" w:hAnsi="Verdana"/>
                <w:b/>
                <w:bCs/>
                <w:color w:val="000000"/>
                <w:sz w:val="18"/>
                <w:szCs w:val="18"/>
              </w:rPr>
              <w:t>Total funding</w:t>
            </w:r>
          </w:p>
        </w:tc>
      </w:tr>
      <w:tr w:rsidR="00FF01A8" w:rsidRPr="004F5F2B" w:rsidTr="00FF01A8">
        <w:trPr>
          <w:trHeight w:val="52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FF01A8" w:rsidRPr="004F5F2B" w:rsidRDefault="00FF01A8" w:rsidP="00FF01A8">
            <w:pPr>
              <w:jc w:val="center"/>
              <w:rPr>
                <w:rFonts w:ascii="Verdana" w:hAnsi="Verdana"/>
                <w:color w:val="000000"/>
                <w:sz w:val="18"/>
                <w:szCs w:val="18"/>
              </w:rPr>
            </w:pPr>
            <w:r w:rsidRPr="004F5F2B">
              <w:rPr>
                <w:rFonts w:ascii="Verdana" w:hAnsi="Verdana"/>
                <w:color w:val="000000"/>
                <w:sz w:val="18"/>
                <w:szCs w:val="18"/>
              </w:rPr>
              <w:t>Priority axis 1</w:t>
            </w:r>
          </w:p>
        </w:tc>
        <w:tc>
          <w:tcPr>
            <w:tcW w:w="0" w:type="auto"/>
            <w:tcBorders>
              <w:top w:val="nil"/>
              <w:left w:val="nil"/>
              <w:bottom w:val="single" w:sz="8" w:space="0" w:color="auto"/>
              <w:right w:val="single" w:sz="8" w:space="0" w:color="auto"/>
            </w:tcBorders>
            <w:shd w:val="clear" w:color="auto" w:fill="auto"/>
            <w:vAlign w:val="center"/>
          </w:tcPr>
          <w:p w:rsidR="00FF01A8" w:rsidRPr="004F5F2B" w:rsidRDefault="00FF01A8" w:rsidP="00FF01A8">
            <w:pPr>
              <w:jc w:val="center"/>
              <w:rPr>
                <w:rFonts w:ascii="Verdana" w:hAnsi="Verdana"/>
                <w:color w:val="000000"/>
                <w:sz w:val="18"/>
                <w:szCs w:val="18"/>
              </w:rPr>
            </w:pPr>
            <w:r w:rsidRPr="004F5F2B">
              <w:rPr>
                <w:rFonts w:ascii="Verdana" w:hAnsi="Verdana"/>
                <w:color w:val="000000"/>
                <w:sz w:val="18"/>
                <w:szCs w:val="18"/>
              </w:rPr>
              <w:t>Thematic objective 11</w:t>
            </w:r>
          </w:p>
        </w:tc>
        <w:tc>
          <w:tcPr>
            <w:tcW w:w="0" w:type="auto"/>
            <w:tcBorders>
              <w:top w:val="nil"/>
              <w:left w:val="nil"/>
              <w:bottom w:val="single" w:sz="8" w:space="0" w:color="auto"/>
              <w:right w:val="single" w:sz="8" w:space="0" w:color="auto"/>
            </w:tcBorders>
            <w:shd w:val="clear" w:color="auto" w:fill="auto"/>
            <w:vAlign w:val="center"/>
          </w:tcPr>
          <w:p w:rsidR="00FF01A8" w:rsidRPr="004F5F2B" w:rsidRDefault="00FF01A8" w:rsidP="003103D1">
            <w:pPr>
              <w:jc w:val="center"/>
              <w:rPr>
                <w:rFonts w:ascii="Verdana" w:hAnsi="Verdana"/>
                <w:color w:val="000000"/>
                <w:sz w:val="18"/>
                <w:szCs w:val="18"/>
              </w:rPr>
            </w:pPr>
            <w:r w:rsidRPr="004F5F2B">
              <w:rPr>
                <w:rFonts w:ascii="Verdana" w:hAnsi="Verdana"/>
                <w:color w:val="000000"/>
                <w:sz w:val="18"/>
                <w:szCs w:val="18"/>
              </w:rPr>
              <w:t xml:space="preserve">69 843 </w:t>
            </w:r>
            <w:r w:rsidR="00697F59">
              <w:rPr>
                <w:rFonts w:ascii="Verdana" w:hAnsi="Verdana"/>
                <w:color w:val="000000"/>
                <w:sz w:val="18"/>
                <w:szCs w:val="18"/>
              </w:rPr>
              <w:t>79</w:t>
            </w:r>
            <w:r w:rsidR="003103D1">
              <w:rPr>
                <w:rFonts w:ascii="Verdana" w:hAnsi="Verdana"/>
                <w:color w:val="000000"/>
                <w:sz w:val="18"/>
                <w:szCs w:val="18"/>
              </w:rPr>
              <w:t>5</w:t>
            </w:r>
          </w:p>
        </w:tc>
        <w:tc>
          <w:tcPr>
            <w:tcW w:w="0" w:type="auto"/>
            <w:tcBorders>
              <w:top w:val="nil"/>
              <w:left w:val="nil"/>
              <w:bottom w:val="single" w:sz="8" w:space="0" w:color="auto"/>
              <w:right w:val="single" w:sz="8" w:space="0" w:color="auto"/>
            </w:tcBorders>
            <w:shd w:val="clear" w:color="auto" w:fill="auto"/>
            <w:vAlign w:val="center"/>
          </w:tcPr>
          <w:p w:rsidR="00FF01A8" w:rsidRPr="004F5F2B" w:rsidRDefault="00FF01A8" w:rsidP="00697F59">
            <w:pPr>
              <w:jc w:val="center"/>
              <w:rPr>
                <w:rFonts w:ascii="Verdana" w:hAnsi="Verdana"/>
                <w:color w:val="000000"/>
                <w:sz w:val="18"/>
                <w:szCs w:val="18"/>
              </w:rPr>
            </w:pPr>
            <w:r w:rsidRPr="004F5F2B">
              <w:rPr>
                <w:rFonts w:ascii="Verdana" w:hAnsi="Verdana"/>
                <w:color w:val="000000"/>
                <w:sz w:val="18"/>
                <w:szCs w:val="18"/>
              </w:rPr>
              <w:t>18 375 0</w:t>
            </w:r>
            <w:r w:rsidR="00697F59">
              <w:rPr>
                <w:rFonts w:ascii="Verdana" w:hAnsi="Verdana"/>
                <w:color w:val="000000"/>
                <w:sz w:val="18"/>
                <w:szCs w:val="18"/>
              </w:rPr>
              <w:t>88</w:t>
            </w:r>
          </w:p>
        </w:tc>
        <w:tc>
          <w:tcPr>
            <w:tcW w:w="0" w:type="auto"/>
            <w:tcBorders>
              <w:top w:val="nil"/>
              <w:left w:val="nil"/>
              <w:bottom w:val="single" w:sz="8" w:space="0" w:color="auto"/>
              <w:right w:val="single" w:sz="8" w:space="0" w:color="auto"/>
            </w:tcBorders>
            <w:shd w:val="clear" w:color="auto" w:fill="auto"/>
            <w:vAlign w:val="center"/>
          </w:tcPr>
          <w:p w:rsidR="00FF01A8" w:rsidRPr="004F5F2B" w:rsidRDefault="00FF01A8" w:rsidP="003103D1">
            <w:pPr>
              <w:jc w:val="center"/>
              <w:rPr>
                <w:rFonts w:ascii="Verdana" w:hAnsi="Verdana"/>
                <w:color w:val="000000"/>
                <w:sz w:val="18"/>
                <w:szCs w:val="18"/>
              </w:rPr>
            </w:pPr>
            <w:r w:rsidRPr="004F5F2B">
              <w:rPr>
                <w:rFonts w:ascii="Verdana" w:hAnsi="Verdana"/>
                <w:color w:val="000000"/>
                <w:sz w:val="18"/>
                <w:szCs w:val="18"/>
              </w:rPr>
              <w:t>88 218 88</w:t>
            </w:r>
            <w:r w:rsidR="003103D1">
              <w:rPr>
                <w:rFonts w:ascii="Verdana" w:hAnsi="Verdana"/>
                <w:color w:val="000000"/>
                <w:sz w:val="18"/>
                <w:szCs w:val="18"/>
              </w:rPr>
              <w:t>3</w:t>
            </w:r>
          </w:p>
        </w:tc>
      </w:tr>
      <w:tr w:rsidR="00FF01A8" w:rsidRPr="004F5F2B" w:rsidTr="00FF01A8">
        <w:trPr>
          <w:trHeight w:val="525"/>
        </w:trPr>
        <w:tc>
          <w:tcPr>
            <w:tcW w:w="0" w:type="auto"/>
            <w:tcBorders>
              <w:top w:val="nil"/>
              <w:left w:val="single" w:sz="4" w:space="0" w:color="auto"/>
              <w:bottom w:val="single" w:sz="4" w:space="0" w:color="auto"/>
              <w:right w:val="single" w:sz="4" w:space="0" w:color="auto"/>
            </w:tcBorders>
            <w:shd w:val="clear" w:color="auto" w:fill="auto"/>
            <w:vAlign w:val="center"/>
          </w:tcPr>
          <w:p w:rsidR="00FF01A8" w:rsidRPr="004F5F2B" w:rsidRDefault="00FF01A8" w:rsidP="00FF01A8">
            <w:pPr>
              <w:jc w:val="center"/>
              <w:rPr>
                <w:rFonts w:ascii="Verdana" w:hAnsi="Verdana"/>
                <w:color w:val="000000"/>
                <w:sz w:val="18"/>
                <w:szCs w:val="18"/>
              </w:rPr>
            </w:pPr>
            <w:r w:rsidRPr="004F5F2B">
              <w:rPr>
                <w:rFonts w:ascii="Verdana" w:hAnsi="Verdana"/>
                <w:color w:val="000000"/>
                <w:sz w:val="18"/>
                <w:szCs w:val="18"/>
              </w:rPr>
              <w:t>Priority axis 2</w:t>
            </w:r>
          </w:p>
        </w:tc>
        <w:tc>
          <w:tcPr>
            <w:tcW w:w="0" w:type="auto"/>
            <w:tcBorders>
              <w:top w:val="nil"/>
              <w:left w:val="nil"/>
              <w:bottom w:val="single" w:sz="8" w:space="0" w:color="auto"/>
              <w:right w:val="single" w:sz="8" w:space="0" w:color="auto"/>
            </w:tcBorders>
            <w:shd w:val="clear" w:color="auto" w:fill="auto"/>
            <w:vAlign w:val="center"/>
          </w:tcPr>
          <w:p w:rsidR="00FF01A8" w:rsidRPr="004F5F2B" w:rsidRDefault="00FF01A8" w:rsidP="00FF01A8">
            <w:pPr>
              <w:jc w:val="center"/>
              <w:rPr>
                <w:rFonts w:ascii="Verdana" w:hAnsi="Verdana"/>
                <w:color w:val="000000"/>
                <w:sz w:val="18"/>
                <w:szCs w:val="18"/>
              </w:rPr>
            </w:pPr>
            <w:r w:rsidRPr="004F5F2B">
              <w:rPr>
                <w:rFonts w:ascii="Verdana" w:hAnsi="Verdana"/>
                <w:color w:val="000000"/>
                <w:sz w:val="18"/>
                <w:szCs w:val="18"/>
              </w:rPr>
              <w:t>Thematic objective 11</w:t>
            </w:r>
          </w:p>
        </w:tc>
        <w:tc>
          <w:tcPr>
            <w:tcW w:w="0" w:type="auto"/>
            <w:tcBorders>
              <w:top w:val="nil"/>
              <w:left w:val="nil"/>
              <w:bottom w:val="single" w:sz="8" w:space="0" w:color="auto"/>
              <w:right w:val="single" w:sz="8" w:space="0" w:color="auto"/>
            </w:tcBorders>
            <w:shd w:val="clear" w:color="auto" w:fill="auto"/>
            <w:vAlign w:val="center"/>
          </w:tcPr>
          <w:p w:rsidR="00FF01A8" w:rsidRPr="004F5F2B" w:rsidRDefault="00FF01A8" w:rsidP="0073002B">
            <w:pPr>
              <w:jc w:val="center"/>
              <w:rPr>
                <w:rFonts w:ascii="Verdana" w:hAnsi="Verdana"/>
                <w:color w:val="000000"/>
                <w:sz w:val="18"/>
                <w:szCs w:val="18"/>
              </w:rPr>
            </w:pPr>
            <w:r w:rsidRPr="004F5F2B">
              <w:rPr>
                <w:rFonts w:ascii="Verdana" w:hAnsi="Verdana"/>
                <w:color w:val="000000"/>
                <w:sz w:val="18"/>
                <w:szCs w:val="18"/>
              </w:rPr>
              <w:t>4 458 1</w:t>
            </w:r>
            <w:r w:rsidR="00697F59">
              <w:rPr>
                <w:rFonts w:ascii="Verdana" w:hAnsi="Verdana"/>
                <w:color w:val="000000"/>
                <w:sz w:val="18"/>
                <w:szCs w:val="18"/>
              </w:rPr>
              <w:t>1</w:t>
            </w:r>
            <w:r w:rsidR="0073002B">
              <w:rPr>
                <w:rFonts w:ascii="Verdana" w:hAnsi="Verdana"/>
                <w:color w:val="000000"/>
                <w:sz w:val="18"/>
                <w:szCs w:val="18"/>
              </w:rPr>
              <w:t>4</w:t>
            </w:r>
          </w:p>
        </w:tc>
        <w:tc>
          <w:tcPr>
            <w:tcW w:w="0" w:type="auto"/>
            <w:tcBorders>
              <w:top w:val="nil"/>
              <w:left w:val="nil"/>
              <w:bottom w:val="single" w:sz="8" w:space="0" w:color="auto"/>
              <w:right w:val="single" w:sz="8" w:space="0" w:color="auto"/>
            </w:tcBorders>
            <w:shd w:val="clear" w:color="auto" w:fill="auto"/>
            <w:vAlign w:val="center"/>
          </w:tcPr>
          <w:p w:rsidR="00FF01A8" w:rsidRPr="004F5F2B" w:rsidRDefault="00FF01A8" w:rsidP="00FF01A8">
            <w:pPr>
              <w:jc w:val="center"/>
              <w:rPr>
                <w:rFonts w:ascii="Verdana" w:hAnsi="Verdana"/>
                <w:color w:val="000000"/>
                <w:sz w:val="18"/>
                <w:szCs w:val="18"/>
              </w:rPr>
            </w:pPr>
            <w:r w:rsidRPr="004F5F2B">
              <w:rPr>
                <w:rFonts w:ascii="Verdana" w:hAnsi="Verdana"/>
                <w:color w:val="000000"/>
                <w:sz w:val="18"/>
                <w:szCs w:val="18"/>
              </w:rPr>
              <w:t>3 647 553</w:t>
            </w:r>
          </w:p>
        </w:tc>
        <w:tc>
          <w:tcPr>
            <w:tcW w:w="0" w:type="auto"/>
            <w:tcBorders>
              <w:top w:val="nil"/>
              <w:left w:val="nil"/>
              <w:bottom w:val="single" w:sz="8" w:space="0" w:color="auto"/>
              <w:right w:val="single" w:sz="8" w:space="0" w:color="auto"/>
            </w:tcBorders>
            <w:shd w:val="clear" w:color="auto" w:fill="auto"/>
            <w:vAlign w:val="center"/>
          </w:tcPr>
          <w:p w:rsidR="00FF01A8" w:rsidRPr="004F5F2B" w:rsidRDefault="00FF01A8" w:rsidP="0073002B">
            <w:pPr>
              <w:jc w:val="center"/>
              <w:rPr>
                <w:rFonts w:ascii="Verdana" w:hAnsi="Verdana"/>
                <w:color w:val="000000"/>
                <w:sz w:val="18"/>
                <w:szCs w:val="18"/>
              </w:rPr>
            </w:pPr>
            <w:r w:rsidRPr="004F5F2B">
              <w:rPr>
                <w:rFonts w:ascii="Verdana" w:hAnsi="Verdana"/>
                <w:color w:val="000000"/>
                <w:sz w:val="18"/>
                <w:szCs w:val="18"/>
              </w:rPr>
              <w:t>8 105 6</w:t>
            </w:r>
            <w:r w:rsidR="00697F59">
              <w:rPr>
                <w:rFonts w:ascii="Verdana" w:hAnsi="Verdana"/>
                <w:color w:val="000000"/>
                <w:sz w:val="18"/>
                <w:szCs w:val="18"/>
              </w:rPr>
              <w:t>6</w:t>
            </w:r>
            <w:r w:rsidR="0073002B">
              <w:rPr>
                <w:rFonts w:ascii="Verdana" w:hAnsi="Verdana"/>
                <w:color w:val="000000"/>
                <w:sz w:val="18"/>
                <w:szCs w:val="18"/>
              </w:rPr>
              <w:t>7</w:t>
            </w:r>
          </w:p>
        </w:tc>
      </w:tr>
      <w:tr w:rsidR="00FF01A8" w:rsidRPr="004F5F2B" w:rsidTr="00FF01A8">
        <w:trPr>
          <w:trHeight w:val="315"/>
        </w:trPr>
        <w:tc>
          <w:tcPr>
            <w:tcW w:w="0" w:type="auto"/>
            <w:tcBorders>
              <w:top w:val="nil"/>
              <w:left w:val="single" w:sz="8" w:space="0" w:color="auto"/>
              <w:bottom w:val="single" w:sz="8" w:space="0" w:color="auto"/>
              <w:right w:val="single" w:sz="8" w:space="0" w:color="auto"/>
            </w:tcBorders>
            <w:shd w:val="clear" w:color="auto" w:fill="auto"/>
            <w:vAlign w:val="center"/>
          </w:tcPr>
          <w:p w:rsidR="00FF01A8" w:rsidRPr="004F5F2B" w:rsidRDefault="00FF01A8" w:rsidP="00FF01A8">
            <w:pPr>
              <w:jc w:val="center"/>
              <w:rPr>
                <w:rFonts w:ascii="Verdana" w:hAnsi="Verdana"/>
                <w:b/>
                <w:bCs/>
                <w:color w:val="000000"/>
                <w:sz w:val="18"/>
                <w:szCs w:val="18"/>
              </w:rPr>
            </w:pPr>
            <w:r w:rsidRPr="004F5F2B">
              <w:rPr>
                <w:rFonts w:ascii="Verdana" w:hAnsi="Verdana"/>
                <w:b/>
                <w:bCs/>
                <w:color w:val="000000"/>
                <w:sz w:val="18"/>
                <w:szCs w:val="18"/>
              </w:rPr>
              <w:t>TOTAL</w:t>
            </w:r>
          </w:p>
        </w:tc>
        <w:tc>
          <w:tcPr>
            <w:tcW w:w="0" w:type="auto"/>
            <w:tcBorders>
              <w:top w:val="nil"/>
              <w:left w:val="nil"/>
              <w:bottom w:val="single" w:sz="8" w:space="0" w:color="auto"/>
              <w:right w:val="single" w:sz="8" w:space="0" w:color="auto"/>
            </w:tcBorders>
            <w:shd w:val="clear" w:color="auto" w:fill="auto"/>
            <w:vAlign w:val="center"/>
          </w:tcPr>
          <w:p w:rsidR="00FF01A8" w:rsidRPr="004F5F2B" w:rsidRDefault="00FF01A8" w:rsidP="00FF01A8">
            <w:pPr>
              <w:jc w:val="center"/>
              <w:rPr>
                <w:rFonts w:ascii="Verdana" w:hAnsi="Verdana"/>
                <w:b/>
                <w:bCs/>
                <w:color w:val="000000"/>
                <w:sz w:val="18"/>
                <w:szCs w:val="18"/>
              </w:rPr>
            </w:pPr>
          </w:p>
        </w:tc>
        <w:tc>
          <w:tcPr>
            <w:tcW w:w="0" w:type="auto"/>
            <w:tcBorders>
              <w:top w:val="nil"/>
              <w:left w:val="nil"/>
              <w:bottom w:val="single" w:sz="8" w:space="0" w:color="auto"/>
              <w:right w:val="single" w:sz="8" w:space="0" w:color="auto"/>
            </w:tcBorders>
            <w:shd w:val="clear" w:color="auto" w:fill="auto"/>
            <w:vAlign w:val="center"/>
          </w:tcPr>
          <w:p w:rsidR="00FF01A8" w:rsidRPr="004F5F2B" w:rsidRDefault="00FF01A8" w:rsidP="0073002B">
            <w:pPr>
              <w:jc w:val="center"/>
              <w:rPr>
                <w:rFonts w:ascii="Verdana" w:hAnsi="Verdana"/>
                <w:b/>
                <w:bCs/>
                <w:color w:val="000000"/>
                <w:sz w:val="18"/>
                <w:szCs w:val="18"/>
              </w:rPr>
            </w:pPr>
            <w:r w:rsidRPr="004F5F2B">
              <w:rPr>
                <w:rFonts w:ascii="Verdana" w:hAnsi="Verdana"/>
                <w:b/>
                <w:bCs/>
                <w:color w:val="000000"/>
                <w:sz w:val="18"/>
                <w:szCs w:val="18"/>
              </w:rPr>
              <w:t>74 30</w:t>
            </w:r>
            <w:r w:rsidR="00697F59">
              <w:rPr>
                <w:rFonts w:ascii="Verdana" w:hAnsi="Verdana"/>
                <w:b/>
                <w:bCs/>
                <w:color w:val="000000"/>
                <w:sz w:val="18"/>
                <w:szCs w:val="18"/>
              </w:rPr>
              <w:t>1</w:t>
            </w:r>
            <w:r w:rsidRPr="004F5F2B">
              <w:rPr>
                <w:rFonts w:ascii="Verdana" w:hAnsi="Verdana"/>
                <w:b/>
                <w:bCs/>
                <w:color w:val="000000"/>
                <w:sz w:val="18"/>
                <w:szCs w:val="18"/>
              </w:rPr>
              <w:t xml:space="preserve"> </w:t>
            </w:r>
            <w:r w:rsidR="00697F59">
              <w:rPr>
                <w:rFonts w:ascii="Verdana" w:hAnsi="Verdana"/>
                <w:b/>
                <w:bCs/>
                <w:color w:val="000000"/>
                <w:sz w:val="18"/>
                <w:szCs w:val="18"/>
              </w:rPr>
              <w:t>909</w:t>
            </w:r>
          </w:p>
        </w:tc>
        <w:tc>
          <w:tcPr>
            <w:tcW w:w="0" w:type="auto"/>
            <w:tcBorders>
              <w:top w:val="nil"/>
              <w:left w:val="nil"/>
              <w:bottom w:val="single" w:sz="8" w:space="0" w:color="auto"/>
              <w:right w:val="single" w:sz="8" w:space="0" w:color="auto"/>
            </w:tcBorders>
            <w:shd w:val="clear" w:color="auto" w:fill="auto"/>
            <w:vAlign w:val="center"/>
          </w:tcPr>
          <w:p w:rsidR="00FF01A8" w:rsidRPr="004F5F2B" w:rsidRDefault="00FF01A8" w:rsidP="00697F59">
            <w:pPr>
              <w:jc w:val="center"/>
              <w:rPr>
                <w:rFonts w:ascii="Verdana" w:hAnsi="Verdana"/>
                <w:b/>
                <w:bCs/>
                <w:color w:val="000000"/>
                <w:sz w:val="18"/>
                <w:szCs w:val="18"/>
              </w:rPr>
            </w:pPr>
            <w:r w:rsidRPr="004F5F2B">
              <w:rPr>
                <w:rFonts w:ascii="Verdana" w:hAnsi="Verdana"/>
                <w:b/>
                <w:bCs/>
                <w:color w:val="000000"/>
                <w:sz w:val="18"/>
                <w:szCs w:val="18"/>
              </w:rPr>
              <w:t xml:space="preserve">22 022 </w:t>
            </w:r>
            <w:r w:rsidR="00697F59">
              <w:rPr>
                <w:rFonts w:ascii="Verdana" w:hAnsi="Verdana"/>
                <w:b/>
                <w:bCs/>
                <w:color w:val="000000"/>
                <w:sz w:val="18"/>
                <w:szCs w:val="18"/>
              </w:rPr>
              <w:t>641</w:t>
            </w:r>
          </w:p>
        </w:tc>
        <w:tc>
          <w:tcPr>
            <w:tcW w:w="0" w:type="auto"/>
            <w:tcBorders>
              <w:top w:val="nil"/>
              <w:left w:val="nil"/>
              <w:bottom w:val="single" w:sz="8" w:space="0" w:color="auto"/>
              <w:right w:val="single" w:sz="8" w:space="0" w:color="auto"/>
            </w:tcBorders>
            <w:shd w:val="clear" w:color="auto" w:fill="auto"/>
            <w:vAlign w:val="center"/>
          </w:tcPr>
          <w:p w:rsidR="00FF01A8" w:rsidRPr="004F5F2B" w:rsidRDefault="00FF01A8" w:rsidP="0073002B">
            <w:pPr>
              <w:jc w:val="center"/>
              <w:rPr>
                <w:rFonts w:ascii="Verdana" w:hAnsi="Verdana"/>
                <w:b/>
                <w:bCs/>
                <w:color w:val="000000"/>
                <w:sz w:val="18"/>
                <w:szCs w:val="18"/>
              </w:rPr>
            </w:pPr>
            <w:r w:rsidRPr="004F5F2B">
              <w:rPr>
                <w:rFonts w:ascii="Verdana" w:hAnsi="Verdana"/>
                <w:b/>
                <w:bCs/>
                <w:color w:val="000000"/>
                <w:sz w:val="18"/>
                <w:szCs w:val="18"/>
              </w:rPr>
              <w:t>96 324 55</w:t>
            </w:r>
            <w:r w:rsidR="00697F59">
              <w:rPr>
                <w:rFonts w:ascii="Verdana" w:hAnsi="Verdana"/>
                <w:b/>
                <w:bCs/>
                <w:color w:val="000000"/>
                <w:sz w:val="18"/>
                <w:szCs w:val="18"/>
              </w:rPr>
              <w:t>0</w:t>
            </w:r>
          </w:p>
        </w:tc>
      </w:tr>
    </w:tbl>
    <w:p w:rsidR="00FF01A8" w:rsidRPr="004F5F2B" w:rsidRDefault="00FF01A8" w:rsidP="00FF01A8">
      <w:pPr>
        <w:rPr>
          <w:rFonts w:ascii="Verdana" w:hAnsi="Verdana"/>
          <w:sz w:val="18"/>
          <w:szCs w:val="18"/>
        </w:rPr>
      </w:pPr>
    </w:p>
    <w:p w:rsidR="00FF01A8" w:rsidRPr="004F5F2B" w:rsidRDefault="00FF01A8" w:rsidP="00FF01A8">
      <w:pPr>
        <w:rPr>
          <w:rFonts w:ascii="Verdana" w:hAnsi="Verdana"/>
          <w:sz w:val="18"/>
          <w:szCs w:val="18"/>
        </w:rPr>
      </w:pPr>
    </w:p>
    <w:p w:rsidR="00FF01A8" w:rsidRPr="00C4514D" w:rsidRDefault="00FF01A8" w:rsidP="00FF01A8">
      <w:pPr>
        <w:rPr>
          <w:rFonts w:ascii="Verdana" w:hAnsi="Verdana"/>
          <w:b/>
          <w:sz w:val="22"/>
          <w:szCs w:val="22"/>
        </w:rPr>
      </w:pPr>
      <w:r w:rsidRPr="00C4514D">
        <w:rPr>
          <w:rFonts w:ascii="Verdana" w:hAnsi="Verdana"/>
          <w:b/>
          <w:sz w:val="22"/>
          <w:szCs w:val="22"/>
        </w:rPr>
        <w:t>Table 18 Climate Change</w:t>
      </w:r>
    </w:p>
    <w:p w:rsidR="00FF01A8" w:rsidRPr="00C4514D" w:rsidRDefault="00FF01A8" w:rsidP="00FF01A8">
      <w:pPr>
        <w:rPr>
          <w:rFonts w:ascii="Verdana" w:hAnsi="Verdana"/>
          <w:sz w:val="22"/>
          <w:szCs w:val="22"/>
        </w:rPr>
      </w:pPr>
      <w:r w:rsidRPr="00C4514D">
        <w:rPr>
          <w:rFonts w:ascii="Verdana" w:hAnsi="Verdana"/>
          <w:sz w:val="22"/>
          <w:szCs w:val="22"/>
        </w:rPr>
        <w:t>Table generated automatically by SFC but not applicable to URBACT III.</w:t>
      </w:r>
    </w:p>
    <w:p w:rsidR="008F49F8" w:rsidRPr="00C4514D" w:rsidRDefault="008F49F8" w:rsidP="00592786">
      <w:pPr>
        <w:ind w:firstLine="708"/>
        <w:rPr>
          <w:rFonts w:ascii="Verdana" w:hAnsi="Verdana"/>
          <w:sz w:val="22"/>
          <w:szCs w:val="22"/>
        </w:rPr>
      </w:pPr>
    </w:p>
    <w:p w:rsidR="00E611D8" w:rsidRPr="004F5F2B" w:rsidRDefault="00E611D8" w:rsidP="00592786">
      <w:pPr>
        <w:ind w:firstLine="708"/>
        <w:rPr>
          <w:rFonts w:ascii="Verdana" w:hAnsi="Verdana"/>
        </w:rPr>
      </w:pPr>
    </w:p>
    <w:p w:rsidR="00E611D8" w:rsidRPr="004F5F2B" w:rsidRDefault="00E611D8">
      <w:pPr>
        <w:spacing w:after="200" w:line="276" w:lineRule="auto"/>
        <w:rPr>
          <w:rFonts w:ascii="Verdana" w:hAnsi="Verdana"/>
        </w:rPr>
      </w:pPr>
      <w:r w:rsidRPr="004F5F2B">
        <w:rPr>
          <w:rFonts w:ascii="Verdana" w:hAnsi="Verdana"/>
        </w:rPr>
        <w:br w:type="page"/>
      </w:r>
    </w:p>
    <w:p w:rsidR="00E611D8" w:rsidRPr="004F5F2B" w:rsidRDefault="00E611D8" w:rsidP="00592786">
      <w:pPr>
        <w:ind w:firstLine="708"/>
        <w:rPr>
          <w:rFonts w:ascii="Verdana" w:hAnsi="Verdana"/>
        </w:rPr>
      </w:pPr>
    </w:p>
    <w:p w:rsidR="00E611D8" w:rsidRPr="004F5F2B" w:rsidRDefault="00E611D8" w:rsidP="00592786">
      <w:pPr>
        <w:ind w:firstLine="708"/>
        <w:rPr>
          <w:rFonts w:ascii="Verdana" w:hAnsi="Verdana"/>
        </w:rPr>
      </w:pPr>
    </w:p>
    <w:p w:rsidR="00E611D8" w:rsidRPr="004F5F2B" w:rsidRDefault="00E611D8" w:rsidP="00592786">
      <w:pPr>
        <w:ind w:firstLine="708"/>
        <w:rPr>
          <w:rFonts w:ascii="Verdana" w:hAnsi="Verdana"/>
        </w:rPr>
      </w:pPr>
    </w:p>
    <w:p w:rsidR="00E611D8" w:rsidRPr="004F5F2B" w:rsidRDefault="00E611D8" w:rsidP="00592786">
      <w:pPr>
        <w:ind w:firstLine="708"/>
        <w:rPr>
          <w:rFonts w:ascii="Verdana" w:hAnsi="Verdana"/>
        </w:rPr>
      </w:pPr>
    </w:p>
    <w:p w:rsidR="00E611D8" w:rsidRPr="004F5F2B" w:rsidRDefault="00E611D8" w:rsidP="00592786">
      <w:pPr>
        <w:ind w:firstLine="708"/>
        <w:rPr>
          <w:rFonts w:ascii="Verdana" w:hAnsi="Verdana"/>
        </w:rPr>
      </w:pPr>
    </w:p>
    <w:p w:rsidR="00E611D8" w:rsidRPr="004F5F2B" w:rsidRDefault="00E611D8" w:rsidP="00592786">
      <w:pPr>
        <w:ind w:firstLine="708"/>
        <w:rPr>
          <w:rFonts w:ascii="Verdana" w:hAnsi="Verdana"/>
        </w:rPr>
      </w:pPr>
    </w:p>
    <w:p w:rsidR="00DA4B46" w:rsidRPr="004F5F2B" w:rsidRDefault="00DA4B46" w:rsidP="00DA4B46">
      <w:pPr>
        <w:spacing w:after="200" w:line="276" w:lineRule="auto"/>
        <w:rPr>
          <w:rFonts w:ascii="Verdana" w:hAnsi="Verdana"/>
        </w:rPr>
      </w:pPr>
    </w:p>
    <w:p w:rsidR="00AC759C" w:rsidRPr="004F5F2B" w:rsidRDefault="00AC759C" w:rsidP="00DA4B46">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p>
    <w:p w:rsidR="00DA4B46" w:rsidRPr="004F5F2B" w:rsidRDefault="00DA4B46" w:rsidP="00DA4B46">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r w:rsidRPr="004F5F2B">
        <w:rPr>
          <w:rFonts w:ascii="Verdana" w:hAnsi="Verdana"/>
          <w:b/>
          <w:bCs/>
        </w:rPr>
        <w:t>SECTION FOUR</w:t>
      </w:r>
    </w:p>
    <w:p w:rsidR="00DA4B46" w:rsidRPr="004F5F2B" w:rsidRDefault="00DA4B46" w:rsidP="00DA4B46">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p>
    <w:p w:rsidR="00DA4B46" w:rsidRPr="004F5F2B" w:rsidRDefault="00DA4B46" w:rsidP="00DA4B46">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p>
    <w:p w:rsidR="00DA4B46" w:rsidRPr="004F5F2B" w:rsidRDefault="00DA4B46" w:rsidP="00DA4B46">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cs="Arial"/>
          <w:b/>
          <w:bCs/>
          <w:kern w:val="36"/>
          <w:sz w:val="36"/>
          <w:szCs w:val="36"/>
        </w:rPr>
      </w:pPr>
      <w:r w:rsidRPr="004F5F2B">
        <w:rPr>
          <w:rFonts w:ascii="Verdana" w:hAnsi="Verdana" w:cs="Arial"/>
          <w:b/>
          <w:bCs/>
          <w:kern w:val="36"/>
          <w:sz w:val="36"/>
          <w:szCs w:val="36"/>
        </w:rPr>
        <w:t>Integrated approach</w:t>
      </w:r>
    </w:p>
    <w:p w:rsidR="00DA4B46" w:rsidRPr="004F5F2B" w:rsidRDefault="00DA4B46" w:rsidP="00DA4B46">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sz w:val="36"/>
          <w:szCs w:val="36"/>
        </w:rPr>
      </w:pPr>
      <w:r w:rsidRPr="004F5F2B">
        <w:rPr>
          <w:rFonts w:ascii="Verdana" w:hAnsi="Verdana" w:cs="Arial"/>
          <w:b/>
          <w:bCs/>
          <w:kern w:val="36"/>
          <w:sz w:val="36"/>
          <w:szCs w:val="36"/>
        </w:rPr>
        <w:t>to territorial development</w:t>
      </w:r>
    </w:p>
    <w:p w:rsidR="00DA4B46" w:rsidRPr="004F5F2B" w:rsidRDefault="00DA4B46" w:rsidP="00DA4B46">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sz w:val="32"/>
          <w:szCs w:val="32"/>
        </w:rPr>
      </w:pPr>
    </w:p>
    <w:p w:rsidR="00DA4B46" w:rsidRPr="004F5F2B" w:rsidRDefault="00DA4B46" w:rsidP="00DA4B46">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DA4B46" w:rsidRPr="004F5F2B" w:rsidRDefault="00DA4B46" w:rsidP="00DA4B46">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DA4B46" w:rsidRPr="004F5F2B" w:rsidRDefault="00DA4B46" w:rsidP="00DA4B46">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DA4B46" w:rsidRPr="004F5F2B" w:rsidRDefault="00DA4B46" w:rsidP="00DA4B46">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iCs/>
          <w:lang w:eastAsia="ar-SA"/>
        </w:rPr>
      </w:pPr>
      <w:r w:rsidRPr="004F5F2B">
        <w:rPr>
          <w:rFonts w:ascii="Verdana" w:hAnsi="Verdana"/>
          <w:b/>
          <w:bCs/>
        </w:rPr>
        <w:t>4.1</w:t>
      </w:r>
      <w:r w:rsidRPr="004F5F2B">
        <w:rPr>
          <w:rFonts w:ascii="Verdana" w:hAnsi="Verdana"/>
          <w:b/>
          <w:bCs/>
        </w:rPr>
        <w:tab/>
      </w:r>
      <w:r w:rsidRPr="004F5F2B">
        <w:rPr>
          <w:rFonts w:ascii="Verdana" w:eastAsia="Calibri" w:hAnsi="Verdana"/>
          <w:b/>
          <w:color w:val="000000"/>
        </w:rPr>
        <w:t>The URBACT approach to community-led local development</w:t>
      </w:r>
    </w:p>
    <w:p w:rsidR="00DA4B46" w:rsidRPr="004F5F2B" w:rsidRDefault="00DA4B46" w:rsidP="00DA4B46">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DA4B46" w:rsidRPr="004F5F2B" w:rsidRDefault="00DA4B46" w:rsidP="00DA4B46">
      <w:pPr>
        <w:pBdr>
          <w:top w:val="single" w:sz="4" w:space="1" w:color="auto" w:shadow="1"/>
          <w:left w:val="single" w:sz="4" w:space="4" w:color="auto" w:shadow="1"/>
          <w:bottom w:val="single" w:sz="4" w:space="1" w:color="auto" w:shadow="1"/>
          <w:right w:val="single" w:sz="4" w:space="4" w:color="auto" w:shadow="1"/>
        </w:pBdr>
        <w:spacing w:before="60"/>
        <w:ind w:left="705" w:hanging="705"/>
        <w:jc w:val="both"/>
        <w:rPr>
          <w:rFonts w:ascii="Verdana" w:hAnsi="Verdana"/>
          <w:b/>
          <w:bCs/>
        </w:rPr>
      </w:pPr>
      <w:r w:rsidRPr="004F5F2B">
        <w:rPr>
          <w:rFonts w:ascii="Verdana" w:hAnsi="Verdana"/>
          <w:b/>
          <w:bCs/>
        </w:rPr>
        <w:t>4.2</w:t>
      </w:r>
      <w:r w:rsidRPr="004F5F2B">
        <w:rPr>
          <w:rFonts w:ascii="Verdana" w:hAnsi="Verdana"/>
          <w:b/>
          <w:bCs/>
        </w:rPr>
        <w:tab/>
      </w:r>
      <w:r w:rsidRPr="004F5F2B">
        <w:rPr>
          <w:rFonts w:ascii="Verdana" w:hAnsi="Verdana" w:cs="Calibri"/>
          <w:b/>
        </w:rPr>
        <w:t>The URBACT approach to integrated actions for sustainable development</w:t>
      </w:r>
    </w:p>
    <w:p w:rsidR="00DA4B46" w:rsidRPr="004F5F2B" w:rsidRDefault="00DA4B46" w:rsidP="00DA4B46">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DA4B46" w:rsidRPr="004F5F2B" w:rsidRDefault="00DA4B46" w:rsidP="00DA4B46">
      <w:pPr>
        <w:pBdr>
          <w:top w:val="single" w:sz="4" w:space="1" w:color="auto" w:shadow="1"/>
          <w:left w:val="single" w:sz="4" w:space="4" w:color="auto" w:shadow="1"/>
          <w:bottom w:val="single" w:sz="4" w:space="1" w:color="auto" w:shadow="1"/>
          <w:right w:val="single" w:sz="4" w:space="4" w:color="auto" w:shadow="1"/>
        </w:pBdr>
        <w:spacing w:before="60"/>
        <w:ind w:left="705" w:hanging="705"/>
        <w:jc w:val="both"/>
        <w:rPr>
          <w:rFonts w:ascii="Verdana" w:hAnsi="Verdana"/>
          <w:b/>
          <w:bCs/>
        </w:rPr>
      </w:pPr>
      <w:r w:rsidRPr="004F5F2B">
        <w:rPr>
          <w:rFonts w:ascii="Verdana" w:hAnsi="Verdana"/>
          <w:b/>
          <w:bCs/>
        </w:rPr>
        <w:t>4.3</w:t>
      </w:r>
      <w:r w:rsidRPr="004F5F2B">
        <w:rPr>
          <w:rFonts w:ascii="Verdana" w:hAnsi="Verdana"/>
          <w:b/>
          <w:bCs/>
        </w:rPr>
        <w:tab/>
      </w:r>
      <w:r w:rsidRPr="004F5F2B">
        <w:rPr>
          <w:rFonts w:ascii="Verdana" w:eastAsia="Calibri" w:hAnsi="Verdana"/>
          <w:b/>
          <w:color w:val="000000"/>
        </w:rPr>
        <w:t>The URBACT approach to use Integrated Territorial Investment (ITI)</w:t>
      </w:r>
    </w:p>
    <w:p w:rsidR="00DA4B46" w:rsidRPr="004F5F2B" w:rsidRDefault="00DA4B46" w:rsidP="00DA4B46">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DA4B46" w:rsidRPr="004F5F2B" w:rsidRDefault="00DA4B46" w:rsidP="00DA4B46">
      <w:pPr>
        <w:pBdr>
          <w:top w:val="single" w:sz="4" w:space="1" w:color="auto" w:shadow="1"/>
          <w:left w:val="single" w:sz="4" w:space="4" w:color="auto" w:shadow="1"/>
          <w:bottom w:val="single" w:sz="4" w:space="1" w:color="auto" w:shadow="1"/>
          <w:right w:val="single" w:sz="4" w:space="4" w:color="auto" w:shadow="1"/>
        </w:pBdr>
        <w:spacing w:before="60"/>
        <w:ind w:left="705" w:hanging="705"/>
        <w:jc w:val="both"/>
        <w:rPr>
          <w:rFonts w:ascii="Verdana" w:hAnsi="Verdana"/>
          <w:b/>
          <w:bCs/>
        </w:rPr>
      </w:pPr>
      <w:r w:rsidRPr="004F5F2B">
        <w:rPr>
          <w:rFonts w:ascii="Verdana" w:hAnsi="Verdana"/>
          <w:b/>
          <w:bCs/>
        </w:rPr>
        <w:t>4.4</w:t>
      </w:r>
      <w:r w:rsidRPr="004F5F2B">
        <w:rPr>
          <w:rFonts w:ascii="Verdana" w:hAnsi="Verdana"/>
          <w:b/>
          <w:bCs/>
        </w:rPr>
        <w:tab/>
      </w:r>
      <w:r w:rsidRPr="004F5F2B">
        <w:rPr>
          <w:rFonts w:ascii="Verdana" w:eastAsia="Calibri" w:hAnsi="Verdana"/>
          <w:b/>
          <w:color w:val="000000"/>
        </w:rPr>
        <w:t>The contribution of URBACT to macro-regional and sea basin strategies</w:t>
      </w:r>
    </w:p>
    <w:p w:rsidR="00DA4B46" w:rsidRPr="004F5F2B" w:rsidRDefault="00DA4B46" w:rsidP="00DA4B46">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DA4B46" w:rsidRPr="004F5F2B" w:rsidRDefault="00DA4B46" w:rsidP="00DA4B46">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DA4B46" w:rsidRPr="004F5F2B" w:rsidRDefault="00DA4B46" w:rsidP="00DA4B46">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DA4B46" w:rsidRPr="004F5F2B" w:rsidRDefault="00DA4B46" w:rsidP="00DA4B46">
      <w:pPr>
        <w:spacing w:after="200" w:line="276" w:lineRule="auto"/>
        <w:rPr>
          <w:rFonts w:ascii="Verdana" w:hAnsi="Verdana"/>
        </w:rPr>
      </w:pPr>
    </w:p>
    <w:p w:rsidR="00DA4B46" w:rsidRPr="004F5F2B" w:rsidRDefault="00DA4B46" w:rsidP="00DA4B46">
      <w:pPr>
        <w:spacing w:after="200" w:line="276" w:lineRule="auto"/>
        <w:rPr>
          <w:rFonts w:ascii="Verdana" w:hAnsi="Verdana"/>
        </w:rPr>
      </w:pPr>
    </w:p>
    <w:p w:rsidR="00E611D8" w:rsidRPr="004F5F2B" w:rsidRDefault="00E611D8" w:rsidP="00592786">
      <w:pPr>
        <w:ind w:firstLine="708"/>
        <w:rPr>
          <w:rFonts w:ascii="Verdana" w:hAnsi="Verdana"/>
        </w:rPr>
      </w:pPr>
    </w:p>
    <w:p w:rsidR="00E611D8" w:rsidRPr="004F5F2B" w:rsidRDefault="00E611D8" w:rsidP="00592786">
      <w:pPr>
        <w:ind w:firstLine="708"/>
        <w:rPr>
          <w:rFonts w:ascii="Verdana" w:hAnsi="Verdana"/>
        </w:rPr>
      </w:pPr>
    </w:p>
    <w:p w:rsidR="00E611D8" w:rsidRPr="004F5F2B" w:rsidRDefault="00E611D8" w:rsidP="00592786">
      <w:pPr>
        <w:ind w:firstLine="708"/>
        <w:rPr>
          <w:rFonts w:ascii="Verdana" w:hAnsi="Verdana"/>
        </w:rPr>
      </w:pPr>
    </w:p>
    <w:p w:rsidR="00E611D8" w:rsidRPr="004F5F2B" w:rsidRDefault="00E611D8" w:rsidP="00592786">
      <w:pPr>
        <w:ind w:firstLine="708"/>
        <w:rPr>
          <w:rFonts w:ascii="Verdana" w:hAnsi="Verdana"/>
        </w:rPr>
      </w:pPr>
    </w:p>
    <w:p w:rsidR="008F49F8" w:rsidRPr="004F5F2B" w:rsidRDefault="008F49F8" w:rsidP="00592786">
      <w:pPr>
        <w:ind w:firstLine="708"/>
        <w:rPr>
          <w:rFonts w:ascii="Verdana" w:hAnsi="Verdana"/>
        </w:rPr>
      </w:pPr>
    </w:p>
    <w:p w:rsidR="00FF01A8" w:rsidRPr="004F5F2B" w:rsidRDefault="00FF01A8">
      <w:pPr>
        <w:spacing w:after="200" w:line="276" w:lineRule="auto"/>
        <w:rPr>
          <w:rFonts w:ascii="Verdana" w:hAnsi="Verdana"/>
        </w:rPr>
      </w:pPr>
      <w:r w:rsidRPr="004F5F2B">
        <w:rPr>
          <w:rFonts w:ascii="Verdana" w:hAnsi="Verdana"/>
        </w:rPr>
        <w:br w:type="page"/>
      </w:r>
    </w:p>
    <w:p w:rsidR="00FF01A8" w:rsidRPr="004F5F2B" w:rsidRDefault="00FF01A8" w:rsidP="00A40420">
      <w:pPr>
        <w:pStyle w:val="StyleHeading1Hanging085cm"/>
      </w:pPr>
      <w:bookmarkStart w:id="32" w:name="_Toc372539872"/>
      <w:bookmarkStart w:id="33" w:name="_Toc401325802"/>
      <w:r w:rsidRPr="004F5F2B">
        <w:t>Section 4. Integrated approach to territorial development</w:t>
      </w:r>
      <w:bookmarkEnd w:id="32"/>
      <w:bookmarkEnd w:id="33"/>
    </w:p>
    <w:p w:rsidR="00E234E8" w:rsidRDefault="00E234E8" w:rsidP="008B00B7">
      <w:pPr>
        <w:pStyle w:val="Nagwek5"/>
        <w:spacing w:after="120"/>
        <w:rPr>
          <w:rFonts w:ascii="Verdana" w:hAnsi="Verdana"/>
          <w:i w:val="0"/>
          <w:sz w:val="22"/>
          <w:szCs w:val="22"/>
        </w:rPr>
      </w:pPr>
    </w:p>
    <w:p w:rsidR="00E73A82" w:rsidRPr="00C4514D" w:rsidRDefault="002E5CA7" w:rsidP="008B00B7">
      <w:pPr>
        <w:pStyle w:val="Nagwek5"/>
        <w:spacing w:after="120"/>
        <w:rPr>
          <w:rFonts w:ascii="Verdana" w:hAnsi="Verdana"/>
          <w:bCs/>
          <w:kern w:val="36"/>
          <w:sz w:val="22"/>
          <w:szCs w:val="22"/>
        </w:rPr>
      </w:pPr>
      <w:r w:rsidRPr="00C4514D">
        <w:rPr>
          <w:rFonts w:ascii="Verdana" w:hAnsi="Verdana"/>
          <w:i w:val="0"/>
          <w:sz w:val="22"/>
          <w:szCs w:val="22"/>
        </w:rPr>
        <w:t xml:space="preserve">The urban dimension is an important strand within the wider concept of territorial development. A programme such as URBACT, which promotes integrated urban development through </w:t>
      </w:r>
      <w:r w:rsidRPr="00C4514D">
        <w:rPr>
          <w:rFonts w:ascii="Verdana" w:hAnsi="Verdana"/>
          <w:bCs/>
          <w:i w:val="0"/>
          <w:kern w:val="36"/>
          <w:sz w:val="22"/>
          <w:szCs w:val="22"/>
        </w:rPr>
        <w:t>exchange of experience and transfer of good practices between cities, can therefore play a crucial role in contributing towards the European objectives on this issue and assisting in regard to the development and operation of new European territorial initiatives and instruments e.g. integrated urban strategies under ERDF Article 7, community-led local development, the Integrated Territorial Investment tool etc.</w:t>
      </w:r>
    </w:p>
    <w:p w:rsidR="00014FF4" w:rsidRPr="00C4514D" w:rsidRDefault="002E5CA7" w:rsidP="008B00B7">
      <w:pPr>
        <w:pStyle w:val="Tekstkomentarza"/>
        <w:spacing w:after="120" w:line="276" w:lineRule="auto"/>
        <w:jc w:val="both"/>
        <w:rPr>
          <w:rFonts w:ascii="Verdana" w:hAnsi="Verdana"/>
          <w:sz w:val="22"/>
          <w:szCs w:val="22"/>
        </w:rPr>
      </w:pPr>
      <w:r w:rsidRPr="00C4514D">
        <w:rPr>
          <w:rFonts w:ascii="Verdana" w:hAnsi="Verdana"/>
          <w:bCs/>
          <w:kern w:val="36"/>
          <w:sz w:val="22"/>
          <w:szCs w:val="22"/>
        </w:rPr>
        <w:t xml:space="preserve">URBACT will therefore seek to maximise the complementarity between its </w:t>
      </w:r>
      <w:r w:rsidR="008B00B7">
        <w:rPr>
          <w:rFonts w:ascii="Verdana" w:hAnsi="Verdana"/>
          <w:bCs/>
          <w:kern w:val="36"/>
          <w:sz w:val="22"/>
          <w:szCs w:val="22"/>
        </w:rPr>
        <w:t>a</w:t>
      </w:r>
      <w:r w:rsidRPr="00C4514D">
        <w:rPr>
          <w:rFonts w:ascii="Verdana" w:hAnsi="Verdana"/>
          <w:bCs/>
          <w:kern w:val="36"/>
          <w:sz w:val="22"/>
          <w:szCs w:val="22"/>
        </w:rPr>
        <w:t xml:space="preserve">ctivities and the wider approach to territorial development within Europe funded through the mainstream programmes. </w:t>
      </w:r>
    </w:p>
    <w:p w:rsidR="00FF01A8" w:rsidRPr="00C4514D" w:rsidRDefault="00FF01A8" w:rsidP="008B00B7">
      <w:pPr>
        <w:pStyle w:val="Nagwek5"/>
        <w:spacing w:after="120"/>
        <w:rPr>
          <w:rFonts w:ascii="Verdana" w:hAnsi="Verdana"/>
          <w:color w:val="000000"/>
          <w:sz w:val="22"/>
          <w:szCs w:val="22"/>
        </w:rPr>
      </w:pPr>
      <w:r w:rsidRPr="00C4514D">
        <w:rPr>
          <w:rFonts w:ascii="Verdana" w:hAnsi="Verdana"/>
          <w:i w:val="0"/>
          <w:color w:val="000000"/>
          <w:sz w:val="22"/>
          <w:szCs w:val="22"/>
        </w:rPr>
        <w:t>Article 7</w:t>
      </w:r>
      <w:r w:rsidR="002174E0" w:rsidRPr="00C4514D">
        <w:rPr>
          <w:rStyle w:val="Odwoanieprzypisudolnego"/>
          <w:rFonts w:ascii="Verdana" w:hAnsi="Verdana"/>
          <w:i w:val="0"/>
          <w:color w:val="000000"/>
          <w:sz w:val="22"/>
          <w:szCs w:val="22"/>
        </w:rPr>
        <w:footnoteReference w:id="33"/>
      </w:r>
      <w:r w:rsidRPr="00C4514D">
        <w:rPr>
          <w:rFonts w:ascii="Verdana" w:hAnsi="Verdana"/>
          <w:i w:val="0"/>
          <w:color w:val="000000"/>
          <w:sz w:val="22"/>
          <w:szCs w:val="22"/>
        </w:rPr>
        <w:t xml:space="preserve"> </w:t>
      </w:r>
      <w:r w:rsidR="002174E0" w:rsidRPr="00C4514D">
        <w:rPr>
          <w:rFonts w:ascii="Verdana" w:hAnsi="Verdana"/>
          <w:i w:val="0"/>
          <w:color w:val="000000"/>
          <w:sz w:val="22"/>
          <w:szCs w:val="22"/>
        </w:rPr>
        <w:t xml:space="preserve">contains </w:t>
      </w:r>
      <w:r w:rsidRPr="00C4514D">
        <w:rPr>
          <w:rFonts w:ascii="Verdana" w:hAnsi="Verdana"/>
          <w:bCs/>
          <w:i w:val="0"/>
          <w:color w:val="000000"/>
          <w:sz w:val="22"/>
          <w:szCs w:val="22"/>
        </w:rPr>
        <w:t>specific provisions concerning the Investment for growth and jobs goal</w:t>
      </w:r>
      <w:r w:rsidRPr="00C4514D">
        <w:rPr>
          <w:rFonts w:ascii="Verdana" w:hAnsi="Verdana"/>
          <w:i w:val="0"/>
          <w:color w:val="000000"/>
          <w:sz w:val="22"/>
          <w:szCs w:val="22"/>
        </w:rPr>
        <w:t xml:space="preserve"> development</w:t>
      </w:r>
      <w:r w:rsidR="002174E0" w:rsidRPr="00C4514D">
        <w:rPr>
          <w:rFonts w:ascii="Verdana" w:hAnsi="Verdana"/>
          <w:i w:val="0"/>
          <w:color w:val="000000"/>
          <w:sz w:val="22"/>
          <w:szCs w:val="22"/>
        </w:rPr>
        <w:t>. It states that</w:t>
      </w:r>
      <w:r w:rsidRPr="00C4514D">
        <w:rPr>
          <w:rFonts w:ascii="Verdana" w:hAnsi="Verdana"/>
          <w:color w:val="000000"/>
          <w:sz w:val="22"/>
          <w:szCs w:val="22"/>
        </w:rPr>
        <w:t xml:space="preserve"> “ERDF shall support, within operational programmes sustainable urban development through strategies that set out integrated actions to tackle the economic, environmental, climate, demographic and social challenges affecting urban areas, while taking into account the need to promote urban</w:t>
      </w:r>
      <w:r w:rsidRPr="00C4514D">
        <w:rPr>
          <w:rFonts w:ascii="Verdana" w:hAnsi="Verdana"/>
          <w:sz w:val="22"/>
          <w:szCs w:val="22"/>
        </w:rPr>
        <w:t>-</w:t>
      </w:r>
      <w:r w:rsidR="002174E0" w:rsidRPr="00C4514D">
        <w:rPr>
          <w:rFonts w:ascii="Verdana" w:hAnsi="Verdana"/>
          <w:color w:val="000000"/>
          <w:sz w:val="22"/>
          <w:szCs w:val="22"/>
        </w:rPr>
        <w:t>rural linkages.”</w:t>
      </w:r>
    </w:p>
    <w:p w:rsidR="00FF01A8" w:rsidRPr="00C4514D" w:rsidRDefault="00FF01A8" w:rsidP="008B00B7">
      <w:pPr>
        <w:spacing w:after="120" w:line="276" w:lineRule="auto"/>
        <w:jc w:val="both"/>
        <w:rPr>
          <w:rFonts w:ascii="Verdana" w:hAnsi="Verdana"/>
          <w:color w:val="000000"/>
          <w:sz w:val="22"/>
          <w:szCs w:val="22"/>
        </w:rPr>
      </w:pPr>
      <w:r w:rsidRPr="00C4514D">
        <w:rPr>
          <w:rFonts w:ascii="Verdana" w:hAnsi="Verdana"/>
          <w:sz w:val="22"/>
          <w:szCs w:val="22"/>
        </w:rPr>
        <w:t xml:space="preserve">For URBACT III, Article 2 of the </w:t>
      </w:r>
      <w:r w:rsidRPr="00C4514D">
        <w:rPr>
          <w:rFonts w:ascii="Verdana" w:hAnsi="Verdana"/>
          <w:bCs/>
          <w:sz w:val="22"/>
          <w:szCs w:val="22"/>
        </w:rPr>
        <w:t xml:space="preserve">Regulation (EU) No 1299/2013 on specific provisions for the support from the European Regional Development Fund to the European territorial cooperation goal </w:t>
      </w:r>
      <w:r w:rsidRPr="00C4514D">
        <w:rPr>
          <w:rFonts w:ascii="Verdana" w:hAnsi="Verdana"/>
          <w:sz w:val="22"/>
          <w:szCs w:val="22"/>
        </w:rPr>
        <w:t>said that “</w:t>
      </w:r>
      <w:r w:rsidRPr="00C4514D">
        <w:rPr>
          <w:rFonts w:ascii="Verdana" w:hAnsi="Verdana"/>
          <w:color w:val="000000"/>
          <w:sz w:val="22"/>
          <w:szCs w:val="22"/>
        </w:rPr>
        <w:t>ERDF supports interregional cooperation to strengthen the effectiveness of cohesion policy in promoting the exchange of experience concerning the identification, transfer and dissemination of good practices on sustainable urban development, including urban-rural linkages."</w:t>
      </w:r>
    </w:p>
    <w:p w:rsidR="00FF01A8" w:rsidRPr="00C4514D" w:rsidRDefault="00FF01A8" w:rsidP="008B00B7">
      <w:pPr>
        <w:spacing w:after="120" w:line="276" w:lineRule="auto"/>
        <w:jc w:val="both"/>
        <w:rPr>
          <w:rFonts w:ascii="Verdana" w:eastAsia="Calibri" w:hAnsi="Verdana"/>
          <w:color w:val="000000"/>
          <w:sz w:val="22"/>
          <w:szCs w:val="22"/>
        </w:rPr>
      </w:pPr>
      <w:r w:rsidRPr="00C4514D">
        <w:rPr>
          <w:rFonts w:ascii="Verdana" w:hAnsi="Verdana"/>
          <w:sz w:val="22"/>
          <w:szCs w:val="22"/>
        </w:rPr>
        <w:t xml:space="preserve">Therefore the promotion of integrated urban development through </w:t>
      </w:r>
      <w:r w:rsidRPr="00C4514D">
        <w:rPr>
          <w:rFonts w:ascii="Verdana" w:hAnsi="Verdana" w:cs="Arial"/>
          <w:bCs/>
          <w:kern w:val="36"/>
          <w:sz w:val="22"/>
          <w:szCs w:val="22"/>
        </w:rPr>
        <w:t xml:space="preserve">exchange of experience and transfer of good practices between cities is essential in the strategy of the programme. </w:t>
      </w:r>
      <w:r w:rsidRPr="00C4514D">
        <w:rPr>
          <w:rFonts w:ascii="Verdana" w:eastAsia="Calibri" w:hAnsi="Verdana"/>
          <w:color w:val="000000"/>
          <w:sz w:val="22"/>
          <w:szCs w:val="22"/>
        </w:rPr>
        <w:t xml:space="preserve">As described in the Section 1, </w:t>
      </w:r>
      <w:r w:rsidRPr="00C4514D">
        <w:rPr>
          <w:rFonts w:ascii="Verdana" w:hAnsi="Verdana"/>
          <w:sz w:val="22"/>
          <w:szCs w:val="22"/>
        </w:rPr>
        <w:t>integrated urban development is a prerequisite for a sustainable city</w:t>
      </w:r>
      <w:r w:rsidRPr="00C4514D">
        <w:rPr>
          <w:rFonts w:ascii="Verdana" w:eastAsia="Calibri" w:hAnsi="Verdana"/>
          <w:color w:val="000000"/>
          <w:sz w:val="22"/>
          <w:szCs w:val="22"/>
        </w:rPr>
        <w:t>; cities need integrated approaches for their territorial development.</w:t>
      </w:r>
    </w:p>
    <w:p w:rsidR="00DB3BD4" w:rsidRPr="00C4514D" w:rsidRDefault="00FF01A8" w:rsidP="008B00B7">
      <w:pPr>
        <w:spacing w:after="120" w:line="276" w:lineRule="auto"/>
        <w:jc w:val="both"/>
        <w:rPr>
          <w:rFonts w:ascii="Verdana" w:eastAsia="Calibri" w:hAnsi="Verdana"/>
          <w:color w:val="000000"/>
          <w:sz w:val="22"/>
          <w:szCs w:val="22"/>
        </w:rPr>
      </w:pPr>
      <w:r w:rsidRPr="00C4514D">
        <w:rPr>
          <w:rFonts w:ascii="Verdana" w:eastAsia="Calibri" w:hAnsi="Verdana"/>
          <w:color w:val="000000"/>
          <w:sz w:val="22"/>
          <w:szCs w:val="22"/>
        </w:rPr>
        <w:t>A main contribution of the programme lies in the support given to cities to find ways of developing with the local actors integrated policies which meet their particular circumstances. The programme aims to increase the capacities and know-how of cities on integrated urban development; this apply also to tools of the cohesion policy proposed by the mainstream programmes for integrated urban development: Community Led Local Development and Integrated Territorial Investments</w:t>
      </w:r>
      <w:r w:rsidR="00E85D71" w:rsidRPr="00C4514D">
        <w:rPr>
          <w:rFonts w:ascii="Verdana" w:eastAsia="Calibri" w:hAnsi="Verdana"/>
          <w:color w:val="000000"/>
          <w:sz w:val="22"/>
          <w:szCs w:val="22"/>
        </w:rPr>
        <w:t xml:space="preserve">.  </w:t>
      </w:r>
    </w:p>
    <w:p w:rsidR="00FF01A8" w:rsidRPr="00C4514D" w:rsidRDefault="00E85D71" w:rsidP="008B00B7">
      <w:pPr>
        <w:spacing w:after="120" w:line="276" w:lineRule="auto"/>
        <w:jc w:val="both"/>
        <w:rPr>
          <w:rFonts w:ascii="Verdana" w:eastAsia="Calibri" w:hAnsi="Verdana"/>
          <w:color w:val="000000"/>
          <w:sz w:val="22"/>
          <w:szCs w:val="22"/>
        </w:rPr>
      </w:pPr>
      <w:r w:rsidRPr="00C4514D">
        <w:rPr>
          <w:rFonts w:ascii="Verdana" w:eastAsia="Calibri" w:hAnsi="Verdana"/>
          <w:color w:val="000000"/>
          <w:sz w:val="22"/>
          <w:szCs w:val="22"/>
        </w:rPr>
        <w:t>Specifically this will be related to three aspects of achieving integrated urban development:</w:t>
      </w:r>
    </w:p>
    <w:p w:rsidR="00E73A82" w:rsidRPr="00C4514D" w:rsidRDefault="00E85D71" w:rsidP="008166DD">
      <w:pPr>
        <w:numPr>
          <w:ilvl w:val="0"/>
          <w:numId w:val="38"/>
        </w:numPr>
        <w:spacing w:after="120" w:line="276" w:lineRule="auto"/>
        <w:ind w:left="714" w:hanging="357"/>
        <w:jc w:val="both"/>
        <w:rPr>
          <w:rFonts w:ascii="Verdana" w:eastAsia="Calibri" w:hAnsi="Verdana"/>
          <w:color w:val="000000"/>
          <w:sz w:val="22"/>
          <w:szCs w:val="22"/>
        </w:rPr>
      </w:pPr>
      <w:r w:rsidRPr="00C4514D">
        <w:rPr>
          <w:rFonts w:ascii="Verdana" w:eastAsia="Calibri" w:hAnsi="Verdana"/>
          <w:color w:val="000000"/>
          <w:sz w:val="22"/>
          <w:szCs w:val="22"/>
        </w:rPr>
        <w:t>Encouraging participants to work horizontally across different policy sectors, rather than looking at an issue solely from the perspective of one department or discipline</w:t>
      </w:r>
    </w:p>
    <w:p w:rsidR="00E73A82" w:rsidRPr="00C4514D" w:rsidRDefault="00E85D71" w:rsidP="008166DD">
      <w:pPr>
        <w:numPr>
          <w:ilvl w:val="0"/>
          <w:numId w:val="38"/>
        </w:numPr>
        <w:spacing w:after="120" w:line="276" w:lineRule="auto"/>
        <w:ind w:left="714" w:hanging="357"/>
        <w:jc w:val="both"/>
        <w:rPr>
          <w:rFonts w:ascii="Verdana" w:eastAsia="Calibri" w:hAnsi="Verdana"/>
          <w:color w:val="000000"/>
          <w:sz w:val="22"/>
          <w:szCs w:val="22"/>
        </w:rPr>
      </w:pPr>
      <w:r w:rsidRPr="00C4514D">
        <w:rPr>
          <w:rFonts w:ascii="Verdana" w:eastAsia="Calibri" w:hAnsi="Verdana"/>
          <w:color w:val="000000"/>
          <w:sz w:val="22"/>
          <w:szCs w:val="22"/>
        </w:rPr>
        <w:t>Encouraging vertical integration by working with different levels of government (e.g. counties, provinces, regions and member states).</w:t>
      </w:r>
    </w:p>
    <w:p w:rsidR="00E73A82" w:rsidRPr="00C4514D" w:rsidRDefault="00E85D71" w:rsidP="008166DD">
      <w:pPr>
        <w:numPr>
          <w:ilvl w:val="0"/>
          <w:numId w:val="38"/>
        </w:numPr>
        <w:spacing w:after="120" w:line="276" w:lineRule="auto"/>
        <w:ind w:left="714" w:hanging="357"/>
        <w:jc w:val="both"/>
        <w:rPr>
          <w:rFonts w:ascii="Verdana" w:eastAsia="Calibri" w:hAnsi="Verdana"/>
          <w:color w:val="000000"/>
          <w:sz w:val="22"/>
          <w:szCs w:val="22"/>
        </w:rPr>
      </w:pPr>
      <w:r w:rsidRPr="00C4514D">
        <w:rPr>
          <w:rFonts w:ascii="Verdana" w:eastAsia="Calibri" w:hAnsi="Verdana"/>
          <w:color w:val="000000"/>
          <w:sz w:val="22"/>
          <w:szCs w:val="22"/>
        </w:rPr>
        <w:t xml:space="preserve">Encouraging active engagement of a wide range of stakeholder and citizen groups in identifying both problems and solutions and in the implementation of action plans. </w:t>
      </w:r>
    </w:p>
    <w:p w:rsidR="00FF01A8" w:rsidRPr="00C4514D" w:rsidRDefault="00FF01A8" w:rsidP="008B00B7">
      <w:pPr>
        <w:spacing w:after="120" w:line="276" w:lineRule="auto"/>
        <w:jc w:val="both"/>
        <w:rPr>
          <w:rFonts w:ascii="Verdana" w:eastAsia="Calibri" w:hAnsi="Verdana"/>
          <w:color w:val="000000"/>
          <w:sz w:val="22"/>
          <w:szCs w:val="22"/>
        </w:rPr>
      </w:pPr>
    </w:p>
    <w:p w:rsidR="00040577" w:rsidRDefault="007B5752" w:rsidP="008B00B7">
      <w:pPr>
        <w:pStyle w:val="Nagwek2"/>
        <w:spacing w:after="120" w:line="276" w:lineRule="auto"/>
      </w:pPr>
      <w:bookmarkStart w:id="34" w:name="_Toc401325803"/>
      <w:r>
        <w:t>4.1.</w:t>
      </w:r>
      <w:r>
        <w:tab/>
      </w:r>
      <w:r w:rsidR="00FF01A8" w:rsidRPr="004F5F2B">
        <w:t>The URBACT approach to community-led local development</w:t>
      </w:r>
      <w:bookmarkEnd w:id="34"/>
      <w:r w:rsidR="00FF01A8" w:rsidRPr="004F5F2B">
        <w:t xml:space="preserve"> </w:t>
      </w:r>
    </w:p>
    <w:p w:rsidR="00FF01A8" w:rsidRPr="004F5F2B" w:rsidRDefault="00FF01A8" w:rsidP="008B00B7">
      <w:pPr>
        <w:spacing w:after="120" w:line="276" w:lineRule="auto"/>
      </w:pPr>
      <w:r w:rsidRPr="004F5F2B">
        <w:rPr>
          <w:b/>
        </w:rPr>
        <w:t>(</w:t>
      </w:r>
      <w:r w:rsidRPr="004F5F2B">
        <w:rPr>
          <w:rStyle w:val="Odwoanieprzypisudolnego"/>
          <w:b/>
          <w:color w:val="000000"/>
        </w:rPr>
        <w:footnoteReference w:id="34"/>
      </w:r>
      <w:r w:rsidRPr="004F5F2B">
        <w:rPr>
          <w:b/>
        </w:rPr>
        <w:t>)</w:t>
      </w:r>
    </w:p>
    <w:p w:rsidR="00E73A82" w:rsidRPr="00C4514D" w:rsidRDefault="002E5CA7" w:rsidP="008B00B7">
      <w:pPr>
        <w:spacing w:after="120" w:line="276" w:lineRule="auto"/>
        <w:jc w:val="both"/>
        <w:rPr>
          <w:rFonts w:ascii="Verdana" w:hAnsi="Verdana"/>
          <w:sz w:val="22"/>
          <w:szCs w:val="22"/>
          <w:lang w:eastAsia="en-GB"/>
        </w:rPr>
      </w:pPr>
      <w:r w:rsidRPr="00C4514D">
        <w:rPr>
          <w:rFonts w:ascii="Verdana" w:hAnsi="Verdana"/>
          <w:sz w:val="22"/>
          <w:szCs w:val="22"/>
        </w:rPr>
        <w:t xml:space="preserve">Community-led local development (CLLD) is a method for involving partners at the local level including the civil society and local economic actors in designing and implementing local integrated strategies. </w:t>
      </w:r>
      <w:r w:rsidRPr="00C4514D">
        <w:rPr>
          <w:rFonts w:ascii="Verdana" w:hAnsi="Verdana"/>
          <w:sz w:val="22"/>
          <w:szCs w:val="22"/>
          <w:lang w:eastAsia="en-GB"/>
        </w:rPr>
        <w:t xml:space="preserve">CLLD complements traditional top-down approaches and with </w:t>
      </w:r>
      <w:r w:rsidRPr="00C4514D">
        <w:rPr>
          <w:rFonts w:ascii="Verdana" w:hAnsi="Verdana"/>
          <w:sz w:val="22"/>
          <w:szCs w:val="22"/>
        </w:rPr>
        <w:t xml:space="preserve">relatively small financial investments can generate new ideas and a shared commitment for putting ideas into practice. As a method </w:t>
      </w:r>
      <w:r w:rsidRPr="00C4514D">
        <w:rPr>
          <w:rFonts w:ascii="Verdana" w:hAnsi="Verdana"/>
          <w:sz w:val="22"/>
          <w:szCs w:val="22"/>
          <w:lang w:eastAsia="en-GB"/>
        </w:rPr>
        <w:t xml:space="preserve">CLLD builds on the LEADER approach designed to help rural actors consider the long-term potential of their local region. In the past this participative and bottom-up delivery method has been implemented through URBAN (ERDF) and EQUAL (ESF) Community Initiatives. Currently local development is a policy delivery tool also in the European fisheries sector.  The current CLLD initiative for 2014-2020 is supported by all the above-mentioned EU Funds.  </w:t>
      </w:r>
    </w:p>
    <w:p w:rsidR="00A95319" w:rsidRPr="00C4514D" w:rsidRDefault="002E5CA7" w:rsidP="008B00B7">
      <w:pPr>
        <w:spacing w:after="120" w:line="276" w:lineRule="auto"/>
        <w:jc w:val="both"/>
        <w:rPr>
          <w:rFonts w:ascii="Verdana" w:hAnsi="Verdana"/>
          <w:sz w:val="22"/>
          <w:szCs w:val="22"/>
        </w:rPr>
      </w:pPr>
      <w:r w:rsidRPr="00C4514D">
        <w:rPr>
          <w:rFonts w:ascii="Verdana" w:hAnsi="Verdana"/>
          <w:sz w:val="22"/>
          <w:szCs w:val="22"/>
        </w:rPr>
        <w:t xml:space="preserve">The </w:t>
      </w:r>
      <w:r w:rsidRPr="00C4514D">
        <w:rPr>
          <w:rFonts w:ascii="Verdana" w:hAnsi="Verdana"/>
          <w:color w:val="000000"/>
          <w:sz w:val="22"/>
          <w:szCs w:val="22"/>
        </w:rPr>
        <w:t xml:space="preserve">URBACT II programme carried on from the URBAN initiative in fostering participative approaches as a core principle for policy-making. </w:t>
      </w:r>
      <w:r w:rsidRPr="00C4514D">
        <w:rPr>
          <w:rFonts w:ascii="Verdana" w:hAnsi="Verdana"/>
          <w:sz w:val="22"/>
          <w:szCs w:val="22"/>
        </w:rPr>
        <w:t xml:space="preserve">The programme required that all URBACT partner cities engaging in action planning, transfer or implementation networks had to involve multi-stakeholder partnerships, Local Support Groups (ULSG). The Local Support Groups for implementation networks focused on improving the delivery of action plans while the receiving cities in transfer networks worked to integrate a policy or practice into their city. </w:t>
      </w:r>
    </w:p>
    <w:p w:rsidR="00A95319" w:rsidRPr="00C4514D" w:rsidRDefault="002E5CA7" w:rsidP="008B00B7">
      <w:pPr>
        <w:spacing w:after="120" w:line="276" w:lineRule="auto"/>
        <w:jc w:val="both"/>
        <w:rPr>
          <w:rFonts w:ascii="Verdana" w:hAnsi="Verdana"/>
          <w:sz w:val="22"/>
          <w:szCs w:val="22"/>
        </w:rPr>
      </w:pPr>
      <w:r w:rsidRPr="00C4514D">
        <w:rPr>
          <w:rFonts w:ascii="Verdana" w:hAnsi="Verdana"/>
          <w:sz w:val="22"/>
          <w:szCs w:val="22"/>
        </w:rPr>
        <w:t>When the respective Partnership Agreements and Operational Programmes for 2014-2020 allow</w:t>
      </w:r>
      <w:r w:rsidR="00DB3BD4" w:rsidRPr="00C4514D">
        <w:rPr>
          <w:rFonts w:ascii="Verdana" w:hAnsi="Verdana"/>
          <w:sz w:val="22"/>
          <w:szCs w:val="22"/>
        </w:rPr>
        <w:t>s</w:t>
      </w:r>
      <w:r w:rsidRPr="00C4514D">
        <w:rPr>
          <w:rFonts w:ascii="Verdana" w:hAnsi="Verdana"/>
          <w:sz w:val="22"/>
          <w:szCs w:val="22"/>
        </w:rPr>
        <w:t>, the Regional Development Fund (ERDF) can support local action groups (LAGs) and their strategies under the CLLD method also in urban areas, complementing the current partnerships of the URBACT community. CLLD may take a number of specific forms in city partnerships and strategies, including small neighbourhood based approaches (deprived areas, industrial districts, brownfield sites, suburban areas, etc.), smaller cities (market towns and their surrounding rural areas, etc.), thematic approaches dealing with a particular urban challenge, target group approaches (young people, Roma, women or migrants., etc.). It should be understood that CLLD goes beyond usual participative and consultation processes, i.e. “neither the public sector nor any single interest group”- shall represent more than 49 % of the voting rights.</w:t>
      </w:r>
    </w:p>
    <w:p w:rsidR="00A95319" w:rsidRPr="00C4514D" w:rsidRDefault="002E5CA7" w:rsidP="008B00B7">
      <w:pPr>
        <w:spacing w:after="120" w:line="276" w:lineRule="auto"/>
        <w:jc w:val="both"/>
        <w:rPr>
          <w:rFonts w:ascii="Verdana" w:hAnsi="Verdana"/>
          <w:sz w:val="22"/>
          <w:szCs w:val="22"/>
        </w:rPr>
      </w:pPr>
      <w:r w:rsidRPr="00C4514D">
        <w:rPr>
          <w:rFonts w:ascii="Verdana" w:hAnsi="Verdana"/>
          <w:sz w:val="22"/>
          <w:szCs w:val="22"/>
        </w:rPr>
        <w:t>Based on the experience of the previous programming period, URBACT III can contribute through</w:t>
      </w:r>
      <w:r w:rsidRPr="00C4514D">
        <w:rPr>
          <w:rFonts w:ascii="Verdana" w:hAnsi="Verdana"/>
          <w:color w:val="000000"/>
          <w:sz w:val="22"/>
          <w:szCs w:val="22"/>
        </w:rPr>
        <w:t xml:space="preserve"> its exchange, capacity building and capitalisation activities to anchor the CLLD</w:t>
      </w:r>
      <w:r w:rsidRPr="00C4514D">
        <w:rPr>
          <w:rFonts w:ascii="Verdana" w:hAnsi="Verdana"/>
          <w:sz w:val="22"/>
          <w:szCs w:val="22"/>
        </w:rPr>
        <w:t xml:space="preserve"> approach in cities. </w:t>
      </w:r>
    </w:p>
    <w:p w:rsidR="00A95319" w:rsidRPr="00C4514D" w:rsidRDefault="002E5CA7" w:rsidP="008166DD">
      <w:pPr>
        <w:pStyle w:val="Akapitzlist"/>
        <w:numPr>
          <w:ilvl w:val="0"/>
          <w:numId w:val="39"/>
        </w:numPr>
        <w:spacing w:after="120"/>
        <w:jc w:val="both"/>
        <w:rPr>
          <w:rFonts w:ascii="Verdana" w:hAnsi="Verdana"/>
        </w:rPr>
      </w:pPr>
      <w:r w:rsidRPr="00C4514D">
        <w:rPr>
          <w:rFonts w:ascii="Verdana" w:hAnsi="Verdana"/>
        </w:rPr>
        <w:t>Exchange activities between cities and/or urban rural partnerships engaged in delivering CLLD approaches will foster policy learning and accelerate the transfer and implementation of good practices</w:t>
      </w:r>
    </w:p>
    <w:p w:rsidR="00A95319" w:rsidRPr="00C4514D" w:rsidRDefault="002E5CA7" w:rsidP="008166DD">
      <w:pPr>
        <w:pStyle w:val="Akapitzlist"/>
        <w:numPr>
          <w:ilvl w:val="0"/>
          <w:numId w:val="39"/>
        </w:numPr>
        <w:spacing w:after="120"/>
        <w:jc w:val="both"/>
        <w:rPr>
          <w:rFonts w:ascii="Verdana" w:hAnsi="Verdana"/>
        </w:rPr>
      </w:pPr>
      <w:r w:rsidRPr="00C4514D">
        <w:rPr>
          <w:rFonts w:ascii="Verdana" w:hAnsi="Verdana"/>
        </w:rPr>
        <w:t xml:space="preserve">Capacity building activities for the same cities will help stakeholders involved in local support groups whether from public and private sector or civil society to improve their understanding and management of CLLD processes as well as enhancing capacity to innovate.  </w:t>
      </w:r>
    </w:p>
    <w:p w:rsidR="00A95319" w:rsidRPr="00C4514D" w:rsidRDefault="002E5CA7" w:rsidP="008166DD">
      <w:pPr>
        <w:pStyle w:val="Akapitzlist"/>
        <w:numPr>
          <w:ilvl w:val="0"/>
          <w:numId w:val="39"/>
        </w:numPr>
        <w:spacing w:after="120"/>
        <w:jc w:val="both"/>
        <w:rPr>
          <w:rFonts w:ascii="Verdana" w:hAnsi="Verdana"/>
        </w:rPr>
      </w:pPr>
      <w:r w:rsidRPr="00C4514D">
        <w:rPr>
          <w:rFonts w:ascii="Verdana" w:hAnsi="Verdana"/>
        </w:rPr>
        <w:t xml:space="preserve">Capitalisation activities can help to disseminate experience on CLLD from a smaller grouping of cities that are actively involved in URBACT networks to the wider urban community of city practitioners and associated stakeholders. </w:t>
      </w:r>
    </w:p>
    <w:p w:rsidR="00DB3BD4" w:rsidRPr="00C4514D" w:rsidRDefault="002E5CA7" w:rsidP="008B00B7">
      <w:pPr>
        <w:spacing w:after="120" w:line="276" w:lineRule="auto"/>
        <w:jc w:val="both"/>
        <w:rPr>
          <w:rFonts w:ascii="Verdana" w:hAnsi="Verdana" w:cs="Calibri"/>
          <w:sz w:val="22"/>
          <w:szCs w:val="22"/>
        </w:rPr>
      </w:pPr>
      <w:r w:rsidRPr="00C4514D">
        <w:rPr>
          <w:rFonts w:ascii="Verdana" w:hAnsi="Verdana"/>
          <w:sz w:val="22"/>
          <w:szCs w:val="22"/>
        </w:rPr>
        <w:t xml:space="preserve">It should be recognized that only some of the URBACT local support groups are appropriate as such for the CLLD approach.  This depends on the type of area selected for the URBACT network (for example if it were a whole city this might not be appropriate for CLLD) in the city in question, whether or not this approach is supported under the relevant programme and whether the thematic topic is relevant to a community based approach. </w:t>
      </w:r>
    </w:p>
    <w:p w:rsidR="00FF01A8" w:rsidRPr="00C4514D" w:rsidRDefault="00FF01A8" w:rsidP="008B00B7">
      <w:pPr>
        <w:spacing w:after="120" w:line="276" w:lineRule="auto"/>
        <w:jc w:val="both"/>
        <w:rPr>
          <w:rFonts w:ascii="Verdana" w:hAnsi="Verdana" w:cs="Calibri"/>
          <w:sz w:val="22"/>
          <w:szCs w:val="22"/>
        </w:rPr>
      </w:pPr>
    </w:p>
    <w:p w:rsidR="00FF01A8" w:rsidRPr="004F5F2B" w:rsidRDefault="007B5752" w:rsidP="008B00B7">
      <w:pPr>
        <w:pStyle w:val="Nagwek2"/>
        <w:spacing w:after="120" w:line="276" w:lineRule="auto"/>
      </w:pPr>
      <w:bookmarkStart w:id="35" w:name="_Toc401325804"/>
      <w:r>
        <w:t>4.2.</w:t>
      </w:r>
      <w:r>
        <w:tab/>
      </w:r>
      <w:r w:rsidR="00FF01A8" w:rsidRPr="004F5F2B">
        <w:t>The URBACT approach to integrated actions for sustainable development</w:t>
      </w:r>
      <w:bookmarkEnd w:id="35"/>
    </w:p>
    <w:p w:rsidR="008B00B7" w:rsidRDefault="008B00B7" w:rsidP="008B00B7">
      <w:pPr>
        <w:spacing w:after="120" w:line="276" w:lineRule="auto"/>
        <w:jc w:val="both"/>
        <w:rPr>
          <w:rFonts w:ascii="Verdana" w:hAnsi="Verdana"/>
          <w:sz w:val="22"/>
          <w:szCs w:val="22"/>
          <w:lang w:eastAsia="ja-JP"/>
        </w:rPr>
      </w:pPr>
    </w:p>
    <w:p w:rsidR="00101CFD" w:rsidRPr="00C4514D" w:rsidRDefault="002E5CA7" w:rsidP="008B00B7">
      <w:pPr>
        <w:spacing w:after="120" w:line="276" w:lineRule="auto"/>
        <w:jc w:val="both"/>
        <w:rPr>
          <w:rFonts w:ascii="Verdana" w:hAnsi="Verdana"/>
          <w:sz w:val="22"/>
          <w:szCs w:val="22"/>
          <w:lang w:eastAsia="ja-JP"/>
        </w:rPr>
      </w:pPr>
      <w:r w:rsidRPr="00C4514D">
        <w:rPr>
          <w:rFonts w:ascii="Verdana" w:hAnsi="Verdana"/>
          <w:sz w:val="22"/>
          <w:szCs w:val="22"/>
          <w:lang w:eastAsia="ja-JP"/>
        </w:rPr>
        <w:t xml:space="preserve">As the entire URBACT programme is dedicated to the issue of integrated sustainable urban development, we will ensure maximum complementarity with the European Commission's specific initiatives in this area. </w:t>
      </w:r>
    </w:p>
    <w:p w:rsidR="00A95319" w:rsidRPr="00C4514D" w:rsidRDefault="002E5CA7" w:rsidP="008B00B7">
      <w:pPr>
        <w:spacing w:after="120" w:line="276" w:lineRule="auto"/>
        <w:jc w:val="both"/>
        <w:rPr>
          <w:rFonts w:ascii="Verdana" w:hAnsi="Verdana"/>
          <w:sz w:val="22"/>
          <w:szCs w:val="22"/>
          <w:lang w:eastAsia="ja-JP"/>
        </w:rPr>
      </w:pPr>
      <w:r w:rsidRPr="00C4514D">
        <w:rPr>
          <w:rFonts w:ascii="Verdana" w:hAnsi="Verdana"/>
          <w:sz w:val="22"/>
          <w:szCs w:val="22"/>
          <w:lang w:eastAsia="ja-JP"/>
        </w:rPr>
        <w:t xml:space="preserve">In the 2014-2020 programming period, a key part of the more ambitious urban dimension of cohesion policy is taken forward through </w:t>
      </w:r>
      <w:r w:rsidRPr="00C4514D">
        <w:rPr>
          <w:rFonts w:ascii="Verdana" w:eastAsia="MS PGothic" w:hAnsi="Verdana"/>
          <w:kern w:val="24"/>
          <w:sz w:val="22"/>
          <w:szCs w:val="22"/>
          <w:lang w:eastAsia="en-GB"/>
        </w:rPr>
        <w:t xml:space="preserve">ERDF Article 7, which states that  </w:t>
      </w:r>
      <w:r w:rsidRPr="00C4514D">
        <w:rPr>
          <w:rFonts w:ascii="Verdana" w:hAnsi="Verdana"/>
          <w:sz w:val="22"/>
          <w:szCs w:val="22"/>
          <w:lang w:eastAsia="ja-JP"/>
        </w:rPr>
        <w:t xml:space="preserve">a minimum of 5% of ERDF resources per Member State must be allocated for 'integrated actions for sustainable urban development', with a degree of delegation to the urban authority level. The minimum level of delegation is related to the selection of operations. This minimum 5% can be spent through an Integrated Territorial Investment, a specific OP or a specific Priority Axis. In addition, ERDF Article 8 sets aside EUR 330 million to support </w:t>
      </w:r>
      <w:r w:rsidRPr="00C4514D">
        <w:rPr>
          <w:rFonts w:ascii="Verdana" w:eastAsia="MS Mincho" w:hAnsi="Verdana"/>
          <w:i/>
          <w:sz w:val="22"/>
          <w:szCs w:val="22"/>
          <w:lang w:eastAsia="ja-JP"/>
        </w:rPr>
        <w:t>Innovative Actions in the field of sustainable urban development</w:t>
      </w:r>
      <w:r w:rsidRPr="00C4514D">
        <w:rPr>
          <w:rFonts w:ascii="Verdana" w:eastAsia="MS Mincho" w:hAnsi="Verdana"/>
          <w:sz w:val="22"/>
          <w:szCs w:val="22"/>
          <w:lang w:eastAsia="ja-JP"/>
        </w:rPr>
        <w:t xml:space="preserve"> which aim to explore and demonstrate new </w:t>
      </w:r>
      <w:r w:rsidRPr="00C4514D">
        <w:rPr>
          <w:rFonts w:ascii="Verdana" w:hAnsi="Verdana"/>
          <w:sz w:val="22"/>
          <w:szCs w:val="22"/>
        </w:rPr>
        <w:t xml:space="preserve">solutions to long-term urban challenges. </w:t>
      </w:r>
    </w:p>
    <w:p w:rsidR="00A95319" w:rsidRPr="00C4514D" w:rsidRDefault="002E5CA7" w:rsidP="008B00B7">
      <w:pPr>
        <w:spacing w:after="120" w:line="276" w:lineRule="auto"/>
        <w:jc w:val="both"/>
        <w:rPr>
          <w:rFonts w:ascii="Verdana" w:hAnsi="Verdana"/>
          <w:sz w:val="22"/>
          <w:szCs w:val="22"/>
          <w:lang w:eastAsia="ja-JP"/>
        </w:rPr>
      </w:pPr>
      <w:r w:rsidRPr="00C4514D">
        <w:rPr>
          <w:rFonts w:ascii="Verdana" w:hAnsi="Verdana"/>
          <w:sz w:val="22"/>
          <w:szCs w:val="22"/>
          <w:lang w:eastAsia="ja-JP"/>
        </w:rPr>
        <w:t>Given the extent of URBACT experience in integrated sustainable urban development, innovative approaches, and our focus on the creation and implementation of urban strategies, the opportunities offered by ERDF Article 7 and 8 will allow URBACT the possibility to increase the links and complementarities between the work of the programme and the mainstream ERDF programmes.</w:t>
      </w:r>
    </w:p>
    <w:p w:rsidR="00A95319" w:rsidRPr="00C4514D" w:rsidRDefault="002E5CA7" w:rsidP="008B00B7">
      <w:pPr>
        <w:spacing w:after="120" w:line="276" w:lineRule="auto"/>
        <w:jc w:val="both"/>
        <w:rPr>
          <w:rFonts w:ascii="Verdana" w:hAnsi="Verdana"/>
          <w:sz w:val="22"/>
          <w:szCs w:val="22"/>
          <w:lang w:eastAsia="ja-JP"/>
        </w:rPr>
      </w:pPr>
      <w:r w:rsidRPr="00C4514D">
        <w:rPr>
          <w:rFonts w:ascii="Verdana" w:hAnsi="Verdana"/>
          <w:sz w:val="22"/>
          <w:szCs w:val="22"/>
          <w:lang w:eastAsia="ja-JP"/>
        </w:rPr>
        <w:t xml:space="preserve">As such, </w:t>
      </w:r>
      <w:r w:rsidRPr="00C4514D">
        <w:rPr>
          <w:rFonts w:ascii="Verdana" w:eastAsia="Calibri" w:hAnsi="Verdana"/>
          <w:sz w:val="22"/>
          <w:szCs w:val="22"/>
        </w:rPr>
        <w:t>URBACT III, through</w:t>
      </w:r>
      <w:r w:rsidRPr="00C4514D">
        <w:rPr>
          <w:rFonts w:ascii="Verdana" w:eastAsia="Calibri" w:hAnsi="Verdana"/>
          <w:color w:val="000000"/>
          <w:sz w:val="22"/>
          <w:szCs w:val="22"/>
        </w:rPr>
        <w:t xml:space="preserve"> its exchange, capacity building and capitalisation activities </w:t>
      </w:r>
      <w:r w:rsidRPr="00C4514D">
        <w:rPr>
          <w:rFonts w:ascii="Verdana" w:hAnsi="Verdana"/>
          <w:sz w:val="22"/>
          <w:szCs w:val="22"/>
          <w:lang w:eastAsia="ja-JP"/>
        </w:rPr>
        <w:t>shall seek to:</w:t>
      </w:r>
    </w:p>
    <w:p w:rsidR="00A95319" w:rsidRPr="00C4514D" w:rsidRDefault="002E5CA7" w:rsidP="008166DD">
      <w:pPr>
        <w:pStyle w:val="Akapitzlist"/>
        <w:numPr>
          <w:ilvl w:val="0"/>
          <w:numId w:val="40"/>
        </w:numPr>
        <w:spacing w:after="120"/>
        <w:ind w:left="714" w:hanging="357"/>
        <w:jc w:val="both"/>
        <w:rPr>
          <w:rFonts w:ascii="Verdana" w:hAnsi="Verdana"/>
          <w:lang w:eastAsia="ja-JP"/>
        </w:rPr>
      </w:pPr>
      <w:r w:rsidRPr="00C4514D">
        <w:rPr>
          <w:rFonts w:ascii="Verdana" w:hAnsi="Verdana"/>
          <w:lang w:eastAsia="ja-JP"/>
        </w:rPr>
        <w:t>scale up the activities of those cities receiving funding under ERDF Article 7/8 and disseminate their experiences to a wider group of cities;</w:t>
      </w:r>
    </w:p>
    <w:p w:rsidR="00EE0B26" w:rsidRPr="00C4514D" w:rsidRDefault="002E5CA7" w:rsidP="008166DD">
      <w:pPr>
        <w:pStyle w:val="Akapitzlist"/>
        <w:numPr>
          <w:ilvl w:val="0"/>
          <w:numId w:val="40"/>
        </w:numPr>
        <w:spacing w:after="120"/>
        <w:ind w:left="714" w:hanging="357"/>
        <w:jc w:val="both"/>
        <w:rPr>
          <w:rFonts w:ascii="Verdana" w:hAnsi="Verdana"/>
          <w:lang w:eastAsia="ja-JP"/>
        </w:rPr>
      </w:pPr>
      <w:r w:rsidRPr="00C4514D">
        <w:rPr>
          <w:rFonts w:ascii="Verdana" w:hAnsi="Verdana"/>
        </w:rPr>
        <w:t>perform exchange activities between urban authorities receiving funding under ERDF Article 7/8 in order to foster policy learning and accelerate the transfer and implementation of good practices</w:t>
      </w:r>
    </w:p>
    <w:p w:rsidR="00FF01A8" w:rsidRPr="00C4514D" w:rsidRDefault="002E5CA7" w:rsidP="008166DD">
      <w:pPr>
        <w:pStyle w:val="Akapitzlist"/>
        <w:numPr>
          <w:ilvl w:val="0"/>
          <w:numId w:val="40"/>
        </w:numPr>
        <w:spacing w:after="120"/>
        <w:ind w:left="714" w:hanging="357"/>
        <w:jc w:val="both"/>
        <w:rPr>
          <w:rFonts w:ascii="Verdana" w:hAnsi="Verdana"/>
          <w:lang w:eastAsia="ja-JP"/>
        </w:rPr>
      </w:pPr>
      <w:r w:rsidRPr="00C4514D">
        <w:rPr>
          <w:rFonts w:ascii="Verdana" w:hAnsi="Verdana"/>
          <w:lang w:eastAsia="ja-JP"/>
        </w:rPr>
        <w:t>participate in the Urban Development Network (to which cities receiving funding under ERDF Article 7</w:t>
      </w:r>
      <w:r w:rsidR="000C235B" w:rsidRPr="00C4514D">
        <w:rPr>
          <w:rFonts w:ascii="Verdana" w:hAnsi="Verdana"/>
          <w:lang w:eastAsia="ja-JP"/>
        </w:rPr>
        <w:t xml:space="preserve"> and 8 are</w:t>
      </w:r>
      <w:r w:rsidRPr="00C4514D">
        <w:rPr>
          <w:rFonts w:ascii="Verdana" w:hAnsi="Verdana"/>
          <w:lang w:eastAsia="ja-JP"/>
        </w:rPr>
        <w:t xml:space="preserve"> eligible) in order to provide those cities with the benefit of the knowledge being generated as a result of other URBACT activities.</w:t>
      </w:r>
    </w:p>
    <w:p w:rsidR="00EE0B26" w:rsidRPr="00C4514D" w:rsidRDefault="00EE0B26" w:rsidP="008B00B7">
      <w:pPr>
        <w:spacing w:after="120" w:line="276" w:lineRule="auto"/>
        <w:jc w:val="both"/>
        <w:rPr>
          <w:rFonts w:ascii="Verdana" w:hAnsi="Verdana" w:cs="Calibri"/>
          <w:sz w:val="22"/>
          <w:szCs w:val="22"/>
        </w:rPr>
      </w:pPr>
    </w:p>
    <w:p w:rsidR="00FF01A8" w:rsidRPr="004F5F2B" w:rsidRDefault="007B5752" w:rsidP="008B00B7">
      <w:pPr>
        <w:pStyle w:val="Nagwek2"/>
        <w:spacing w:after="120" w:line="276" w:lineRule="auto"/>
        <w:rPr>
          <w:b w:val="0"/>
        </w:rPr>
      </w:pPr>
      <w:bookmarkStart w:id="36" w:name="_Toc401325805"/>
      <w:r>
        <w:t>4.3.</w:t>
      </w:r>
      <w:r>
        <w:tab/>
      </w:r>
      <w:r w:rsidR="00FF01A8" w:rsidRPr="004F5F2B">
        <w:t>The URBACT approach to use Integrated Territorial Investment (ITI)</w:t>
      </w:r>
      <w:r w:rsidR="00FF01A8" w:rsidRPr="004F5F2B">
        <w:rPr>
          <w:rStyle w:val="Odwoanieprzypisudolnego"/>
          <w:b w:val="0"/>
          <w:color w:val="000000"/>
        </w:rPr>
        <w:footnoteReference w:id="35"/>
      </w:r>
      <w:bookmarkEnd w:id="36"/>
    </w:p>
    <w:p w:rsidR="00090C91" w:rsidRPr="008B00B7" w:rsidRDefault="002E5CA7" w:rsidP="008B00B7">
      <w:pPr>
        <w:spacing w:after="120" w:line="276" w:lineRule="auto"/>
        <w:jc w:val="both"/>
        <w:rPr>
          <w:rFonts w:ascii="Verdana" w:eastAsia="Calibri" w:hAnsi="Verdana"/>
          <w:color w:val="000000"/>
          <w:sz w:val="22"/>
          <w:szCs w:val="22"/>
        </w:rPr>
      </w:pPr>
      <w:r w:rsidRPr="008B00B7">
        <w:rPr>
          <w:rFonts w:ascii="Verdana" w:eastAsia="Calibri" w:hAnsi="Verdana"/>
          <w:color w:val="000000"/>
          <w:sz w:val="22"/>
          <w:szCs w:val="22"/>
        </w:rPr>
        <w:t xml:space="preserve">The Integrated Territorial Investment is one of the tools introduced in the regulations to implement territorial strategies in an integrated way. </w:t>
      </w:r>
    </w:p>
    <w:p w:rsidR="00090C91" w:rsidRPr="008B00B7" w:rsidRDefault="002E5CA7" w:rsidP="008B00B7">
      <w:pPr>
        <w:spacing w:after="120" w:line="276" w:lineRule="auto"/>
        <w:jc w:val="both"/>
        <w:rPr>
          <w:rFonts w:ascii="Verdana" w:eastAsia="Calibri" w:hAnsi="Verdana"/>
          <w:color w:val="000000"/>
          <w:sz w:val="22"/>
          <w:szCs w:val="22"/>
        </w:rPr>
      </w:pPr>
      <w:r w:rsidRPr="008B00B7">
        <w:rPr>
          <w:rFonts w:ascii="Verdana" w:eastAsia="Calibri" w:hAnsi="Verdana"/>
          <w:color w:val="000000"/>
          <w:sz w:val="22"/>
          <w:szCs w:val="22"/>
        </w:rPr>
        <w:t>ITIs allow for the implementation of Operational Programmes in a cross-cutting way and to draw on funding from several priority axes of one or more Operational Programmes to ensure the implementation of an integrated strategy for a specific territory.</w:t>
      </w:r>
    </w:p>
    <w:p w:rsidR="00090C91" w:rsidRPr="008B00B7" w:rsidRDefault="002E5CA7" w:rsidP="008B00B7">
      <w:pPr>
        <w:spacing w:after="120" w:line="276" w:lineRule="auto"/>
        <w:jc w:val="both"/>
        <w:rPr>
          <w:rFonts w:ascii="Verdana" w:eastAsia="Calibri" w:hAnsi="Verdana"/>
          <w:color w:val="000000"/>
          <w:sz w:val="22"/>
          <w:szCs w:val="22"/>
        </w:rPr>
      </w:pPr>
      <w:r w:rsidRPr="008B00B7">
        <w:rPr>
          <w:rFonts w:ascii="Verdana" w:eastAsia="Calibri" w:hAnsi="Verdana"/>
          <w:color w:val="000000"/>
          <w:sz w:val="22"/>
          <w:szCs w:val="22"/>
        </w:rPr>
        <w:t xml:space="preserve">It can support integrated actions in urban areas as it offers the possibility to combine funding linked to different thematic objectives, including the combination of funding from those priority axes and operational programmes supported by ERDF, ESF, CF, etc.  </w:t>
      </w:r>
    </w:p>
    <w:p w:rsidR="00090C91" w:rsidRPr="004F5F2B" w:rsidRDefault="00090C91" w:rsidP="008B00B7">
      <w:pPr>
        <w:spacing w:after="120" w:line="276" w:lineRule="auto"/>
        <w:jc w:val="both"/>
        <w:rPr>
          <w:rFonts w:ascii="Verdana" w:eastAsia="Calibri" w:hAnsi="Verdana"/>
          <w:color w:val="000000"/>
        </w:rPr>
      </w:pPr>
    </w:p>
    <w:p w:rsidR="00090C91" w:rsidRPr="008B00B7" w:rsidRDefault="002E5CA7" w:rsidP="008B00B7">
      <w:pPr>
        <w:spacing w:after="120" w:line="276" w:lineRule="auto"/>
        <w:jc w:val="both"/>
        <w:rPr>
          <w:rFonts w:ascii="Verdana" w:hAnsi="Verdana"/>
          <w:sz w:val="22"/>
          <w:szCs w:val="22"/>
          <w:lang w:eastAsia="ja-JP"/>
        </w:rPr>
      </w:pPr>
      <w:r w:rsidRPr="008B00B7">
        <w:rPr>
          <w:rFonts w:ascii="Verdana" w:hAnsi="Verdana"/>
          <w:sz w:val="22"/>
          <w:szCs w:val="22"/>
          <w:lang w:eastAsia="ja-JP"/>
        </w:rPr>
        <w:t>As with the other new urban instruments and initiatives (e.g. CLLD, Article 7 etc.), URBACT's experience in integrated sustainable urban development means that the programme can play a key role in ensuring the effective implementation of the new ITI instrument which will be widely used by European cities in the 2014-2020 period. In addition, it provides URBACT with a significant opportunity to increase our links and complementarities between the work of the programme and the mainstream ERDF programmes.</w:t>
      </w:r>
    </w:p>
    <w:p w:rsidR="00090C91" w:rsidRPr="00C4514D" w:rsidRDefault="002E5CA7" w:rsidP="008B00B7">
      <w:pPr>
        <w:spacing w:after="120" w:line="276" w:lineRule="auto"/>
        <w:jc w:val="both"/>
        <w:rPr>
          <w:rFonts w:ascii="Verdana" w:hAnsi="Verdana"/>
          <w:sz w:val="22"/>
          <w:szCs w:val="22"/>
          <w:lang w:eastAsia="ja-JP"/>
        </w:rPr>
      </w:pPr>
      <w:r w:rsidRPr="00C4514D">
        <w:rPr>
          <w:rFonts w:ascii="Verdana" w:hAnsi="Verdana"/>
          <w:sz w:val="22"/>
          <w:szCs w:val="22"/>
          <w:lang w:eastAsia="ja-JP"/>
        </w:rPr>
        <w:t xml:space="preserve">As such, </w:t>
      </w:r>
      <w:r w:rsidRPr="00C4514D">
        <w:rPr>
          <w:rFonts w:ascii="Verdana" w:eastAsia="Calibri" w:hAnsi="Verdana"/>
          <w:sz w:val="22"/>
          <w:szCs w:val="22"/>
        </w:rPr>
        <w:t>URBACT III, through</w:t>
      </w:r>
      <w:r w:rsidRPr="00C4514D">
        <w:rPr>
          <w:rFonts w:ascii="Verdana" w:eastAsia="Calibri" w:hAnsi="Verdana"/>
          <w:color w:val="000000"/>
          <w:sz w:val="22"/>
          <w:szCs w:val="22"/>
        </w:rPr>
        <w:t xml:space="preserve"> its exchange, capacity building and capitalisation activities </w:t>
      </w:r>
      <w:r w:rsidRPr="00C4514D">
        <w:rPr>
          <w:rFonts w:ascii="Verdana" w:hAnsi="Verdana"/>
          <w:sz w:val="22"/>
          <w:szCs w:val="22"/>
          <w:lang w:eastAsia="ja-JP"/>
        </w:rPr>
        <w:t>shall seek to:</w:t>
      </w:r>
    </w:p>
    <w:p w:rsidR="00090C91" w:rsidRPr="00C4514D" w:rsidRDefault="002E5CA7" w:rsidP="008166DD">
      <w:pPr>
        <w:pStyle w:val="Akapitzlist"/>
        <w:numPr>
          <w:ilvl w:val="0"/>
          <w:numId w:val="41"/>
        </w:numPr>
        <w:spacing w:after="120"/>
        <w:ind w:left="714" w:hanging="357"/>
        <w:jc w:val="both"/>
        <w:rPr>
          <w:rFonts w:ascii="Verdana" w:hAnsi="Verdana"/>
          <w:lang w:eastAsia="ja-JP"/>
        </w:rPr>
      </w:pPr>
      <w:r w:rsidRPr="00C4514D">
        <w:rPr>
          <w:rFonts w:ascii="Verdana" w:hAnsi="Verdana"/>
          <w:lang w:eastAsia="ja-JP"/>
        </w:rPr>
        <w:t>scale up the activities of those cities implementing ITIs under ERDF Article 7 and disseminate their experiences, particularly to those interested in setting up an ITI; and</w:t>
      </w:r>
    </w:p>
    <w:p w:rsidR="00090C91" w:rsidRPr="00C4514D" w:rsidRDefault="002E5CA7" w:rsidP="008166DD">
      <w:pPr>
        <w:pStyle w:val="Akapitzlist"/>
        <w:numPr>
          <w:ilvl w:val="0"/>
          <w:numId w:val="41"/>
        </w:numPr>
        <w:spacing w:after="120"/>
        <w:ind w:left="714" w:hanging="357"/>
        <w:jc w:val="both"/>
        <w:rPr>
          <w:rFonts w:ascii="Verdana" w:hAnsi="Verdana"/>
          <w:lang w:eastAsia="ja-JP"/>
        </w:rPr>
      </w:pPr>
      <w:r w:rsidRPr="00C4514D">
        <w:rPr>
          <w:rFonts w:ascii="Verdana" w:hAnsi="Verdana"/>
        </w:rPr>
        <w:t>perform exchange activities between those urban authorities operating ITIs in order to improve their capacity, foster policy learning and accelerate the transfer and implementation of good practices.</w:t>
      </w:r>
    </w:p>
    <w:p w:rsidR="00FF01A8" w:rsidRPr="00C4514D" w:rsidRDefault="00FF01A8" w:rsidP="008B00B7">
      <w:pPr>
        <w:spacing w:after="120" w:line="276" w:lineRule="auto"/>
        <w:jc w:val="both"/>
        <w:rPr>
          <w:rFonts w:ascii="Verdana" w:eastAsia="Calibri" w:hAnsi="Verdana"/>
          <w:color w:val="000000"/>
          <w:sz w:val="22"/>
          <w:szCs w:val="22"/>
        </w:rPr>
      </w:pPr>
    </w:p>
    <w:p w:rsidR="00FF01A8" w:rsidRPr="004F5F2B" w:rsidRDefault="007B5752" w:rsidP="008B00B7">
      <w:pPr>
        <w:pStyle w:val="Nagwek2"/>
        <w:spacing w:after="120" w:line="276" w:lineRule="auto"/>
      </w:pPr>
      <w:bookmarkStart w:id="37" w:name="_Toc401325806"/>
      <w:r>
        <w:t>4.4.</w:t>
      </w:r>
      <w:r>
        <w:tab/>
      </w:r>
      <w:r w:rsidR="00FF01A8" w:rsidRPr="004F5F2B">
        <w:t>The contribution of URBACT to macro-regional and sea basin strategies.</w:t>
      </w:r>
      <w:bookmarkEnd w:id="37"/>
    </w:p>
    <w:p w:rsidR="008B00B7" w:rsidRDefault="008B00B7" w:rsidP="008B00B7">
      <w:pPr>
        <w:spacing w:after="120" w:line="276" w:lineRule="auto"/>
        <w:jc w:val="both"/>
        <w:rPr>
          <w:rFonts w:ascii="Verdana" w:eastAsia="Calibri" w:hAnsi="Verdana"/>
          <w:color w:val="000000"/>
          <w:sz w:val="22"/>
          <w:szCs w:val="22"/>
        </w:rPr>
      </w:pPr>
    </w:p>
    <w:p w:rsidR="008B00B7" w:rsidRPr="00C4514D" w:rsidRDefault="00FF01A8" w:rsidP="008B00B7">
      <w:pPr>
        <w:spacing w:after="120" w:line="276" w:lineRule="auto"/>
        <w:jc w:val="both"/>
        <w:rPr>
          <w:rFonts w:ascii="Verdana" w:eastAsia="Calibri" w:hAnsi="Verdana"/>
          <w:color w:val="000000"/>
          <w:sz w:val="22"/>
          <w:szCs w:val="22"/>
        </w:rPr>
      </w:pPr>
      <w:r w:rsidRPr="00C4514D">
        <w:rPr>
          <w:rFonts w:ascii="Verdana" w:eastAsia="Calibri" w:hAnsi="Verdana"/>
          <w:color w:val="000000"/>
          <w:sz w:val="22"/>
          <w:szCs w:val="22"/>
        </w:rPr>
        <w:t>As and interregional European Territorial Cooperation programme covering the 28 Member States, Norway and Switzerland, URBACT doesn’t focus to specific macro region or sea basin strategies.</w:t>
      </w:r>
    </w:p>
    <w:p w:rsidR="00FF01A8" w:rsidRPr="00C4514D" w:rsidRDefault="00FF01A8" w:rsidP="008B00B7">
      <w:pPr>
        <w:spacing w:after="120" w:line="276" w:lineRule="auto"/>
        <w:rPr>
          <w:rFonts w:ascii="Verdana" w:hAnsi="Verdana"/>
          <w:sz w:val="22"/>
          <w:szCs w:val="22"/>
        </w:rPr>
      </w:pPr>
      <w:r w:rsidRPr="00C4514D">
        <w:rPr>
          <w:rFonts w:ascii="Verdana" w:eastAsia="Calibri" w:hAnsi="Verdana"/>
          <w:color w:val="000000"/>
          <w:sz w:val="22"/>
          <w:szCs w:val="22"/>
        </w:rPr>
        <w:t xml:space="preserve">Meanwhile nothing shall prevent such strategic areas approaching and URBACT III to exchange experience on these geographical areas. Needs of cities linked with sustainable urban development in specific macro-regions and sea-basins could justify an approach at this scale. </w:t>
      </w:r>
    </w:p>
    <w:p w:rsidR="00FF01A8" w:rsidRPr="00C4514D" w:rsidRDefault="00FF01A8" w:rsidP="008B00B7">
      <w:pPr>
        <w:spacing w:after="120" w:line="276" w:lineRule="auto"/>
        <w:ind w:firstLine="708"/>
        <w:rPr>
          <w:rFonts w:ascii="Verdana" w:hAnsi="Verdana"/>
          <w:sz w:val="22"/>
          <w:szCs w:val="22"/>
        </w:rPr>
      </w:pPr>
    </w:p>
    <w:p w:rsidR="0099587B" w:rsidRPr="004F5F2B" w:rsidRDefault="0099587B" w:rsidP="008B00B7">
      <w:pPr>
        <w:spacing w:after="120" w:line="276" w:lineRule="auto"/>
        <w:rPr>
          <w:rFonts w:ascii="Verdana" w:hAnsi="Verdana"/>
        </w:rPr>
      </w:pPr>
      <w:r w:rsidRPr="004F5F2B">
        <w:rPr>
          <w:rFonts w:ascii="Verdana" w:hAnsi="Verdana"/>
        </w:rPr>
        <w:br w:type="page"/>
      </w:r>
    </w:p>
    <w:p w:rsidR="00E611D8" w:rsidRPr="004F5F2B" w:rsidRDefault="00E611D8">
      <w:pPr>
        <w:spacing w:after="200" w:line="276" w:lineRule="auto"/>
        <w:rPr>
          <w:rFonts w:ascii="Verdana" w:hAnsi="Verdana"/>
        </w:rPr>
      </w:pPr>
    </w:p>
    <w:p w:rsidR="00E611D8" w:rsidRPr="004F5F2B" w:rsidRDefault="00E611D8">
      <w:pPr>
        <w:spacing w:after="200" w:line="276" w:lineRule="auto"/>
        <w:rPr>
          <w:rFonts w:ascii="Verdana" w:hAnsi="Verdana"/>
        </w:rPr>
      </w:pPr>
    </w:p>
    <w:p w:rsidR="00E611D8" w:rsidRPr="004F5F2B" w:rsidRDefault="00E611D8">
      <w:pPr>
        <w:spacing w:after="200" w:line="276" w:lineRule="auto"/>
        <w:rPr>
          <w:rFonts w:ascii="Verdana" w:hAnsi="Verdana"/>
        </w:rPr>
      </w:pPr>
    </w:p>
    <w:p w:rsidR="00E611D8" w:rsidRPr="004F5F2B" w:rsidRDefault="00E611D8">
      <w:pPr>
        <w:spacing w:after="200" w:line="276" w:lineRule="auto"/>
        <w:rPr>
          <w:rFonts w:ascii="Verdana" w:hAnsi="Verdana"/>
        </w:rPr>
      </w:pPr>
    </w:p>
    <w:p w:rsidR="00AC759C" w:rsidRPr="004F5F2B" w:rsidRDefault="00AC759C" w:rsidP="00E611D8">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p>
    <w:p w:rsidR="00E611D8" w:rsidRPr="004F5F2B" w:rsidRDefault="00E611D8" w:rsidP="00E611D8">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r w:rsidRPr="004F5F2B">
        <w:rPr>
          <w:rFonts w:ascii="Verdana" w:hAnsi="Verdana"/>
          <w:b/>
          <w:bCs/>
        </w:rPr>
        <w:t>SECTION FIVE</w:t>
      </w:r>
    </w:p>
    <w:p w:rsidR="00E611D8" w:rsidRPr="004F5F2B" w:rsidRDefault="00E611D8" w:rsidP="00E611D8">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p>
    <w:p w:rsidR="00E611D8" w:rsidRPr="004F5F2B" w:rsidRDefault="00E611D8" w:rsidP="00E611D8">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p>
    <w:p w:rsidR="00E611D8" w:rsidRPr="004F5F2B" w:rsidRDefault="00E611D8" w:rsidP="00E611D8">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sz w:val="36"/>
          <w:szCs w:val="36"/>
          <w:lang w:eastAsia="ar-SA"/>
        </w:rPr>
      </w:pPr>
      <w:r w:rsidRPr="004F5F2B">
        <w:rPr>
          <w:rFonts w:ascii="Verdana" w:hAnsi="Verdana"/>
          <w:b/>
          <w:bCs/>
          <w:sz w:val="36"/>
          <w:szCs w:val="36"/>
          <w:lang w:eastAsia="ar-SA"/>
        </w:rPr>
        <w:t>Implementation provisions</w:t>
      </w:r>
    </w:p>
    <w:p w:rsidR="00E611D8" w:rsidRPr="004F5F2B" w:rsidRDefault="00E611D8" w:rsidP="00E611D8">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sz w:val="36"/>
          <w:szCs w:val="36"/>
        </w:rPr>
      </w:pPr>
      <w:r w:rsidRPr="004F5F2B">
        <w:rPr>
          <w:rFonts w:ascii="Verdana" w:hAnsi="Verdana"/>
          <w:b/>
          <w:bCs/>
          <w:sz w:val="36"/>
          <w:szCs w:val="36"/>
          <w:lang w:eastAsia="ar-SA"/>
        </w:rPr>
        <w:t>for the cooperation programme</w:t>
      </w:r>
    </w:p>
    <w:p w:rsidR="00E611D8" w:rsidRPr="004F5F2B" w:rsidRDefault="00E611D8" w:rsidP="00E611D8">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sz w:val="36"/>
          <w:szCs w:val="36"/>
        </w:rPr>
      </w:pPr>
    </w:p>
    <w:p w:rsidR="00E611D8" w:rsidRPr="004F5F2B" w:rsidRDefault="00E611D8" w:rsidP="00E611D8">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E611D8" w:rsidRPr="004F5F2B" w:rsidRDefault="00E611D8" w:rsidP="00E611D8">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E611D8" w:rsidRPr="004F5F2B" w:rsidRDefault="00E611D8" w:rsidP="00E611D8">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E611D8" w:rsidRDefault="00E611D8" w:rsidP="00E611D8">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iCs/>
          <w:lang w:eastAsia="ar-SA"/>
        </w:rPr>
      </w:pPr>
      <w:r w:rsidRPr="004F5F2B">
        <w:rPr>
          <w:rFonts w:ascii="Verdana" w:hAnsi="Verdana"/>
          <w:b/>
          <w:bCs/>
        </w:rPr>
        <w:t>5.1</w:t>
      </w:r>
      <w:r w:rsidRPr="004F5F2B">
        <w:rPr>
          <w:rFonts w:ascii="Verdana" w:hAnsi="Verdana"/>
          <w:b/>
          <w:bCs/>
        </w:rPr>
        <w:tab/>
      </w:r>
      <w:r w:rsidRPr="004F5F2B">
        <w:rPr>
          <w:rFonts w:ascii="Verdana" w:hAnsi="Verdana"/>
          <w:b/>
          <w:bCs/>
          <w:iCs/>
          <w:lang w:eastAsia="ar-SA"/>
        </w:rPr>
        <w:t>Identification of the relevant authorities and bodies</w:t>
      </w:r>
    </w:p>
    <w:p w:rsidR="0092395E" w:rsidRDefault="0092395E" w:rsidP="00E611D8">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iCs/>
          <w:lang w:eastAsia="ar-SA"/>
        </w:rPr>
      </w:pPr>
    </w:p>
    <w:p w:rsidR="0092395E" w:rsidRPr="004F5F2B" w:rsidRDefault="0092395E" w:rsidP="00E611D8">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iCs/>
          <w:lang w:eastAsia="ar-SA"/>
        </w:rPr>
      </w:pPr>
      <w:r>
        <w:rPr>
          <w:rFonts w:ascii="Verdana" w:hAnsi="Verdana"/>
          <w:b/>
          <w:bCs/>
          <w:iCs/>
          <w:lang w:eastAsia="ar-SA"/>
        </w:rPr>
        <w:t>5.2</w:t>
      </w:r>
      <w:r>
        <w:rPr>
          <w:rFonts w:ascii="Verdana" w:hAnsi="Verdana"/>
          <w:b/>
          <w:bCs/>
          <w:iCs/>
          <w:lang w:eastAsia="ar-SA"/>
        </w:rPr>
        <w:tab/>
        <w:t>Procedure for Setting up the Joint Secretariat</w:t>
      </w:r>
    </w:p>
    <w:p w:rsidR="00E611D8" w:rsidRPr="004F5F2B" w:rsidRDefault="00E611D8" w:rsidP="00E611D8">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92395E" w:rsidRDefault="0092395E" w:rsidP="0092395E">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iCs/>
          <w:lang w:eastAsia="ar-SA"/>
        </w:rPr>
      </w:pPr>
      <w:r>
        <w:rPr>
          <w:rFonts w:ascii="Verdana" w:hAnsi="Verdana"/>
          <w:b/>
          <w:bCs/>
          <w:iCs/>
          <w:lang w:eastAsia="ar-SA"/>
        </w:rPr>
        <w:t>5.3 Summary of Description of the Management and control arrangements</w:t>
      </w:r>
    </w:p>
    <w:p w:rsidR="00E611D8" w:rsidRDefault="00E611D8" w:rsidP="00E611D8">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92395E" w:rsidRDefault="0092395E" w:rsidP="0092395E">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iCs/>
          <w:lang w:eastAsia="ar-SA"/>
        </w:rPr>
      </w:pPr>
      <w:r>
        <w:rPr>
          <w:rFonts w:ascii="Verdana" w:hAnsi="Verdana"/>
          <w:b/>
          <w:bCs/>
          <w:iCs/>
          <w:lang w:eastAsia="ar-SA"/>
        </w:rPr>
        <w:t>5.4 Apportionment of liabilities among participating Member States in case of financial corrections imposed by the managing authority or the Commission</w:t>
      </w:r>
    </w:p>
    <w:p w:rsidR="0092395E" w:rsidRDefault="0092395E" w:rsidP="00E611D8">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92395E" w:rsidRDefault="0092395E" w:rsidP="0092395E">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iCs/>
          <w:lang w:eastAsia="ar-SA"/>
        </w:rPr>
      </w:pPr>
      <w:r>
        <w:rPr>
          <w:rFonts w:ascii="Verdana" w:hAnsi="Verdana"/>
          <w:b/>
          <w:bCs/>
          <w:iCs/>
          <w:lang w:eastAsia="ar-SA"/>
        </w:rPr>
        <w:t>5.5 Use of the Euro</w:t>
      </w:r>
    </w:p>
    <w:p w:rsidR="0092395E" w:rsidRPr="004F5F2B" w:rsidRDefault="0092395E" w:rsidP="00E611D8">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E611D8" w:rsidRPr="004F5F2B" w:rsidRDefault="00E611D8" w:rsidP="00E611D8">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r w:rsidRPr="004F5F2B">
        <w:rPr>
          <w:rFonts w:ascii="Verdana" w:hAnsi="Verdana"/>
          <w:b/>
          <w:bCs/>
        </w:rPr>
        <w:t>5.</w:t>
      </w:r>
      <w:r w:rsidR="0092395E">
        <w:rPr>
          <w:rFonts w:ascii="Verdana" w:hAnsi="Verdana"/>
          <w:b/>
          <w:bCs/>
        </w:rPr>
        <w:t>6</w:t>
      </w:r>
      <w:r w:rsidRPr="004F5F2B">
        <w:rPr>
          <w:rFonts w:ascii="Verdana" w:hAnsi="Verdana"/>
          <w:b/>
          <w:bCs/>
        </w:rPr>
        <w:tab/>
      </w:r>
      <w:r w:rsidRPr="004F5F2B">
        <w:rPr>
          <w:rFonts w:ascii="Verdana" w:eastAsia="Arial" w:hAnsi="Verdana"/>
          <w:b/>
          <w:bCs/>
          <w:lang w:eastAsia="ar-SA"/>
        </w:rPr>
        <w:t>Involvement of partners</w:t>
      </w:r>
    </w:p>
    <w:p w:rsidR="00E611D8" w:rsidRPr="004F5F2B" w:rsidRDefault="00E611D8" w:rsidP="00E611D8">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E611D8" w:rsidRPr="004F5F2B" w:rsidRDefault="00E611D8" w:rsidP="00E611D8">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E611D8" w:rsidRPr="004F5F2B" w:rsidRDefault="00E611D8" w:rsidP="00E611D8">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E611D8" w:rsidRPr="004F5F2B" w:rsidRDefault="00E611D8" w:rsidP="00E611D8">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E611D8" w:rsidRPr="004F5F2B" w:rsidRDefault="00E611D8">
      <w:pPr>
        <w:spacing w:after="200" w:line="276" w:lineRule="auto"/>
        <w:rPr>
          <w:rFonts w:ascii="Verdana" w:hAnsi="Verdana"/>
        </w:rPr>
      </w:pPr>
    </w:p>
    <w:p w:rsidR="00E611D8" w:rsidRPr="004F5F2B" w:rsidRDefault="00E611D8">
      <w:pPr>
        <w:spacing w:after="200" w:line="276" w:lineRule="auto"/>
        <w:rPr>
          <w:rFonts w:ascii="Verdana" w:hAnsi="Verdana"/>
        </w:rPr>
      </w:pPr>
    </w:p>
    <w:p w:rsidR="00E611D8" w:rsidRPr="004F5F2B" w:rsidRDefault="00E611D8">
      <w:pPr>
        <w:spacing w:after="200" w:line="276" w:lineRule="auto"/>
        <w:rPr>
          <w:rFonts w:ascii="Verdana" w:hAnsi="Verdana"/>
        </w:rPr>
      </w:pPr>
      <w:r w:rsidRPr="004F5F2B">
        <w:rPr>
          <w:rFonts w:ascii="Verdana" w:hAnsi="Verdana"/>
        </w:rPr>
        <w:br w:type="page"/>
      </w:r>
    </w:p>
    <w:p w:rsidR="00FF01A8" w:rsidRPr="004F5F2B" w:rsidRDefault="00FF01A8" w:rsidP="00592786">
      <w:pPr>
        <w:ind w:firstLine="708"/>
        <w:rPr>
          <w:rFonts w:ascii="Verdana" w:hAnsi="Verdana"/>
        </w:rPr>
      </w:pPr>
    </w:p>
    <w:p w:rsidR="00282D17" w:rsidRPr="004F5F2B" w:rsidRDefault="00282D17" w:rsidP="00282D17">
      <w:pPr>
        <w:pStyle w:val="StyleHeading1Hanging085cm"/>
      </w:pPr>
      <w:bookmarkStart w:id="38" w:name="_Toc401325807"/>
      <w:bookmarkStart w:id="39" w:name="_Toc361646459"/>
      <w:bookmarkStart w:id="40" w:name="_Toc364465692"/>
      <w:bookmarkStart w:id="41" w:name="_Toc245710157"/>
      <w:r w:rsidRPr="004F5F2B">
        <w:t xml:space="preserve">Section 5. Implementation provisions for the cooperation programme </w:t>
      </w:r>
    </w:p>
    <w:p w:rsidR="00282D17" w:rsidRDefault="00282D17" w:rsidP="00282D17">
      <w:pPr>
        <w:autoSpaceDE w:val="0"/>
        <w:autoSpaceDN w:val="0"/>
        <w:adjustRightInd w:val="0"/>
        <w:spacing w:after="180" w:line="276" w:lineRule="auto"/>
        <w:jc w:val="both"/>
        <w:rPr>
          <w:rFonts w:ascii="Verdana" w:eastAsia="MS Mincho" w:hAnsi="Verdana" w:cs="Arial"/>
          <w:sz w:val="22"/>
          <w:szCs w:val="22"/>
          <w:lang w:eastAsia="ja-JP"/>
        </w:rPr>
      </w:pPr>
    </w:p>
    <w:p w:rsidR="00282D17" w:rsidRPr="00C4514D" w:rsidRDefault="00282D17" w:rsidP="00282D17">
      <w:pPr>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 xml:space="preserve">This section describes the bodies acting as managing authority (MA), certifying authority (CA), audit authority (AA) and joint secretariat (JS). It defines the tasks of each of the bodies involved, including the monitoring committee (MC). It also describes the relations between the different bodies in the various processes necessary for programme implementation. </w:t>
      </w:r>
    </w:p>
    <w:p w:rsidR="00282D17" w:rsidRPr="00C4514D" w:rsidRDefault="00282D17" w:rsidP="00282D17">
      <w:pPr>
        <w:autoSpaceDE w:val="0"/>
        <w:autoSpaceDN w:val="0"/>
        <w:adjustRightInd w:val="0"/>
        <w:spacing w:after="180" w:line="276" w:lineRule="auto"/>
        <w:jc w:val="both"/>
        <w:rPr>
          <w:rFonts w:ascii="Verdana" w:eastAsia="Cambria" w:hAnsi="Verdana" w:cs="Arial"/>
          <w:bCs/>
          <w:sz w:val="22"/>
          <w:szCs w:val="22"/>
          <w:lang w:eastAsia="en-US"/>
        </w:rPr>
      </w:pPr>
      <w:r w:rsidRPr="00C4514D">
        <w:rPr>
          <w:rFonts w:ascii="Verdana" w:eastAsia="Cambria" w:hAnsi="Verdana" w:cs="Arial"/>
          <w:bCs/>
          <w:sz w:val="22"/>
          <w:szCs w:val="22"/>
          <w:lang w:eastAsia="en-US"/>
        </w:rPr>
        <w:t xml:space="preserve">The official language of the programme shall be English. All communication between MS/PS, MA, CA, AA and JS and all bodies mentioned in this document, and all communication necessary to manage and implement the programme are in English language. French shall be considered as a working language for the programme for legal reasons.  </w:t>
      </w:r>
    </w:p>
    <w:p w:rsidR="00282D17" w:rsidRPr="00C4514D" w:rsidRDefault="00282D17" w:rsidP="00282D17">
      <w:pPr>
        <w:autoSpaceDE w:val="0"/>
        <w:autoSpaceDN w:val="0"/>
        <w:adjustRightInd w:val="0"/>
        <w:spacing w:after="180" w:line="276" w:lineRule="auto"/>
        <w:jc w:val="both"/>
        <w:rPr>
          <w:rFonts w:ascii="Verdana" w:eastAsia="MS Mincho" w:hAnsi="Verdana" w:cs="Arial"/>
          <w:sz w:val="22"/>
          <w:szCs w:val="22"/>
          <w:lang w:eastAsia="ja-JP"/>
        </w:rPr>
      </w:pPr>
    </w:p>
    <w:p w:rsidR="00282D17" w:rsidRPr="004F5F2B" w:rsidRDefault="00282D17" w:rsidP="00282D17">
      <w:pPr>
        <w:pStyle w:val="Nagwek2"/>
        <w:spacing w:after="180" w:line="276" w:lineRule="auto"/>
        <w:rPr>
          <w:lang w:eastAsia="ar-SA"/>
        </w:rPr>
      </w:pPr>
      <w:r w:rsidRPr="004F5F2B">
        <w:rPr>
          <w:lang w:eastAsia="ar-SA"/>
        </w:rPr>
        <w:t>5.1.</w:t>
      </w:r>
      <w:r>
        <w:rPr>
          <w:lang w:eastAsia="ar-SA"/>
        </w:rPr>
        <w:tab/>
      </w:r>
      <w:r w:rsidRPr="004F5F2B">
        <w:rPr>
          <w:lang w:eastAsia="ar-SA"/>
        </w:rPr>
        <w:t xml:space="preserve">Identification of the relevant authorities and bodies </w:t>
      </w:r>
    </w:p>
    <w:p w:rsidR="00282D17" w:rsidRPr="00C4514D" w:rsidRDefault="00282D17" w:rsidP="00282D17">
      <w:pPr>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The management of this programme follows the management structure applicable for a Structural Funds Programme and is made up of:</w:t>
      </w:r>
    </w:p>
    <w:p w:rsidR="00282D17" w:rsidRPr="00C4514D" w:rsidRDefault="00282D17" w:rsidP="008166DD">
      <w:pPr>
        <w:numPr>
          <w:ilvl w:val="0"/>
          <w:numId w:val="42"/>
        </w:numPr>
        <w:autoSpaceDE w:val="0"/>
        <w:autoSpaceDN w:val="0"/>
        <w:adjustRightInd w:val="0"/>
        <w:spacing w:after="180" w:line="276" w:lineRule="auto"/>
        <w:ind w:left="697"/>
        <w:rPr>
          <w:rFonts w:ascii="Verdana" w:eastAsia="MS Mincho" w:hAnsi="Verdana" w:cs="Arial"/>
          <w:sz w:val="22"/>
          <w:szCs w:val="22"/>
          <w:lang w:eastAsia="ja-JP"/>
        </w:rPr>
      </w:pPr>
      <w:r w:rsidRPr="00C4514D">
        <w:rPr>
          <w:rFonts w:ascii="Verdana" w:eastAsia="MS Mincho" w:hAnsi="Verdana" w:cs="Arial"/>
          <w:sz w:val="22"/>
          <w:szCs w:val="22"/>
          <w:lang w:eastAsia="ja-JP"/>
        </w:rPr>
        <w:t xml:space="preserve">a </w:t>
      </w:r>
      <w:r w:rsidRPr="00C4514D">
        <w:rPr>
          <w:rFonts w:ascii="Verdana" w:eastAsia="MS Mincho" w:hAnsi="Verdana" w:cs="Arial"/>
          <w:b/>
          <w:bCs/>
          <w:sz w:val="22"/>
          <w:szCs w:val="22"/>
          <w:lang w:eastAsia="ja-JP"/>
        </w:rPr>
        <w:t>managing authority</w:t>
      </w:r>
      <w:r w:rsidRPr="00C4514D">
        <w:rPr>
          <w:rFonts w:ascii="Verdana" w:eastAsia="MS Mincho" w:hAnsi="Verdana" w:cs="Arial"/>
          <w:sz w:val="22"/>
          <w:szCs w:val="22"/>
          <w:lang w:eastAsia="ja-JP"/>
        </w:rPr>
        <w:t>,</w:t>
      </w:r>
    </w:p>
    <w:p w:rsidR="00282D17" w:rsidRPr="00C4514D" w:rsidRDefault="00282D17" w:rsidP="008166DD">
      <w:pPr>
        <w:numPr>
          <w:ilvl w:val="0"/>
          <w:numId w:val="42"/>
        </w:numPr>
        <w:autoSpaceDE w:val="0"/>
        <w:autoSpaceDN w:val="0"/>
        <w:adjustRightInd w:val="0"/>
        <w:spacing w:after="180" w:line="276" w:lineRule="auto"/>
        <w:ind w:left="697"/>
        <w:rPr>
          <w:rFonts w:ascii="Verdana" w:eastAsia="MS Mincho" w:hAnsi="Verdana" w:cs="Arial"/>
          <w:b/>
          <w:bCs/>
          <w:sz w:val="22"/>
          <w:szCs w:val="22"/>
          <w:lang w:eastAsia="ja-JP"/>
        </w:rPr>
      </w:pPr>
      <w:r w:rsidRPr="00C4514D">
        <w:rPr>
          <w:rFonts w:ascii="Verdana" w:eastAsia="MS Mincho" w:hAnsi="Verdana" w:cs="Arial"/>
          <w:sz w:val="22"/>
          <w:szCs w:val="22"/>
          <w:lang w:eastAsia="ja-JP"/>
        </w:rPr>
        <w:t xml:space="preserve">a </w:t>
      </w:r>
      <w:r w:rsidRPr="00C4514D">
        <w:rPr>
          <w:rFonts w:ascii="Verdana" w:eastAsia="MS Mincho" w:hAnsi="Verdana" w:cs="Arial"/>
          <w:b/>
          <w:bCs/>
          <w:sz w:val="22"/>
          <w:szCs w:val="22"/>
          <w:lang w:eastAsia="ja-JP"/>
        </w:rPr>
        <w:t>certifying authority,</w:t>
      </w:r>
    </w:p>
    <w:p w:rsidR="00282D17" w:rsidRPr="00C4514D" w:rsidRDefault="00282D17" w:rsidP="008166DD">
      <w:pPr>
        <w:numPr>
          <w:ilvl w:val="0"/>
          <w:numId w:val="42"/>
        </w:numPr>
        <w:autoSpaceDE w:val="0"/>
        <w:autoSpaceDN w:val="0"/>
        <w:adjustRightInd w:val="0"/>
        <w:spacing w:after="180" w:line="276" w:lineRule="auto"/>
        <w:ind w:left="697"/>
        <w:rPr>
          <w:rFonts w:ascii="Verdana" w:eastAsia="MS Mincho" w:hAnsi="Verdana" w:cs="Arial"/>
          <w:b/>
          <w:bCs/>
          <w:sz w:val="22"/>
          <w:szCs w:val="22"/>
          <w:lang w:eastAsia="ja-JP"/>
        </w:rPr>
      </w:pPr>
      <w:r w:rsidRPr="00C4514D">
        <w:rPr>
          <w:rFonts w:ascii="Verdana" w:eastAsia="MS Mincho" w:hAnsi="Verdana" w:cs="Arial"/>
          <w:sz w:val="22"/>
          <w:szCs w:val="22"/>
          <w:lang w:eastAsia="ja-JP"/>
        </w:rPr>
        <w:t xml:space="preserve">an </w:t>
      </w:r>
      <w:r w:rsidRPr="00C4514D">
        <w:rPr>
          <w:rFonts w:ascii="Verdana" w:eastAsia="MS Mincho" w:hAnsi="Verdana" w:cs="Arial"/>
          <w:b/>
          <w:bCs/>
          <w:sz w:val="22"/>
          <w:szCs w:val="22"/>
          <w:lang w:eastAsia="ja-JP"/>
        </w:rPr>
        <w:t>audit authority,</w:t>
      </w:r>
    </w:p>
    <w:p w:rsidR="00282D17" w:rsidRPr="00C4514D" w:rsidRDefault="00282D17" w:rsidP="008166DD">
      <w:pPr>
        <w:numPr>
          <w:ilvl w:val="0"/>
          <w:numId w:val="42"/>
        </w:numPr>
        <w:autoSpaceDE w:val="0"/>
        <w:autoSpaceDN w:val="0"/>
        <w:adjustRightInd w:val="0"/>
        <w:spacing w:after="180" w:line="276" w:lineRule="auto"/>
        <w:ind w:left="697"/>
        <w:rPr>
          <w:rFonts w:ascii="Verdana" w:eastAsia="MS Mincho" w:hAnsi="Verdana" w:cs="Arial"/>
          <w:b/>
          <w:bCs/>
          <w:sz w:val="22"/>
          <w:szCs w:val="22"/>
          <w:lang w:eastAsia="ja-JP"/>
        </w:rPr>
      </w:pPr>
      <w:r w:rsidRPr="00C4514D">
        <w:rPr>
          <w:rFonts w:ascii="Verdana" w:eastAsia="MS Mincho" w:hAnsi="Verdana" w:cs="Arial"/>
          <w:sz w:val="22"/>
          <w:szCs w:val="22"/>
          <w:lang w:eastAsia="ja-JP"/>
        </w:rPr>
        <w:t xml:space="preserve">a </w:t>
      </w:r>
      <w:r w:rsidRPr="00C4514D">
        <w:rPr>
          <w:rFonts w:ascii="Verdana" w:eastAsia="MS Mincho" w:hAnsi="Verdana" w:cs="Arial"/>
          <w:b/>
          <w:bCs/>
          <w:sz w:val="22"/>
          <w:szCs w:val="22"/>
          <w:lang w:eastAsia="ja-JP"/>
        </w:rPr>
        <w:t>monitoring committee,</w:t>
      </w:r>
    </w:p>
    <w:p w:rsidR="00282D17" w:rsidRPr="00C4514D" w:rsidRDefault="00282D17" w:rsidP="008166DD">
      <w:pPr>
        <w:numPr>
          <w:ilvl w:val="0"/>
          <w:numId w:val="42"/>
        </w:numPr>
        <w:autoSpaceDE w:val="0"/>
        <w:autoSpaceDN w:val="0"/>
        <w:adjustRightInd w:val="0"/>
        <w:spacing w:after="180" w:line="276" w:lineRule="auto"/>
        <w:ind w:left="697"/>
        <w:rPr>
          <w:rFonts w:ascii="Verdana" w:eastAsia="MS Mincho" w:hAnsi="Verdana" w:cs="Arial"/>
          <w:b/>
          <w:bCs/>
          <w:sz w:val="22"/>
          <w:szCs w:val="22"/>
          <w:lang w:eastAsia="ja-JP"/>
        </w:rPr>
      </w:pPr>
      <w:r w:rsidRPr="00C4514D">
        <w:rPr>
          <w:rFonts w:ascii="Verdana" w:eastAsia="MS Mincho" w:hAnsi="Verdana" w:cs="Arial"/>
          <w:sz w:val="22"/>
          <w:szCs w:val="22"/>
          <w:lang w:eastAsia="ja-JP"/>
        </w:rPr>
        <w:t xml:space="preserve">a </w:t>
      </w:r>
      <w:r w:rsidRPr="00C4514D">
        <w:rPr>
          <w:rFonts w:ascii="Verdana" w:eastAsia="MS Mincho" w:hAnsi="Verdana" w:cs="Arial"/>
          <w:b/>
          <w:bCs/>
          <w:sz w:val="22"/>
          <w:szCs w:val="22"/>
          <w:lang w:eastAsia="ja-JP"/>
        </w:rPr>
        <w:t>joint secretariat</w:t>
      </w:r>
    </w:p>
    <w:p w:rsidR="00282D17" w:rsidRPr="00C4514D" w:rsidRDefault="00282D17" w:rsidP="00282D17">
      <w:pPr>
        <w:autoSpaceDE w:val="0"/>
        <w:autoSpaceDN w:val="0"/>
        <w:adjustRightInd w:val="0"/>
        <w:spacing w:after="180" w:line="276" w:lineRule="auto"/>
        <w:rPr>
          <w:rFonts w:ascii="Verdana" w:eastAsia="MS Mincho" w:hAnsi="Verdana" w:cs="TT6Ao00"/>
          <w:sz w:val="22"/>
          <w:szCs w:val="22"/>
          <w:lang w:eastAsia="ja-JP"/>
        </w:rPr>
      </w:pPr>
    </w:p>
    <w:p w:rsidR="00282D17" w:rsidRPr="00C4514D" w:rsidRDefault="00282D17" w:rsidP="00282D17">
      <w:pPr>
        <w:autoSpaceDE w:val="0"/>
        <w:autoSpaceDN w:val="0"/>
        <w:adjustRightInd w:val="0"/>
        <w:spacing w:after="180" w:line="276" w:lineRule="auto"/>
        <w:rPr>
          <w:rFonts w:ascii="Verdana" w:eastAsia="MS Mincho" w:hAnsi="Verdana" w:cs="Arial"/>
          <w:sz w:val="22"/>
          <w:szCs w:val="22"/>
          <w:lang w:eastAsia="ja-JP"/>
        </w:rPr>
      </w:pPr>
      <w:r w:rsidRPr="00C4514D">
        <w:rPr>
          <w:rFonts w:ascii="Verdana" w:eastAsia="MS Mincho" w:hAnsi="Verdana" w:cs="Arial"/>
          <w:sz w:val="22"/>
          <w:szCs w:val="22"/>
          <w:lang w:eastAsia="ja-JP"/>
        </w:rPr>
        <w:t>The characteristics, tasks and responsibilities of each of these bodies are described in the following paragraphs.</w:t>
      </w:r>
    </w:p>
    <w:p w:rsidR="00282D17" w:rsidRPr="00C4514D" w:rsidRDefault="00282D17" w:rsidP="00282D17">
      <w:pPr>
        <w:autoSpaceDE w:val="0"/>
        <w:autoSpaceDN w:val="0"/>
        <w:adjustRightInd w:val="0"/>
        <w:spacing w:after="180" w:line="276" w:lineRule="auto"/>
        <w:rPr>
          <w:rFonts w:ascii="Verdana" w:eastAsia="Cambria" w:hAnsi="Verdana"/>
          <w:b/>
          <w:bCs/>
          <w:sz w:val="22"/>
          <w:szCs w:val="22"/>
          <w:lang w:eastAsia="en-US"/>
        </w:rPr>
      </w:pPr>
    </w:p>
    <w:p w:rsidR="00282D17" w:rsidRDefault="00282D17" w:rsidP="00282D17">
      <w:pPr>
        <w:rPr>
          <w:rFonts w:ascii="Verdana" w:eastAsia="Cambria" w:hAnsi="Verdana"/>
          <w:b/>
          <w:bCs/>
          <w:sz w:val="22"/>
          <w:szCs w:val="22"/>
          <w:lang w:eastAsia="en-US"/>
        </w:rPr>
      </w:pPr>
      <w:r>
        <w:rPr>
          <w:rFonts w:ascii="Verdana" w:eastAsia="Cambria" w:hAnsi="Verdana"/>
          <w:b/>
          <w:bCs/>
          <w:sz w:val="22"/>
          <w:szCs w:val="22"/>
          <w:lang w:eastAsia="en-US"/>
        </w:rPr>
        <w:br w:type="page"/>
      </w:r>
    </w:p>
    <w:p w:rsidR="00282D17" w:rsidRPr="00C4514D" w:rsidRDefault="00282D17" w:rsidP="00282D17">
      <w:pPr>
        <w:autoSpaceDE w:val="0"/>
        <w:autoSpaceDN w:val="0"/>
        <w:adjustRightInd w:val="0"/>
        <w:spacing w:after="180" w:line="276" w:lineRule="auto"/>
        <w:jc w:val="both"/>
        <w:rPr>
          <w:rFonts w:ascii="Verdana" w:eastAsia="Cambria" w:hAnsi="Verdana"/>
          <w:b/>
          <w:bCs/>
          <w:sz w:val="22"/>
          <w:szCs w:val="22"/>
          <w:lang w:eastAsia="en-US"/>
        </w:rPr>
      </w:pPr>
      <w:r w:rsidRPr="00C4514D">
        <w:rPr>
          <w:rFonts w:ascii="Verdana" w:eastAsia="Cambria" w:hAnsi="Verdana"/>
          <w:b/>
          <w:bCs/>
          <w:sz w:val="22"/>
          <w:szCs w:val="22"/>
          <w:lang w:eastAsia="en-US"/>
        </w:rPr>
        <w:t>Table 21: Identification of and contact details for the relevant authorities and bodies</w:t>
      </w:r>
    </w:p>
    <w:tbl>
      <w:tblPr>
        <w:tblW w:w="0" w:type="auto"/>
        <w:jc w:val="center"/>
        <w:tblLayout w:type="fixed"/>
        <w:tblLook w:val="0000" w:firstRow="0" w:lastRow="0" w:firstColumn="0" w:lastColumn="0" w:noHBand="0" w:noVBand="0"/>
      </w:tblPr>
      <w:tblGrid>
        <w:gridCol w:w="2009"/>
        <w:gridCol w:w="4394"/>
        <w:gridCol w:w="2430"/>
      </w:tblGrid>
      <w:tr w:rsidR="00282D17" w:rsidRPr="00C4514D" w:rsidTr="00282D17">
        <w:trPr>
          <w:trHeight w:val="1"/>
          <w:jc w:val="center"/>
        </w:trPr>
        <w:tc>
          <w:tcPr>
            <w:tcW w:w="2009" w:type="dxa"/>
            <w:tcBorders>
              <w:top w:val="single" w:sz="2" w:space="0" w:color="000000"/>
              <w:left w:val="single" w:sz="2" w:space="0" w:color="000000"/>
              <w:bottom w:val="single" w:sz="2" w:space="0" w:color="000000"/>
              <w:right w:val="single" w:sz="2" w:space="0" w:color="000000"/>
            </w:tcBorders>
            <w:shd w:val="clear" w:color="auto" w:fill="DBE5F1"/>
          </w:tcPr>
          <w:p w:rsidR="00282D17" w:rsidRPr="00C4514D" w:rsidRDefault="00282D17" w:rsidP="00282D17">
            <w:pPr>
              <w:autoSpaceDE w:val="0"/>
              <w:autoSpaceDN w:val="0"/>
              <w:adjustRightInd w:val="0"/>
              <w:jc w:val="center"/>
              <w:rPr>
                <w:rFonts w:ascii="Verdana" w:eastAsia="Cambria" w:hAnsi="Verdana"/>
                <w:b/>
                <w:bCs/>
                <w:sz w:val="20"/>
                <w:szCs w:val="20"/>
                <w:lang w:eastAsia="en-US"/>
              </w:rPr>
            </w:pPr>
            <w:r w:rsidRPr="00C4514D">
              <w:rPr>
                <w:rFonts w:ascii="Verdana" w:eastAsia="Cambria" w:hAnsi="Verdana"/>
                <w:b/>
                <w:bCs/>
                <w:sz w:val="20"/>
                <w:szCs w:val="20"/>
                <w:lang w:eastAsia="en-US"/>
              </w:rPr>
              <w:t>Authority/</w:t>
            </w:r>
          </w:p>
          <w:p w:rsidR="00282D17" w:rsidRPr="00C4514D" w:rsidRDefault="00282D17" w:rsidP="00282D17">
            <w:pPr>
              <w:autoSpaceDE w:val="0"/>
              <w:autoSpaceDN w:val="0"/>
              <w:adjustRightInd w:val="0"/>
              <w:jc w:val="center"/>
              <w:rPr>
                <w:rFonts w:ascii="Verdana" w:eastAsia="Cambria" w:hAnsi="Verdana" w:cs="Calibri"/>
                <w:sz w:val="20"/>
                <w:szCs w:val="20"/>
                <w:lang w:eastAsia="en-US"/>
              </w:rPr>
            </w:pPr>
            <w:r w:rsidRPr="00C4514D">
              <w:rPr>
                <w:rFonts w:ascii="Verdana" w:eastAsia="Cambria" w:hAnsi="Verdana"/>
                <w:b/>
                <w:bCs/>
                <w:sz w:val="20"/>
                <w:szCs w:val="20"/>
                <w:lang w:eastAsia="en-US"/>
              </w:rPr>
              <w:t>body</w:t>
            </w:r>
          </w:p>
        </w:tc>
        <w:tc>
          <w:tcPr>
            <w:tcW w:w="4394" w:type="dxa"/>
            <w:tcBorders>
              <w:top w:val="single" w:sz="2" w:space="0" w:color="000000"/>
              <w:left w:val="single" w:sz="2" w:space="0" w:color="000000"/>
              <w:bottom w:val="single" w:sz="2" w:space="0" w:color="000000"/>
              <w:right w:val="single" w:sz="2" w:space="0" w:color="000000"/>
            </w:tcBorders>
            <w:shd w:val="clear" w:color="auto" w:fill="DBE5F1"/>
          </w:tcPr>
          <w:p w:rsidR="00282D17" w:rsidRPr="00C4514D" w:rsidRDefault="00282D17" w:rsidP="00282D17">
            <w:pPr>
              <w:autoSpaceDE w:val="0"/>
              <w:autoSpaceDN w:val="0"/>
              <w:adjustRightInd w:val="0"/>
              <w:jc w:val="center"/>
              <w:rPr>
                <w:rFonts w:ascii="Verdana" w:eastAsia="Cambria" w:hAnsi="Verdana" w:cs="Calibri"/>
                <w:sz w:val="20"/>
                <w:szCs w:val="20"/>
                <w:lang w:eastAsia="en-US"/>
              </w:rPr>
            </w:pPr>
            <w:r w:rsidRPr="00C4514D">
              <w:rPr>
                <w:rFonts w:ascii="Verdana" w:eastAsia="Cambria" w:hAnsi="Verdana"/>
                <w:b/>
                <w:bCs/>
                <w:sz w:val="20"/>
                <w:szCs w:val="20"/>
                <w:lang w:eastAsia="en-US"/>
              </w:rPr>
              <w:t>Name of the authority/body</w:t>
            </w:r>
          </w:p>
        </w:tc>
        <w:tc>
          <w:tcPr>
            <w:tcW w:w="2430" w:type="dxa"/>
            <w:tcBorders>
              <w:top w:val="single" w:sz="2" w:space="0" w:color="000000"/>
              <w:left w:val="single" w:sz="2" w:space="0" w:color="000000"/>
              <w:bottom w:val="single" w:sz="2" w:space="0" w:color="000000"/>
              <w:right w:val="single" w:sz="2" w:space="0" w:color="000000"/>
            </w:tcBorders>
            <w:shd w:val="clear" w:color="auto" w:fill="DBE5F1"/>
          </w:tcPr>
          <w:p w:rsidR="00282D17" w:rsidRPr="00C4514D" w:rsidRDefault="00282D17" w:rsidP="00282D17">
            <w:pPr>
              <w:autoSpaceDE w:val="0"/>
              <w:autoSpaceDN w:val="0"/>
              <w:adjustRightInd w:val="0"/>
              <w:jc w:val="center"/>
              <w:rPr>
                <w:rFonts w:ascii="Verdana" w:eastAsia="Cambria" w:hAnsi="Verdana" w:cs="Calibri"/>
                <w:sz w:val="20"/>
                <w:szCs w:val="20"/>
                <w:lang w:eastAsia="en-US"/>
              </w:rPr>
            </w:pPr>
            <w:r w:rsidRPr="00C4514D">
              <w:rPr>
                <w:rFonts w:ascii="Verdana" w:eastAsia="Cambria" w:hAnsi="Verdana"/>
                <w:b/>
                <w:bCs/>
                <w:sz w:val="20"/>
                <w:szCs w:val="20"/>
                <w:lang w:eastAsia="en-US"/>
              </w:rPr>
              <w:t>Head of the authority/body</w:t>
            </w:r>
          </w:p>
        </w:tc>
      </w:tr>
      <w:tr w:rsidR="00282D17" w:rsidRPr="00C4514D" w:rsidTr="00282D17">
        <w:trPr>
          <w:trHeight w:val="1"/>
          <w:jc w:val="center"/>
        </w:trPr>
        <w:tc>
          <w:tcPr>
            <w:tcW w:w="2009" w:type="dxa"/>
            <w:tcBorders>
              <w:top w:val="single" w:sz="2" w:space="0" w:color="000000"/>
              <w:left w:val="single" w:sz="2" w:space="0" w:color="000000"/>
              <w:bottom w:val="single" w:sz="2" w:space="0" w:color="000000"/>
              <w:right w:val="single" w:sz="2" w:space="0" w:color="000000"/>
            </w:tcBorders>
          </w:tcPr>
          <w:p w:rsidR="00282D17" w:rsidRPr="00C4514D" w:rsidRDefault="00282D17" w:rsidP="00282D17">
            <w:pPr>
              <w:autoSpaceDE w:val="0"/>
              <w:autoSpaceDN w:val="0"/>
              <w:adjustRightInd w:val="0"/>
              <w:spacing w:before="120"/>
              <w:jc w:val="both"/>
              <w:rPr>
                <w:rFonts w:ascii="Verdana" w:eastAsia="Cambria" w:hAnsi="Verdana" w:cs="Arial"/>
                <w:sz w:val="20"/>
                <w:szCs w:val="20"/>
                <w:lang w:eastAsia="en-US"/>
              </w:rPr>
            </w:pPr>
            <w:r w:rsidRPr="00C4514D">
              <w:rPr>
                <w:rFonts w:ascii="Verdana" w:eastAsia="Cambria" w:hAnsi="Verdana" w:cs="Arial"/>
                <w:sz w:val="20"/>
                <w:szCs w:val="20"/>
                <w:lang w:eastAsia="en-US"/>
              </w:rPr>
              <w:t xml:space="preserve">Managing Authority </w:t>
            </w:r>
          </w:p>
        </w:tc>
        <w:tc>
          <w:tcPr>
            <w:tcW w:w="4394" w:type="dxa"/>
            <w:tcBorders>
              <w:top w:val="single" w:sz="2" w:space="0" w:color="000000"/>
              <w:left w:val="single" w:sz="2" w:space="0" w:color="000000"/>
              <w:bottom w:val="single" w:sz="2" w:space="0" w:color="000000"/>
              <w:right w:val="single" w:sz="2" w:space="0" w:color="000000"/>
            </w:tcBorders>
          </w:tcPr>
          <w:p w:rsidR="00282D17" w:rsidRPr="00C4514D" w:rsidRDefault="00282D17" w:rsidP="00282D17">
            <w:pPr>
              <w:autoSpaceDE w:val="0"/>
              <w:autoSpaceDN w:val="0"/>
              <w:adjustRightInd w:val="0"/>
              <w:spacing w:before="120"/>
              <w:jc w:val="both"/>
              <w:rPr>
                <w:rFonts w:ascii="Verdana" w:eastAsia="Cambria" w:hAnsi="Verdana" w:cs="Arial"/>
                <w:b/>
                <w:sz w:val="20"/>
                <w:szCs w:val="20"/>
                <w:lang w:val="fr-FR" w:eastAsia="en-US"/>
              </w:rPr>
            </w:pPr>
            <w:r w:rsidRPr="00C4514D">
              <w:rPr>
                <w:rFonts w:ascii="Verdana" w:hAnsi="Verdana"/>
                <w:sz w:val="20"/>
                <w:szCs w:val="20"/>
                <w:lang w:val="fr-FR"/>
              </w:rPr>
              <w:t>Commissariat Général à l’Egalité des Territoires</w:t>
            </w:r>
            <w:r w:rsidRPr="00C4514D">
              <w:rPr>
                <w:rFonts w:ascii="Verdana" w:eastAsia="Cambria" w:hAnsi="Verdana" w:cs="Arial"/>
                <w:b/>
                <w:sz w:val="20"/>
                <w:szCs w:val="20"/>
                <w:lang w:val="fr-FR" w:eastAsia="en-US"/>
              </w:rPr>
              <w:t xml:space="preserve"> (CGET)</w:t>
            </w:r>
          </w:p>
          <w:p w:rsidR="00282D17" w:rsidRPr="00C4514D" w:rsidRDefault="00282D17" w:rsidP="00282D17">
            <w:pPr>
              <w:tabs>
                <w:tab w:val="left" w:pos="1520"/>
              </w:tabs>
              <w:autoSpaceDE w:val="0"/>
              <w:autoSpaceDN w:val="0"/>
              <w:adjustRightInd w:val="0"/>
              <w:spacing w:before="120" w:after="28" w:line="200" w:lineRule="atLeast"/>
              <w:jc w:val="both"/>
              <w:textAlignment w:val="center"/>
              <w:rPr>
                <w:rFonts w:ascii="Verdana" w:eastAsia="Cambria" w:hAnsi="Verdana" w:cs="Arial"/>
                <w:sz w:val="20"/>
                <w:szCs w:val="20"/>
                <w:lang w:val="fr-FR" w:eastAsia="en-US"/>
              </w:rPr>
            </w:pPr>
          </w:p>
        </w:tc>
        <w:tc>
          <w:tcPr>
            <w:tcW w:w="2430" w:type="dxa"/>
            <w:tcBorders>
              <w:top w:val="single" w:sz="2" w:space="0" w:color="000000"/>
              <w:left w:val="single" w:sz="2" w:space="0" w:color="000000"/>
              <w:bottom w:val="single" w:sz="2" w:space="0" w:color="000000"/>
              <w:right w:val="single" w:sz="2" w:space="0" w:color="000000"/>
            </w:tcBorders>
          </w:tcPr>
          <w:p w:rsidR="00282D17" w:rsidRPr="00C4514D" w:rsidRDefault="00282D17" w:rsidP="00282D17">
            <w:pPr>
              <w:autoSpaceDE w:val="0"/>
              <w:autoSpaceDN w:val="0"/>
              <w:adjustRightInd w:val="0"/>
              <w:spacing w:before="120"/>
              <w:jc w:val="both"/>
              <w:rPr>
                <w:rFonts w:ascii="Verdana" w:eastAsia="Cambria" w:hAnsi="Verdana" w:cs="Arial"/>
                <w:sz w:val="20"/>
                <w:szCs w:val="20"/>
                <w:lang w:eastAsia="en-US"/>
              </w:rPr>
            </w:pPr>
            <w:r w:rsidRPr="00C4514D">
              <w:rPr>
                <w:rFonts w:ascii="Verdana" w:eastAsia="Cambria" w:hAnsi="Verdana" w:cs="Arial"/>
                <w:sz w:val="20"/>
                <w:szCs w:val="20"/>
                <w:lang w:eastAsia="en-US"/>
              </w:rPr>
              <w:t>Raphaël Le Méhauté</w:t>
            </w:r>
          </w:p>
        </w:tc>
      </w:tr>
      <w:tr w:rsidR="00282D17" w:rsidRPr="00C4514D" w:rsidTr="00282D17">
        <w:trPr>
          <w:trHeight w:val="1"/>
          <w:jc w:val="center"/>
        </w:trPr>
        <w:tc>
          <w:tcPr>
            <w:tcW w:w="2009" w:type="dxa"/>
            <w:tcBorders>
              <w:top w:val="single" w:sz="2" w:space="0" w:color="000000"/>
              <w:left w:val="single" w:sz="2" w:space="0" w:color="000000"/>
              <w:bottom w:val="single" w:sz="2" w:space="0" w:color="000000"/>
              <w:right w:val="single" w:sz="2" w:space="0" w:color="000000"/>
            </w:tcBorders>
          </w:tcPr>
          <w:p w:rsidR="00282D17" w:rsidRPr="00C4514D" w:rsidRDefault="00282D17" w:rsidP="00282D17">
            <w:pPr>
              <w:autoSpaceDE w:val="0"/>
              <w:autoSpaceDN w:val="0"/>
              <w:adjustRightInd w:val="0"/>
              <w:spacing w:before="120"/>
              <w:jc w:val="both"/>
              <w:rPr>
                <w:rFonts w:ascii="Verdana" w:eastAsia="Cambria" w:hAnsi="Verdana" w:cs="Arial"/>
                <w:sz w:val="20"/>
                <w:szCs w:val="20"/>
                <w:lang w:eastAsia="en-US"/>
              </w:rPr>
            </w:pPr>
            <w:r w:rsidRPr="00C4514D">
              <w:rPr>
                <w:rFonts w:ascii="Verdana" w:eastAsia="Cambria" w:hAnsi="Verdana" w:cs="Arial"/>
                <w:sz w:val="20"/>
                <w:szCs w:val="20"/>
                <w:lang w:eastAsia="en-US"/>
              </w:rPr>
              <w:t>Certifying authority</w:t>
            </w:r>
          </w:p>
        </w:tc>
        <w:tc>
          <w:tcPr>
            <w:tcW w:w="4394" w:type="dxa"/>
            <w:tcBorders>
              <w:top w:val="single" w:sz="2" w:space="0" w:color="000000"/>
              <w:left w:val="single" w:sz="2" w:space="0" w:color="000000"/>
              <w:bottom w:val="single" w:sz="2" w:space="0" w:color="000000"/>
              <w:right w:val="single" w:sz="2" w:space="0" w:color="000000"/>
            </w:tcBorders>
          </w:tcPr>
          <w:p w:rsidR="00282D17" w:rsidRPr="00C4514D" w:rsidRDefault="00282D17" w:rsidP="00282D17">
            <w:pPr>
              <w:autoSpaceDE w:val="0"/>
              <w:autoSpaceDN w:val="0"/>
              <w:adjustRightInd w:val="0"/>
              <w:spacing w:before="120"/>
              <w:jc w:val="both"/>
              <w:rPr>
                <w:rFonts w:ascii="Verdana" w:eastAsia="Cambria" w:hAnsi="Verdana" w:cs="Arial"/>
                <w:b/>
                <w:sz w:val="20"/>
                <w:szCs w:val="20"/>
                <w:lang w:val="fr-FR" w:eastAsia="en-US"/>
              </w:rPr>
            </w:pPr>
            <w:r>
              <w:rPr>
                <w:rFonts w:ascii="Verdana" w:hAnsi="Verdana"/>
                <w:sz w:val="20"/>
                <w:szCs w:val="20"/>
                <w:lang w:val="fr-FR"/>
              </w:rPr>
              <w:t xml:space="preserve">Direction Générale des Finances Publiques (DGFIP) </w:t>
            </w:r>
          </w:p>
          <w:p w:rsidR="00282D17" w:rsidRPr="00C4514D" w:rsidRDefault="00282D17" w:rsidP="00282D17">
            <w:pPr>
              <w:autoSpaceDE w:val="0"/>
              <w:autoSpaceDN w:val="0"/>
              <w:adjustRightInd w:val="0"/>
              <w:spacing w:before="120"/>
              <w:jc w:val="both"/>
              <w:rPr>
                <w:rFonts w:ascii="Verdana" w:eastAsia="Cambria" w:hAnsi="Verdana" w:cs="Arial"/>
                <w:sz w:val="20"/>
                <w:szCs w:val="20"/>
                <w:lang w:val="fr-FR" w:eastAsia="en-US"/>
              </w:rPr>
            </w:pPr>
          </w:p>
        </w:tc>
        <w:tc>
          <w:tcPr>
            <w:tcW w:w="2430" w:type="dxa"/>
            <w:tcBorders>
              <w:top w:val="single" w:sz="2" w:space="0" w:color="000000"/>
              <w:left w:val="single" w:sz="2" w:space="0" w:color="000000"/>
              <w:bottom w:val="single" w:sz="2" w:space="0" w:color="000000"/>
              <w:right w:val="single" w:sz="2" w:space="0" w:color="000000"/>
            </w:tcBorders>
          </w:tcPr>
          <w:p w:rsidR="00282D17" w:rsidRPr="00C4514D" w:rsidRDefault="00282D17" w:rsidP="00282D17">
            <w:pPr>
              <w:autoSpaceDE w:val="0"/>
              <w:autoSpaceDN w:val="0"/>
              <w:adjustRightInd w:val="0"/>
              <w:spacing w:before="120"/>
              <w:jc w:val="both"/>
              <w:rPr>
                <w:rFonts w:ascii="Verdana" w:eastAsia="Cambria" w:hAnsi="Verdana" w:cs="Arial"/>
                <w:sz w:val="20"/>
                <w:szCs w:val="20"/>
                <w:lang w:eastAsia="en-US"/>
              </w:rPr>
            </w:pPr>
            <w:r w:rsidRPr="00C4514D">
              <w:rPr>
                <w:rFonts w:ascii="Verdana" w:eastAsia="Cambria" w:hAnsi="Verdana" w:cs="Arial"/>
                <w:sz w:val="20"/>
                <w:szCs w:val="20"/>
                <w:lang w:eastAsia="en-US"/>
              </w:rPr>
              <w:t>To be specified</w:t>
            </w:r>
          </w:p>
        </w:tc>
      </w:tr>
      <w:tr w:rsidR="00282D17" w:rsidRPr="00C4514D" w:rsidTr="00282D17">
        <w:trPr>
          <w:trHeight w:val="1"/>
          <w:jc w:val="center"/>
        </w:trPr>
        <w:tc>
          <w:tcPr>
            <w:tcW w:w="2009" w:type="dxa"/>
            <w:tcBorders>
              <w:top w:val="single" w:sz="2" w:space="0" w:color="000000"/>
              <w:left w:val="single" w:sz="2" w:space="0" w:color="000000"/>
              <w:bottom w:val="single" w:sz="2" w:space="0" w:color="000000"/>
              <w:right w:val="single" w:sz="2" w:space="0" w:color="000000"/>
            </w:tcBorders>
          </w:tcPr>
          <w:p w:rsidR="00282D17" w:rsidRPr="00C4514D" w:rsidRDefault="00282D17" w:rsidP="00282D17">
            <w:pPr>
              <w:autoSpaceDE w:val="0"/>
              <w:autoSpaceDN w:val="0"/>
              <w:adjustRightInd w:val="0"/>
              <w:spacing w:before="120"/>
              <w:jc w:val="both"/>
              <w:rPr>
                <w:rFonts w:ascii="Verdana" w:eastAsia="Cambria" w:hAnsi="Verdana" w:cs="Arial"/>
                <w:sz w:val="20"/>
                <w:szCs w:val="20"/>
                <w:lang w:eastAsia="en-US"/>
              </w:rPr>
            </w:pPr>
            <w:r w:rsidRPr="00C4514D">
              <w:rPr>
                <w:rFonts w:ascii="Verdana" w:eastAsia="Cambria" w:hAnsi="Verdana" w:cs="Arial"/>
                <w:sz w:val="20"/>
                <w:szCs w:val="20"/>
                <w:lang w:eastAsia="en-US"/>
              </w:rPr>
              <w:t>Audit authority</w:t>
            </w:r>
          </w:p>
        </w:tc>
        <w:tc>
          <w:tcPr>
            <w:tcW w:w="4394" w:type="dxa"/>
            <w:tcBorders>
              <w:top w:val="single" w:sz="2" w:space="0" w:color="000000"/>
              <w:left w:val="single" w:sz="2" w:space="0" w:color="000000"/>
              <w:bottom w:val="single" w:sz="2" w:space="0" w:color="000000"/>
              <w:right w:val="single" w:sz="2" w:space="0" w:color="000000"/>
            </w:tcBorders>
          </w:tcPr>
          <w:p w:rsidR="00282D17" w:rsidRPr="00C4514D" w:rsidRDefault="00282D17" w:rsidP="00282D17">
            <w:pPr>
              <w:autoSpaceDE w:val="0"/>
              <w:autoSpaceDN w:val="0"/>
              <w:adjustRightInd w:val="0"/>
              <w:spacing w:before="120"/>
              <w:jc w:val="both"/>
              <w:rPr>
                <w:rFonts w:ascii="Verdana" w:eastAsia="MS Mincho" w:hAnsi="Verdana" w:cs="Arial"/>
                <w:sz w:val="20"/>
                <w:szCs w:val="20"/>
                <w:lang w:val="fr-FR" w:eastAsia="ja-JP"/>
              </w:rPr>
            </w:pPr>
            <w:r w:rsidRPr="00C4514D">
              <w:rPr>
                <w:rFonts w:ascii="Verdana" w:eastAsia="MS Mincho" w:hAnsi="Verdana" w:cs="Arial"/>
                <w:b/>
                <w:bCs/>
                <w:sz w:val="20"/>
                <w:szCs w:val="20"/>
                <w:lang w:val="fr-FR" w:eastAsia="ja-JP"/>
              </w:rPr>
              <w:t>Commission Interministérielle de Coordination des Contrôles des Opérations cofinancées par les Fonds Européens” (CICC)</w:t>
            </w:r>
          </w:p>
          <w:p w:rsidR="00282D17" w:rsidRPr="00C4514D" w:rsidRDefault="00282D17" w:rsidP="00282D17">
            <w:pPr>
              <w:autoSpaceDE w:val="0"/>
              <w:autoSpaceDN w:val="0"/>
              <w:adjustRightInd w:val="0"/>
              <w:spacing w:before="120"/>
              <w:jc w:val="both"/>
              <w:rPr>
                <w:rFonts w:ascii="Verdana" w:eastAsia="MS Mincho" w:hAnsi="Verdana" w:cs="Arial"/>
                <w:sz w:val="20"/>
                <w:szCs w:val="20"/>
                <w:lang w:val="fr-FR" w:eastAsia="ja-JP"/>
              </w:rPr>
            </w:pPr>
            <w:r w:rsidRPr="00C4514D">
              <w:rPr>
                <w:rFonts w:ascii="Verdana" w:eastAsia="MS Mincho" w:hAnsi="Verdana" w:cs="Arial"/>
                <w:sz w:val="20"/>
                <w:szCs w:val="20"/>
                <w:lang w:val="fr-FR" w:eastAsia="ja-JP"/>
              </w:rPr>
              <w:t>5, place des Vins-de-France</w:t>
            </w:r>
          </w:p>
          <w:p w:rsidR="00282D17" w:rsidRPr="00C4514D" w:rsidRDefault="00282D17" w:rsidP="00282D17">
            <w:pPr>
              <w:autoSpaceDE w:val="0"/>
              <w:autoSpaceDN w:val="0"/>
              <w:adjustRightInd w:val="0"/>
              <w:spacing w:before="120"/>
              <w:jc w:val="both"/>
              <w:rPr>
                <w:rFonts w:ascii="Verdana" w:eastAsia="Cambria" w:hAnsi="Verdana" w:cs="Arial"/>
                <w:sz w:val="20"/>
                <w:szCs w:val="20"/>
                <w:lang w:val="fr-FR" w:eastAsia="en-US"/>
              </w:rPr>
            </w:pPr>
            <w:r w:rsidRPr="00C4514D">
              <w:rPr>
                <w:rFonts w:ascii="Verdana" w:eastAsia="MS Mincho" w:hAnsi="Verdana" w:cs="Arial"/>
                <w:sz w:val="20"/>
                <w:szCs w:val="20"/>
                <w:lang w:val="fr-FR" w:eastAsia="ja-JP"/>
              </w:rPr>
              <w:t>75573 Paris Cedex 12 FRANCE</w:t>
            </w:r>
          </w:p>
        </w:tc>
        <w:tc>
          <w:tcPr>
            <w:tcW w:w="2430" w:type="dxa"/>
            <w:tcBorders>
              <w:top w:val="single" w:sz="2" w:space="0" w:color="000000"/>
              <w:left w:val="single" w:sz="2" w:space="0" w:color="000000"/>
              <w:bottom w:val="single" w:sz="2" w:space="0" w:color="000000"/>
              <w:right w:val="single" w:sz="2" w:space="0" w:color="000000"/>
            </w:tcBorders>
          </w:tcPr>
          <w:p w:rsidR="00282D17" w:rsidRPr="00C4514D" w:rsidRDefault="00282D17" w:rsidP="00282D17">
            <w:pPr>
              <w:autoSpaceDE w:val="0"/>
              <w:autoSpaceDN w:val="0"/>
              <w:adjustRightInd w:val="0"/>
              <w:spacing w:before="120"/>
              <w:jc w:val="both"/>
              <w:rPr>
                <w:rFonts w:ascii="Verdana" w:eastAsia="Cambria" w:hAnsi="Verdana" w:cs="Arial"/>
                <w:sz w:val="20"/>
                <w:szCs w:val="20"/>
                <w:lang w:eastAsia="en-US"/>
              </w:rPr>
            </w:pPr>
            <w:r w:rsidRPr="00C4514D">
              <w:rPr>
                <w:rFonts w:ascii="Verdana" w:eastAsia="Cambria" w:hAnsi="Verdana" w:cs="Arial"/>
                <w:sz w:val="20"/>
                <w:szCs w:val="20"/>
                <w:lang w:eastAsia="en-US"/>
              </w:rPr>
              <w:t>Jean-Louis ROUQUETTE</w:t>
            </w:r>
          </w:p>
        </w:tc>
      </w:tr>
    </w:tbl>
    <w:p w:rsidR="00282D17" w:rsidRPr="004F5F2B" w:rsidRDefault="00282D17" w:rsidP="00282D17">
      <w:pPr>
        <w:autoSpaceDE w:val="0"/>
        <w:autoSpaceDN w:val="0"/>
        <w:adjustRightInd w:val="0"/>
        <w:jc w:val="both"/>
        <w:rPr>
          <w:rFonts w:ascii="Verdana" w:eastAsia="Cambria" w:hAnsi="Verdana"/>
          <w:b/>
          <w:i/>
          <w:lang w:eastAsia="en-US"/>
        </w:rPr>
      </w:pPr>
    </w:p>
    <w:p w:rsidR="00282D17" w:rsidRPr="004F5F2B" w:rsidRDefault="00282D17" w:rsidP="00282D17">
      <w:pPr>
        <w:autoSpaceDE w:val="0"/>
        <w:autoSpaceDN w:val="0"/>
        <w:adjustRightInd w:val="0"/>
        <w:jc w:val="both"/>
        <w:rPr>
          <w:rFonts w:ascii="Verdana" w:eastAsia="Cambria" w:hAnsi="Verdana"/>
          <w:b/>
          <w:i/>
          <w:lang w:eastAsia="en-US"/>
        </w:rPr>
      </w:pPr>
    </w:p>
    <w:p w:rsidR="00282D17" w:rsidRPr="00C4514D" w:rsidRDefault="00282D17" w:rsidP="00282D17">
      <w:pPr>
        <w:autoSpaceDE w:val="0"/>
        <w:autoSpaceDN w:val="0"/>
        <w:adjustRightInd w:val="0"/>
        <w:jc w:val="both"/>
        <w:rPr>
          <w:rFonts w:ascii="Verdana" w:eastAsia="Cambria" w:hAnsi="Verdana"/>
          <w:b/>
          <w:sz w:val="22"/>
          <w:szCs w:val="22"/>
          <w:lang w:eastAsia="en-US"/>
        </w:rPr>
      </w:pPr>
      <w:r w:rsidRPr="00C4514D">
        <w:rPr>
          <w:rFonts w:ascii="Verdana" w:eastAsia="Cambria" w:hAnsi="Verdana"/>
          <w:b/>
          <w:sz w:val="22"/>
          <w:szCs w:val="22"/>
          <w:lang w:eastAsia="en-US"/>
        </w:rPr>
        <w:t>Table 22 The body to which payments will be made by the Commission is:</w:t>
      </w:r>
    </w:p>
    <w:p w:rsidR="00282D17" w:rsidRPr="004F5F2B" w:rsidRDefault="00282D17" w:rsidP="00282D17">
      <w:pPr>
        <w:autoSpaceDE w:val="0"/>
        <w:autoSpaceDN w:val="0"/>
        <w:adjustRightInd w:val="0"/>
        <w:jc w:val="both"/>
        <w:rPr>
          <w:rFonts w:ascii="Verdana" w:eastAsia="Cambria" w:hAnsi="Verdana"/>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7"/>
        <w:gridCol w:w="5801"/>
      </w:tblGrid>
      <w:tr w:rsidR="00282D17" w:rsidRPr="00C4514D" w:rsidTr="00282D17">
        <w:tc>
          <w:tcPr>
            <w:tcW w:w="3652" w:type="dxa"/>
          </w:tcPr>
          <w:p w:rsidR="00282D17" w:rsidRPr="00C4514D" w:rsidRDefault="00282D17" w:rsidP="00282D17">
            <w:pPr>
              <w:autoSpaceDE w:val="0"/>
              <w:autoSpaceDN w:val="0"/>
              <w:adjustRightInd w:val="0"/>
              <w:rPr>
                <w:rFonts w:ascii="Verdana" w:eastAsia="Cambria" w:hAnsi="Verdana"/>
                <w:b/>
                <w:sz w:val="20"/>
                <w:szCs w:val="20"/>
                <w:lang w:eastAsia="en-US"/>
              </w:rPr>
            </w:pPr>
          </w:p>
          <w:p w:rsidR="00282D17" w:rsidRPr="00C4514D" w:rsidRDefault="00282D17" w:rsidP="00282D17">
            <w:pPr>
              <w:autoSpaceDE w:val="0"/>
              <w:autoSpaceDN w:val="0"/>
              <w:adjustRightInd w:val="0"/>
              <w:rPr>
                <w:rFonts w:ascii="Verdana" w:eastAsia="Cambria" w:hAnsi="Verdana"/>
                <w:b/>
                <w:sz w:val="20"/>
                <w:szCs w:val="20"/>
                <w:lang w:eastAsia="en-US"/>
              </w:rPr>
            </w:pPr>
            <m:oMath>
              <m:r>
                <m:rPr>
                  <m:sty m:val="bi"/>
                </m:rPr>
                <w:rPr>
                  <w:rFonts w:ascii="Cambria Math" w:eastAsia="Cambria" w:hAnsi="Cambria Math"/>
                  <w:sz w:val="20"/>
                  <w:szCs w:val="20"/>
                  <w:lang w:eastAsia="en-US"/>
                </w:rPr>
                <m:t>□</m:t>
              </m:r>
            </m:oMath>
            <w:r w:rsidRPr="00C4514D">
              <w:rPr>
                <w:rFonts w:ascii="Verdana" w:eastAsia="Cambria" w:hAnsi="Verdana"/>
                <w:b/>
                <w:sz w:val="20"/>
                <w:szCs w:val="20"/>
                <w:lang w:eastAsia="en-US"/>
              </w:rPr>
              <w:t xml:space="preserve">  the managing authority</w:t>
            </w:r>
          </w:p>
          <w:p w:rsidR="00282D17" w:rsidRPr="00C4514D" w:rsidRDefault="00282D17" w:rsidP="00282D17">
            <w:pPr>
              <w:autoSpaceDE w:val="0"/>
              <w:autoSpaceDN w:val="0"/>
              <w:adjustRightInd w:val="0"/>
              <w:rPr>
                <w:rFonts w:ascii="Verdana" w:eastAsia="Cambria" w:hAnsi="Verdana"/>
                <w:b/>
                <w:sz w:val="20"/>
                <w:szCs w:val="20"/>
                <w:lang w:eastAsia="en-US"/>
              </w:rPr>
            </w:pPr>
          </w:p>
        </w:tc>
        <w:tc>
          <w:tcPr>
            <w:tcW w:w="6233" w:type="dxa"/>
          </w:tcPr>
          <w:p w:rsidR="00282D17" w:rsidRPr="00C4514D" w:rsidRDefault="00282D17" w:rsidP="00282D17">
            <w:pPr>
              <w:autoSpaceDE w:val="0"/>
              <w:autoSpaceDN w:val="0"/>
              <w:adjustRightInd w:val="0"/>
              <w:jc w:val="both"/>
              <w:rPr>
                <w:rFonts w:ascii="Verdana" w:eastAsia="Cambria" w:hAnsi="Verdana"/>
                <w:b/>
                <w:sz w:val="20"/>
                <w:szCs w:val="20"/>
                <w:lang w:eastAsia="en-US"/>
              </w:rPr>
            </w:pPr>
          </w:p>
        </w:tc>
      </w:tr>
      <w:tr w:rsidR="00282D17" w:rsidRPr="00C4514D" w:rsidTr="00282D17">
        <w:tc>
          <w:tcPr>
            <w:tcW w:w="3652" w:type="dxa"/>
          </w:tcPr>
          <w:p w:rsidR="00282D17" w:rsidRPr="00C4514D" w:rsidRDefault="00282D17" w:rsidP="00282D17">
            <w:pPr>
              <w:autoSpaceDE w:val="0"/>
              <w:autoSpaceDN w:val="0"/>
              <w:adjustRightInd w:val="0"/>
              <w:rPr>
                <w:rFonts w:ascii="Verdana" w:eastAsia="Cambria" w:hAnsi="Verdana"/>
                <w:b/>
                <w:sz w:val="20"/>
                <w:szCs w:val="20"/>
                <w:lang w:eastAsia="en-US"/>
              </w:rPr>
            </w:pPr>
          </w:p>
          <w:p w:rsidR="00282D17" w:rsidRPr="00C4514D" w:rsidRDefault="00282D17" w:rsidP="00282D17">
            <w:pPr>
              <w:autoSpaceDE w:val="0"/>
              <w:autoSpaceDN w:val="0"/>
              <w:adjustRightInd w:val="0"/>
              <w:rPr>
                <w:rFonts w:ascii="Verdana" w:eastAsia="Cambria" w:hAnsi="Verdana"/>
                <w:b/>
                <w:sz w:val="20"/>
                <w:szCs w:val="20"/>
                <w:lang w:eastAsia="en-US"/>
              </w:rPr>
            </w:pPr>
            <m:oMath>
              <m:r>
                <m:rPr>
                  <m:sty m:val="b"/>
                </m:rPr>
                <w:rPr>
                  <w:rFonts w:ascii="Cambria Math" w:eastAsia="Cambria" w:hAnsi="Cambria Math"/>
                  <w:sz w:val="20"/>
                  <w:szCs w:val="20"/>
                  <w:lang w:eastAsia="en-US"/>
                </w:rPr>
                <m:t>X</m:t>
              </m:r>
            </m:oMath>
            <w:r w:rsidRPr="00C4514D">
              <w:rPr>
                <w:rFonts w:ascii="Verdana" w:eastAsia="Cambria" w:hAnsi="Verdana"/>
                <w:b/>
                <w:sz w:val="20"/>
                <w:szCs w:val="20"/>
                <w:lang w:eastAsia="en-US"/>
              </w:rPr>
              <w:t xml:space="preserve">  the certifiying authority</w:t>
            </w:r>
          </w:p>
          <w:p w:rsidR="00282D17" w:rsidRPr="00C4514D" w:rsidRDefault="00282D17" w:rsidP="00282D17">
            <w:pPr>
              <w:autoSpaceDE w:val="0"/>
              <w:autoSpaceDN w:val="0"/>
              <w:adjustRightInd w:val="0"/>
              <w:rPr>
                <w:rFonts w:ascii="Verdana" w:eastAsia="Cambria" w:hAnsi="Verdana"/>
                <w:b/>
                <w:sz w:val="20"/>
                <w:szCs w:val="20"/>
                <w:lang w:eastAsia="en-US"/>
              </w:rPr>
            </w:pPr>
          </w:p>
          <w:p w:rsidR="00282D17" w:rsidRPr="00C4514D" w:rsidRDefault="00282D17" w:rsidP="00282D17">
            <w:pPr>
              <w:autoSpaceDE w:val="0"/>
              <w:autoSpaceDN w:val="0"/>
              <w:adjustRightInd w:val="0"/>
              <w:rPr>
                <w:rFonts w:ascii="Verdana" w:eastAsia="Cambria" w:hAnsi="Verdana"/>
                <w:b/>
                <w:sz w:val="20"/>
                <w:szCs w:val="20"/>
                <w:lang w:eastAsia="en-US"/>
              </w:rPr>
            </w:pPr>
          </w:p>
        </w:tc>
        <w:tc>
          <w:tcPr>
            <w:tcW w:w="6233" w:type="dxa"/>
          </w:tcPr>
          <w:p w:rsidR="00282D17" w:rsidRPr="00C4514D" w:rsidRDefault="00282D17" w:rsidP="00282D17">
            <w:pPr>
              <w:autoSpaceDE w:val="0"/>
              <w:autoSpaceDN w:val="0"/>
              <w:adjustRightInd w:val="0"/>
              <w:jc w:val="both"/>
              <w:rPr>
                <w:rFonts w:ascii="Verdana" w:eastAsia="Cambria" w:hAnsi="Verdana"/>
                <w:b/>
                <w:sz w:val="20"/>
                <w:szCs w:val="20"/>
                <w:lang w:eastAsia="en-US"/>
              </w:rPr>
            </w:pPr>
          </w:p>
        </w:tc>
      </w:tr>
    </w:tbl>
    <w:p w:rsidR="00282D17" w:rsidRPr="004F5F2B" w:rsidRDefault="00282D17" w:rsidP="00282D17">
      <w:pPr>
        <w:autoSpaceDE w:val="0"/>
        <w:autoSpaceDN w:val="0"/>
        <w:adjustRightInd w:val="0"/>
        <w:jc w:val="both"/>
        <w:rPr>
          <w:rFonts w:ascii="Verdana" w:eastAsia="Cambria" w:hAnsi="Verdana"/>
          <w:b/>
          <w:lang w:eastAsia="en-US"/>
        </w:rPr>
      </w:pPr>
    </w:p>
    <w:p w:rsidR="00282D17" w:rsidRPr="00C4514D" w:rsidRDefault="00282D17" w:rsidP="00282D17">
      <w:pPr>
        <w:autoSpaceDE w:val="0"/>
        <w:autoSpaceDN w:val="0"/>
        <w:adjustRightInd w:val="0"/>
        <w:jc w:val="both"/>
        <w:rPr>
          <w:rFonts w:ascii="Verdana" w:eastAsia="Cambria" w:hAnsi="Verdana"/>
          <w:b/>
          <w:i/>
          <w:sz w:val="22"/>
          <w:szCs w:val="22"/>
          <w:lang w:eastAsia="en-US"/>
        </w:rPr>
      </w:pPr>
    </w:p>
    <w:p w:rsidR="00282D17" w:rsidRPr="00C4514D" w:rsidRDefault="00282D17" w:rsidP="00282D17">
      <w:pPr>
        <w:autoSpaceDE w:val="0"/>
        <w:autoSpaceDN w:val="0"/>
        <w:adjustRightInd w:val="0"/>
        <w:jc w:val="both"/>
        <w:rPr>
          <w:rFonts w:ascii="Verdana" w:eastAsia="Cambria" w:hAnsi="Verdana"/>
          <w:b/>
          <w:bCs/>
          <w:sz w:val="22"/>
          <w:szCs w:val="22"/>
          <w:lang w:eastAsia="en-US"/>
        </w:rPr>
      </w:pPr>
      <w:r w:rsidRPr="00C4514D">
        <w:rPr>
          <w:rFonts w:ascii="Verdana" w:eastAsia="Cambria" w:hAnsi="Verdana"/>
          <w:b/>
          <w:bCs/>
          <w:sz w:val="22"/>
          <w:szCs w:val="22"/>
          <w:lang w:eastAsia="en-US"/>
        </w:rPr>
        <w:t>Table 23 Identification of the body or bodies carrying out control and audit tasks</w:t>
      </w:r>
    </w:p>
    <w:p w:rsidR="00282D17" w:rsidRPr="004F5F2B" w:rsidRDefault="00282D17" w:rsidP="00282D17">
      <w:pPr>
        <w:autoSpaceDE w:val="0"/>
        <w:autoSpaceDN w:val="0"/>
        <w:adjustRightInd w:val="0"/>
        <w:jc w:val="both"/>
        <w:rPr>
          <w:rFonts w:ascii="Verdana" w:eastAsia="Cambria" w:hAnsi="Verdana" w:cs="Arial"/>
          <w:b/>
          <w:bCs/>
          <w:lang w:eastAsia="ar-SA"/>
        </w:rPr>
      </w:pPr>
    </w:p>
    <w:tbl>
      <w:tblPr>
        <w:tblW w:w="0" w:type="auto"/>
        <w:jc w:val="center"/>
        <w:tblLayout w:type="fixed"/>
        <w:tblLook w:val="0000" w:firstRow="0" w:lastRow="0" w:firstColumn="0" w:lastColumn="0" w:noHBand="0" w:noVBand="0"/>
      </w:tblPr>
      <w:tblGrid>
        <w:gridCol w:w="2009"/>
        <w:gridCol w:w="4394"/>
        <w:gridCol w:w="2430"/>
      </w:tblGrid>
      <w:tr w:rsidR="00282D17" w:rsidRPr="00C4514D" w:rsidTr="00282D17">
        <w:trPr>
          <w:trHeight w:val="1"/>
          <w:jc w:val="center"/>
        </w:trPr>
        <w:tc>
          <w:tcPr>
            <w:tcW w:w="2009"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282D17" w:rsidRPr="00C4514D" w:rsidRDefault="00282D17" w:rsidP="00282D17">
            <w:pPr>
              <w:autoSpaceDE w:val="0"/>
              <w:autoSpaceDN w:val="0"/>
              <w:adjustRightInd w:val="0"/>
              <w:jc w:val="center"/>
              <w:rPr>
                <w:rFonts w:ascii="Verdana" w:eastAsia="Cambria" w:hAnsi="Verdana"/>
                <w:b/>
                <w:bCs/>
                <w:sz w:val="20"/>
                <w:szCs w:val="20"/>
                <w:lang w:eastAsia="en-US"/>
              </w:rPr>
            </w:pPr>
            <w:r w:rsidRPr="00C4514D">
              <w:rPr>
                <w:rFonts w:ascii="Verdana" w:eastAsia="Cambria" w:hAnsi="Verdana"/>
                <w:b/>
                <w:bCs/>
                <w:sz w:val="20"/>
                <w:szCs w:val="20"/>
                <w:lang w:eastAsia="en-US"/>
              </w:rPr>
              <w:t>Authority/</w:t>
            </w:r>
          </w:p>
          <w:p w:rsidR="00282D17" w:rsidRPr="00C4514D" w:rsidRDefault="00282D17" w:rsidP="00282D17">
            <w:pPr>
              <w:autoSpaceDE w:val="0"/>
              <w:autoSpaceDN w:val="0"/>
              <w:adjustRightInd w:val="0"/>
              <w:jc w:val="center"/>
              <w:rPr>
                <w:rFonts w:ascii="Verdana" w:eastAsia="Cambria" w:hAnsi="Verdana" w:cs="Calibri"/>
                <w:sz w:val="20"/>
                <w:szCs w:val="20"/>
                <w:lang w:eastAsia="en-US"/>
              </w:rPr>
            </w:pPr>
            <w:r w:rsidRPr="00C4514D">
              <w:rPr>
                <w:rFonts w:ascii="Verdana" w:eastAsia="Cambria" w:hAnsi="Verdana"/>
                <w:b/>
                <w:bCs/>
                <w:sz w:val="20"/>
                <w:szCs w:val="20"/>
                <w:lang w:eastAsia="en-US"/>
              </w:rPr>
              <w:t>body</w:t>
            </w:r>
          </w:p>
        </w:tc>
        <w:tc>
          <w:tcPr>
            <w:tcW w:w="4394"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282D17" w:rsidRPr="00C4514D" w:rsidRDefault="00282D17" w:rsidP="00282D17">
            <w:pPr>
              <w:autoSpaceDE w:val="0"/>
              <w:autoSpaceDN w:val="0"/>
              <w:adjustRightInd w:val="0"/>
              <w:jc w:val="center"/>
              <w:rPr>
                <w:rFonts w:ascii="Verdana" w:eastAsia="Cambria" w:hAnsi="Verdana" w:cs="Calibri"/>
                <w:sz w:val="20"/>
                <w:szCs w:val="20"/>
                <w:lang w:eastAsia="en-US"/>
              </w:rPr>
            </w:pPr>
            <w:r w:rsidRPr="00C4514D">
              <w:rPr>
                <w:rFonts w:ascii="Verdana" w:eastAsia="Cambria" w:hAnsi="Verdana"/>
                <w:b/>
                <w:bCs/>
                <w:sz w:val="20"/>
                <w:szCs w:val="20"/>
                <w:lang w:eastAsia="en-US"/>
              </w:rPr>
              <w:t>Name of the authority/body</w:t>
            </w:r>
          </w:p>
        </w:tc>
        <w:tc>
          <w:tcPr>
            <w:tcW w:w="2430"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282D17" w:rsidRPr="00C4514D" w:rsidRDefault="00282D17" w:rsidP="00282D17">
            <w:pPr>
              <w:autoSpaceDE w:val="0"/>
              <w:autoSpaceDN w:val="0"/>
              <w:adjustRightInd w:val="0"/>
              <w:jc w:val="center"/>
              <w:rPr>
                <w:rFonts w:ascii="Verdana" w:eastAsia="Cambria" w:hAnsi="Verdana" w:cs="Calibri"/>
                <w:sz w:val="20"/>
                <w:szCs w:val="20"/>
                <w:lang w:eastAsia="en-US"/>
              </w:rPr>
            </w:pPr>
            <w:r w:rsidRPr="00C4514D">
              <w:rPr>
                <w:rFonts w:ascii="Verdana" w:eastAsia="Cambria" w:hAnsi="Verdana"/>
                <w:b/>
                <w:bCs/>
                <w:sz w:val="20"/>
                <w:szCs w:val="20"/>
                <w:lang w:eastAsia="en-US"/>
              </w:rPr>
              <w:t>Head of the authority/body</w:t>
            </w:r>
          </w:p>
        </w:tc>
      </w:tr>
      <w:tr w:rsidR="00282D17" w:rsidRPr="00C4514D" w:rsidTr="00282D17">
        <w:trPr>
          <w:trHeight w:val="1"/>
          <w:jc w:val="center"/>
        </w:trPr>
        <w:tc>
          <w:tcPr>
            <w:tcW w:w="2009" w:type="dxa"/>
            <w:tcBorders>
              <w:top w:val="single" w:sz="2" w:space="0" w:color="000000"/>
              <w:left w:val="single" w:sz="2" w:space="0" w:color="000000"/>
              <w:bottom w:val="single" w:sz="2" w:space="0" w:color="000000"/>
              <w:right w:val="single" w:sz="2" w:space="0" w:color="000000"/>
            </w:tcBorders>
            <w:vAlign w:val="center"/>
          </w:tcPr>
          <w:p w:rsidR="00282D17" w:rsidRPr="00C4514D" w:rsidRDefault="00282D17" w:rsidP="00282D17">
            <w:pPr>
              <w:autoSpaceDE w:val="0"/>
              <w:autoSpaceDN w:val="0"/>
              <w:adjustRightInd w:val="0"/>
              <w:spacing w:before="120"/>
              <w:jc w:val="both"/>
              <w:rPr>
                <w:rFonts w:ascii="Verdana" w:eastAsia="Cambria" w:hAnsi="Verdana" w:cs="Calibri"/>
                <w:sz w:val="20"/>
                <w:szCs w:val="20"/>
                <w:lang w:eastAsia="en-US"/>
              </w:rPr>
            </w:pPr>
            <w:r w:rsidRPr="00C4514D">
              <w:rPr>
                <w:rFonts w:ascii="Verdana" w:eastAsia="Cambria" w:hAnsi="Verdana"/>
                <w:sz w:val="20"/>
                <w:szCs w:val="20"/>
                <w:lang w:eastAsia="en-US"/>
              </w:rPr>
              <w:t>Body or bodies designated to carry out control tasks</w:t>
            </w:r>
          </w:p>
        </w:tc>
        <w:tc>
          <w:tcPr>
            <w:tcW w:w="4394" w:type="dxa"/>
            <w:tcBorders>
              <w:top w:val="single" w:sz="2" w:space="0" w:color="000000"/>
              <w:left w:val="single" w:sz="2" w:space="0" w:color="000000"/>
              <w:bottom w:val="single" w:sz="2" w:space="0" w:color="000000"/>
              <w:right w:val="single" w:sz="2" w:space="0" w:color="000000"/>
            </w:tcBorders>
            <w:vAlign w:val="center"/>
          </w:tcPr>
          <w:p w:rsidR="00282D17" w:rsidRPr="00C4514D" w:rsidRDefault="00282D17" w:rsidP="00282D17">
            <w:pPr>
              <w:autoSpaceDE w:val="0"/>
              <w:autoSpaceDN w:val="0"/>
              <w:adjustRightInd w:val="0"/>
              <w:spacing w:before="120"/>
              <w:jc w:val="both"/>
              <w:rPr>
                <w:rFonts w:ascii="Verdana" w:eastAsia="Cambria" w:hAnsi="Verdana" w:cs="Calibri"/>
                <w:sz w:val="20"/>
                <w:szCs w:val="20"/>
                <w:lang w:eastAsia="en-US"/>
              </w:rPr>
            </w:pPr>
            <w:r w:rsidRPr="00C4514D">
              <w:rPr>
                <w:rFonts w:ascii="Verdana" w:eastAsia="Cambria" w:hAnsi="Verdana" w:cs="Calibri"/>
                <w:sz w:val="20"/>
                <w:szCs w:val="20"/>
                <w:lang w:eastAsia="en-US"/>
              </w:rPr>
              <w:t>Each Member/Partner state will designate the body responsible for carrying out control tasks defined in Article 23(4)of the Regulation (EU) 1299/2013 [ETC].</w:t>
            </w:r>
          </w:p>
        </w:tc>
        <w:tc>
          <w:tcPr>
            <w:tcW w:w="2430" w:type="dxa"/>
            <w:tcBorders>
              <w:top w:val="single" w:sz="2" w:space="0" w:color="000000"/>
              <w:left w:val="single" w:sz="2" w:space="0" w:color="000000"/>
              <w:bottom w:val="single" w:sz="2" w:space="0" w:color="000000"/>
              <w:right w:val="single" w:sz="2" w:space="0" w:color="000000"/>
            </w:tcBorders>
            <w:vAlign w:val="center"/>
          </w:tcPr>
          <w:p w:rsidR="00282D17" w:rsidRPr="00C4514D" w:rsidRDefault="00282D17" w:rsidP="00282D17">
            <w:pPr>
              <w:autoSpaceDE w:val="0"/>
              <w:autoSpaceDN w:val="0"/>
              <w:adjustRightInd w:val="0"/>
              <w:spacing w:before="120"/>
              <w:jc w:val="both"/>
              <w:rPr>
                <w:rFonts w:ascii="Verdana" w:eastAsia="Cambria" w:hAnsi="Verdana" w:cs="Calibri"/>
                <w:sz w:val="20"/>
                <w:szCs w:val="20"/>
                <w:lang w:eastAsia="en-US"/>
              </w:rPr>
            </w:pPr>
            <w:r w:rsidRPr="00C4514D">
              <w:rPr>
                <w:rFonts w:ascii="Verdana" w:eastAsia="Cambria" w:hAnsi="Verdana" w:cs="Arial"/>
                <w:sz w:val="20"/>
                <w:szCs w:val="20"/>
                <w:lang w:eastAsia="en-US"/>
              </w:rPr>
              <w:t>As defined in the annex of the Member/Partner State agreement for each country</w:t>
            </w:r>
          </w:p>
        </w:tc>
      </w:tr>
      <w:tr w:rsidR="00282D17" w:rsidRPr="00C4514D" w:rsidTr="00282D17">
        <w:trPr>
          <w:trHeight w:val="1"/>
          <w:jc w:val="center"/>
        </w:trPr>
        <w:tc>
          <w:tcPr>
            <w:tcW w:w="2009" w:type="dxa"/>
            <w:tcBorders>
              <w:top w:val="single" w:sz="2" w:space="0" w:color="000000"/>
              <w:left w:val="single" w:sz="2" w:space="0" w:color="000000"/>
              <w:bottom w:val="single" w:sz="2" w:space="0" w:color="000000"/>
              <w:right w:val="single" w:sz="2" w:space="0" w:color="000000"/>
            </w:tcBorders>
            <w:vAlign w:val="center"/>
          </w:tcPr>
          <w:p w:rsidR="00282D17" w:rsidRPr="00C4514D" w:rsidRDefault="00282D17" w:rsidP="00282D17">
            <w:pPr>
              <w:autoSpaceDE w:val="0"/>
              <w:autoSpaceDN w:val="0"/>
              <w:adjustRightInd w:val="0"/>
              <w:spacing w:before="120"/>
              <w:jc w:val="both"/>
              <w:rPr>
                <w:rFonts w:ascii="Verdana" w:eastAsia="Cambria" w:hAnsi="Verdana" w:cs="Calibri"/>
                <w:sz w:val="20"/>
                <w:szCs w:val="20"/>
                <w:lang w:eastAsia="en-US"/>
              </w:rPr>
            </w:pPr>
            <w:r w:rsidRPr="00C4514D">
              <w:rPr>
                <w:rFonts w:ascii="Verdana" w:eastAsia="Cambria" w:hAnsi="Verdana"/>
                <w:sz w:val="20"/>
                <w:szCs w:val="20"/>
                <w:lang w:eastAsia="en-US"/>
              </w:rPr>
              <w:t>Body or bodies designated to be responsible for carrying out audit tasks</w:t>
            </w:r>
          </w:p>
        </w:tc>
        <w:tc>
          <w:tcPr>
            <w:tcW w:w="4394" w:type="dxa"/>
            <w:tcBorders>
              <w:top w:val="single" w:sz="2" w:space="0" w:color="000000"/>
              <w:left w:val="single" w:sz="2" w:space="0" w:color="000000"/>
              <w:bottom w:val="single" w:sz="2" w:space="0" w:color="000000"/>
              <w:right w:val="single" w:sz="2" w:space="0" w:color="000000"/>
            </w:tcBorders>
            <w:vAlign w:val="center"/>
          </w:tcPr>
          <w:p w:rsidR="00282D17" w:rsidRPr="00C4514D" w:rsidRDefault="00282D17" w:rsidP="00282D17">
            <w:pPr>
              <w:autoSpaceDE w:val="0"/>
              <w:autoSpaceDN w:val="0"/>
              <w:adjustRightInd w:val="0"/>
              <w:spacing w:before="120"/>
              <w:jc w:val="both"/>
              <w:rPr>
                <w:rFonts w:ascii="Verdana" w:eastAsia="Cambria" w:hAnsi="Verdana" w:cs="Calibri"/>
                <w:sz w:val="20"/>
                <w:szCs w:val="20"/>
                <w:lang w:eastAsia="en-US"/>
              </w:rPr>
            </w:pPr>
            <w:r w:rsidRPr="00C4514D">
              <w:rPr>
                <w:rFonts w:ascii="Verdana" w:eastAsia="Cambria" w:hAnsi="Verdana" w:cs="Calibri"/>
                <w:sz w:val="20"/>
                <w:szCs w:val="20"/>
                <w:lang w:eastAsia="en-US"/>
              </w:rPr>
              <w:t>The audit authority will be assisted by a Group of Auditors. Each EU-MS/PS, will designate the body responsible for carrying out the audit tasks provided for in Article 127 of the Regulation (EU) 1303/2013 [CPR].</w:t>
            </w:r>
          </w:p>
        </w:tc>
        <w:tc>
          <w:tcPr>
            <w:tcW w:w="2430" w:type="dxa"/>
            <w:tcBorders>
              <w:top w:val="single" w:sz="2" w:space="0" w:color="000000"/>
              <w:left w:val="single" w:sz="2" w:space="0" w:color="000000"/>
              <w:bottom w:val="single" w:sz="2" w:space="0" w:color="000000"/>
              <w:right w:val="single" w:sz="2" w:space="0" w:color="000000"/>
            </w:tcBorders>
            <w:vAlign w:val="center"/>
          </w:tcPr>
          <w:p w:rsidR="00282D17" w:rsidRPr="00C4514D" w:rsidRDefault="00282D17" w:rsidP="00282D17">
            <w:pPr>
              <w:autoSpaceDE w:val="0"/>
              <w:autoSpaceDN w:val="0"/>
              <w:adjustRightInd w:val="0"/>
              <w:spacing w:before="120"/>
              <w:jc w:val="both"/>
              <w:rPr>
                <w:rFonts w:ascii="Verdana" w:eastAsia="Cambria" w:hAnsi="Verdana" w:cs="Calibri"/>
                <w:sz w:val="20"/>
                <w:szCs w:val="20"/>
                <w:lang w:eastAsia="en-US"/>
              </w:rPr>
            </w:pPr>
            <w:r w:rsidRPr="00C4514D">
              <w:rPr>
                <w:rFonts w:ascii="Verdana" w:eastAsia="Cambria" w:hAnsi="Verdana" w:cs="Arial"/>
                <w:sz w:val="20"/>
                <w:szCs w:val="20"/>
                <w:lang w:eastAsia="en-US"/>
              </w:rPr>
              <w:t>As defined in the annex of the Member/Partner State agreement for each country</w:t>
            </w:r>
          </w:p>
        </w:tc>
      </w:tr>
    </w:tbl>
    <w:p w:rsidR="00282D17" w:rsidRPr="004F5F2B" w:rsidRDefault="00282D17" w:rsidP="00282D17">
      <w:pPr>
        <w:autoSpaceDE w:val="0"/>
        <w:autoSpaceDN w:val="0"/>
        <w:adjustRightInd w:val="0"/>
        <w:jc w:val="both"/>
        <w:rPr>
          <w:rFonts w:ascii="Verdana" w:eastAsia="Cambria" w:hAnsi="Verdana" w:cs="Arial"/>
          <w:b/>
          <w:bCs/>
          <w:lang w:eastAsia="ar-SA"/>
        </w:rPr>
      </w:pPr>
    </w:p>
    <w:p w:rsidR="00282D17" w:rsidRDefault="00282D17" w:rsidP="00282D17">
      <w:pPr>
        <w:rPr>
          <w:rFonts w:ascii="Verdana" w:eastAsia="Cambria" w:hAnsi="Verdana" w:cs="Arial"/>
          <w:b/>
          <w:bCs/>
          <w:lang w:eastAsia="ar-SA"/>
        </w:rPr>
      </w:pPr>
      <w:r>
        <w:rPr>
          <w:rFonts w:ascii="Verdana" w:eastAsia="Cambria" w:hAnsi="Verdana" w:cs="Arial"/>
          <w:b/>
          <w:bCs/>
          <w:lang w:eastAsia="ar-SA"/>
        </w:rPr>
        <w:br w:type="page"/>
      </w:r>
    </w:p>
    <w:p w:rsidR="00282D17" w:rsidRPr="00627420" w:rsidRDefault="00282D17" w:rsidP="00282D17">
      <w:pPr>
        <w:pStyle w:val="Nagwek2"/>
        <w:spacing w:after="180" w:line="276" w:lineRule="auto"/>
        <w:rPr>
          <w:lang w:eastAsia="ar-SA"/>
        </w:rPr>
      </w:pPr>
      <w:r w:rsidRPr="00627420">
        <w:rPr>
          <w:lang w:eastAsia="ar-SA"/>
        </w:rPr>
        <w:t>5.2</w:t>
      </w:r>
      <w:r>
        <w:rPr>
          <w:lang w:eastAsia="ar-SA"/>
        </w:rPr>
        <w:t>.</w:t>
      </w:r>
      <w:r w:rsidRPr="00627420">
        <w:rPr>
          <w:lang w:eastAsia="ar-SA"/>
        </w:rPr>
        <w:tab/>
        <w:t>Procedure for setting up the joint secretariat</w:t>
      </w:r>
    </w:p>
    <w:p w:rsidR="00282D17" w:rsidRPr="00C4514D" w:rsidRDefault="00282D17" w:rsidP="00282D17">
      <w:pPr>
        <w:autoSpaceDE w:val="0"/>
        <w:autoSpaceDN w:val="0"/>
        <w:adjustRightInd w:val="0"/>
        <w:spacing w:after="180" w:line="276" w:lineRule="auto"/>
        <w:jc w:val="both"/>
        <w:rPr>
          <w:rFonts w:ascii="Verdana" w:eastAsia="MS Mincho" w:hAnsi="Verdana" w:cs="Arial"/>
          <w:sz w:val="22"/>
          <w:szCs w:val="22"/>
          <w:lang w:eastAsia="ja-JP"/>
        </w:rPr>
      </w:pPr>
    </w:p>
    <w:p w:rsidR="00282D17" w:rsidRPr="00C4514D" w:rsidRDefault="00282D17" w:rsidP="00282D17">
      <w:pPr>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For the implementation of the programme and in compliance with Article 23(2) of Regulation (EU) No 1299/2013 [ETC], the managing authority</w:t>
      </w:r>
      <w:r w:rsidR="008166DD">
        <w:rPr>
          <w:rFonts w:ascii="Verdana" w:eastAsia="MS Mincho" w:hAnsi="Verdana" w:cs="Arial"/>
          <w:sz w:val="22"/>
          <w:szCs w:val="22"/>
          <w:lang w:eastAsia="ja-JP"/>
        </w:rPr>
        <w:t xml:space="preserve"> and</w:t>
      </w:r>
      <w:r w:rsidRPr="00C4514D">
        <w:rPr>
          <w:rFonts w:ascii="Verdana" w:eastAsia="MS Mincho" w:hAnsi="Verdana" w:cs="Arial"/>
          <w:sz w:val="22"/>
          <w:szCs w:val="22"/>
          <w:lang w:eastAsia="ja-JP"/>
        </w:rPr>
        <w:t xml:space="preserve"> the monitoring committee are assisted by a Joint Secretariat (hereinafter referred to as JS) to carry out their respective functions. </w:t>
      </w:r>
      <w:r w:rsidR="008166DD">
        <w:rPr>
          <w:rFonts w:ascii="Verdana" w:eastAsia="MS Mincho" w:hAnsi="Verdana" w:cs="Arial"/>
          <w:sz w:val="22"/>
          <w:szCs w:val="22"/>
          <w:lang w:eastAsia="ja-JP"/>
        </w:rPr>
        <w:t>The Joint Secretariat will also provide the Audit Authority with all necessary material, when requested.</w:t>
      </w:r>
    </w:p>
    <w:p w:rsidR="00282D17" w:rsidRPr="00C4514D" w:rsidRDefault="00282D17" w:rsidP="00282D17">
      <w:pPr>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The JS is set up after consultation with the MS/PS under the responsibility of the managing authority and located in Region Ile de France/France.  Given the fact that the JS for URBACT III will overlap with the JTS for UII there will be continuity in the staff already in post.  This provides several benefits to ensure the programme gets off to a quick start, minimising the delays as well as the experience built up by the staff over the current period. Any additional recruitment will respect the EU Regulations in terms of open and transparent procedures suitably advertised.</w:t>
      </w:r>
    </w:p>
    <w:p w:rsidR="00282D17" w:rsidRPr="00C4514D" w:rsidRDefault="00282D17" w:rsidP="00282D17">
      <w:pPr>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The joint secretariat is partly funded from the technical assistance budget. The JS guarantees the impartiality of the projects´ applications´ evaluation process. It shall also provide information to potential beneficiaries about funding opportunities under the programme and shall assist beneficiaries in the implementation of operations.</w:t>
      </w:r>
    </w:p>
    <w:p w:rsidR="00282D17" w:rsidRPr="00C4514D" w:rsidRDefault="00282D17" w:rsidP="00282D17">
      <w:pPr>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The JS shall be composed of a team of experienced professionals and shall be balanced in terms of nationality and gender.</w:t>
      </w:r>
    </w:p>
    <w:p w:rsidR="00282D17" w:rsidRPr="00C4514D" w:rsidRDefault="00282D17" w:rsidP="00282D17">
      <w:pPr>
        <w:autoSpaceDE w:val="0"/>
        <w:autoSpaceDN w:val="0"/>
        <w:adjustRightInd w:val="0"/>
        <w:spacing w:after="180" w:line="276" w:lineRule="auto"/>
        <w:jc w:val="both"/>
        <w:rPr>
          <w:rFonts w:ascii="Verdana" w:eastAsia="Cambria" w:hAnsi="Verdana" w:cs="Arial"/>
          <w:sz w:val="22"/>
          <w:szCs w:val="22"/>
          <w:lang w:eastAsia="en-US"/>
        </w:rPr>
      </w:pPr>
    </w:p>
    <w:p w:rsidR="00282D17" w:rsidRPr="00627420" w:rsidRDefault="00282D17" w:rsidP="00282D17">
      <w:pPr>
        <w:pStyle w:val="Nagwek2"/>
        <w:spacing w:after="180" w:line="276" w:lineRule="auto"/>
        <w:rPr>
          <w:lang w:eastAsia="ar-SA"/>
        </w:rPr>
      </w:pPr>
      <w:r w:rsidRPr="00627420">
        <w:rPr>
          <w:lang w:eastAsia="ar-SA"/>
        </w:rPr>
        <w:t>5.3</w:t>
      </w:r>
      <w:r>
        <w:rPr>
          <w:lang w:eastAsia="ar-SA"/>
        </w:rPr>
        <w:t>.</w:t>
      </w:r>
      <w:r w:rsidRPr="00627420">
        <w:rPr>
          <w:lang w:eastAsia="ar-SA"/>
        </w:rPr>
        <w:tab/>
        <w:t xml:space="preserve"> Summary description of the management and control arrangements</w:t>
      </w:r>
    </w:p>
    <w:p w:rsidR="00282D17" w:rsidRPr="00C4514D" w:rsidRDefault="00282D17" w:rsidP="00282D17">
      <w:pPr>
        <w:autoSpaceDE w:val="0"/>
        <w:autoSpaceDN w:val="0"/>
        <w:adjustRightInd w:val="0"/>
        <w:spacing w:after="180" w:line="276" w:lineRule="auto"/>
        <w:jc w:val="both"/>
        <w:rPr>
          <w:rFonts w:ascii="Verdana" w:eastAsia="Cambria" w:hAnsi="Verdana" w:cs="Arial"/>
          <w:sz w:val="22"/>
          <w:szCs w:val="22"/>
          <w:lang w:eastAsia="en-US"/>
        </w:rPr>
      </w:pPr>
    </w:p>
    <w:p w:rsidR="00282D17" w:rsidRDefault="00282D17" w:rsidP="00282D17">
      <w:pPr>
        <w:autoSpaceDE w:val="0"/>
        <w:autoSpaceDN w:val="0"/>
        <w:adjustRightInd w:val="0"/>
        <w:spacing w:after="180" w:line="276" w:lineRule="auto"/>
        <w:jc w:val="both"/>
        <w:rPr>
          <w:rFonts w:ascii="Verdana" w:eastAsia="Cambria" w:hAnsi="Verdana" w:cs="Arial"/>
          <w:bCs/>
          <w:sz w:val="22"/>
          <w:szCs w:val="22"/>
          <w:lang w:eastAsia="en-US"/>
        </w:rPr>
      </w:pPr>
      <w:r w:rsidRPr="00C4514D">
        <w:rPr>
          <w:rFonts w:ascii="Verdana" w:eastAsia="Cambria" w:hAnsi="Verdana" w:cs="Arial"/>
          <w:bCs/>
          <w:sz w:val="22"/>
          <w:szCs w:val="22"/>
          <w:lang w:eastAsia="en-US"/>
        </w:rPr>
        <w:t xml:space="preserve">The following paragraphs provide a description of the arrangements for the management and control of the URBACT III programme developed using the experience of URBACT I and II programme management. </w:t>
      </w:r>
    </w:p>
    <w:p w:rsidR="00282D17" w:rsidRPr="00C4514D" w:rsidRDefault="00282D17" w:rsidP="00282D17">
      <w:pPr>
        <w:autoSpaceDE w:val="0"/>
        <w:autoSpaceDN w:val="0"/>
        <w:adjustRightInd w:val="0"/>
        <w:spacing w:after="180" w:line="276" w:lineRule="auto"/>
        <w:jc w:val="both"/>
        <w:rPr>
          <w:rFonts w:ascii="Verdana" w:eastAsia="Cambria" w:hAnsi="Verdana" w:cs="Arial"/>
          <w:bCs/>
          <w:sz w:val="22"/>
          <w:szCs w:val="22"/>
          <w:lang w:eastAsia="en-US"/>
        </w:rPr>
      </w:pPr>
    </w:p>
    <w:p w:rsidR="00282D17" w:rsidRPr="00C4514D" w:rsidRDefault="00282D17" w:rsidP="00282D17">
      <w:pPr>
        <w:autoSpaceDE w:val="0"/>
        <w:autoSpaceDN w:val="0"/>
        <w:adjustRightInd w:val="0"/>
        <w:spacing w:after="180" w:line="276" w:lineRule="auto"/>
        <w:jc w:val="both"/>
        <w:rPr>
          <w:rFonts w:ascii="Verdana" w:eastAsia="Cambria" w:hAnsi="Verdana" w:cs="Arial"/>
          <w:b/>
          <w:i/>
          <w:iCs/>
          <w:sz w:val="22"/>
          <w:szCs w:val="22"/>
          <w:lang w:eastAsia="en-US"/>
        </w:rPr>
      </w:pPr>
      <w:r w:rsidRPr="00C4514D">
        <w:rPr>
          <w:rFonts w:ascii="Verdana" w:eastAsia="Cambria" w:hAnsi="Verdana" w:cs="Arial"/>
          <w:b/>
          <w:i/>
          <w:iCs/>
          <w:sz w:val="22"/>
          <w:szCs w:val="22"/>
          <w:lang w:eastAsia="en-US"/>
        </w:rPr>
        <w:t xml:space="preserve">Joint implementation structure of the programme </w:t>
      </w:r>
    </w:p>
    <w:p w:rsidR="00282D17" w:rsidRPr="00C4514D" w:rsidRDefault="00282D17" w:rsidP="00282D17">
      <w:pPr>
        <w:autoSpaceDE w:val="0"/>
        <w:autoSpaceDN w:val="0"/>
        <w:adjustRightInd w:val="0"/>
        <w:spacing w:after="180" w:line="276" w:lineRule="auto"/>
        <w:jc w:val="both"/>
        <w:rPr>
          <w:rFonts w:ascii="Verdana" w:eastAsia="Cambria" w:hAnsi="Verdana" w:cs="Arial"/>
          <w:bCs/>
          <w:sz w:val="22"/>
          <w:szCs w:val="22"/>
          <w:lang w:eastAsia="en-US"/>
        </w:rPr>
      </w:pPr>
      <w:r w:rsidRPr="00C4514D">
        <w:rPr>
          <w:rFonts w:ascii="Verdana" w:eastAsia="Cambria" w:hAnsi="Verdana" w:cs="Arial"/>
          <w:bCs/>
          <w:sz w:val="22"/>
          <w:szCs w:val="22"/>
          <w:lang w:eastAsia="en-US"/>
        </w:rPr>
        <w:t xml:space="preserve">The URBACT III programme shall be implemented through the following main implementation structures: a managing authority, a certifying authority, a joint secretariat, a monitoring committee, an audit authority and a group of auditors. </w:t>
      </w:r>
    </w:p>
    <w:p w:rsidR="00282D17" w:rsidRPr="00C4514D" w:rsidRDefault="00282D17" w:rsidP="00282D17">
      <w:pPr>
        <w:autoSpaceDE w:val="0"/>
        <w:autoSpaceDN w:val="0"/>
        <w:adjustRightInd w:val="0"/>
        <w:spacing w:after="180" w:line="276" w:lineRule="auto"/>
        <w:jc w:val="both"/>
        <w:rPr>
          <w:rFonts w:ascii="Verdana" w:eastAsia="Cambria" w:hAnsi="Verdana" w:cs="Arial"/>
          <w:sz w:val="22"/>
          <w:szCs w:val="22"/>
          <w:lang w:eastAsia="en-US"/>
        </w:rPr>
      </w:pPr>
      <w:r w:rsidRPr="00C4514D">
        <w:rPr>
          <w:rFonts w:ascii="Verdana" w:eastAsia="Cambria" w:hAnsi="Verdana" w:cs="Arial"/>
          <w:bCs/>
          <w:sz w:val="22"/>
          <w:szCs w:val="22"/>
          <w:lang w:eastAsia="en-US"/>
        </w:rPr>
        <w:t>By decision of 28</w:t>
      </w:r>
      <w:r w:rsidRPr="00C4514D">
        <w:rPr>
          <w:rFonts w:ascii="Verdana" w:eastAsia="Cambria" w:hAnsi="Verdana" w:cs="Arial"/>
          <w:bCs/>
          <w:sz w:val="22"/>
          <w:szCs w:val="22"/>
          <w:vertAlign w:val="superscript"/>
          <w:lang w:eastAsia="en-US"/>
        </w:rPr>
        <w:t>th</w:t>
      </w:r>
      <w:r w:rsidRPr="00C4514D">
        <w:rPr>
          <w:rFonts w:ascii="Verdana" w:eastAsia="Cambria" w:hAnsi="Verdana" w:cs="Arial"/>
          <w:bCs/>
          <w:sz w:val="22"/>
          <w:szCs w:val="22"/>
          <w:lang w:eastAsia="en-US"/>
        </w:rPr>
        <w:t xml:space="preserve"> January 2013 the Member States and Partner States of the URBACT programme support the </w:t>
      </w:r>
      <w:r w:rsidRPr="00C4514D">
        <w:rPr>
          <w:rFonts w:ascii="Verdana" w:hAnsi="Verdana" w:cs="Arial"/>
          <w:sz w:val="22"/>
          <w:szCs w:val="22"/>
        </w:rPr>
        <w:t>Commissariat Général à l’Egalité des Territoires</w:t>
      </w:r>
      <w:r w:rsidRPr="00C4514D">
        <w:rPr>
          <w:rFonts w:ascii="Verdana" w:eastAsia="Cambria" w:hAnsi="Verdana" w:cs="Arial"/>
          <w:sz w:val="22"/>
          <w:szCs w:val="22"/>
          <w:lang w:eastAsia="en-US"/>
        </w:rPr>
        <w:t xml:space="preserve"> (CGET) as Managing Authority to the URBACT III programme.</w:t>
      </w:r>
    </w:p>
    <w:p w:rsidR="00282D17" w:rsidRPr="00C4514D" w:rsidRDefault="00282D17" w:rsidP="00282D17">
      <w:pPr>
        <w:autoSpaceDE w:val="0"/>
        <w:autoSpaceDN w:val="0"/>
        <w:adjustRightInd w:val="0"/>
        <w:spacing w:after="180" w:line="276" w:lineRule="auto"/>
        <w:jc w:val="both"/>
        <w:rPr>
          <w:rFonts w:ascii="Verdana" w:eastAsia="Cambria" w:hAnsi="Verdana" w:cs="Arial"/>
          <w:sz w:val="22"/>
          <w:szCs w:val="22"/>
          <w:lang w:eastAsia="en-US"/>
        </w:rPr>
      </w:pPr>
    </w:p>
    <w:p w:rsidR="00282D17" w:rsidRPr="00C4514D" w:rsidRDefault="00282D17" w:rsidP="00282D17">
      <w:pPr>
        <w:autoSpaceDE w:val="0"/>
        <w:autoSpaceDN w:val="0"/>
        <w:adjustRightInd w:val="0"/>
        <w:spacing w:after="180" w:line="276" w:lineRule="auto"/>
        <w:jc w:val="both"/>
        <w:rPr>
          <w:rFonts w:ascii="Verdana" w:eastAsia="Cambria" w:hAnsi="Verdana" w:cs="Arial"/>
          <w:bCs/>
          <w:sz w:val="22"/>
          <w:szCs w:val="22"/>
          <w:lang w:eastAsia="en-US"/>
        </w:rPr>
      </w:pPr>
      <w:r w:rsidRPr="00C4514D">
        <w:rPr>
          <w:rFonts w:ascii="Verdana" w:eastAsia="Cambria" w:hAnsi="Verdana" w:cs="Arial"/>
          <w:bCs/>
          <w:sz w:val="22"/>
          <w:szCs w:val="22"/>
          <w:lang w:eastAsia="en-US"/>
        </w:rPr>
        <w:t xml:space="preserve">The managing authority and the certifying authority shall be designated according to Article 124 of Regulation (EU) 1303/2013 </w:t>
      </w:r>
      <w:r w:rsidRPr="00C4514D">
        <w:rPr>
          <w:rFonts w:ascii="Verdana" w:eastAsia="MS Mincho" w:hAnsi="Verdana" w:cs="Arial"/>
          <w:sz w:val="22"/>
          <w:szCs w:val="22"/>
          <w:lang w:eastAsia="ja-JP"/>
        </w:rPr>
        <w:t>[CPR] and Article 21 of Regulation (EU) 1299/2013 [CTE]</w:t>
      </w:r>
    </w:p>
    <w:p w:rsidR="00282D17" w:rsidRPr="00C4514D" w:rsidRDefault="00282D17" w:rsidP="00282D17">
      <w:pPr>
        <w:autoSpaceDE w:val="0"/>
        <w:autoSpaceDN w:val="0"/>
        <w:adjustRightInd w:val="0"/>
        <w:spacing w:after="180" w:line="276" w:lineRule="auto"/>
        <w:jc w:val="both"/>
        <w:rPr>
          <w:rFonts w:ascii="Verdana" w:eastAsia="Cambria" w:hAnsi="Verdana" w:cs="Arial"/>
          <w:b/>
          <w:iCs/>
          <w:sz w:val="22"/>
          <w:szCs w:val="22"/>
          <w:lang w:eastAsia="en-US"/>
        </w:rPr>
      </w:pPr>
    </w:p>
    <w:p w:rsidR="00282D17" w:rsidRPr="00C4514D" w:rsidRDefault="00282D17" w:rsidP="00282D17">
      <w:pPr>
        <w:autoSpaceDE w:val="0"/>
        <w:autoSpaceDN w:val="0"/>
        <w:adjustRightInd w:val="0"/>
        <w:spacing w:after="180" w:line="276" w:lineRule="auto"/>
        <w:jc w:val="both"/>
        <w:rPr>
          <w:rFonts w:ascii="Verdana" w:eastAsia="Cambria" w:hAnsi="Verdana" w:cs="Arial"/>
          <w:b/>
          <w:bCs/>
          <w:i/>
          <w:sz w:val="22"/>
          <w:szCs w:val="22"/>
          <w:lang w:eastAsia="en-US"/>
        </w:rPr>
      </w:pPr>
      <w:r w:rsidRPr="00C4514D">
        <w:rPr>
          <w:rFonts w:ascii="Verdana" w:eastAsia="Cambria" w:hAnsi="Verdana" w:cs="Arial"/>
          <w:b/>
          <w:bCs/>
          <w:i/>
          <w:sz w:val="22"/>
          <w:szCs w:val="22"/>
          <w:lang w:eastAsia="en-US"/>
        </w:rPr>
        <w:t xml:space="preserve">Role and tasks of the managing authority and the joint secretariat </w:t>
      </w:r>
    </w:p>
    <w:p w:rsidR="00282D17" w:rsidRPr="00C4514D" w:rsidRDefault="00282D17" w:rsidP="00282D17">
      <w:pPr>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 xml:space="preserve">The managing authority, assisted by the joint secretariat, will be responsible for managing the programme in accordance with the principle of sound financial management as described in Article 125 of the Regulation (EU) 1303/2013 [CPR] and Article 23 of Regulation (EU) 1299/2013 [ETC].  </w:t>
      </w:r>
    </w:p>
    <w:p w:rsidR="00282D17" w:rsidRPr="00C4514D" w:rsidRDefault="00282D17" w:rsidP="00282D17">
      <w:pPr>
        <w:autoSpaceDE w:val="0"/>
        <w:autoSpaceDN w:val="0"/>
        <w:adjustRightInd w:val="0"/>
        <w:spacing w:after="180" w:line="276" w:lineRule="auto"/>
        <w:jc w:val="both"/>
        <w:rPr>
          <w:rFonts w:ascii="Verdana" w:eastAsia="Cambria" w:hAnsi="Verdana" w:cs="Arial"/>
          <w:sz w:val="22"/>
          <w:szCs w:val="22"/>
          <w:lang w:eastAsia="en-US"/>
        </w:rPr>
      </w:pPr>
      <w:r w:rsidRPr="001E0E60">
        <w:rPr>
          <w:rFonts w:ascii="Verdana" w:eastAsia="Cambria" w:hAnsi="Verdana" w:cs="Arial"/>
          <w:iCs/>
          <w:sz w:val="22"/>
          <w:szCs w:val="22"/>
          <w:lang w:eastAsia="en-US"/>
        </w:rPr>
        <w:t xml:space="preserve">The joint secretariat is set up under the responsibility of the managing authority. </w:t>
      </w:r>
      <w:r w:rsidRPr="001E0E60">
        <w:rPr>
          <w:rFonts w:ascii="Verdana" w:eastAsia="MS Mincho" w:hAnsi="Verdana" w:cs="Arial"/>
          <w:sz w:val="22"/>
          <w:szCs w:val="22"/>
          <w:lang w:eastAsia="ja-JP"/>
        </w:rPr>
        <w:t>The joint secretariat assists the monitoring committee (a full description of the tasks of the MC can be found further)</w:t>
      </w:r>
      <w:r w:rsidR="001E0E60" w:rsidRPr="001E0E60">
        <w:rPr>
          <w:rFonts w:ascii="Verdana" w:eastAsia="MS Mincho" w:hAnsi="Verdana" w:cs="Arial"/>
          <w:sz w:val="22"/>
          <w:szCs w:val="22"/>
          <w:lang w:eastAsia="ja-JP"/>
        </w:rPr>
        <w:t xml:space="preserve"> and</w:t>
      </w:r>
      <w:r w:rsidRPr="001E0E60">
        <w:rPr>
          <w:rFonts w:ascii="Verdana" w:eastAsia="MS Mincho" w:hAnsi="Verdana" w:cs="Arial"/>
          <w:sz w:val="22"/>
          <w:szCs w:val="22"/>
          <w:lang w:eastAsia="ja-JP"/>
        </w:rPr>
        <w:t xml:space="preserve"> the managing authority in carrying out their respective functions</w:t>
      </w:r>
      <w:r w:rsidRPr="001E0E60">
        <w:rPr>
          <w:rFonts w:ascii="Verdana" w:eastAsia="Cambria" w:hAnsi="Verdana" w:cs="Arial"/>
          <w:sz w:val="22"/>
          <w:szCs w:val="22"/>
          <w:lang w:eastAsia="en-US"/>
        </w:rPr>
        <w:t xml:space="preserve"> and especially:</w:t>
      </w:r>
      <w:r w:rsidRPr="00C4514D">
        <w:rPr>
          <w:rFonts w:ascii="Verdana" w:eastAsia="Cambria" w:hAnsi="Verdana" w:cs="Arial"/>
          <w:sz w:val="22"/>
          <w:szCs w:val="22"/>
          <w:lang w:eastAsia="en-US"/>
        </w:rPr>
        <w:t xml:space="preserve"> </w:t>
      </w:r>
    </w:p>
    <w:p w:rsidR="00282D17" w:rsidRPr="00C4514D" w:rsidRDefault="00282D17" w:rsidP="008166DD">
      <w:pPr>
        <w:numPr>
          <w:ilvl w:val="0"/>
          <w:numId w:val="7"/>
        </w:numPr>
        <w:autoSpaceDE w:val="0"/>
        <w:autoSpaceDN w:val="0"/>
        <w:adjustRightInd w:val="0"/>
        <w:spacing w:after="180" w:line="276" w:lineRule="auto"/>
        <w:ind w:left="714" w:hanging="357"/>
        <w:jc w:val="both"/>
        <w:rPr>
          <w:rFonts w:ascii="Verdana" w:hAnsi="Verdana" w:cs="Arial"/>
          <w:sz w:val="22"/>
          <w:szCs w:val="22"/>
        </w:rPr>
      </w:pPr>
      <w:r w:rsidRPr="00C4514D">
        <w:rPr>
          <w:rFonts w:ascii="Verdana" w:hAnsi="Verdana" w:cs="Arial"/>
          <w:sz w:val="22"/>
          <w:szCs w:val="22"/>
        </w:rPr>
        <w:t xml:space="preserve">to prepare, implement and follow-up decisions of the monitoring and programming Committee, to organise the monitoring committee/ and task force meetings (where appropriate) </w:t>
      </w:r>
    </w:p>
    <w:p w:rsidR="00282D17" w:rsidRPr="00C4514D" w:rsidRDefault="00282D17" w:rsidP="008166DD">
      <w:pPr>
        <w:numPr>
          <w:ilvl w:val="0"/>
          <w:numId w:val="7"/>
        </w:numPr>
        <w:autoSpaceDE w:val="0"/>
        <w:autoSpaceDN w:val="0"/>
        <w:adjustRightInd w:val="0"/>
        <w:spacing w:after="180" w:line="276" w:lineRule="auto"/>
        <w:jc w:val="both"/>
        <w:rPr>
          <w:rFonts w:ascii="Verdana" w:hAnsi="Verdana" w:cs="Arial"/>
          <w:sz w:val="22"/>
          <w:szCs w:val="22"/>
        </w:rPr>
      </w:pPr>
      <w:r w:rsidRPr="00C4514D">
        <w:rPr>
          <w:rFonts w:ascii="Verdana" w:hAnsi="Verdana" w:cs="Arial"/>
          <w:sz w:val="22"/>
          <w:szCs w:val="22"/>
        </w:rPr>
        <w:t xml:space="preserve">to liaise with the implementing authorities and the European Commission, to ensure that the relevant implementation reports and any other relevant information is made available to them; </w:t>
      </w:r>
    </w:p>
    <w:p w:rsidR="00282D17" w:rsidRPr="00C4514D" w:rsidRDefault="00282D17" w:rsidP="008166DD">
      <w:pPr>
        <w:numPr>
          <w:ilvl w:val="0"/>
          <w:numId w:val="7"/>
        </w:numPr>
        <w:autoSpaceDE w:val="0"/>
        <w:autoSpaceDN w:val="0"/>
        <w:adjustRightInd w:val="0"/>
        <w:spacing w:after="180" w:line="276" w:lineRule="auto"/>
        <w:jc w:val="both"/>
        <w:rPr>
          <w:rFonts w:ascii="Verdana" w:hAnsi="Verdana" w:cs="Arial"/>
          <w:sz w:val="22"/>
          <w:szCs w:val="22"/>
        </w:rPr>
      </w:pPr>
      <w:r w:rsidRPr="00C4514D">
        <w:rPr>
          <w:rFonts w:ascii="Verdana" w:hAnsi="Verdana" w:cs="Arial"/>
          <w:sz w:val="22"/>
          <w:szCs w:val="22"/>
        </w:rPr>
        <w:t>to cooperate with organisations, institutions and networks relevant for the objectives of the programme;</w:t>
      </w:r>
    </w:p>
    <w:p w:rsidR="00282D17" w:rsidRPr="00C4514D" w:rsidRDefault="00282D17" w:rsidP="008166DD">
      <w:pPr>
        <w:numPr>
          <w:ilvl w:val="0"/>
          <w:numId w:val="7"/>
        </w:numPr>
        <w:autoSpaceDE w:val="0"/>
        <w:autoSpaceDN w:val="0"/>
        <w:adjustRightInd w:val="0"/>
        <w:spacing w:after="180" w:line="276" w:lineRule="auto"/>
        <w:jc w:val="both"/>
        <w:rPr>
          <w:rFonts w:ascii="Verdana" w:hAnsi="Verdana" w:cs="Arial"/>
          <w:sz w:val="22"/>
          <w:szCs w:val="22"/>
        </w:rPr>
      </w:pPr>
      <w:r w:rsidRPr="00C4514D">
        <w:rPr>
          <w:rFonts w:ascii="Verdana" w:hAnsi="Verdana" w:cs="Arial"/>
          <w:sz w:val="22"/>
          <w:szCs w:val="22"/>
        </w:rPr>
        <w:t>to distribute information and implement publicity measures on the programme, its various components and its projects, including running a programme website, organising programme events;</w:t>
      </w:r>
    </w:p>
    <w:p w:rsidR="00282D17" w:rsidRPr="00C4514D" w:rsidRDefault="00282D17" w:rsidP="008166DD">
      <w:pPr>
        <w:numPr>
          <w:ilvl w:val="0"/>
          <w:numId w:val="7"/>
        </w:numPr>
        <w:autoSpaceDE w:val="0"/>
        <w:autoSpaceDN w:val="0"/>
        <w:adjustRightInd w:val="0"/>
        <w:spacing w:after="180" w:line="276" w:lineRule="auto"/>
        <w:jc w:val="both"/>
        <w:rPr>
          <w:rFonts w:ascii="Verdana" w:hAnsi="Verdana" w:cs="Arial"/>
          <w:sz w:val="22"/>
          <w:szCs w:val="22"/>
        </w:rPr>
      </w:pPr>
      <w:r w:rsidRPr="00C4514D">
        <w:rPr>
          <w:rFonts w:ascii="Verdana" w:hAnsi="Verdana" w:cs="Arial"/>
          <w:sz w:val="22"/>
          <w:szCs w:val="22"/>
        </w:rPr>
        <w:t xml:space="preserve">to establish a programme database and project online monitoring system to provide data in computerised form necessary for the monitoring, evaluation, financial management, verification and audit </w:t>
      </w:r>
    </w:p>
    <w:p w:rsidR="00282D17" w:rsidRPr="00C4514D" w:rsidRDefault="00282D17" w:rsidP="008166DD">
      <w:pPr>
        <w:numPr>
          <w:ilvl w:val="0"/>
          <w:numId w:val="7"/>
        </w:numPr>
        <w:autoSpaceDE w:val="0"/>
        <w:autoSpaceDN w:val="0"/>
        <w:adjustRightInd w:val="0"/>
        <w:spacing w:after="180" w:line="276" w:lineRule="auto"/>
        <w:jc w:val="both"/>
        <w:rPr>
          <w:rFonts w:ascii="Verdana" w:hAnsi="Verdana" w:cs="Arial"/>
          <w:sz w:val="22"/>
          <w:szCs w:val="22"/>
        </w:rPr>
      </w:pPr>
      <w:r w:rsidRPr="00C4514D">
        <w:rPr>
          <w:rFonts w:ascii="Verdana" w:hAnsi="Verdana" w:cs="Arial"/>
          <w:sz w:val="22"/>
          <w:szCs w:val="22"/>
        </w:rPr>
        <w:t xml:space="preserve">to develop for approval by the monitoring committee a transparent selection procedure, selection criteria, terms of reference for the calls for proposals, application pack incl. funding rules </w:t>
      </w:r>
    </w:p>
    <w:p w:rsidR="00282D17" w:rsidRPr="00C4514D" w:rsidRDefault="00282D17" w:rsidP="008166DD">
      <w:pPr>
        <w:numPr>
          <w:ilvl w:val="0"/>
          <w:numId w:val="7"/>
        </w:numPr>
        <w:autoSpaceDE w:val="0"/>
        <w:autoSpaceDN w:val="0"/>
        <w:adjustRightInd w:val="0"/>
        <w:spacing w:after="180" w:line="276" w:lineRule="auto"/>
        <w:jc w:val="both"/>
        <w:rPr>
          <w:rFonts w:ascii="Verdana" w:hAnsi="Verdana" w:cs="Arial"/>
          <w:sz w:val="22"/>
          <w:szCs w:val="22"/>
        </w:rPr>
      </w:pPr>
      <w:r w:rsidRPr="00C4514D">
        <w:rPr>
          <w:rFonts w:ascii="Verdana" w:hAnsi="Verdana" w:cs="Arial"/>
          <w:sz w:val="22"/>
          <w:szCs w:val="22"/>
        </w:rPr>
        <w:t>to manage the project application process for all projects, including, providing information and advice to applicants (e.g. by means of an applicants’ pack), checking, assessing applications on the basis of approved criteria and procedure, and advising lead partners of monitoring committee decisions;</w:t>
      </w:r>
    </w:p>
    <w:p w:rsidR="00282D17" w:rsidRPr="00C4514D" w:rsidRDefault="00282D17" w:rsidP="008166DD">
      <w:pPr>
        <w:numPr>
          <w:ilvl w:val="0"/>
          <w:numId w:val="7"/>
        </w:numPr>
        <w:autoSpaceDE w:val="0"/>
        <w:autoSpaceDN w:val="0"/>
        <w:adjustRightInd w:val="0"/>
        <w:spacing w:after="180" w:line="276" w:lineRule="auto"/>
        <w:jc w:val="both"/>
        <w:rPr>
          <w:rFonts w:ascii="Verdana" w:hAnsi="Verdana" w:cs="Arial"/>
          <w:sz w:val="22"/>
          <w:szCs w:val="22"/>
        </w:rPr>
      </w:pPr>
      <w:r w:rsidRPr="00C4514D">
        <w:rPr>
          <w:rFonts w:ascii="Verdana" w:hAnsi="Verdana" w:cs="Arial"/>
          <w:sz w:val="22"/>
          <w:szCs w:val="22"/>
        </w:rPr>
        <w:t>to assist and organise activities to support project generation and development;</w:t>
      </w:r>
    </w:p>
    <w:p w:rsidR="00282D17" w:rsidRPr="00C4514D" w:rsidRDefault="00282D17" w:rsidP="008166DD">
      <w:pPr>
        <w:numPr>
          <w:ilvl w:val="0"/>
          <w:numId w:val="7"/>
        </w:numPr>
        <w:autoSpaceDE w:val="0"/>
        <w:autoSpaceDN w:val="0"/>
        <w:adjustRightInd w:val="0"/>
        <w:spacing w:after="180" w:line="276" w:lineRule="auto"/>
        <w:jc w:val="both"/>
        <w:rPr>
          <w:rFonts w:ascii="Verdana" w:hAnsi="Verdana" w:cs="Arial"/>
          <w:sz w:val="22"/>
          <w:szCs w:val="22"/>
        </w:rPr>
      </w:pPr>
      <w:r w:rsidRPr="00C4514D">
        <w:rPr>
          <w:rFonts w:ascii="Verdana" w:hAnsi="Verdana" w:cs="Arial"/>
          <w:sz w:val="22"/>
          <w:szCs w:val="22"/>
        </w:rPr>
        <w:t>to organise partner search events concerning the whole EU territory</w:t>
      </w:r>
    </w:p>
    <w:p w:rsidR="00282D17" w:rsidRPr="00C4514D" w:rsidRDefault="00282D17" w:rsidP="008166DD">
      <w:pPr>
        <w:numPr>
          <w:ilvl w:val="0"/>
          <w:numId w:val="7"/>
        </w:numPr>
        <w:autoSpaceDE w:val="0"/>
        <w:autoSpaceDN w:val="0"/>
        <w:adjustRightInd w:val="0"/>
        <w:spacing w:after="180" w:line="276" w:lineRule="auto"/>
        <w:jc w:val="both"/>
        <w:rPr>
          <w:rFonts w:ascii="Verdana" w:hAnsi="Verdana" w:cs="Arial"/>
          <w:sz w:val="22"/>
          <w:szCs w:val="22"/>
        </w:rPr>
      </w:pPr>
      <w:r w:rsidRPr="00C4514D">
        <w:rPr>
          <w:rFonts w:ascii="Verdana" w:hAnsi="Verdana" w:cs="Arial"/>
          <w:sz w:val="22"/>
          <w:szCs w:val="22"/>
        </w:rPr>
        <w:t>to monitor commitments and payments of ERDF funds at programme level by categories of intervention; to manage the programme budget to ensure there are sufficient funds to pay and to avoid decommitment</w:t>
      </w:r>
    </w:p>
    <w:p w:rsidR="00282D17" w:rsidRPr="00C4514D" w:rsidRDefault="00282D17" w:rsidP="008166DD">
      <w:pPr>
        <w:numPr>
          <w:ilvl w:val="0"/>
          <w:numId w:val="7"/>
        </w:numPr>
        <w:autoSpaceDE w:val="0"/>
        <w:autoSpaceDN w:val="0"/>
        <w:adjustRightInd w:val="0"/>
        <w:spacing w:after="180" w:line="276" w:lineRule="auto"/>
        <w:jc w:val="both"/>
        <w:rPr>
          <w:rFonts w:ascii="Verdana" w:hAnsi="Verdana" w:cs="Arial"/>
          <w:sz w:val="22"/>
          <w:szCs w:val="22"/>
        </w:rPr>
      </w:pPr>
      <w:r w:rsidRPr="00C4514D">
        <w:rPr>
          <w:rFonts w:ascii="Verdana" w:hAnsi="Verdana" w:cs="Arial"/>
          <w:sz w:val="22"/>
          <w:szCs w:val="22"/>
        </w:rPr>
        <w:t>to provide ongoing advice and assistance to projects regarding implementation of activities and financial administration;</w:t>
      </w:r>
    </w:p>
    <w:p w:rsidR="00282D17" w:rsidRPr="00C4514D" w:rsidRDefault="00282D17" w:rsidP="008166DD">
      <w:pPr>
        <w:numPr>
          <w:ilvl w:val="0"/>
          <w:numId w:val="7"/>
        </w:numPr>
        <w:autoSpaceDE w:val="0"/>
        <w:autoSpaceDN w:val="0"/>
        <w:adjustRightInd w:val="0"/>
        <w:spacing w:after="180" w:line="276" w:lineRule="auto"/>
        <w:jc w:val="both"/>
        <w:rPr>
          <w:rFonts w:ascii="Verdana" w:hAnsi="Verdana" w:cs="Arial"/>
          <w:sz w:val="22"/>
          <w:szCs w:val="22"/>
        </w:rPr>
      </w:pPr>
      <w:r w:rsidRPr="00C4514D">
        <w:rPr>
          <w:rFonts w:ascii="Verdana" w:hAnsi="Verdana" w:cs="Arial"/>
          <w:sz w:val="22"/>
          <w:szCs w:val="22"/>
        </w:rPr>
        <w:t xml:space="preserve">to monitor progress made by projects through collecting and checking project monitoring reports, monitoring outputs, results and financial implementation; to ensure that payments to projects are made within the agreed timeframe </w:t>
      </w:r>
    </w:p>
    <w:p w:rsidR="00282D17" w:rsidRPr="00C4514D" w:rsidRDefault="00282D17" w:rsidP="008166DD">
      <w:pPr>
        <w:numPr>
          <w:ilvl w:val="0"/>
          <w:numId w:val="7"/>
        </w:numPr>
        <w:autoSpaceDE w:val="0"/>
        <w:autoSpaceDN w:val="0"/>
        <w:adjustRightInd w:val="0"/>
        <w:spacing w:after="180" w:line="276" w:lineRule="auto"/>
        <w:jc w:val="both"/>
        <w:rPr>
          <w:rFonts w:ascii="Verdana" w:hAnsi="Verdana" w:cs="Arial"/>
          <w:sz w:val="22"/>
          <w:szCs w:val="22"/>
        </w:rPr>
      </w:pPr>
      <w:r w:rsidRPr="00C4514D">
        <w:rPr>
          <w:rFonts w:ascii="Verdana" w:hAnsi="Verdana" w:cs="Arial"/>
          <w:sz w:val="22"/>
          <w:szCs w:val="22"/>
        </w:rPr>
        <w:t>to manage and coordinate the programme activity, including the tendering and contracting of expertise, the steering and monitoring of the activities and the reporting to and involvement of the programme stakeholders;</w:t>
      </w:r>
    </w:p>
    <w:p w:rsidR="00282D17" w:rsidRPr="00C4514D" w:rsidRDefault="00282D17" w:rsidP="008166DD">
      <w:pPr>
        <w:numPr>
          <w:ilvl w:val="0"/>
          <w:numId w:val="7"/>
        </w:numPr>
        <w:autoSpaceDE w:val="0"/>
        <w:autoSpaceDN w:val="0"/>
        <w:adjustRightInd w:val="0"/>
        <w:spacing w:after="180" w:line="276" w:lineRule="auto"/>
        <w:jc w:val="both"/>
        <w:rPr>
          <w:rFonts w:ascii="Verdana" w:hAnsi="Verdana" w:cs="Arial"/>
          <w:sz w:val="22"/>
          <w:szCs w:val="22"/>
        </w:rPr>
      </w:pPr>
      <w:r w:rsidRPr="00C4514D">
        <w:rPr>
          <w:rFonts w:ascii="Verdana" w:hAnsi="Verdana" w:cs="Arial"/>
          <w:sz w:val="22"/>
          <w:szCs w:val="22"/>
        </w:rPr>
        <w:t xml:space="preserve">to set up a coherent programme management and control system ensuring the legality, regularity of declared expenditure and the respect of the principle of sound financial management and liaise with controllers designated by the programme Member/Partner states to carry out the verifications pursuant to Article 23 (4) of the ETC regulation </w:t>
      </w:r>
    </w:p>
    <w:p w:rsidR="00282D17" w:rsidRPr="00C4514D" w:rsidRDefault="00282D17" w:rsidP="008166DD">
      <w:pPr>
        <w:numPr>
          <w:ilvl w:val="0"/>
          <w:numId w:val="7"/>
        </w:numPr>
        <w:autoSpaceDE w:val="0"/>
        <w:autoSpaceDN w:val="0"/>
        <w:adjustRightInd w:val="0"/>
        <w:spacing w:after="180" w:line="276" w:lineRule="auto"/>
        <w:jc w:val="both"/>
        <w:rPr>
          <w:rFonts w:ascii="Verdana" w:hAnsi="Verdana" w:cs="Arial"/>
          <w:sz w:val="22"/>
          <w:szCs w:val="22"/>
        </w:rPr>
      </w:pPr>
      <w:r w:rsidRPr="00C4514D">
        <w:rPr>
          <w:rFonts w:ascii="Verdana" w:hAnsi="Verdana" w:cs="Arial"/>
          <w:sz w:val="22"/>
          <w:szCs w:val="22"/>
        </w:rPr>
        <w:t>to support the managing authority in drawing up the management declaration and the annual summary of final audits and of controls carried out</w:t>
      </w:r>
    </w:p>
    <w:p w:rsidR="00282D17" w:rsidRPr="00C4514D" w:rsidRDefault="00282D17" w:rsidP="008166DD">
      <w:pPr>
        <w:numPr>
          <w:ilvl w:val="0"/>
          <w:numId w:val="7"/>
        </w:numPr>
        <w:autoSpaceDE w:val="0"/>
        <w:autoSpaceDN w:val="0"/>
        <w:adjustRightInd w:val="0"/>
        <w:spacing w:after="180" w:line="276" w:lineRule="auto"/>
        <w:jc w:val="both"/>
        <w:rPr>
          <w:rFonts w:ascii="Verdana" w:hAnsi="Verdana" w:cs="Arial"/>
          <w:sz w:val="22"/>
          <w:szCs w:val="22"/>
        </w:rPr>
      </w:pPr>
      <w:r w:rsidRPr="00C4514D">
        <w:rPr>
          <w:rFonts w:ascii="Verdana" w:hAnsi="Verdana" w:cs="Arial"/>
          <w:sz w:val="22"/>
          <w:szCs w:val="22"/>
        </w:rPr>
        <w:t>to manage the Technical assistance budget (accounting, procurement, payments, reporting)</w:t>
      </w:r>
    </w:p>
    <w:p w:rsidR="00282D17" w:rsidRPr="00C4514D" w:rsidRDefault="00282D17" w:rsidP="008166DD">
      <w:pPr>
        <w:numPr>
          <w:ilvl w:val="0"/>
          <w:numId w:val="7"/>
        </w:numPr>
        <w:autoSpaceDE w:val="0"/>
        <w:autoSpaceDN w:val="0"/>
        <w:adjustRightInd w:val="0"/>
        <w:spacing w:after="180" w:line="276" w:lineRule="auto"/>
        <w:jc w:val="both"/>
        <w:rPr>
          <w:rFonts w:ascii="Verdana" w:hAnsi="Verdana" w:cs="Arial"/>
          <w:sz w:val="22"/>
          <w:szCs w:val="22"/>
        </w:rPr>
      </w:pPr>
      <w:r w:rsidRPr="00C4514D">
        <w:rPr>
          <w:rFonts w:ascii="Verdana" w:hAnsi="Verdana" w:cs="Arial"/>
          <w:sz w:val="22"/>
          <w:szCs w:val="22"/>
        </w:rPr>
        <w:t>to fulfil the usual work of a programme secretariat, i.e. organisation of meetings, drafting of minutes, etc.</w:t>
      </w:r>
    </w:p>
    <w:p w:rsidR="00282D17" w:rsidRPr="00C4514D" w:rsidRDefault="00282D17" w:rsidP="008166DD">
      <w:pPr>
        <w:numPr>
          <w:ilvl w:val="0"/>
          <w:numId w:val="7"/>
        </w:numPr>
        <w:autoSpaceDE w:val="0"/>
        <w:autoSpaceDN w:val="0"/>
        <w:adjustRightInd w:val="0"/>
        <w:spacing w:after="180" w:line="276" w:lineRule="auto"/>
        <w:jc w:val="both"/>
        <w:rPr>
          <w:rFonts w:ascii="Verdana" w:hAnsi="Verdana" w:cs="Arial"/>
          <w:sz w:val="22"/>
          <w:szCs w:val="22"/>
        </w:rPr>
      </w:pPr>
      <w:r w:rsidRPr="00C4514D">
        <w:rPr>
          <w:rFonts w:ascii="Verdana" w:hAnsi="Verdana" w:cs="Arial"/>
          <w:sz w:val="22"/>
          <w:szCs w:val="22"/>
        </w:rPr>
        <w:t>to liaise with the body ensuring the certifying authority function and to make all relevant data available to them</w:t>
      </w:r>
    </w:p>
    <w:p w:rsidR="00282D17" w:rsidRPr="00C4514D" w:rsidRDefault="00282D17" w:rsidP="008166DD">
      <w:pPr>
        <w:numPr>
          <w:ilvl w:val="0"/>
          <w:numId w:val="7"/>
        </w:numPr>
        <w:spacing w:after="180" w:line="276" w:lineRule="auto"/>
        <w:jc w:val="both"/>
        <w:rPr>
          <w:rFonts w:ascii="Verdana" w:hAnsi="Verdana" w:cs="Arial"/>
          <w:sz w:val="22"/>
          <w:szCs w:val="22"/>
        </w:rPr>
      </w:pPr>
      <w:r w:rsidRPr="00C4514D">
        <w:rPr>
          <w:rFonts w:ascii="Verdana" w:hAnsi="Verdana" w:cs="Arial"/>
          <w:sz w:val="22"/>
          <w:szCs w:val="22"/>
        </w:rPr>
        <w:t xml:space="preserve">to support the audit authority and the group of auditors: organisation and following up of meetings, following up of members’ lists, following the procurement procedure for the externalisation of audits, ensure a good communication flow between the audit authority, the group of auditors members, audit projects and the external audit firm, making relevant data available to these actors to allow for a smooth implementation of their tasks. </w:t>
      </w:r>
    </w:p>
    <w:p w:rsidR="00282D17" w:rsidRPr="00C4514D" w:rsidRDefault="00282D17" w:rsidP="00282D17">
      <w:pPr>
        <w:autoSpaceDE w:val="0"/>
        <w:autoSpaceDN w:val="0"/>
        <w:adjustRightInd w:val="0"/>
        <w:spacing w:after="180" w:line="276" w:lineRule="auto"/>
        <w:rPr>
          <w:rFonts w:ascii="Verdana" w:eastAsia="MS Mincho" w:hAnsi="Verdana" w:cs="Arial"/>
          <w:sz w:val="22"/>
          <w:szCs w:val="22"/>
          <w:lang w:eastAsia="ja-JP"/>
        </w:rPr>
      </w:pPr>
    </w:p>
    <w:p w:rsidR="00282D17" w:rsidRDefault="00282D17" w:rsidP="00282D17">
      <w:pPr>
        <w:spacing w:after="180" w:line="276" w:lineRule="auto"/>
        <w:jc w:val="both"/>
        <w:rPr>
          <w:rFonts w:ascii="Verdana" w:eastAsia="Cambria" w:hAnsi="Verdana" w:cs="Arial"/>
          <w:sz w:val="22"/>
          <w:szCs w:val="22"/>
          <w:lang w:eastAsia="en-US"/>
        </w:rPr>
      </w:pPr>
      <w:r>
        <w:rPr>
          <w:rFonts w:ascii="Verdana" w:eastAsia="Cambria" w:hAnsi="Verdana" w:cs="Arial"/>
          <w:sz w:val="22"/>
          <w:szCs w:val="22"/>
          <w:lang w:eastAsia="en-US"/>
        </w:rPr>
        <w:t xml:space="preserve">These tasks shall be implemented through a number of internal working procedures which will be documented in detail as part of the Description of Manangement and Control Systems (DMCS).  </w:t>
      </w:r>
    </w:p>
    <w:p w:rsidR="00282D17" w:rsidRPr="00FD1021" w:rsidRDefault="00282D17" w:rsidP="00282D17">
      <w:pPr>
        <w:spacing w:after="180" w:line="276" w:lineRule="auto"/>
        <w:jc w:val="both"/>
        <w:rPr>
          <w:rFonts w:ascii="Verdana" w:eastAsia="Cambria" w:hAnsi="Verdana"/>
          <w:sz w:val="22"/>
          <w:lang w:eastAsia="en-US"/>
        </w:rPr>
      </w:pPr>
      <w:r>
        <w:rPr>
          <w:rFonts w:ascii="Verdana" w:eastAsia="Cambria" w:hAnsi="Verdana" w:cs="Arial"/>
          <w:sz w:val="22"/>
          <w:szCs w:val="22"/>
          <w:lang w:eastAsia="en-US"/>
        </w:rPr>
        <w:t xml:space="preserve">A particular specificity of the URBACT programme can be noted in that </w:t>
      </w:r>
      <w:r w:rsidRPr="00384D0B">
        <w:rPr>
          <w:rFonts w:ascii="Verdana" w:eastAsia="Cambria" w:hAnsi="Verdana" w:cs="Arial"/>
        </w:rPr>
        <w:t xml:space="preserve">the MA, on behalf of all MS, shall </w:t>
      </w:r>
      <w:r>
        <w:rPr>
          <w:rFonts w:ascii="Verdana" w:eastAsia="Cambria" w:hAnsi="Verdana"/>
        </w:rPr>
        <w:t xml:space="preserve">in addition to the tasks outlined above </w:t>
      </w:r>
      <w:r w:rsidRPr="00FD1021">
        <w:rPr>
          <w:rFonts w:ascii="Verdana" w:eastAsia="Cambria" w:hAnsi="Verdana"/>
          <w:sz w:val="22"/>
        </w:rPr>
        <w:t xml:space="preserve"> </w:t>
      </w:r>
      <w:r>
        <w:rPr>
          <w:rFonts w:ascii="Verdana" w:eastAsia="Cambria" w:hAnsi="Verdana"/>
        </w:rPr>
        <w:t xml:space="preserve">take </w:t>
      </w:r>
      <w:r w:rsidRPr="00FD1021">
        <w:rPr>
          <w:rFonts w:ascii="Verdana" w:eastAsia="Cambria" w:hAnsi="Verdana"/>
          <w:sz w:val="22"/>
        </w:rPr>
        <w:t>responsib</w:t>
      </w:r>
      <w:r>
        <w:rPr>
          <w:rFonts w:ascii="Verdana" w:eastAsia="Cambria" w:hAnsi="Verdana"/>
        </w:rPr>
        <w:t>i</w:t>
      </w:r>
      <w:r w:rsidRPr="00FD1021">
        <w:rPr>
          <w:rFonts w:ascii="Verdana" w:eastAsia="Cambria" w:hAnsi="Verdana"/>
          <w:sz w:val="22"/>
        </w:rPr>
        <w:t>l</w:t>
      </w:r>
      <w:r>
        <w:rPr>
          <w:rFonts w:ascii="Verdana" w:eastAsia="Cambria" w:hAnsi="Verdana"/>
        </w:rPr>
        <w:t>ity for the management of</w:t>
      </w:r>
      <w:r w:rsidRPr="00FD1021">
        <w:rPr>
          <w:rFonts w:ascii="Verdana" w:eastAsia="Cambria" w:hAnsi="Verdana"/>
          <w:sz w:val="22"/>
        </w:rPr>
        <w:t xml:space="preserve"> around half of the programme budget (including Technical Assistance)  in the framework of projects relating to </w:t>
      </w:r>
      <w:r>
        <w:rPr>
          <w:rFonts w:ascii="Verdana" w:eastAsia="Cambria" w:hAnsi="Verdana"/>
        </w:rPr>
        <w:t xml:space="preserve">capacity building, </w:t>
      </w:r>
      <w:r w:rsidRPr="00FD1021">
        <w:rPr>
          <w:rFonts w:ascii="Verdana" w:eastAsia="Cambria" w:hAnsi="Verdana"/>
          <w:sz w:val="22"/>
        </w:rPr>
        <w:t xml:space="preserve">communication, dissemination, capitalisation activities and technical assistance. </w:t>
      </w:r>
    </w:p>
    <w:p w:rsidR="00282D17" w:rsidRDefault="00282D17" w:rsidP="00282D17">
      <w:pPr>
        <w:spacing w:after="180" w:line="276" w:lineRule="auto"/>
        <w:jc w:val="both"/>
        <w:rPr>
          <w:rFonts w:ascii="Verdana" w:eastAsia="Cambria" w:hAnsi="Verdana" w:cs="Arial"/>
          <w:sz w:val="22"/>
          <w:szCs w:val="22"/>
          <w:lang w:eastAsia="en-US"/>
        </w:rPr>
      </w:pPr>
    </w:p>
    <w:p w:rsidR="00282D17" w:rsidRPr="00C4514D" w:rsidRDefault="00282D17" w:rsidP="00282D17">
      <w:pPr>
        <w:spacing w:after="180" w:line="276" w:lineRule="auto"/>
        <w:jc w:val="both"/>
        <w:rPr>
          <w:rFonts w:ascii="Verdana" w:eastAsia="Cambria" w:hAnsi="Verdana" w:cs="Arial"/>
          <w:sz w:val="22"/>
          <w:szCs w:val="22"/>
          <w:lang w:eastAsia="en-US"/>
        </w:rPr>
      </w:pPr>
      <w:r w:rsidRPr="00C4514D">
        <w:rPr>
          <w:rFonts w:ascii="Verdana" w:eastAsia="Cambria" w:hAnsi="Verdana" w:cs="Arial"/>
          <w:sz w:val="22"/>
          <w:szCs w:val="22"/>
          <w:lang w:eastAsia="en-US"/>
        </w:rPr>
        <w:t>With regard to the management of projects, the managing authority / joint secretariat shall have the following discretionary powers:</w:t>
      </w:r>
    </w:p>
    <w:p w:rsidR="00282D17" w:rsidRPr="00C4514D" w:rsidRDefault="00282D17" w:rsidP="00282D17">
      <w:pPr>
        <w:spacing w:after="180" w:line="276" w:lineRule="auto"/>
        <w:jc w:val="both"/>
        <w:rPr>
          <w:rFonts w:ascii="Verdana" w:eastAsia="Cambria" w:hAnsi="Verdana" w:cs="Arial"/>
          <w:sz w:val="22"/>
          <w:szCs w:val="22"/>
          <w:lang w:eastAsia="en-US"/>
        </w:rPr>
      </w:pPr>
      <w:r w:rsidRPr="00C4514D">
        <w:rPr>
          <w:rFonts w:ascii="Verdana" w:eastAsia="Cambria" w:hAnsi="Verdana" w:cs="Arial"/>
          <w:sz w:val="22"/>
          <w:szCs w:val="22"/>
          <w:lang w:eastAsia="en-US"/>
        </w:rPr>
        <w:t xml:space="preserve">The managing authority / joint secretariat can decide on changes as long as the purpose and the other basic features of the project are not altered. It can also decide on changes in projects which do not have consequences on the eligibility or the results of the project. Examples of such changes could include changes to dates of activities, changes between budget categories without increasing the overall project budget etc. </w:t>
      </w:r>
    </w:p>
    <w:p w:rsidR="00282D17" w:rsidRPr="00C4514D" w:rsidRDefault="00282D17" w:rsidP="00282D17">
      <w:pPr>
        <w:spacing w:after="180" w:line="276" w:lineRule="auto"/>
        <w:jc w:val="both"/>
        <w:rPr>
          <w:rFonts w:ascii="Verdana" w:eastAsia="Cambria" w:hAnsi="Verdana" w:cs="Arial"/>
          <w:sz w:val="22"/>
          <w:szCs w:val="22"/>
          <w:lang w:eastAsia="en-US"/>
        </w:rPr>
      </w:pPr>
      <w:r w:rsidRPr="00C4514D">
        <w:rPr>
          <w:rFonts w:ascii="Verdana" w:eastAsia="Cambria" w:hAnsi="Verdana" w:cs="Arial"/>
          <w:sz w:val="22"/>
          <w:szCs w:val="22"/>
          <w:lang w:eastAsia="en-US"/>
        </w:rPr>
        <w:t>Changes to programme level activity will be approved by the Monitoring Committee during the regular reports during monitoring committee meetings.</w:t>
      </w:r>
    </w:p>
    <w:p w:rsidR="00282D17" w:rsidRPr="00C4514D" w:rsidRDefault="00282D17" w:rsidP="00282D17">
      <w:pPr>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The managing authority will fulfil the criteria relating to the internal control environment, risk management, management and control activities and monitoring according to article 124 and annex XIII of Regulation (EU) 1303/2013 [CPR].</w:t>
      </w:r>
      <w:r>
        <w:rPr>
          <w:rFonts w:ascii="Verdana" w:eastAsia="MS Mincho" w:hAnsi="Verdana" w:cs="Arial"/>
          <w:sz w:val="22"/>
          <w:szCs w:val="22"/>
          <w:lang w:eastAsia="ja-JP"/>
        </w:rPr>
        <w:t xml:space="preserve">  A detailed description of the procedures to be implemented shall be presented in the DMCS.</w:t>
      </w:r>
    </w:p>
    <w:p w:rsidR="00282D17" w:rsidRPr="00C4514D" w:rsidRDefault="00282D17" w:rsidP="00282D17">
      <w:pPr>
        <w:autoSpaceDE w:val="0"/>
        <w:autoSpaceDN w:val="0"/>
        <w:adjustRightInd w:val="0"/>
        <w:spacing w:after="180" w:line="276" w:lineRule="auto"/>
        <w:rPr>
          <w:rFonts w:ascii="Verdana" w:eastAsia="MS Mincho" w:hAnsi="Verdana" w:cs="Arial"/>
          <w:sz w:val="22"/>
          <w:szCs w:val="22"/>
          <w:lang w:eastAsia="ja-JP"/>
        </w:rPr>
      </w:pPr>
    </w:p>
    <w:p w:rsidR="00282D17" w:rsidRPr="00C4514D" w:rsidRDefault="00282D17" w:rsidP="00282D17">
      <w:pPr>
        <w:autoSpaceDE w:val="0"/>
        <w:autoSpaceDN w:val="0"/>
        <w:adjustRightInd w:val="0"/>
        <w:spacing w:after="180" w:line="276" w:lineRule="auto"/>
        <w:jc w:val="both"/>
        <w:rPr>
          <w:rFonts w:ascii="Verdana" w:eastAsia="Cambria" w:hAnsi="Verdana" w:cs="Arial"/>
          <w:b/>
          <w:bCs/>
          <w:i/>
          <w:sz w:val="22"/>
          <w:szCs w:val="22"/>
          <w:lang w:eastAsia="en-US"/>
        </w:rPr>
      </w:pPr>
      <w:r w:rsidRPr="00C4514D">
        <w:rPr>
          <w:rFonts w:ascii="Verdana" w:eastAsia="Cambria" w:hAnsi="Verdana" w:cs="Arial"/>
          <w:b/>
          <w:bCs/>
          <w:i/>
          <w:sz w:val="22"/>
          <w:szCs w:val="22"/>
          <w:lang w:eastAsia="en-US"/>
        </w:rPr>
        <w:t>Role and tasks of the certifying authority</w:t>
      </w:r>
    </w:p>
    <w:p w:rsidR="00282D17" w:rsidRPr="00C4514D" w:rsidRDefault="00282D17" w:rsidP="00282D17">
      <w:pPr>
        <w:shd w:val="clear" w:color="auto" w:fill="FFFFFF"/>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 xml:space="preserve">The certifying authority will carry out its functions in compliance with Article 126 of the Regulation (EU) 1303/2013 [CPR].  The certifying authority </w:t>
      </w:r>
      <w:r>
        <w:rPr>
          <w:rFonts w:ascii="Verdana" w:eastAsia="MS Mincho" w:hAnsi="Verdana" w:cs="Arial"/>
          <w:sz w:val="22"/>
          <w:szCs w:val="22"/>
          <w:lang w:eastAsia="ja-JP"/>
        </w:rPr>
        <w:t>will be the Direction Générale des Finances Publiques in line with the</w:t>
      </w:r>
      <w:r w:rsidRPr="00C4514D">
        <w:rPr>
          <w:rFonts w:ascii="Verdana" w:eastAsia="MS Mincho" w:hAnsi="Verdana" w:cs="Arial"/>
          <w:sz w:val="22"/>
          <w:szCs w:val="22"/>
          <w:lang w:eastAsia="ja-JP"/>
        </w:rPr>
        <w:t xml:space="preserve"> Article 21 of Regulation (EU) 1299/2013 [CTE]</w:t>
      </w:r>
      <w:r>
        <w:rPr>
          <w:rFonts w:ascii="Verdana" w:eastAsia="MS Mincho" w:hAnsi="Verdana" w:cs="Arial"/>
          <w:sz w:val="22"/>
          <w:szCs w:val="22"/>
          <w:lang w:eastAsia="ja-JP"/>
        </w:rPr>
        <w:t>. A detailed description of the procedures to be implemented shall be presented in the DMCS.</w:t>
      </w:r>
    </w:p>
    <w:p w:rsidR="00282D17" w:rsidRPr="00C4514D" w:rsidRDefault="00282D17" w:rsidP="00282D17">
      <w:pPr>
        <w:autoSpaceDE w:val="0"/>
        <w:autoSpaceDN w:val="0"/>
        <w:adjustRightInd w:val="0"/>
        <w:spacing w:after="180" w:line="276" w:lineRule="auto"/>
        <w:rPr>
          <w:rFonts w:ascii="Verdana" w:eastAsia="MS Mincho" w:hAnsi="Verdana" w:cs="Arial"/>
          <w:sz w:val="22"/>
          <w:szCs w:val="22"/>
          <w:lang w:eastAsia="ja-JP"/>
        </w:rPr>
      </w:pPr>
    </w:p>
    <w:p w:rsidR="00282D17" w:rsidRPr="00C4514D" w:rsidRDefault="00282D17" w:rsidP="00282D17">
      <w:pPr>
        <w:autoSpaceDE w:val="0"/>
        <w:autoSpaceDN w:val="0"/>
        <w:adjustRightInd w:val="0"/>
        <w:spacing w:after="180" w:line="276" w:lineRule="auto"/>
        <w:jc w:val="both"/>
        <w:rPr>
          <w:rFonts w:ascii="Verdana" w:eastAsia="Cambria" w:hAnsi="Verdana" w:cs="Arial"/>
          <w:b/>
          <w:bCs/>
          <w:i/>
          <w:sz w:val="22"/>
          <w:szCs w:val="22"/>
          <w:lang w:eastAsia="en-US"/>
        </w:rPr>
      </w:pPr>
      <w:r w:rsidRPr="00C4514D">
        <w:rPr>
          <w:rFonts w:ascii="Verdana" w:eastAsia="Cambria" w:hAnsi="Verdana" w:cs="Arial"/>
          <w:b/>
          <w:bCs/>
          <w:i/>
          <w:sz w:val="22"/>
          <w:szCs w:val="22"/>
          <w:lang w:eastAsia="en-US"/>
        </w:rPr>
        <w:t>Role and tasks of the audit authority and group of auditors</w:t>
      </w:r>
    </w:p>
    <w:p w:rsidR="00282D17" w:rsidRPr="00C4514D" w:rsidRDefault="00282D17" w:rsidP="00282D17">
      <w:pPr>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The audit authority will ensure that audits are carried out on the proper functioning of the management and control systems and on an appropriate sample of operations in compliance with Article 127 of Regulation (EU) No 1303/2013 [CPR].</w:t>
      </w:r>
    </w:p>
    <w:p w:rsidR="00282D17" w:rsidRPr="00C4514D" w:rsidRDefault="00282D17" w:rsidP="00282D17">
      <w:pPr>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According to Article 21 of Regulation (EU) No 1299/2013 [ETC], the managing authority and the audit authority shall be located in the same Member State. In compliance with the administrative provisions in France for the audit of actions co-financed by the European Structural Funds, the “Commission Interministérielle de Coordination des Contrôles des Opérations cofinancées par les Fonds Européens” (CICC) shall act as audit authority and carry out the functions provided for in Article 127 of Regulation (EU) No 1303/2013 [CPR].</w:t>
      </w:r>
    </w:p>
    <w:p w:rsidR="00282D17" w:rsidRPr="00C4514D" w:rsidRDefault="00282D17" w:rsidP="00282D17">
      <w:pPr>
        <w:autoSpaceDE w:val="0"/>
        <w:autoSpaceDN w:val="0"/>
        <w:adjustRightInd w:val="0"/>
        <w:spacing w:after="180" w:line="276" w:lineRule="auto"/>
        <w:jc w:val="both"/>
        <w:rPr>
          <w:rFonts w:ascii="Verdana" w:eastAsia="MS Mincho" w:hAnsi="Verdana" w:cs="Arial"/>
          <w:color w:val="000000"/>
          <w:sz w:val="22"/>
          <w:szCs w:val="22"/>
          <w:lang w:eastAsia="ja-JP"/>
        </w:rPr>
      </w:pPr>
      <w:r w:rsidRPr="00C4514D">
        <w:rPr>
          <w:rFonts w:ascii="Verdana" w:eastAsia="MS Mincho" w:hAnsi="Verdana" w:cs="Arial"/>
          <w:color w:val="000000"/>
          <w:sz w:val="22"/>
          <w:szCs w:val="22"/>
          <w:lang w:eastAsia="ja-JP"/>
        </w:rPr>
        <w:t>In accordance with Article 25 (1) of Regulation (EU) No 1299/2013 [ETC] the EU-Member States, Norway and Switzerland agree that the audit authority will not be authorised to carry out directly the audit functions in the whole territory of the programme. As a consequence of this, the audit authority will be assisted by a</w:t>
      </w:r>
      <w:r w:rsidRPr="00C4514D">
        <w:rPr>
          <w:rFonts w:ascii="Verdana" w:eastAsia="MS Mincho" w:hAnsi="Verdana" w:cs="Arial"/>
          <w:b/>
          <w:bCs/>
          <w:color w:val="000000"/>
          <w:sz w:val="22"/>
          <w:szCs w:val="22"/>
          <w:lang w:eastAsia="ja-JP"/>
        </w:rPr>
        <w:t xml:space="preserve"> </w:t>
      </w:r>
      <w:r w:rsidRPr="00C4514D">
        <w:rPr>
          <w:rFonts w:ascii="Verdana" w:eastAsia="MS Mincho" w:hAnsi="Verdana" w:cs="Arial"/>
          <w:bCs/>
          <w:color w:val="000000"/>
          <w:sz w:val="22"/>
          <w:szCs w:val="22"/>
          <w:lang w:eastAsia="ja-JP"/>
        </w:rPr>
        <w:t>group of auditors</w:t>
      </w:r>
      <w:r w:rsidRPr="00C4514D">
        <w:rPr>
          <w:rFonts w:ascii="Verdana" w:eastAsia="MS Mincho" w:hAnsi="Verdana" w:cs="Arial"/>
          <w:color w:val="000000"/>
          <w:sz w:val="22"/>
          <w:szCs w:val="22"/>
          <w:lang w:eastAsia="ja-JP"/>
        </w:rPr>
        <w:t xml:space="preserve"> comprising representatives of each Member/Partner State participating in the programme carrying out the duties provided for in Article 127 of Regulation (EU) No 1303/2013 [CPR]. Each Member/Partner State shall be responsible for the audits carried out on its territory. As a consequence, the representatives have to be entitled to participate in decision-making within the group of auditors on behalf of the respective Member/Partner State and be from a unit independent from the monitoring committee members, the controllers designated according to Article 23 of Regulation (EU) 1299/2013 [ETC] and any project’s activities and finances. The contact details of the respective independent body/unit representing the Member/Partner States in the group of auditors </w:t>
      </w:r>
      <w:r w:rsidRPr="00C4514D">
        <w:rPr>
          <w:rFonts w:ascii="Verdana" w:eastAsia="Cambria" w:hAnsi="Verdana" w:cs="Arial"/>
          <w:sz w:val="22"/>
          <w:szCs w:val="22"/>
          <w:lang w:eastAsia="en-US"/>
        </w:rPr>
        <w:t xml:space="preserve">will be included in the agreement signed by each </w:t>
      </w:r>
      <w:r w:rsidRPr="00C4514D">
        <w:rPr>
          <w:rFonts w:ascii="Verdana" w:eastAsia="MS Mincho" w:hAnsi="Verdana" w:cs="Arial"/>
          <w:color w:val="000000"/>
          <w:sz w:val="22"/>
          <w:szCs w:val="22"/>
          <w:lang w:eastAsia="ja-JP"/>
        </w:rPr>
        <w:t>Member/Partner State</w:t>
      </w:r>
      <w:r w:rsidRPr="00C4514D">
        <w:rPr>
          <w:rFonts w:ascii="Verdana" w:eastAsia="Cambria" w:hAnsi="Verdana" w:cs="Arial"/>
          <w:sz w:val="22"/>
          <w:szCs w:val="22"/>
          <w:lang w:eastAsia="en-US"/>
        </w:rPr>
        <w:t xml:space="preserve"> submitted with the operational programme. Lists will be updated with the annual control reports.</w:t>
      </w:r>
      <w:r w:rsidRPr="00C4514D">
        <w:rPr>
          <w:rFonts w:ascii="Verdana" w:eastAsia="MS Mincho" w:hAnsi="Verdana" w:cs="Arial"/>
          <w:color w:val="000000"/>
          <w:sz w:val="22"/>
          <w:szCs w:val="22"/>
          <w:lang w:eastAsia="ja-JP"/>
        </w:rPr>
        <w:t xml:space="preserve"> </w:t>
      </w:r>
    </w:p>
    <w:p w:rsidR="00282D17" w:rsidRPr="00C4514D" w:rsidRDefault="00282D17" w:rsidP="00282D17">
      <w:pPr>
        <w:autoSpaceDE w:val="0"/>
        <w:autoSpaceDN w:val="0"/>
        <w:adjustRightInd w:val="0"/>
        <w:spacing w:after="180" w:line="276" w:lineRule="auto"/>
        <w:jc w:val="both"/>
        <w:rPr>
          <w:rFonts w:ascii="Verdana" w:eastAsia="MS Mincho" w:hAnsi="Verdana" w:cs="Arial"/>
          <w:color w:val="000000"/>
          <w:sz w:val="22"/>
          <w:szCs w:val="22"/>
          <w:lang w:eastAsia="ja-JP"/>
        </w:rPr>
      </w:pPr>
      <w:r w:rsidRPr="00C4514D">
        <w:rPr>
          <w:rFonts w:ascii="Verdana" w:eastAsia="MS Mincho" w:hAnsi="Verdana" w:cs="Arial"/>
          <w:color w:val="000000"/>
          <w:sz w:val="22"/>
          <w:szCs w:val="22"/>
          <w:lang w:eastAsia="ja-JP"/>
        </w:rPr>
        <w:t xml:space="preserve">The group of auditors will be set up within three months of the decision approving the cooperation programme.  In accordance with Article 25 (2) of </w:t>
      </w:r>
      <w:r w:rsidRPr="00C4514D">
        <w:rPr>
          <w:rFonts w:ascii="Verdana" w:eastAsia="MS Mincho" w:hAnsi="Verdana" w:cs="Arial"/>
          <w:sz w:val="22"/>
          <w:szCs w:val="22"/>
          <w:lang w:eastAsia="ja-JP"/>
        </w:rPr>
        <w:t>Regulation (EU) 1299/2013 [CTE]</w:t>
      </w:r>
      <w:r w:rsidRPr="00C4514D">
        <w:rPr>
          <w:rFonts w:ascii="Verdana" w:eastAsia="MS Mincho" w:hAnsi="Verdana" w:cs="Arial"/>
          <w:color w:val="000000"/>
          <w:sz w:val="22"/>
          <w:szCs w:val="22"/>
          <w:lang w:eastAsia="ja-JP"/>
        </w:rPr>
        <w:t xml:space="preserve">, the group of auditors shall draw up, its own rules of procedure and be chaired by the audit authority for the cooperation programme. </w:t>
      </w:r>
    </w:p>
    <w:p w:rsidR="00282D17" w:rsidRPr="00C4514D" w:rsidRDefault="00282D17" w:rsidP="00282D17">
      <w:pPr>
        <w:spacing w:after="180" w:line="276" w:lineRule="auto"/>
        <w:jc w:val="both"/>
        <w:rPr>
          <w:rFonts w:ascii="Verdana" w:hAnsi="Verdana" w:cs="Arial"/>
          <w:sz w:val="22"/>
          <w:szCs w:val="22"/>
        </w:rPr>
      </w:pPr>
      <w:r w:rsidRPr="00C4514D">
        <w:rPr>
          <w:rFonts w:ascii="Verdana" w:hAnsi="Verdana" w:cs="Arial"/>
          <w:bCs/>
          <w:color w:val="000000"/>
          <w:sz w:val="22"/>
          <w:szCs w:val="22"/>
        </w:rPr>
        <w:t xml:space="preserve">The AA, in agreement with the GoA (and the MC for the budgetary provisions), may decide to contract an external audit firm to carry out the audits and prepare documents referred to in Article 127 of Regulation (EU) 1303/2013. </w:t>
      </w:r>
    </w:p>
    <w:p w:rsidR="00282D17" w:rsidRDefault="00282D17" w:rsidP="00282D17">
      <w:pPr>
        <w:spacing w:after="180" w:line="276" w:lineRule="auto"/>
        <w:jc w:val="both"/>
        <w:rPr>
          <w:rFonts w:ascii="Verdana" w:hAnsi="Verdana" w:cs="Arial"/>
          <w:sz w:val="22"/>
          <w:szCs w:val="22"/>
        </w:rPr>
      </w:pPr>
      <w:r w:rsidRPr="00C4514D">
        <w:rPr>
          <w:rFonts w:ascii="Verdana" w:hAnsi="Verdana" w:cs="Arial"/>
          <w:bCs/>
          <w:color w:val="000000"/>
          <w:sz w:val="22"/>
          <w:szCs w:val="22"/>
        </w:rPr>
        <w:t xml:space="preserve">The quality and completeness of the audit work carried out and/or the documents mentioned here above will be ensured by the audit authority together </w:t>
      </w:r>
      <w:r w:rsidRPr="001E0E60">
        <w:rPr>
          <w:rFonts w:ascii="Verdana" w:hAnsi="Verdana" w:cs="Arial"/>
          <w:bCs/>
          <w:color w:val="000000"/>
          <w:sz w:val="22"/>
          <w:szCs w:val="22"/>
        </w:rPr>
        <w:t>with the group of auditors, assisted by the joint secretariat. The joint secretariat</w:t>
      </w:r>
      <w:r w:rsidRPr="00C4514D">
        <w:rPr>
          <w:rFonts w:ascii="Verdana" w:hAnsi="Verdana" w:cs="Arial"/>
          <w:bCs/>
          <w:color w:val="000000"/>
          <w:sz w:val="22"/>
          <w:szCs w:val="22"/>
        </w:rPr>
        <w:t xml:space="preserve"> will inform the monitoring committee of the results of the audit work and necessary follow-up.</w:t>
      </w:r>
    </w:p>
    <w:p w:rsidR="00282D17" w:rsidRPr="00C4514D" w:rsidRDefault="00282D17" w:rsidP="00282D17">
      <w:pPr>
        <w:autoSpaceDE w:val="0"/>
        <w:autoSpaceDN w:val="0"/>
        <w:adjustRightInd w:val="0"/>
        <w:spacing w:after="180" w:line="276" w:lineRule="auto"/>
        <w:jc w:val="both"/>
        <w:rPr>
          <w:rFonts w:ascii="Verdana" w:eastAsia="MS Mincho" w:hAnsi="Verdana" w:cs="Arial"/>
          <w:sz w:val="22"/>
          <w:szCs w:val="22"/>
          <w:lang w:eastAsia="ja-JP"/>
        </w:rPr>
      </w:pPr>
    </w:p>
    <w:p w:rsidR="00282D17" w:rsidRPr="00C4514D" w:rsidRDefault="00282D17" w:rsidP="00282D17">
      <w:pPr>
        <w:autoSpaceDE w:val="0"/>
        <w:autoSpaceDN w:val="0"/>
        <w:adjustRightInd w:val="0"/>
        <w:spacing w:after="180" w:line="276" w:lineRule="auto"/>
        <w:jc w:val="both"/>
        <w:rPr>
          <w:rFonts w:ascii="Verdana" w:eastAsia="Cambria" w:hAnsi="Verdana" w:cs="Arial"/>
          <w:b/>
          <w:bCs/>
          <w:i/>
          <w:sz w:val="22"/>
          <w:szCs w:val="22"/>
          <w:lang w:eastAsia="en-US"/>
        </w:rPr>
      </w:pPr>
      <w:r w:rsidRPr="00C4514D">
        <w:rPr>
          <w:rFonts w:ascii="Verdana" w:eastAsia="Cambria" w:hAnsi="Verdana" w:cs="Arial"/>
          <w:b/>
          <w:bCs/>
          <w:i/>
          <w:sz w:val="22"/>
          <w:szCs w:val="22"/>
          <w:lang w:eastAsia="en-US"/>
        </w:rPr>
        <w:t>Role and tasks of the monitoring committee</w:t>
      </w:r>
    </w:p>
    <w:p w:rsidR="00282D17" w:rsidRPr="00C4514D" w:rsidRDefault="00282D17" w:rsidP="00282D17">
      <w:pPr>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 xml:space="preserve">According to Article 47 of Regulation (EU) 1303/2013 [CPR], within three months of the date of notification of the decision adopting a programme, the Member/Partner States will set up a committee to monitor implementation of the programme, in agreement with the managing authority. The monitoring committee will draw up and adopt its rules of procedure. The monitoring committee’s rules of procedure with detailed provisions will be drawn up before signature of the written Member/Partner State agreement and approved during the first monitoring committee meeting. </w:t>
      </w:r>
    </w:p>
    <w:p w:rsidR="00282D17" w:rsidRPr="00C4514D" w:rsidRDefault="00282D17" w:rsidP="00282D17">
      <w:pPr>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The monitoring committee is made up of:</w:t>
      </w:r>
    </w:p>
    <w:p w:rsidR="00282D17" w:rsidRPr="00C4514D" w:rsidRDefault="00282D17" w:rsidP="008166DD">
      <w:pPr>
        <w:numPr>
          <w:ilvl w:val="0"/>
          <w:numId w:val="43"/>
        </w:numPr>
        <w:autoSpaceDE w:val="0"/>
        <w:autoSpaceDN w:val="0"/>
        <w:adjustRightInd w:val="0"/>
        <w:spacing w:after="180" w:line="276" w:lineRule="auto"/>
        <w:ind w:left="714" w:hanging="357"/>
        <w:jc w:val="both"/>
        <w:rPr>
          <w:rFonts w:ascii="Verdana" w:eastAsia="MS Mincho" w:hAnsi="Verdana" w:cs="Arial"/>
          <w:sz w:val="22"/>
          <w:szCs w:val="22"/>
          <w:lang w:eastAsia="ja-JP"/>
        </w:rPr>
      </w:pPr>
      <w:r w:rsidRPr="00C4514D">
        <w:rPr>
          <w:rFonts w:ascii="Verdana" w:eastAsia="MS Mincho" w:hAnsi="Verdana" w:cs="Arial"/>
          <w:sz w:val="22"/>
          <w:szCs w:val="22"/>
          <w:lang w:eastAsia="ja-JP"/>
        </w:rPr>
        <w:t xml:space="preserve">up to </w:t>
      </w:r>
      <w:r>
        <w:rPr>
          <w:rFonts w:ascii="Verdana" w:eastAsia="MS Mincho" w:hAnsi="Verdana" w:cs="Arial"/>
          <w:sz w:val="22"/>
          <w:szCs w:val="22"/>
          <w:lang w:eastAsia="ja-JP"/>
        </w:rPr>
        <w:t>two</w:t>
      </w:r>
      <w:r w:rsidRPr="00C4514D">
        <w:rPr>
          <w:rFonts w:ascii="Verdana" w:eastAsia="MS Mincho" w:hAnsi="Verdana" w:cs="Arial"/>
          <w:sz w:val="22"/>
          <w:szCs w:val="22"/>
          <w:lang w:eastAsia="ja-JP"/>
        </w:rPr>
        <w:t xml:space="preserve"> representatives per country (EU 28, Norway, Switzerland);</w:t>
      </w:r>
    </w:p>
    <w:p w:rsidR="00282D17" w:rsidRPr="00C4514D" w:rsidRDefault="00282D17" w:rsidP="008166DD">
      <w:pPr>
        <w:numPr>
          <w:ilvl w:val="0"/>
          <w:numId w:val="43"/>
        </w:numPr>
        <w:autoSpaceDE w:val="0"/>
        <w:autoSpaceDN w:val="0"/>
        <w:adjustRightInd w:val="0"/>
        <w:spacing w:after="180" w:line="276" w:lineRule="auto"/>
        <w:ind w:left="714" w:hanging="357"/>
        <w:jc w:val="both"/>
        <w:rPr>
          <w:rFonts w:ascii="Verdana" w:eastAsia="MS Mincho" w:hAnsi="Verdana" w:cs="Arial"/>
          <w:sz w:val="22"/>
          <w:szCs w:val="22"/>
          <w:lang w:eastAsia="ja-JP"/>
        </w:rPr>
      </w:pPr>
      <w:r w:rsidRPr="00C4514D">
        <w:rPr>
          <w:rFonts w:ascii="Verdana" w:eastAsia="MS Mincho" w:hAnsi="Verdana" w:cs="Arial"/>
          <w:sz w:val="22"/>
          <w:szCs w:val="22"/>
          <w:lang w:eastAsia="ja-JP"/>
        </w:rPr>
        <w:t>representatives of the European Commission, and other appropriate EU level institutions to be determined in the rules of procedure will participate in the monitoring committee in an advisory capacity</w:t>
      </w:r>
    </w:p>
    <w:p w:rsidR="00282D17" w:rsidRPr="00C4514D" w:rsidRDefault="00282D17" w:rsidP="008166DD">
      <w:pPr>
        <w:numPr>
          <w:ilvl w:val="0"/>
          <w:numId w:val="44"/>
        </w:numPr>
        <w:autoSpaceDE w:val="0"/>
        <w:autoSpaceDN w:val="0"/>
        <w:adjustRightInd w:val="0"/>
        <w:spacing w:after="180" w:line="276" w:lineRule="auto"/>
        <w:ind w:left="714" w:hanging="357"/>
        <w:jc w:val="both"/>
        <w:rPr>
          <w:rFonts w:ascii="Verdana" w:eastAsia="MS Mincho" w:hAnsi="Verdana" w:cs="Arial"/>
          <w:sz w:val="22"/>
          <w:szCs w:val="22"/>
          <w:lang w:eastAsia="ja-JP"/>
        </w:rPr>
      </w:pPr>
      <w:r w:rsidRPr="00C4514D">
        <w:rPr>
          <w:rFonts w:ascii="Verdana" w:eastAsia="MS Mincho" w:hAnsi="Verdana" w:cs="Arial"/>
          <w:sz w:val="22"/>
          <w:szCs w:val="22"/>
          <w:lang w:eastAsia="ja-JP"/>
        </w:rPr>
        <w:t>the managing authority, the joint secretariat and, where necessary, the certifying authority and the audit authority, will also participate in an advisory capacity.</w:t>
      </w:r>
    </w:p>
    <w:p w:rsidR="00282D17" w:rsidRPr="00C4514D" w:rsidRDefault="00282D17" w:rsidP="00282D17">
      <w:pPr>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 xml:space="preserve">The monitoring committee in accordance with Article 49 of Regulation (EU) 1303/2013 [CPR] shall review the implementation of the programme and progress towards achieving its objectives, and more specifically the functions listed in Article 110 of Regulation (EU) No 1303/2013 [CPR]. The monitoring committee will also adopt the methodology, criteria for selection of operations and the eligibility rules before the launch of each call for proposals. </w:t>
      </w:r>
    </w:p>
    <w:p w:rsidR="00282D17" w:rsidRPr="00C4514D" w:rsidRDefault="00282D17" w:rsidP="00282D17">
      <w:pPr>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 xml:space="preserve">The representatives of the monitoring committee will ensure that on the national level all relevant partners are involved in the preparation, implementation, monitoring and evaluation of the cooperation programme as referred to in Article 5(2) of Regulation (EU) No 1303/2013 [CPR].  </w:t>
      </w:r>
    </w:p>
    <w:p w:rsidR="00282D17" w:rsidRPr="00C4514D" w:rsidRDefault="00282D17" w:rsidP="00282D17">
      <w:pPr>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With regard to the tasks of the monitoring committee it shall be ensured that decisions of the monitoring committee will be free from bias and must not be influenced by partial personal and/or organisational interest of any of the individual members of this committee. Any members who have a conflict of interest in respect of any subject matter up for consideration by the monitoring committee shall declare such interest to the meeting and shall not take part in the decision. The monitoring committee will set out the details of this procedure in the monitoring committee’s rules of procedure.</w:t>
      </w:r>
    </w:p>
    <w:p w:rsidR="00282D17" w:rsidRPr="00C4514D" w:rsidRDefault="00282D17" w:rsidP="00282D17">
      <w:pPr>
        <w:autoSpaceDE w:val="0"/>
        <w:autoSpaceDN w:val="0"/>
        <w:adjustRightInd w:val="0"/>
        <w:spacing w:after="180" w:line="276" w:lineRule="auto"/>
        <w:jc w:val="both"/>
        <w:rPr>
          <w:rFonts w:ascii="Verdana" w:eastAsia="Cambria" w:hAnsi="Verdana" w:cs="Arial"/>
          <w:b/>
          <w:iCs/>
          <w:sz w:val="22"/>
          <w:szCs w:val="22"/>
          <w:lang w:eastAsia="en-US"/>
        </w:rPr>
      </w:pPr>
    </w:p>
    <w:p w:rsidR="00282D17" w:rsidRPr="00C4514D" w:rsidRDefault="00282D17" w:rsidP="00282D17">
      <w:pPr>
        <w:autoSpaceDE w:val="0"/>
        <w:autoSpaceDN w:val="0"/>
        <w:adjustRightInd w:val="0"/>
        <w:spacing w:after="180" w:line="276" w:lineRule="auto"/>
        <w:jc w:val="both"/>
        <w:rPr>
          <w:rFonts w:ascii="Verdana" w:eastAsia="Cambria" w:hAnsi="Verdana" w:cs="Arial"/>
          <w:b/>
          <w:i/>
          <w:iCs/>
          <w:sz w:val="22"/>
          <w:szCs w:val="22"/>
          <w:lang w:eastAsia="en-US"/>
        </w:rPr>
      </w:pPr>
      <w:r w:rsidRPr="00C4514D">
        <w:rPr>
          <w:rFonts w:ascii="Verdana" w:eastAsia="Cambria" w:hAnsi="Verdana" w:cs="Arial"/>
          <w:b/>
          <w:i/>
          <w:iCs/>
          <w:sz w:val="22"/>
          <w:szCs w:val="22"/>
          <w:lang w:eastAsia="en-US"/>
        </w:rPr>
        <w:t>Organisation of the assessment, selection of operations and resolution of complaints</w:t>
      </w:r>
    </w:p>
    <w:p w:rsidR="00282D17" w:rsidRPr="00C4514D" w:rsidRDefault="00282D17" w:rsidP="00282D17">
      <w:pPr>
        <w:autoSpaceDE w:val="0"/>
        <w:autoSpaceDN w:val="0"/>
        <w:adjustRightInd w:val="0"/>
        <w:spacing w:after="180" w:line="276" w:lineRule="auto"/>
        <w:jc w:val="both"/>
        <w:rPr>
          <w:rFonts w:ascii="Verdana" w:eastAsia="Cambria" w:hAnsi="Verdana" w:cs="Arial"/>
          <w:color w:val="000000"/>
          <w:sz w:val="22"/>
          <w:szCs w:val="22"/>
          <w:lang w:eastAsia="en-US"/>
        </w:rPr>
      </w:pPr>
      <w:r w:rsidRPr="00C4514D">
        <w:rPr>
          <w:rFonts w:ascii="Verdana" w:eastAsia="Cambria" w:hAnsi="Verdana" w:cs="Arial"/>
          <w:color w:val="000000"/>
          <w:sz w:val="22"/>
          <w:szCs w:val="22"/>
          <w:lang w:eastAsia="en-US"/>
        </w:rPr>
        <w:t>Project applications shall be submitted following calls for proposals whose terms of reference will be published on the programme website. Details of the selection procedure will also be made available to all applicants through the programme manual. The applications submitted will be made available to the members of the monitoring committee. The joint secretariat on behalf of the managing authority organises the impartial assessment of these applications based on the eligibility and quality criteria approved by the monitoring committee, and makes a proposal for a decision to the monitoring committee.</w:t>
      </w:r>
    </w:p>
    <w:p w:rsidR="00282D17" w:rsidRPr="00C4514D" w:rsidRDefault="00282D17" w:rsidP="00282D17">
      <w:pPr>
        <w:autoSpaceDE w:val="0"/>
        <w:autoSpaceDN w:val="0"/>
        <w:adjustRightInd w:val="0"/>
        <w:spacing w:after="180" w:line="276" w:lineRule="auto"/>
        <w:jc w:val="both"/>
        <w:rPr>
          <w:rFonts w:ascii="Verdana" w:eastAsia="Cambria" w:hAnsi="Verdana" w:cs="Arial"/>
          <w:iCs/>
          <w:sz w:val="22"/>
          <w:szCs w:val="22"/>
          <w:lang w:eastAsia="en-US"/>
        </w:rPr>
      </w:pPr>
      <w:r w:rsidRPr="00C4514D">
        <w:rPr>
          <w:rFonts w:ascii="Verdana" w:eastAsia="Cambria" w:hAnsi="Verdana" w:cs="Arial"/>
          <w:iCs/>
          <w:sz w:val="22"/>
          <w:szCs w:val="22"/>
          <w:lang w:eastAsia="en-US"/>
        </w:rPr>
        <w:t>Each Member/Partner State is in charge of assisting the JS in the verification of eligibility of project partners located on its territory, where necessary. This should be preferably done prior to the project approval by the monitoring committee. Any Member / Partner State can reject the participation of project partners on their territory, providing justification, without rejecting the whole project proposal.</w:t>
      </w:r>
    </w:p>
    <w:p w:rsidR="00282D17" w:rsidRDefault="00282D17" w:rsidP="00282D17">
      <w:pPr>
        <w:autoSpaceDE w:val="0"/>
        <w:autoSpaceDN w:val="0"/>
        <w:adjustRightInd w:val="0"/>
        <w:spacing w:after="180" w:line="276" w:lineRule="auto"/>
        <w:jc w:val="both"/>
        <w:rPr>
          <w:rFonts w:ascii="Verdana" w:eastAsia="Cambria" w:hAnsi="Verdana" w:cs="Arial"/>
          <w:iCs/>
          <w:sz w:val="22"/>
          <w:szCs w:val="22"/>
          <w:lang w:eastAsia="en-US"/>
        </w:rPr>
      </w:pPr>
      <w:r w:rsidRPr="00C4514D">
        <w:rPr>
          <w:rFonts w:ascii="Verdana" w:eastAsia="Cambria" w:hAnsi="Verdana" w:cs="Arial"/>
          <w:iCs/>
          <w:sz w:val="22"/>
          <w:szCs w:val="22"/>
          <w:lang w:eastAsia="en-US"/>
        </w:rPr>
        <w:t>Project lead applicants are informed in writing about the reasons why an application was not eligible or approved. Any questions in relation to the assessments will be examined and answered by the managing authority. If needed, remaining complaints will be examined and answered jointly by the chair of the monitoring committee and the managing authority/joint secretariat. The chair may decide to refer back a complaint to the monitoring committee, should s/he judge it necessary. An overview of complaints examined and answered by the chair of the monitoring committee and managing authority will be provided to the monitoring committee in the following meeting. The same complaint procedure as described will also apply to other stages of the project implementation controlled by programme bodies, such as the progress monitoring.</w:t>
      </w:r>
    </w:p>
    <w:p w:rsidR="00282D17" w:rsidRPr="00C4514D" w:rsidRDefault="00282D17" w:rsidP="00282D17">
      <w:pPr>
        <w:autoSpaceDE w:val="0"/>
        <w:autoSpaceDN w:val="0"/>
        <w:adjustRightInd w:val="0"/>
        <w:spacing w:after="180" w:line="276" w:lineRule="auto"/>
        <w:jc w:val="both"/>
        <w:rPr>
          <w:rFonts w:ascii="Verdana" w:eastAsia="Cambria" w:hAnsi="Verdana" w:cs="Arial"/>
          <w:iCs/>
          <w:sz w:val="22"/>
          <w:szCs w:val="22"/>
          <w:lang w:eastAsia="en-US"/>
        </w:rPr>
      </w:pPr>
      <w:r w:rsidRPr="00097512">
        <w:rPr>
          <w:rFonts w:ascii="Verdana" w:eastAsia="Cambria" w:hAnsi="Verdana" w:cs="Arial"/>
          <w:iCs/>
          <w:sz w:val="22"/>
          <w:szCs w:val="22"/>
          <w:lang w:eastAsia="en-US"/>
        </w:rPr>
        <w:t xml:space="preserve">All other complaints shall be dealt with according to </w:t>
      </w:r>
      <w:r w:rsidR="00DB0EB4">
        <w:rPr>
          <w:rFonts w:ascii="Verdana" w:eastAsia="Cambria" w:hAnsi="Verdana" w:cs="Arial"/>
          <w:iCs/>
          <w:sz w:val="22"/>
          <w:szCs w:val="22"/>
          <w:lang w:eastAsia="en-US"/>
        </w:rPr>
        <w:t>the applicable national l</w:t>
      </w:r>
      <w:r w:rsidRPr="00FD1021">
        <w:rPr>
          <w:rFonts w:ascii="Verdana" w:eastAsia="Cambria" w:hAnsi="Verdana" w:cs="Arial"/>
          <w:iCs/>
          <w:sz w:val="22"/>
          <w:szCs w:val="22"/>
          <w:lang w:eastAsia="en-US"/>
        </w:rPr>
        <w:t>aw, no specific law has been established to this effect.</w:t>
      </w:r>
    </w:p>
    <w:p w:rsidR="00282D17" w:rsidRPr="00C4514D" w:rsidRDefault="00282D17" w:rsidP="00282D17">
      <w:pPr>
        <w:autoSpaceDE w:val="0"/>
        <w:autoSpaceDN w:val="0"/>
        <w:adjustRightInd w:val="0"/>
        <w:spacing w:after="180" w:line="276" w:lineRule="auto"/>
        <w:jc w:val="both"/>
        <w:rPr>
          <w:rFonts w:ascii="Verdana" w:eastAsia="Cambria" w:hAnsi="Verdana" w:cs="Arial"/>
          <w:b/>
          <w:iCs/>
          <w:sz w:val="22"/>
          <w:szCs w:val="22"/>
          <w:lang w:eastAsia="en-US"/>
        </w:rPr>
      </w:pPr>
    </w:p>
    <w:p w:rsidR="00282D17" w:rsidRPr="00C4514D" w:rsidRDefault="00282D17" w:rsidP="00282D17">
      <w:pPr>
        <w:autoSpaceDE w:val="0"/>
        <w:autoSpaceDN w:val="0"/>
        <w:adjustRightInd w:val="0"/>
        <w:spacing w:after="180" w:line="276" w:lineRule="auto"/>
        <w:jc w:val="both"/>
        <w:rPr>
          <w:rFonts w:ascii="Verdana" w:eastAsia="Cambria" w:hAnsi="Verdana" w:cs="Arial"/>
          <w:b/>
          <w:i/>
          <w:iCs/>
          <w:sz w:val="22"/>
          <w:szCs w:val="22"/>
          <w:lang w:eastAsia="en-US"/>
        </w:rPr>
      </w:pPr>
      <w:r w:rsidRPr="00C4514D">
        <w:rPr>
          <w:rFonts w:ascii="Verdana" w:eastAsia="Cambria" w:hAnsi="Verdana" w:cs="Arial"/>
          <w:b/>
          <w:i/>
          <w:iCs/>
          <w:sz w:val="22"/>
          <w:szCs w:val="22"/>
          <w:lang w:eastAsia="en-US"/>
        </w:rPr>
        <w:t xml:space="preserve">Procedure for the signature of the document setting out the conditions of support “subsidy contract” </w:t>
      </w:r>
    </w:p>
    <w:p w:rsidR="00282D17" w:rsidRPr="00C4514D" w:rsidRDefault="00282D17" w:rsidP="00282D17">
      <w:pPr>
        <w:autoSpaceDE w:val="0"/>
        <w:autoSpaceDN w:val="0"/>
        <w:adjustRightInd w:val="0"/>
        <w:spacing w:after="180" w:line="276" w:lineRule="auto"/>
        <w:jc w:val="both"/>
        <w:rPr>
          <w:rFonts w:ascii="Verdana" w:hAnsi="Verdana" w:cs="Arial"/>
          <w:color w:val="000000"/>
          <w:sz w:val="22"/>
          <w:szCs w:val="22"/>
        </w:rPr>
      </w:pPr>
      <w:r w:rsidRPr="00C4514D">
        <w:rPr>
          <w:rFonts w:ascii="Verdana" w:hAnsi="Verdana" w:cs="Arial"/>
          <w:color w:val="000000"/>
          <w:sz w:val="22"/>
          <w:szCs w:val="22"/>
        </w:rPr>
        <w:t xml:space="preserve">Following the decision of the MC, the MA (through the JS) will draft a Subsidy Contract. The MA shall use a standard form of Subsidy Contract which is approved by the MC and lays down further details concerning the responsibilities and liabilities of the beneficiaries. The Subsidy Contract is signed by the MA and shall be addressed to the project lead partner. The MA shall make sure that the Subsidy Contracts make lead partner aware of their obligation to: </w:t>
      </w:r>
    </w:p>
    <w:p w:rsidR="00282D17" w:rsidRPr="00C4514D" w:rsidRDefault="00282D17" w:rsidP="008166DD">
      <w:pPr>
        <w:pStyle w:val="Akapitzlist"/>
        <w:numPr>
          <w:ilvl w:val="0"/>
          <w:numId w:val="45"/>
        </w:numPr>
        <w:autoSpaceDE w:val="0"/>
        <w:autoSpaceDN w:val="0"/>
        <w:adjustRightInd w:val="0"/>
        <w:spacing w:after="180"/>
        <w:ind w:left="714" w:hanging="357"/>
        <w:jc w:val="both"/>
        <w:rPr>
          <w:rFonts w:ascii="Verdana" w:hAnsi="Verdana" w:cs="Arial"/>
          <w:color w:val="000000"/>
        </w:rPr>
      </w:pPr>
      <w:r w:rsidRPr="00C4514D">
        <w:rPr>
          <w:rFonts w:ascii="Verdana" w:hAnsi="Verdana" w:cs="Arial"/>
          <w:color w:val="000000"/>
        </w:rPr>
        <w:t>accept controls and give access to their business premises to any authorized body (JS on behalf of the MA, MA, CA, AA, Commission services and European Court of Auditors) for control and audit purposes in compliance with article 132 of Regulation (EU) 1303/2013 [CPR],</w:t>
      </w:r>
    </w:p>
    <w:p w:rsidR="00282D17" w:rsidRPr="00C4514D" w:rsidRDefault="00282D17" w:rsidP="008166DD">
      <w:pPr>
        <w:pStyle w:val="Akapitzlist"/>
        <w:numPr>
          <w:ilvl w:val="0"/>
          <w:numId w:val="45"/>
        </w:numPr>
        <w:autoSpaceDE w:val="0"/>
        <w:autoSpaceDN w:val="0"/>
        <w:adjustRightInd w:val="0"/>
        <w:spacing w:after="180"/>
        <w:ind w:left="714" w:hanging="357"/>
        <w:jc w:val="both"/>
        <w:rPr>
          <w:rFonts w:ascii="Verdana" w:hAnsi="Verdana" w:cs="Arial"/>
          <w:color w:val="000000"/>
        </w:rPr>
      </w:pPr>
      <w:r w:rsidRPr="00C4514D">
        <w:rPr>
          <w:rFonts w:ascii="Verdana" w:hAnsi="Verdana" w:cs="Arial"/>
          <w:color w:val="000000"/>
        </w:rPr>
        <w:t xml:space="preserve">provide and give access to all the information and documents supporting the audit trail in accordance with the requirements of Article 72(g) of Regulation (EU) 1303/2013 [CPR], </w:t>
      </w:r>
    </w:p>
    <w:p w:rsidR="00282D17" w:rsidRPr="00C4514D" w:rsidRDefault="00282D17" w:rsidP="008166DD">
      <w:pPr>
        <w:pStyle w:val="Akapitzlist"/>
        <w:numPr>
          <w:ilvl w:val="0"/>
          <w:numId w:val="45"/>
        </w:numPr>
        <w:autoSpaceDE w:val="0"/>
        <w:autoSpaceDN w:val="0"/>
        <w:adjustRightInd w:val="0"/>
        <w:spacing w:after="180"/>
        <w:ind w:left="714" w:hanging="357"/>
        <w:jc w:val="both"/>
        <w:rPr>
          <w:rFonts w:ascii="Verdana" w:hAnsi="Verdana" w:cs="Arial"/>
          <w:color w:val="000000"/>
        </w:rPr>
      </w:pPr>
      <w:r w:rsidRPr="00C4514D">
        <w:rPr>
          <w:rFonts w:ascii="Verdana" w:hAnsi="Verdana" w:cs="Arial"/>
          <w:color w:val="000000"/>
        </w:rPr>
        <w:t>respect of public procurement, information and publicity, environmental protection and equal opportunities rules,</w:t>
      </w:r>
    </w:p>
    <w:p w:rsidR="00282D17" w:rsidRPr="00C4514D" w:rsidRDefault="00282D17" w:rsidP="008166DD">
      <w:pPr>
        <w:pStyle w:val="Akapitzlist"/>
        <w:numPr>
          <w:ilvl w:val="0"/>
          <w:numId w:val="45"/>
        </w:numPr>
        <w:autoSpaceDE w:val="0"/>
        <w:autoSpaceDN w:val="0"/>
        <w:adjustRightInd w:val="0"/>
        <w:spacing w:after="180"/>
        <w:ind w:left="714" w:hanging="357"/>
        <w:jc w:val="both"/>
        <w:rPr>
          <w:rFonts w:ascii="Verdana" w:hAnsi="Verdana" w:cs="Arial"/>
          <w:color w:val="000000"/>
        </w:rPr>
      </w:pPr>
      <w:r w:rsidRPr="00C4514D">
        <w:rPr>
          <w:rFonts w:ascii="Verdana" w:hAnsi="Verdana" w:cs="Arial"/>
          <w:color w:val="000000"/>
        </w:rPr>
        <w:t>keep all information and supporting documents related to the operation in accordance with Article 140 of Regulation (EU) No 1303/2013 [CPR].</w:t>
      </w:r>
    </w:p>
    <w:p w:rsidR="00282D17" w:rsidRPr="00C4514D" w:rsidRDefault="00282D17" w:rsidP="00282D17">
      <w:pPr>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hAnsi="Verdana" w:cs="Arial"/>
          <w:color w:val="000000"/>
          <w:sz w:val="22"/>
          <w:szCs w:val="22"/>
        </w:rPr>
        <w:t>The managing authority shall make sure that the lead partners are aware that these obligations have to be fulfilled by the project partners.</w:t>
      </w:r>
    </w:p>
    <w:p w:rsidR="00282D17" w:rsidRPr="00C4514D" w:rsidRDefault="00282D17" w:rsidP="00282D17">
      <w:pPr>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The subsidy contracts make reference to the control systems set up by the EU-MS, Norway and Switzerland in accordance with Article 23 (4) of Regulation (EU) 1299/2013 [ETC].</w:t>
      </w:r>
    </w:p>
    <w:p w:rsidR="00282D17" w:rsidRPr="00C4514D" w:rsidRDefault="00282D17" w:rsidP="00282D17">
      <w:pPr>
        <w:autoSpaceDE w:val="0"/>
        <w:autoSpaceDN w:val="0"/>
        <w:adjustRightInd w:val="0"/>
        <w:spacing w:after="180" w:line="276" w:lineRule="auto"/>
        <w:jc w:val="both"/>
        <w:rPr>
          <w:rFonts w:ascii="Verdana" w:hAnsi="Verdana" w:cs="Arial"/>
          <w:color w:val="000000"/>
          <w:sz w:val="22"/>
          <w:szCs w:val="22"/>
        </w:rPr>
      </w:pPr>
      <w:r w:rsidRPr="00C4514D">
        <w:rPr>
          <w:rFonts w:ascii="Verdana" w:hAnsi="Verdana" w:cs="Arial"/>
          <w:color w:val="000000"/>
          <w:sz w:val="22"/>
          <w:szCs w:val="22"/>
        </w:rPr>
        <w:t>The monitoring committee may ask the managing authority to exercise its right to terminate the Subsidy Contract should the project not comply with the expected deliveries in a due time. The managing authority reserves the right to terminate the Subsidy Contract without the approval of the monitoring committee should the lead partner violate the Subsidy Contract provisions. In this case the MS and PS involved in the project shall be consulted prior to such a decision and the monitoring committee shall be informed without delay.</w:t>
      </w:r>
    </w:p>
    <w:p w:rsidR="00282D17" w:rsidRPr="00C4514D" w:rsidRDefault="00282D17" w:rsidP="00282D17">
      <w:pPr>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hAnsi="Verdana" w:cs="Arial"/>
          <w:color w:val="000000"/>
          <w:sz w:val="22"/>
          <w:szCs w:val="22"/>
        </w:rPr>
        <w:t>The MA has the right to refuse a Lead Partner or Project Partner from those countries for which the AA has issued a negative qualified opinion on their management and control system description set up according to Article 62 of Regulation (EU) No 1303/2013 [CPR].</w:t>
      </w:r>
    </w:p>
    <w:p w:rsidR="00282D17" w:rsidRPr="00C4514D" w:rsidRDefault="00282D17" w:rsidP="00282D17">
      <w:pPr>
        <w:autoSpaceDE w:val="0"/>
        <w:autoSpaceDN w:val="0"/>
        <w:adjustRightInd w:val="0"/>
        <w:spacing w:after="180" w:line="276" w:lineRule="auto"/>
        <w:jc w:val="both"/>
        <w:rPr>
          <w:rFonts w:ascii="Verdana" w:eastAsia="MS Mincho" w:hAnsi="Verdana" w:cs="Arial"/>
          <w:sz w:val="22"/>
          <w:szCs w:val="22"/>
          <w:lang w:eastAsia="ja-JP"/>
        </w:rPr>
      </w:pPr>
    </w:p>
    <w:p w:rsidR="00282D17" w:rsidRPr="00C4514D" w:rsidRDefault="00282D17" w:rsidP="00282D17">
      <w:pPr>
        <w:autoSpaceDE w:val="0"/>
        <w:autoSpaceDN w:val="0"/>
        <w:adjustRightInd w:val="0"/>
        <w:spacing w:after="180" w:line="276" w:lineRule="auto"/>
        <w:jc w:val="both"/>
        <w:rPr>
          <w:rFonts w:ascii="Verdana" w:eastAsia="Cambria" w:hAnsi="Verdana" w:cs="Arial"/>
          <w:b/>
          <w:i/>
          <w:iCs/>
          <w:sz w:val="22"/>
          <w:szCs w:val="22"/>
          <w:lang w:eastAsia="en-US"/>
        </w:rPr>
      </w:pPr>
      <w:r w:rsidRPr="00C4514D">
        <w:rPr>
          <w:rFonts w:ascii="Verdana" w:eastAsia="Cambria" w:hAnsi="Verdana" w:cs="Arial"/>
          <w:b/>
          <w:i/>
          <w:iCs/>
          <w:sz w:val="22"/>
          <w:szCs w:val="22"/>
          <w:lang w:eastAsia="en-US"/>
        </w:rPr>
        <w:t>Financial control of beneficiaries</w:t>
      </w:r>
    </w:p>
    <w:p w:rsidR="00282D17" w:rsidRPr="00C4514D" w:rsidRDefault="00282D17" w:rsidP="00282D17">
      <w:pPr>
        <w:tabs>
          <w:tab w:val="left" w:pos="360"/>
        </w:tabs>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According to Article 23 (4) of Regulation (EU) No [1299]/2013 [ETC] and considering that the managing authority cannot carry out verifications under Article 125 (4) (a) of Regulation (EU) 1303/2013 [CPR] throughout the whole programme area, each EU-Member State (MS) and Partner State (PS) designates the bodies responsible for carrying out such verifications in relation to beneficiaries on its territory (‘controller(s)’). The body responsible for the control system set up in each EU-MS and PS is included in the agreement that is submitted as annex 2 to the cooperation programme.</w:t>
      </w:r>
    </w:p>
    <w:p w:rsidR="00282D17" w:rsidRPr="00C4514D" w:rsidRDefault="00282D17" w:rsidP="00282D17">
      <w:pPr>
        <w:tabs>
          <w:tab w:val="left" w:pos="360"/>
        </w:tabs>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 xml:space="preserve">Each EU-MS and PS submits also to the managing authority a detailed description of the control system set up using the form provided by the managing authority/joint secretariat. The full description will be included in the description of the management and control system in accordance with Article 72 of Regulation (EC) 1303/2013 [CPR]. When assessing this document the audit authority is authorised to request complementary information from the Member/Partner State. The EU-MS and PS shall without delay inform the managing authority of any changes of responsible body and the control system set up. </w:t>
      </w:r>
    </w:p>
    <w:p w:rsidR="00282D17" w:rsidRPr="00C4514D" w:rsidRDefault="00282D17" w:rsidP="00282D17">
      <w:pPr>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 xml:space="preserve">According to Article 23 of Regulation (EU) 1299/2013 [ETC] Member/Partner States shall ensure that the expenditure of a beneficiary can be verified within a period of three months of the submission of the documents by the beneficiary concerned.  Each EU-MS and PS will do its utmost to ensure that the expenditure is verified and confirmed by the controllers within a period of two months after the end of each reporting period so that the lead partner is in a position to submit the progress report to the managing authority/joint secretariat at the date set in the subsidy contract and so that the managing authority/certifying authority can declare regularly expenditure to the EC. </w:t>
      </w:r>
    </w:p>
    <w:p w:rsidR="00282D17" w:rsidRPr="00C4514D" w:rsidRDefault="00282D17" w:rsidP="00282D17">
      <w:pPr>
        <w:tabs>
          <w:tab w:val="left" w:pos="360"/>
        </w:tabs>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 xml:space="preserve">The cost for these verifications will be either carried by the EU-MS or PS or by the project partners. In the latter case, these costs can in principle be considered eligible for an ERDF-reimbursement and thus reported within the project. </w:t>
      </w:r>
      <w:r w:rsidRPr="00C4514D">
        <w:rPr>
          <w:rFonts w:ascii="Verdana" w:hAnsi="Verdana" w:cs="Arial"/>
          <w:color w:val="000000"/>
          <w:sz w:val="22"/>
          <w:szCs w:val="22"/>
        </w:rPr>
        <w:t>If the control cost is borne by the beneficiary and to be reported as eligible project cost, it shall be calculated according to the standard procedures such as a service contract. The cost is eligible provided that it is borne within the project eligibility period.</w:t>
      </w:r>
      <w:r w:rsidRPr="00C4514D">
        <w:rPr>
          <w:rFonts w:ascii="Verdana" w:eastAsia="MS Mincho" w:hAnsi="Verdana" w:cs="Arial"/>
          <w:sz w:val="22"/>
          <w:szCs w:val="22"/>
          <w:lang w:eastAsia="ja-JP"/>
        </w:rPr>
        <w:t xml:space="preserve">   </w:t>
      </w:r>
    </w:p>
    <w:p w:rsidR="00282D17" w:rsidRPr="00C4514D" w:rsidRDefault="00282D17" w:rsidP="00282D17">
      <w:pPr>
        <w:tabs>
          <w:tab w:val="left" w:pos="360"/>
        </w:tabs>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 xml:space="preserve">In order to ensure coherence among controllers from all countries participating in the programme, standard documents shall be decided by the monitoring committee and used as minimum requirements across all EU-MS and PS.  </w:t>
      </w:r>
    </w:p>
    <w:p w:rsidR="00282D17" w:rsidRPr="00C4514D" w:rsidRDefault="00282D17" w:rsidP="00282D17">
      <w:pPr>
        <w:tabs>
          <w:tab w:val="left" w:pos="360"/>
        </w:tabs>
        <w:autoSpaceDE w:val="0"/>
        <w:autoSpaceDN w:val="0"/>
        <w:adjustRightInd w:val="0"/>
        <w:spacing w:after="180" w:line="276" w:lineRule="auto"/>
        <w:jc w:val="both"/>
        <w:rPr>
          <w:rFonts w:ascii="Verdana" w:eastAsia="MS Mincho" w:hAnsi="Verdana" w:cs="Arial"/>
          <w:color w:val="000000"/>
          <w:sz w:val="22"/>
          <w:szCs w:val="22"/>
          <w:lang w:eastAsia="ja-JP"/>
        </w:rPr>
      </w:pPr>
      <w:r w:rsidRPr="00C4514D">
        <w:rPr>
          <w:rFonts w:ascii="Verdana" w:eastAsia="MS Mincho" w:hAnsi="Verdana" w:cs="Arial"/>
          <w:color w:val="000000"/>
          <w:sz w:val="22"/>
          <w:szCs w:val="22"/>
          <w:lang w:eastAsia="ja-JP"/>
        </w:rPr>
        <w:t xml:space="preserve">With regard to technical assistance payments, the managing authority ensures that the expenditure is certified in line with the control set up by France. </w:t>
      </w:r>
    </w:p>
    <w:p w:rsidR="00282D17" w:rsidRPr="00C4514D" w:rsidRDefault="00282D17" w:rsidP="00282D17">
      <w:pPr>
        <w:autoSpaceDE w:val="0"/>
        <w:autoSpaceDN w:val="0"/>
        <w:adjustRightInd w:val="0"/>
        <w:spacing w:after="180" w:line="276" w:lineRule="auto"/>
        <w:jc w:val="both"/>
        <w:rPr>
          <w:rFonts w:ascii="Verdana" w:eastAsia="MS Mincho" w:hAnsi="Verdana" w:cs="Arial"/>
          <w:color w:val="000000"/>
          <w:sz w:val="22"/>
          <w:szCs w:val="22"/>
          <w:lang w:eastAsia="ja-JP"/>
        </w:rPr>
      </w:pPr>
      <w:r w:rsidRPr="00C4514D">
        <w:rPr>
          <w:rFonts w:ascii="Verdana" w:eastAsia="MS Mincho" w:hAnsi="Verdana" w:cs="Arial"/>
          <w:color w:val="000000"/>
          <w:sz w:val="22"/>
          <w:szCs w:val="22"/>
          <w:lang w:eastAsia="ja-JP"/>
        </w:rPr>
        <w:t>The result of any verification of the proper functioning of the first level control system carried out by the EU-MS or PS shall be communicated to the managing authority/joint secretariat for coordination purposes (and follow-up action if necessary). The managing authority/joint secretariat will also inform the EU-MS and PS of the results and follow-up of any checks carried out by other programme bodies or the EC or European Court of Auditors.</w:t>
      </w:r>
    </w:p>
    <w:p w:rsidR="00282D17" w:rsidRPr="00C4514D" w:rsidRDefault="00282D17" w:rsidP="00282D17">
      <w:pPr>
        <w:autoSpaceDE w:val="0"/>
        <w:autoSpaceDN w:val="0"/>
        <w:adjustRightInd w:val="0"/>
        <w:spacing w:after="180" w:line="276" w:lineRule="auto"/>
        <w:jc w:val="both"/>
        <w:rPr>
          <w:rFonts w:ascii="Verdana" w:eastAsia="MS Mincho" w:hAnsi="Verdana" w:cs="Arial"/>
          <w:b/>
          <w:bCs/>
          <w:sz w:val="22"/>
          <w:szCs w:val="22"/>
          <w:lang w:eastAsia="ja-JP"/>
        </w:rPr>
      </w:pPr>
    </w:p>
    <w:p w:rsidR="00282D17" w:rsidRPr="00C4514D" w:rsidRDefault="00282D17" w:rsidP="00282D17">
      <w:pPr>
        <w:autoSpaceDE w:val="0"/>
        <w:autoSpaceDN w:val="0"/>
        <w:adjustRightInd w:val="0"/>
        <w:spacing w:after="180" w:line="276" w:lineRule="auto"/>
        <w:jc w:val="both"/>
        <w:rPr>
          <w:rFonts w:ascii="Verdana" w:eastAsia="Cambria" w:hAnsi="Verdana" w:cs="Arial"/>
          <w:b/>
          <w:i/>
          <w:iCs/>
          <w:sz w:val="22"/>
          <w:szCs w:val="22"/>
          <w:lang w:eastAsia="en-US"/>
        </w:rPr>
      </w:pPr>
      <w:r w:rsidRPr="00C4514D">
        <w:rPr>
          <w:rFonts w:ascii="Verdana" w:eastAsia="Cambria" w:hAnsi="Verdana" w:cs="Arial"/>
          <w:b/>
          <w:i/>
          <w:iCs/>
          <w:sz w:val="22"/>
          <w:szCs w:val="22"/>
          <w:lang w:eastAsia="en-US"/>
        </w:rPr>
        <w:t>Project monitoring</w:t>
      </w:r>
    </w:p>
    <w:p w:rsidR="00282D17" w:rsidRPr="00C4514D" w:rsidRDefault="00282D17" w:rsidP="00282D17">
      <w:pPr>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The managing authority/joint secretariat shall monitor the activity and financial progress of projects. For this purpose, three main types of information need to be considered:</w:t>
      </w:r>
    </w:p>
    <w:p w:rsidR="00282D17" w:rsidRPr="00C4514D" w:rsidRDefault="00282D17" w:rsidP="008166DD">
      <w:pPr>
        <w:numPr>
          <w:ilvl w:val="0"/>
          <w:numId w:val="6"/>
        </w:numPr>
        <w:autoSpaceDE w:val="0"/>
        <w:autoSpaceDN w:val="0"/>
        <w:adjustRightInd w:val="0"/>
        <w:spacing w:after="180" w:line="276" w:lineRule="auto"/>
        <w:ind w:left="714" w:hanging="357"/>
        <w:jc w:val="both"/>
        <w:rPr>
          <w:rFonts w:ascii="Verdana" w:eastAsia="MS Mincho" w:hAnsi="Verdana" w:cs="Arial"/>
          <w:sz w:val="22"/>
          <w:szCs w:val="22"/>
          <w:lang w:eastAsia="ja-JP"/>
        </w:rPr>
      </w:pPr>
      <w:r w:rsidRPr="00C4514D">
        <w:rPr>
          <w:rFonts w:ascii="Verdana" w:eastAsia="MS Mincho" w:hAnsi="Verdana" w:cs="Arial"/>
          <w:sz w:val="22"/>
          <w:szCs w:val="22"/>
          <w:lang w:eastAsia="ja-JP"/>
        </w:rPr>
        <w:t>the use of the ERDF subsidy for the purpose mentioned in the subsidy contract and the approved application;</w:t>
      </w:r>
    </w:p>
    <w:p w:rsidR="00282D17" w:rsidRPr="00C4514D" w:rsidRDefault="00282D17" w:rsidP="008166DD">
      <w:pPr>
        <w:numPr>
          <w:ilvl w:val="0"/>
          <w:numId w:val="6"/>
        </w:numPr>
        <w:autoSpaceDE w:val="0"/>
        <w:autoSpaceDN w:val="0"/>
        <w:adjustRightInd w:val="0"/>
        <w:spacing w:after="180" w:line="276" w:lineRule="auto"/>
        <w:ind w:left="714" w:hanging="357"/>
        <w:jc w:val="both"/>
        <w:rPr>
          <w:rFonts w:ascii="Verdana" w:eastAsia="MS Mincho" w:hAnsi="Verdana" w:cs="Arial"/>
          <w:sz w:val="22"/>
          <w:szCs w:val="22"/>
          <w:lang w:eastAsia="ja-JP"/>
        </w:rPr>
      </w:pPr>
      <w:r w:rsidRPr="00C4514D">
        <w:rPr>
          <w:rFonts w:ascii="Verdana" w:eastAsia="MS Mincho" w:hAnsi="Verdana" w:cs="Arial"/>
          <w:sz w:val="22"/>
          <w:szCs w:val="22"/>
          <w:lang w:eastAsia="ja-JP"/>
        </w:rPr>
        <w:t>the progress made in implementing the project in compliance with the subsidy contract and the approved application;</w:t>
      </w:r>
    </w:p>
    <w:p w:rsidR="00282D17" w:rsidRPr="00C4514D" w:rsidRDefault="00282D17" w:rsidP="008166DD">
      <w:pPr>
        <w:numPr>
          <w:ilvl w:val="0"/>
          <w:numId w:val="6"/>
        </w:numPr>
        <w:autoSpaceDE w:val="0"/>
        <w:autoSpaceDN w:val="0"/>
        <w:adjustRightInd w:val="0"/>
        <w:spacing w:after="180" w:line="276" w:lineRule="auto"/>
        <w:ind w:left="714" w:hanging="357"/>
        <w:jc w:val="both"/>
        <w:rPr>
          <w:rFonts w:ascii="Verdana" w:eastAsia="MS Mincho" w:hAnsi="Verdana" w:cs="Arial"/>
          <w:sz w:val="22"/>
          <w:szCs w:val="22"/>
          <w:lang w:eastAsia="ja-JP"/>
        </w:rPr>
      </w:pPr>
      <w:r w:rsidRPr="00C4514D">
        <w:rPr>
          <w:rFonts w:ascii="Verdana" w:eastAsia="MS Mincho" w:hAnsi="Verdana" w:cs="Arial"/>
          <w:sz w:val="22"/>
          <w:szCs w:val="22"/>
          <w:lang w:eastAsia="ja-JP"/>
        </w:rPr>
        <w:t>the confirmation of expenditure by the Lead Partner controller in compliance with the system set up in each state according to Article 23 (4) of Regulation (EU) 1299/2013 [ETC].</w:t>
      </w:r>
      <w:r>
        <w:rPr>
          <w:rFonts w:ascii="Verdana" w:eastAsia="MS Mincho" w:hAnsi="Verdana" w:cs="Arial"/>
          <w:sz w:val="22"/>
          <w:szCs w:val="22"/>
          <w:lang w:eastAsia="ja-JP"/>
        </w:rPr>
        <w:t xml:space="preserve"> The Lead Partner controller is not responsible for the validation of these costs but should sign the payment claim to ensure the project budget is respected.</w:t>
      </w:r>
    </w:p>
    <w:p w:rsidR="00282D17" w:rsidRPr="00C4514D" w:rsidRDefault="00282D17" w:rsidP="00282D17">
      <w:pPr>
        <w:autoSpaceDE w:val="0"/>
        <w:autoSpaceDN w:val="0"/>
        <w:adjustRightInd w:val="0"/>
        <w:spacing w:after="180" w:line="276" w:lineRule="auto"/>
        <w:jc w:val="both"/>
        <w:rPr>
          <w:rFonts w:ascii="Verdana" w:eastAsia="MS Mincho" w:hAnsi="Verdana" w:cs="Arial"/>
          <w:sz w:val="22"/>
          <w:szCs w:val="22"/>
          <w:lang w:eastAsia="ja-JP"/>
        </w:rPr>
      </w:pPr>
    </w:p>
    <w:p w:rsidR="00282D17" w:rsidRPr="00C4514D" w:rsidRDefault="00282D17" w:rsidP="00282D17">
      <w:pPr>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The managing authority/joint secretariat shall assess the reports and monitor the proper implementation of the approved project referred to in the subsidy contract according to the procedure laid down in the description of the management and control system.</w:t>
      </w:r>
    </w:p>
    <w:p w:rsidR="00282D17" w:rsidRPr="00C4514D" w:rsidRDefault="00282D17" w:rsidP="00282D17">
      <w:pPr>
        <w:autoSpaceDE w:val="0"/>
        <w:autoSpaceDN w:val="0"/>
        <w:adjustRightInd w:val="0"/>
        <w:spacing w:after="180" w:line="276" w:lineRule="auto"/>
        <w:ind w:left="180"/>
        <w:jc w:val="both"/>
        <w:rPr>
          <w:rFonts w:ascii="Verdana" w:eastAsia="MS Mincho" w:hAnsi="Verdana" w:cs="Arial"/>
          <w:b/>
          <w:bCs/>
          <w:sz w:val="22"/>
          <w:szCs w:val="22"/>
          <w:lang w:eastAsia="ja-JP"/>
        </w:rPr>
      </w:pPr>
    </w:p>
    <w:p w:rsidR="00282D17" w:rsidRPr="00C4514D" w:rsidRDefault="00282D17" w:rsidP="00282D17">
      <w:pPr>
        <w:shd w:val="clear" w:color="auto" w:fill="FFFFFF"/>
        <w:autoSpaceDE w:val="0"/>
        <w:autoSpaceDN w:val="0"/>
        <w:adjustRightInd w:val="0"/>
        <w:spacing w:after="180" w:line="276" w:lineRule="auto"/>
        <w:jc w:val="both"/>
        <w:rPr>
          <w:rFonts w:ascii="Verdana" w:eastAsia="Cambria" w:hAnsi="Verdana" w:cs="Arial"/>
          <w:b/>
          <w:i/>
          <w:iCs/>
          <w:sz w:val="22"/>
          <w:szCs w:val="22"/>
          <w:lang w:eastAsia="en-US"/>
        </w:rPr>
      </w:pPr>
      <w:r w:rsidRPr="00C4514D">
        <w:rPr>
          <w:rFonts w:ascii="Verdana" w:eastAsia="Cambria" w:hAnsi="Verdana" w:cs="Arial"/>
          <w:b/>
          <w:i/>
          <w:iCs/>
          <w:sz w:val="22"/>
          <w:szCs w:val="22"/>
          <w:lang w:eastAsia="en-US"/>
        </w:rPr>
        <w:t>Programme monitoring</w:t>
      </w:r>
    </w:p>
    <w:p w:rsidR="00282D17" w:rsidRPr="00C4514D" w:rsidRDefault="00282D17" w:rsidP="00282D17">
      <w:pPr>
        <w:shd w:val="clear" w:color="auto" w:fill="FFFFFF"/>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 xml:space="preserve">The monitoring of this programme will provide information on the implementation at any given time. It will cover financial issues and achieved results considering the targets fixed for the different milestones in the performance framework. </w:t>
      </w:r>
    </w:p>
    <w:p w:rsidR="00282D17" w:rsidRPr="00C4514D" w:rsidRDefault="00282D17" w:rsidP="00282D17">
      <w:pPr>
        <w:shd w:val="clear" w:color="auto" w:fill="FFFFFF"/>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Monitoring will encourage high quality, effective implementation by monitoring the progress of the projects against the goals and intended results of the programme. Monitoring will be mainly based on regular reports from the projects and in a more general perspective on the activities carried out at programme l</w:t>
      </w:r>
      <w:r>
        <w:rPr>
          <w:rFonts w:ascii="Verdana" w:eastAsia="MS Mincho" w:hAnsi="Verdana" w:cs="Arial"/>
          <w:sz w:val="22"/>
          <w:szCs w:val="22"/>
          <w:lang w:eastAsia="ja-JP"/>
        </w:rPr>
        <w:t>e</w:t>
      </w:r>
      <w:r w:rsidRPr="00C4514D">
        <w:rPr>
          <w:rFonts w:ascii="Verdana" w:eastAsia="MS Mincho" w:hAnsi="Verdana" w:cs="Arial"/>
          <w:sz w:val="22"/>
          <w:szCs w:val="22"/>
          <w:lang w:eastAsia="ja-JP"/>
        </w:rPr>
        <w:t>vel.</w:t>
      </w:r>
    </w:p>
    <w:p w:rsidR="00282D17" w:rsidRPr="00C4514D" w:rsidRDefault="00282D17" w:rsidP="00282D17">
      <w:pPr>
        <w:shd w:val="clear" w:color="auto" w:fill="FFFFFF"/>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The Programme specifies a set of indicators for monitoring and evaluating its progress. The programme specific result and output indicators are presented in Section 2 of this document. They relate directly to the different specific objectives of the programme. In particular, results indicators are the cornerstone of the performance analysis of the programme. They relate to parts of the intended results that can be captured. Those programme specific indicators have been designed in line with certain strict requirements (applicable to all Cohesion policy programmes). In addition to this set of result and output indicators, the URBACT III programme may define complementary indicators that will enable the programme bodies to effectively monitor the progress and quality of programme and project implementation.</w:t>
      </w:r>
    </w:p>
    <w:p w:rsidR="00282D17" w:rsidRPr="00C4514D" w:rsidRDefault="00282D17" w:rsidP="00282D17">
      <w:pPr>
        <w:shd w:val="clear" w:color="auto" w:fill="FFFFFF"/>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Projects will be obliged to report regularly on the effects and tangible results achieved by the cooperation actions developed by the partnerships. They will be required in these reports to provide strong evidence of the changes that derive from their actions. The monitoring of outcomes and indicators is essential to measure how the exchange activity can impact on sustainable urban development policies as well as assessing the benefits of transnational exchange between cities. Suitable monitoring tools will be set up to ensure that the real added value can be monitored and reported at programme level.</w:t>
      </w:r>
    </w:p>
    <w:p w:rsidR="00282D17" w:rsidRPr="00C4514D" w:rsidRDefault="00282D17" w:rsidP="00282D17">
      <w:pPr>
        <w:shd w:val="clear" w:color="auto" w:fill="FFFFFF"/>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 xml:space="preserve">The joint secretariat will collect and compile the data stemming from these reports in order to allow for conclusions on the programme level. The managing authority will use this documentation – together with additional information on the financial implementation – to draft the annual and final reports and submit them to the monitoring committee. </w:t>
      </w:r>
    </w:p>
    <w:p w:rsidR="00282D17" w:rsidRPr="00C4514D" w:rsidRDefault="00282D17" w:rsidP="00282D17">
      <w:pPr>
        <w:autoSpaceDE w:val="0"/>
        <w:autoSpaceDN w:val="0"/>
        <w:adjustRightInd w:val="0"/>
        <w:spacing w:after="180" w:line="276" w:lineRule="auto"/>
        <w:rPr>
          <w:rFonts w:ascii="Verdana" w:eastAsia="MS Mincho" w:hAnsi="Verdana" w:cs="Arial"/>
          <w:sz w:val="22"/>
          <w:szCs w:val="22"/>
          <w:lang w:eastAsia="ja-JP"/>
        </w:rPr>
      </w:pPr>
    </w:p>
    <w:p w:rsidR="00282D17" w:rsidRPr="00C4514D" w:rsidRDefault="00282D17" w:rsidP="00282D17">
      <w:pPr>
        <w:autoSpaceDE w:val="0"/>
        <w:autoSpaceDN w:val="0"/>
        <w:adjustRightInd w:val="0"/>
        <w:spacing w:after="180" w:line="276" w:lineRule="auto"/>
        <w:jc w:val="both"/>
        <w:rPr>
          <w:rFonts w:ascii="Verdana" w:eastAsia="Cambria" w:hAnsi="Verdana" w:cs="Arial"/>
          <w:b/>
          <w:i/>
          <w:iCs/>
          <w:sz w:val="22"/>
          <w:szCs w:val="22"/>
          <w:lang w:eastAsia="en-US"/>
        </w:rPr>
      </w:pPr>
      <w:r w:rsidRPr="00C4514D">
        <w:rPr>
          <w:rFonts w:ascii="Verdana" w:eastAsia="Cambria" w:hAnsi="Verdana" w:cs="Arial"/>
          <w:b/>
          <w:i/>
          <w:iCs/>
          <w:sz w:val="22"/>
          <w:szCs w:val="22"/>
          <w:lang w:eastAsia="en-US"/>
        </w:rPr>
        <w:t>Annual and final implementation reports and closure of the programme</w:t>
      </w:r>
    </w:p>
    <w:p w:rsidR="00282D17" w:rsidRPr="00C4514D" w:rsidRDefault="00282D17" w:rsidP="00282D17">
      <w:pPr>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 xml:space="preserve">The managing authority will, in accordance with Article 14 of Regulation (EU) 1299/2013 [ETC], submit to the Commission implementation reports in accordance with the requirements of Article 50 of Regulation (EU) 1303/2013 [CPR]. They will be approved by the monitoring committee before they are sent out to the Commission. </w:t>
      </w:r>
    </w:p>
    <w:p w:rsidR="00282D17" w:rsidRPr="00C4514D" w:rsidRDefault="00282D17" w:rsidP="00282D17">
      <w:pPr>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hAnsi="Verdana" w:cs="Arial"/>
          <w:color w:val="000000"/>
          <w:sz w:val="22"/>
          <w:szCs w:val="22"/>
        </w:rPr>
        <w:t>The closure of the programme will be carried out in compliance with Article 141 of Regulation (EU) No 1303/2013 [</w:t>
      </w:r>
      <w:r>
        <w:rPr>
          <w:rFonts w:ascii="Verdana" w:hAnsi="Verdana" w:cs="Arial"/>
          <w:color w:val="000000"/>
          <w:sz w:val="22"/>
          <w:szCs w:val="22"/>
        </w:rPr>
        <w:t>CPR</w:t>
      </w:r>
      <w:r w:rsidRPr="00C4514D">
        <w:rPr>
          <w:rFonts w:ascii="Verdana" w:hAnsi="Verdana" w:cs="Arial"/>
          <w:color w:val="000000"/>
          <w:sz w:val="22"/>
          <w:szCs w:val="22"/>
        </w:rPr>
        <w:t>] by the competent programme authorities of the 2014-2020 programme.</w:t>
      </w:r>
    </w:p>
    <w:p w:rsidR="00282D17" w:rsidRDefault="00282D17" w:rsidP="00282D17">
      <w:pPr>
        <w:rPr>
          <w:rFonts w:ascii="Verdana" w:eastAsia="Cambria" w:hAnsi="Verdana" w:cs="Arial"/>
          <w:b/>
          <w:i/>
          <w:iCs/>
          <w:sz w:val="22"/>
          <w:szCs w:val="22"/>
          <w:lang w:eastAsia="en-US"/>
        </w:rPr>
      </w:pPr>
      <w:r>
        <w:rPr>
          <w:rFonts w:ascii="Verdana" w:eastAsia="Cambria" w:hAnsi="Verdana" w:cs="Arial"/>
          <w:b/>
          <w:i/>
          <w:iCs/>
          <w:sz w:val="22"/>
          <w:szCs w:val="22"/>
          <w:lang w:eastAsia="en-US"/>
        </w:rPr>
        <w:br w:type="page"/>
      </w:r>
    </w:p>
    <w:p w:rsidR="00282D17" w:rsidRPr="00C4514D" w:rsidRDefault="00282D17" w:rsidP="00282D17">
      <w:pPr>
        <w:shd w:val="clear" w:color="auto" w:fill="FFFFFF"/>
        <w:autoSpaceDE w:val="0"/>
        <w:autoSpaceDN w:val="0"/>
        <w:adjustRightInd w:val="0"/>
        <w:spacing w:after="180" w:line="276" w:lineRule="auto"/>
        <w:jc w:val="both"/>
        <w:rPr>
          <w:rFonts w:ascii="Verdana" w:eastAsia="Cambria" w:hAnsi="Verdana" w:cs="Arial"/>
          <w:b/>
          <w:i/>
          <w:iCs/>
          <w:sz w:val="22"/>
          <w:szCs w:val="22"/>
          <w:lang w:eastAsia="en-US"/>
        </w:rPr>
      </w:pPr>
      <w:r w:rsidRPr="00C4514D">
        <w:rPr>
          <w:rFonts w:ascii="Verdana" w:eastAsia="Cambria" w:hAnsi="Verdana" w:cs="Arial"/>
          <w:b/>
          <w:i/>
          <w:iCs/>
          <w:sz w:val="22"/>
          <w:szCs w:val="22"/>
          <w:lang w:eastAsia="en-US"/>
        </w:rPr>
        <w:t>Evaluation</w:t>
      </w:r>
    </w:p>
    <w:p w:rsidR="00282D17" w:rsidRPr="00C4514D" w:rsidRDefault="00282D17" w:rsidP="00282D17">
      <w:pPr>
        <w:shd w:val="clear" w:color="auto" w:fill="FFFFFF"/>
        <w:autoSpaceDE w:val="0"/>
        <w:autoSpaceDN w:val="0"/>
        <w:adjustRightInd w:val="0"/>
        <w:spacing w:after="180" w:line="276" w:lineRule="auto"/>
        <w:jc w:val="both"/>
        <w:rPr>
          <w:rFonts w:ascii="Verdana" w:eastAsia="MS Mincho" w:hAnsi="Verdana" w:cs="Arial"/>
          <w:sz w:val="22"/>
          <w:szCs w:val="22"/>
          <w:lang w:eastAsia="ja-JP"/>
        </w:rPr>
      </w:pPr>
    </w:p>
    <w:p w:rsidR="00282D17" w:rsidRPr="00C4514D" w:rsidRDefault="00282D17" w:rsidP="00282D17">
      <w:pPr>
        <w:shd w:val="clear" w:color="auto" w:fill="FFFFFF"/>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The programme has been subject to an ex-ante evaluation of independent evaluators with the aim of improving the overall quality of the programme and to optimise the allocation of budgetary resources and the quantification of target values in the performance framework. The recommendations of this evaluation have been taken into account during the drafting of this programme, as described in the ex-ante report in annex 1.</w:t>
      </w:r>
    </w:p>
    <w:p w:rsidR="00282D17" w:rsidRPr="00C4514D" w:rsidRDefault="00282D17" w:rsidP="00282D17">
      <w:pPr>
        <w:shd w:val="clear" w:color="auto" w:fill="FFFFFF"/>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In accordance with Articles 56 and 114 of the Regulation (EU) 1303/2013 [CPR], the managing authority will draw up an evaluation plan for the programme. The evaluation plan shall be submitted to the monitoring committee no later than one year after the adoption of the OP.</w:t>
      </w:r>
    </w:p>
    <w:p w:rsidR="00282D17" w:rsidRPr="00C4514D" w:rsidRDefault="00282D17" w:rsidP="00282D17">
      <w:pPr>
        <w:shd w:val="clear" w:color="auto" w:fill="FFFFFF"/>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One or several evaluations will be carried out to assess effectiveness, efficiency and impact of the programme on the basis of the evaluation plan. All evaluations will be examined by the monitoring committee and sent to the Commission.  Such evaluations will provide an opportunity to assess the impact of the programme activity at EU level.</w:t>
      </w:r>
    </w:p>
    <w:p w:rsidR="00282D17" w:rsidRPr="00C4514D" w:rsidRDefault="00282D17" w:rsidP="00282D17">
      <w:pPr>
        <w:shd w:val="clear" w:color="auto" w:fill="FFFFFF"/>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By 31 December 2022, the managing authority will submit to the Commission a report summarising the findings of evaluations carried out during the programming period, including an assessment of the main outputs and results of the programme.</w:t>
      </w:r>
    </w:p>
    <w:p w:rsidR="00282D17" w:rsidRPr="00C4514D" w:rsidRDefault="00282D17" w:rsidP="00282D17">
      <w:pPr>
        <w:autoSpaceDE w:val="0"/>
        <w:autoSpaceDN w:val="0"/>
        <w:adjustRightInd w:val="0"/>
        <w:spacing w:after="180" w:line="276" w:lineRule="auto"/>
        <w:rPr>
          <w:rFonts w:ascii="Verdana" w:eastAsia="Cambria" w:hAnsi="Verdana" w:cs="Arial"/>
          <w:i/>
          <w:iCs/>
          <w:sz w:val="22"/>
          <w:szCs w:val="22"/>
          <w:u w:val="single"/>
          <w:lang w:eastAsia="en-US"/>
        </w:rPr>
      </w:pPr>
    </w:p>
    <w:p w:rsidR="00282D17" w:rsidRPr="00C4514D" w:rsidRDefault="00282D17" w:rsidP="00282D17">
      <w:pPr>
        <w:autoSpaceDE w:val="0"/>
        <w:autoSpaceDN w:val="0"/>
        <w:adjustRightInd w:val="0"/>
        <w:spacing w:after="180" w:line="276" w:lineRule="auto"/>
        <w:jc w:val="both"/>
        <w:rPr>
          <w:rFonts w:ascii="Verdana" w:eastAsia="Cambria" w:hAnsi="Verdana" w:cs="Arial"/>
          <w:b/>
          <w:i/>
          <w:iCs/>
          <w:sz w:val="22"/>
          <w:szCs w:val="22"/>
          <w:lang w:eastAsia="en-US"/>
        </w:rPr>
      </w:pPr>
      <w:r w:rsidRPr="00C4514D">
        <w:rPr>
          <w:rFonts w:ascii="Verdana" w:eastAsia="Cambria" w:hAnsi="Verdana" w:cs="Arial"/>
          <w:b/>
          <w:i/>
          <w:iCs/>
          <w:sz w:val="22"/>
          <w:szCs w:val="22"/>
          <w:lang w:eastAsia="en-US"/>
        </w:rPr>
        <w:t>The computerised exchange of data</w:t>
      </w:r>
    </w:p>
    <w:p w:rsidR="00282D17" w:rsidRPr="00C4514D" w:rsidRDefault="00282D17" w:rsidP="00282D17">
      <w:pPr>
        <w:autoSpaceDE w:val="0"/>
        <w:autoSpaceDN w:val="0"/>
        <w:adjustRightInd w:val="0"/>
        <w:spacing w:after="180" w:line="276" w:lineRule="auto"/>
        <w:jc w:val="both"/>
        <w:rPr>
          <w:rFonts w:ascii="Verdana" w:hAnsi="Verdana" w:cs="Arial"/>
          <w:color w:val="000000"/>
          <w:sz w:val="22"/>
          <w:szCs w:val="22"/>
        </w:rPr>
      </w:pPr>
      <w:r w:rsidRPr="00C4514D">
        <w:rPr>
          <w:rFonts w:ascii="Verdana" w:eastAsia="MS Mincho" w:hAnsi="Verdana" w:cs="Arial"/>
          <w:bCs/>
          <w:sz w:val="22"/>
          <w:szCs w:val="22"/>
          <w:lang w:eastAsia="ja-JP"/>
        </w:rPr>
        <w:t xml:space="preserve">Computerised systems for the management and monitoring of programme and project data will be set up by the managing authority no later than 31 December 2014. Online project reporting systems will also be set up in compliance with the requirements set out in Article 122(3) of Regulation (EU) 1303/2013 [CPR]. These systems will allow all exchanges of information between beneficiaries and the managing authority/certifying authority, audit authority to be carried out by means of electronic data exchange systems. </w:t>
      </w:r>
      <w:r w:rsidRPr="00C4514D">
        <w:rPr>
          <w:rFonts w:ascii="Verdana" w:hAnsi="Verdana" w:cs="Arial"/>
          <w:color w:val="000000"/>
          <w:sz w:val="22"/>
          <w:szCs w:val="22"/>
        </w:rPr>
        <w:t>The system will facilitate interoperability and allow for the beneficiaries to submit all information as referred to in Article 122 (3) only once.</w:t>
      </w:r>
    </w:p>
    <w:p w:rsidR="00282D17" w:rsidRPr="00C4514D" w:rsidRDefault="00282D17" w:rsidP="00282D17">
      <w:pPr>
        <w:autoSpaceDE w:val="0"/>
        <w:autoSpaceDN w:val="0"/>
        <w:adjustRightInd w:val="0"/>
        <w:spacing w:after="180" w:line="276" w:lineRule="auto"/>
        <w:jc w:val="both"/>
        <w:rPr>
          <w:rFonts w:ascii="Verdana" w:eastAsia="MS Mincho" w:hAnsi="Verdana" w:cs="Arial"/>
          <w:bCs/>
          <w:sz w:val="22"/>
          <w:szCs w:val="22"/>
          <w:lang w:eastAsia="ja-JP"/>
        </w:rPr>
      </w:pPr>
      <w:r w:rsidRPr="00C4514D">
        <w:rPr>
          <w:rFonts w:ascii="Verdana" w:hAnsi="Verdana" w:cs="Arial"/>
          <w:color w:val="000000"/>
          <w:sz w:val="22"/>
          <w:szCs w:val="22"/>
        </w:rPr>
        <w:t>The development of the programme’s computerized systems will take into consideration the database and online functions developed in the context of the predecessor programme.</w:t>
      </w:r>
    </w:p>
    <w:p w:rsidR="00282D17" w:rsidRPr="00C4514D" w:rsidRDefault="00282D17" w:rsidP="00282D17">
      <w:pPr>
        <w:autoSpaceDE w:val="0"/>
        <w:autoSpaceDN w:val="0"/>
        <w:adjustRightInd w:val="0"/>
        <w:spacing w:after="180" w:line="276" w:lineRule="auto"/>
        <w:jc w:val="both"/>
        <w:rPr>
          <w:rFonts w:ascii="Verdana" w:eastAsia="MS Mincho" w:hAnsi="Verdana" w:cs="Arial"/>
          <w:bCs/>
          <w:sz w:val="22"/>
          <w:szCs w:val="22"/>
          <w:lang w:eastAsia="ja-JP"/>
        </w:rPr>
      </w:pPr>
    </w:p>
    <w:p w:rsidR="00282D17" w:rsidRDefault="00282D17" w:rsidP="00282D17">
      <w:pPr>
        <w:rPr>
          <w:rFonts w:ascii="Verdana" w:eastAsia="Cambria" w:hAnsi="Verdana" w:cs="Arial"/>
          <w:b/>
          <w:i/>
          <w:iCs/>
          <w:sz w:val="22"/>
          <w:szCs w:val="22"/>
          <w:lang w:eastAsia="en-US"/>
        </w:rPr>
      </w:pPr>
      <w:r>
        <w:rPr>
          <w:rFonts w:ascii="Verdana" w:eastAsia="Cambria" w:hAnsi="Verdana" w:cs="Arial"/>
          <w:b/>
          <w:i/>
          <w:iCs/>
          <w:sz w:val="22"/>
          <w:szCs w:val="22"/>
          <w:lang w:eastAsia="en-US"/>
        </w:rPr>
        <w:br w:type="page"/>
      </w:r>
    </w:p>
    <w:p w:rsidR="00282D17" w:rsidRPr="00C4514D" w:rsidRDefault="00282D17" w:rsidP="00282D17">
      <w:pPr>
        <w:autoSpaceDE w:val="0"/>
        <w:autoSpaceDN w:val="0"/>
        <w:adjustRightInd w:val="0"/>
        <w:spacing w:after="180" w:line="276" w:lineRule="auto"/>
        <w:jc w:val="both"/>
        <w:rPr>
          <w:rFonts w:ascii="Verdana" w:eastAsia="MS Mincho" w:hAnsi="Verdana" w:cs="Arial"/>
          <w:b/>
          <w:i/>
          <w:iCs/>
          <w:sz w:val="22"/>
          <w:szCs w:val="22"/>
          <w:lang w:eastAsia="ja-JP"/>
        </w:rPr>
      </w:pPr>
      <w:r w:rsidRPr="00C4514D">
        <w:rPr>
          <w:rFonts w:ascii="Verdana" w:eastAsia="Cambria" w:hAnsi="Verdana" w:cs="Arial"/>
          <w:b/>
          <w:i/>
          <w:iCs/>
          <w:sz w:val="22"/>
          <w:szCs w:val="22"/>
          <w:lang w:eastAsia="en-US"/>
        </w:rPr>
        <w:t xml:space="preserve">Mobilisation and circulation of financial flows: </w:t>
      </w:r>
      <w:r w:rsidRPr="00C4514D">
        <w:rPr>
          <w:rFonts w:ascii="Verdana" w:eastAsia="MS Mincho" w:hAnsi="Verdana" w:cs="Arial"/>
          <w:b/>
          <w:i/>
          <w:iCs/>
          <w:sz w:val="22"/>
          <w:szCs w:val="22"/>
          <w:lang w:eastAsia="ja-JP"/>
        </w:rPr>
        <w:t>The contribution of the various partners to the financing of the programme</w:t>
      </w:r>
    </w:p>
    <w:p w:rsidR="00282D17" w:rsidRPr="00C4514D" w:rsidRDefault="00282D17" w:rsidP="00282D17">
      <w:pPr>
        <w:shd w:val="clear" w:color="auto" w:fill="FFFFFF"/>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The programme is financed from the ERDF and by national contributions from the 28 EU-Member States and 2 partner states Switzerland and Norway. The rate of co-financing from the EU-Member States is 5.7% (ERDF co-financing rate at programme level of 77%). The share of each EU-Member State results from the number of inhabitants per country in relation to the current 28 EU-MS’ overall population in 2012. The remaining budget is financed by local contributions from cities participating in the programme.  These cities shall be co-financed from ERDF as follows:</w:t>
      </w:r>
    </w:p>
    <w:p w:rsidR="00282D17" w:rsidRPr="00C4514D" w:rsidRDefault="00282D17" w:rsidP="008166DD">
      <w:pPr>
        <w:numPr>
          <w:ilvl w:val="0"/>
          <w:numId w:val="46"/>
        </w:numPr>
        <w:shd w:val="clear" w:color="auto" w:fill="FFFFFF"/>
        <w:autoSpaceDE w:val="0"/>
        <w:autoSpaceDN w:val="0"/>
        <w:adjustRightInd w:val="0"/>
        <w:spacing w:after="180" w:line="276" w:lineRule="auto"/>
        <w:ind w:left="714" w:hanging="357"/>
        <w:jc w:val="both"/>
        <w:rPr>
          <w:rFonts w:ascii="Verdana" w:eastAsia="MS Mincho" w:hAnsi="Verdana" w:cs="Arial"/>
          <w:sz w:val="22"/>
          <w:szCs w:val="22"/>
          <w:lang w:eastAsia="ja-JP"/>
        </w:rPr>
      </w:pPr>
      <w:r w:rsidRPr="00C4514D">
        <w:rPr>
          <w:rFonts w:ascii="Verdana" w:eastAsia="MS Mincho" w:hAnsi="Verdana" w:cs="Arial"/>
          <w:sz w:val="22"/>
          <w:szCs w:val="22"/>
          <w:lang w:eastAsia="ja-JP"/>
        </w:rPr>
        <w:t>Less developed regions as defined in EU Regulation 1303/2013 Article 120 3 (b) shall receive 85% ERDF contribution</w:t>
      </w:r>
    </w:p>
    <w:p w:rsidR="00282D17" w:rsidRPr="00C4514D" w:rsidRDefault="00282D17" w:rsidP="008166DD">
      <w:pPr>
        <w:numPr>
          <w:ilvl w:val="0"/>
          <w:numId w:val="46"/>
        </w:numPr>
        <w:shd w:val="clear" w:color="auto" w:fill="FFFFFF"/>
        <w:autoSpaceDE w:val="0"/>
        <w:autoSpaceDN w:val="0"/>
        <w:adjustRightInd w:val="0"/>
        <w:spacing w:after="180" w:line="276" w:lineRule="auto"/>
        <w:ind w:left="714" w:hanging="357"/>
        <w:jc w:val="both"/>
        <w:rPr>
          <w:rFonts w:ascii="Verdana" w:eastAsia="MS Mincho" w:hAnsi="Verdana" w:cs="Arial"/>
          <w:sz w:val="22"/>
          <w:szCs w:val="22"/>
          <w:lang w:eastAsia="ja-JP"/>
        </w:rPr>
      </w:pPr>
      <w:r w:rsidRPr="00C4514D">
        <w:rPr>
          <w:rFonts w:ascii="Verdana" w:eastAsia="MS Mincho" w:hAnsi="Verdana" w:cs="Arial"/>
          <w:sz w:val="22"/>
          <w:szCs w:val="22"/>
          <w:lang w:eastAsia="ja-JP"/>
        </w:rPr>
        <w:t>Less developed regions as defined in EU Regulation 1303/2013 Article 120 3 (c) shall receive 85% ERDF contribution</w:t>
      </w:r>
    </w:p>
    <w:p w:rsidR="00282D17" w:rsidRPr="00C4514D" w:rsidRDefault="00282D17" w:rsidP="008166DD">
      <w:pPr>
        <w:numPr>
          <w:ilvl w:val="0"/>
          <w:numId w:val="46"/>
        </w:numPr>
        <w:shd w:val="clear" w:color="auto" w:fill="FFFFFF"/>
        <w:autoSpaceDE w:val="0"/>
        <w:autoSpaceDN w:val="0"/>
        <w:adjustRightInd w:val="0"/>
        <w:spacing w:after="180" w:line="276" w:lineRule="auto"/>
        <w:ind w:left="714" w:hanging="357"/>
        <w:jc w:val="both"/>
        <w:rPr>
          <w:rFonts w:ascii="Verdana" w:eastAsia="MS Mincho" w:hAnsi="Verdana" w:cs="Arial"/>
          <w:sz w:val="22"/>
          <w:szCs w:val="22"/>
          <w:lang w:eastAsia="ja-JP"/>
        </w:rPr>
      </w:pPr>
      <w:r w:rsidRPr="00C4514D">
        <w:rPr>
          <w:rFonts w:ascii="Verdana" w:eastAsia="MS Mincho" w:hAnsi="Verdana" w:cs="Arial"/>
          <w:sz w:val="22"/>
          <w:szCs w:val="22"/>
          <w:lang w:eastAsia="ja-JP"/>
        </w:rPr>
        <w:t>Transition regions as defined in EU Regulation 1303/2013 Article 120 3 (d) shall receive 85% ERDF contribution</w:t>
      </w:r>
    </w:p>
    <w:p w:rsidR="00282D17" w:rsidRPr="00C4514D" w:rsidRDefault="00282D17" w:rsidP="008166DD">
      <w:pPr>
        <w:numPr>
          <w:ilvl w:val="0"/>
          <w:numId w:val="46"/>
        </w:numPr>
        <w:shd w:val="clear" w:color="auto" w:fill="FFFFFF"/>
        <w:autoSpaceDE w:val="0"/>
        <w:autoSpaceDN w:val="0"/>
        <w:adjustRightInd w:val="0"/>
        <w:spacing w:after="180" w:line="276" w:lineRule="auto"/>
        <w:ind w:left="714" w:hanging="357"/>
        <w:jc w:val="both"/>
        <w:rPr>
          <w:rFonts w:ascii="Verdana" w:eastAsia="MS Mincho" w:hAnsi="Verdana" w:cs="Arial"/>
          <w:sz w:val="22"/>
          <w:szCs w:val="22"/>
          <w:lang w:eastAsia="ja-JP"/>
        </w:rPr>
      </w:pPr>
      <w:r w:rsidRPr="00C4514D">
        <w:rPr>
          <w:rFonts w:ascii="Verdana" w:eastAsia="MS Mincho" w:hAnsi="Verdana" w:cs="Arial"/>
          <w:sz w:val="22"/>
          <w:szCs w:val="22"/>
          <w:lang w:eastAsia="ja-JP"/>
        </w:rPr>
        <w:t>More developed regions as defined in EU Regulation 1303/2013 Article 120 3 (e) shall receive 70% ERDF contribution</w:t>
      </w:r>
    </w:p>
    <w:p w:rsidR="00282D17" w:rsidRPr="00C4514D" w:rsidRDefault="00282D17" w:rsidP="00282D17">
      <w:pPr>
        <w:autoSpaceDE w:val="0"/>
        <w:autoSpaceDN w:val="0"/>
        <w:adjustRightInd w:val="0"/>
        <w:spacing w:after="180" w:line="276" w:lineRule="auto"/>
        <w:jc w:val="both"/>
        <w:rPr>
          <w:rFonts w:ascii="Verdana" w:eastAsia="MS Mincho" w:hAnsi="Verdana" w:cs="Arial"/>
          <w:bCs/>
          <w:sz w:val="22"/>
          <w:szCs w:val="22"/>
          <w:lang w:eastAsia="ja-JP"/>
        </w:rPr>
      </w:pPr>
      <w:r w:rsidRPr="00C4514D">
        <w:rPr>
          <w:rFonts w:ascii="Verdana" w:eastAsia="MS Mincho" w:hAnsi="Verdana" w:cs="Arial"/>
          <w:bCs/>
          <w:sz w:val="22"/>
          <w:szCs w:val="22"/>
          <w:lang w:eastAsia="ja-JP"/>
        </w:rPr>
        <w:t xml:space="preserve">The managing authority/certifying authority administers the ERDF and Swiss/Norwegian funding of the programme as well as the national ex ante contributions to the programme budget. Separate accounts will be set up within 3 months after the approval of the programme: one for ex ante contributions, one for ERDF and one for the Swiss / Norwegian funding. </w:t>
      </w:r>
    </w:p>
    <w:p w:rsidR="00282D17" w:rsidRPr="00C4514D" w:rsidRDefault="00282D17" w:rsidP="00282D17">
      <w:pPr>
        <w:autoSpaceDE w:val="0"/>
        <w:autoSpaceDN w:val="0"/>
        <w:adjustRightInd w:val="0"/>
        <w:spacing w:after="180" w:line="276" w:lineRule="auto"/>
        <w:jc w:val="both"/>
        <w:rPr>
          <w:rFonts w:ascii="Verdana" w:eastAsia="MS Mincho" w:hAnsi="Verdana" w:cs="Arial"/>
          <w:bCs/>
          <w:sz w:val="22"/>
          <w:szCs w:val="22"/>
          <w:lang w:eastAsia="ja-JP"/>
        </w:rPr>
      </w:pPr>
      <w:r w:rsidRPr="00C4514D">
        <w:rPr>
          <w:rFonts w:ascii="Verdana" w:eastAsia="MS Mincho" w:hAnsi="Verdana" w:cs="Arial"/>
          <w:bCs/>
          <w:sz w:val="22"/>
          <w:szCs w:val="22"/>
          <w:lang w:eastAsia="ja-JP"/>
        </w:rPr>
        <w:t>The MS/PS shall transfer their national contributions to the programme for the current year on the base of the financial plan agreed. The MS/PS may also transfer their total national ex-ante contribution with the first payment if they so wish. At the beginning of each year, the managing authority, in coordination with the certifying authority, shall send to the MS/PS a request of payment asking for the transfer of the ex-ante contribution foreseen for the current year.</w:t>
      </w:r>
    </w:p>
    <w:p w:rsidR="00282D17" w:rsidRPr="00C4514D" w:rsidRDefault="00282D17" w:rsidP="00282D17">
      <w:pPr>
        <w:autoSpaceDE w:val="0"/>
        <w:autoSpaceDN w:val="0"/>
        <w:adjustRightInd w:val="0"/>
        <w:spacing w:after="180" w:line="276" w:lineRule="auto"/>
        <w:jc w:val="both"/>
        <w:rPr>
          <w:rFonts w:ascii="Verdana" w:eastAsia="MS Mincho" w:hAnsi="Verdana" w:cs="Arial"/>
          <w:bCs/>
          <w:sz w:val="22"/>
          <w:szCs w:val="22"/>
          <w:lang w:eastAsia="ja-JP"/>
        </w:rPr>
      </w:pPr>
      <w:r w:rsidRPr="00C4514D">
        <w:rPr>
          <w:rFonts w:ascii="Verdana" w:eastAsia="MS Mincho" w:hAnsi="Verdana" w:cs="Arial"/>
          <w:bCs/>
          <w:sz w:val="22"/>
          <w:szCs w:val="22"/>
          <w:lang w:eastAsia="ja-JP"/>
        </w:rPr>
        <w:t xml:space="preserve">A report on the payment situation and on interest generated on the account will be given by the managing authority/certifying authority to the monitoring committee. In compliance with Article 38 of Regulation 1303/2013 [CPR] the use of any interest accrued by the programme shall be agreed with Member/Partner States in the principles of sound financial management. Information on this shall be declared to the EC at the time of the final closure of the programme. </w:t>
      </w:r>
    </w:p>
    <w:p w:rsidR="00282D17" w:rsidRPr="00C4514D" w:rsidRDefault="00282D17" w:rsidP="00282D17">
      <w:pPr>
        <w:autoSpaceDE w:val="0"/>
        <w:autoSpaceDN w:val="0"/>
        <w:adjustRightInd w:val="0"/>
        <w:spacing w:after="180" w:line="276" w:lineRule="auto"/>
        <w:jc w:val="both"/>
        <w:rPr>
          <w:rFonts w:ascii="Verdana" w:eastAsia="MS Mincho" w:hAnsi="Verdana" w:cs="Arial"/>
          <w:bCs/>
          <w:sz w:val="22"/>
          <w:szCs w:val="22"/>
          <w:lang w:eastAsia="ja-JP"/>
        </w:rPr>
      </w:pPr>
      <w:r w:rsidRPr="00C4514D">
        <w:rPr>
          <w:rFonts w:ascii="Verdana" w:eastAsia="MS Mincho" w:hAnsi="Verdana" w:cs="Arial"/>
          <w:bCs/>
          <w:sz w:val="22"/>
          <w:szCs w:val="22"/>
          <w:lang w:eastAsia="ja-JP"/>
        </w:rPr>
        <w:t xml:space="preserve">In the case that at the end of the programme implementation period  the Member /Partner States have transferred more funds than have actually been used, the managing authority/certifying authority will reimburse these funds. </w:t>
      </w:r>
    </w:p>
    <w:p w:rsidR="00282D17" w:rsidRPr="00C4514D" w:rsidRDefault="00282D17" w:rsidP="00282D17">
      <w:pPr>
        <w:spacing w:after="180" w:line="276" w:lineRule="auto"/>
        <w:rPr>
          <w:rFonts w:ascii="Verdana" w:eastAsia="MS Mincho" w:hAnsi="Verdana" w:cs="Arial"/>
          <w:b/>
          <w:i/>
          <w:iCs/>
          <w:sz w:val="22"/>
          <w:szCs w:val="22"/>
          <w:lang w:eastAsia="ja-JP"/>
        </w:rPr>
      </w:pPr>
      <w:r w:rsidRPr="00C4514D">
        <w:rPr>
          <w:rFonts w:ascii="Verdana" w:eastAsia="MS Mincho" w:hAnsi="Verdana" w:cs="Arial"/>
          <w:b/>
          <w:i/>
          <w:iCs/>
          <w:sz w:val="22"/>
          <w:szCs w:val="22"/>
          <w:lang w:eastAsia="ja-JP"/>
        </w:rPr>
        <w:br w:type="page"/>
      </w:r>
    </w:p>
    <w:p w:rsidR="00282D17" w:rsidRPr="00C4514D" w:rsidRDefault="00282D17" w:rsidP="00282D17">
      <w:pPr>
        <w:autoSpaceDE w:val="0"/>
        <w:autoSpaceDN w:val="0"/>
        <w:adjustRightInd w:val="0"/>
        <w:spacing w:after="180" w:line="276" w:lineRule="auto"/>
        <w:jc w:val="both"/>
        <w:rPr>
          <w:rFonts w:ascii="Verdana" w:eastAsia="MS Mincho" w:hAnsi="Verdana" w:cs="Arial"/>
          <w:b/>
          <w:i/>
          <w:iCs/>
          <w:sz w:val="22"/>
          <w:szCs w:val="22"/>
          <w:lang w:eastAsia="ja-JP"/>
        </w:rPr>
      </w:pPr>
      <w:r w:rsidRPr="00C4514D">
        <w:rPr>
          <w:rFonts w:ascii="Verdana" w:eastAsia="MS Mincho" w:hAnsi="Verdana" w:cs="Arial"/>
          <w:b/>
          <w:i/>
          <w:iCs/>
          <w:sz w:val="22"/>
          <w:szCs w:val="22"/>
          <w:lang w:eastAsia="ja-JP"/>
        </w:rPr>
        <w:t>Main stages of Community funding from the managing authority/certifying authority to the lead partners</w:t>
      </w:r>
    </w:p>
    <w:p w:rsidR="00282D17" w:rsidRPr="00C4514D" w:rsidRDefault="00282D17" w:rsidP="00282D17">
      <w:pPr>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All projects have to be pre-financed by the project partners. The lead partner collects the certified declarations of expenditure of all project partners and makes a claim for reimbursement within the progress report to the managing authority/certifying authority. The reimbursement is paid from the managing authority/certifying authority to the lead partner; and the lead partner distributes the money to the partners. All amounts referred to in the subsidy contract are expressed in EURO (EUR). Funds will be disbursed in EURO (EUR) to the bank account specified by the lead partner in the project application. The exchange rate risk is borne by the lead partner/project partner.</w:t>
      </w:r>
    </w:p>
    <w:p w:rsidR="00282D17" w:rsidRPr="00C4514D" w:rsidRDefault="00282D17" w:rsidP="00282D17">
      <w:pPr>
        <w:autoSpaceDE w:val="0"/>
        <w:autoSpaceDN w:val="0"/>
        <w:adjustRightInd w:val="0"/>
        <w:spacing w:after="180" w:line="276" w:lineRule="auto"/>
        <w:jc w:val="both"/>
        <w:rPr>
          <w:rFonts w:ascii="Verdana" w:eastAsia="MS Mincho" w:hAnsi="Verdana" w:cs="Arial"/>
          <w:bCs/>
          <w:sz w:val="22"/>
          <w:szCs w:val="22"/>
          <w:lang w:eastAsia="ja-JP"/>
        </w:rPr>
      </w:pPr>
      <w:r w:rsidRPr="00C4514D">
        <w:rPr>
          <w:rFonts w:ascii="Verdana" w:eastAsia="MS Mincho" w:hAnsi="Verdana" w:cs="Arial"/>
          <w:bCs/>
          <w:sz w:val="22"/>
          <w:szCs w:val="22"/>
          <w:lang w:eastAsia="ja-JP"/>
        </w:rPr>
        <w:t>Pursuant to Articles 132 of Regulation (EU) 1303/2013 [CPR], the managing authority/certifying authority undertakes the payment of the ERDF to the lead partners.</w:t>
      </w:r>
      <w:r w:rsidRPr="00C4514D">
        <w:rPr>
          <w:rFonts w:ascii="Verdana" w:eastAsia="Cambria" w:hAnsi="Verdana" w:cs="Arial"/>
          <w:sz w:val="22"/>
          <w:szCs w:val="22"/>
          <w:lang w:eastAsia="en-US"/>
        </w:rPr>
        <w:t xml:space="preserve"> </w:t>
      </w:r>
      <w:r w:rsidRPr="00C4514D">
        <w:rPr>
          <w:rFonts w:ascii="Verdana" w:eastAsia="MS Mincho" w:hAnsi="Verdana" w:cs="Arial"/>
          <w:bCs/>
          <w:sz w:val="22"/>
          <w:szCs w:val="22"/>
          <w:lang w:eastAsia="ja-JP"/>
        </w:rPr>
        <w:t xml:space="preserve">The managing authority/certifying authority ensures that the lead partners receive payment in full and as quickly as possible </w:t>
      </w:r>
      <w:r w:rsidRPr="00C4514D">
        <w:rPr>
          <w:rFonts w:ascii="Verdana" w:hAnsi="Verdana" w:cs="Arial"/>
          <w:color w:val="000000"/>
          <w:sz w:val="22"/>
          <w:szCs w:val="22"/>
        </w:rPr>
        <w:t xml:space="preserve">after approval of the reports by the </w:t>
      </w:r>
      <w:r w:rsidRPr="00C4514D">
        <w:rPr>
          <w:rFonts w:ascii="Verdana" w:eastAsia="Cambria" w:hAnsi="Verdana" w:cs="Arial"/>
          <w:sz w:val="22"/>
          <w:szCs w:val="22"/>
          <w:lang w:eastAsia="en-US"/>
        </w:rPr>
        <w:t>managing authority/joint secretariat</w:t>
      </w:r>
      <w:r w:rsidRPr="00C4514D">
        <w:rPr>
          <w:rFonts w:ascii="Verdana" w:hAnsi="Verdana" w:cs="Arial"/>
          <w:color w:val="000000"/>
          <w:sz w:val="22"/>
          <w:szCs w:val="22"/>
        </w:rPr>
        <w:t xml:space="preserve"> provided that the funds are made available by the European Commission. No deduction, retention or further specific charges which would reduce the amount of the payment shall be made. </w:t>
      </w:r>
      <w:r w:rsidRPr="00C4514D">
        <w:rPr>
          <w:rFonts w:ascii="Verdana" w:eastAsia="MS Mincho" w:hAnsi="Verdana" w:cs="Arial"/>
          <w:bCs/>
          <w:sz w:val="22"/>
          <w:szCs w:val="22"/>
          <w:lang w:eastAsia="ja-JP"/>
        </w:rPr>
        <w:t>It is up to the lead partners to forward the ERDF contribution to the project partners as set out in Article 13 of Regulation (EU) 1299/2013 [ETC]. Norwegian and Swiss funds are managed at national level.</w:t>
      </w:r>
    </w:p>
    <w:p w:rsidR="00282D17" w:rsidRPr="00C4514D" w:rsidRDefault="00282D17" w:rsidP="00282D17">
      <w:pPr>
        <w:spacing w:after="180" w:line="276" w:lineRule="auto"/>
        <w:jc w:val="both"/>
        <w:rPr>
          <w:rFonts w:ascii="Verdana" w:eastAsia="Cambria" w:hAnsi="Verdana" w:cs="Arial"/>
          <w:sz w:val="22"/>
          <w:szCs w:val="22"/>
          <w:lang w:eastAsia="en-US"/>
        </w:rPr>
      </w:pPr>
      <w:r w:rsidRPr="00C4514D">
        <w:rPr>
          <w:rFonts w:ascii="Verdana" w:eastAsia="Cambria" w:hAnsi="Verdana" w:cs="Arial"/>
          <w:sz w:val="22"/>
          <w:szCs w:val="22"/>
          <w:lang w:eastAsia="en-US"/>
        </w:rPr>
        <w:t xml:space="preserve">Should there be any suspicion of irregularities, the managing authority/joint secretariat and/or the certifying authority shall inform the competent Member / Partner State administrations listed as indicated in the annex of the submitted agreement in compliance with the description of the management and control system and suspend the reimbursement of the ERDF financing related to the project partner and expenditure under examination. </w:t>
      </w:r>
    </w:p>
    <w:p w:rsidR="00282D17" w:rsidRPr="00C4514D" w:rsidRDefault="00282D17" w:rsidP="00282D17">
      <w:pPr>
        <w:autoSpaceDE w:val="0"/>
        <w:autoSpaceDN w:val="0"/>
        <w:adjustRightInd w:val="0"/>
        <w:spacing w:after="180" w:line="276" w:lineRule="auto"/>
        <w:jc w:val="both"/>
        <w:rPr>
          <w:rFonts w:ascii="Verdana" w:eastAsia="MS Mincho" w:hAnsi="Verdana" w:cs="Arial"/>
          <w:b/>
          <w:bCs/>
          <w:sz w:val="22"/>
          <w:szCs w:val="22"/>
          <w:lang w:eastAsia="ja-JP"/>
        </w:rPr>
      </w:pPr>
    </w:p>
    <w:p w:rsidR="00282D17" w:rsidRPr="00C4514D" w:rsidRDefault="00282D17" w:rsidP="00282D17">
      <w:pPr>
        <w:shd w:val="clear" w:color="auto" w:fill="FFFFFF"/>
        <w:autoSpaceDE w:val="0"/>
        <w:autoSpaceDN w:val="0"/>
        <w:adjustRightInd w:val="0"/>
        <w:spacing w:after="180" w:line="276" w:lineRule="auto"/>
        <w:jc w:val="both"/>
        <w:rPr>
          <w:rFonts w:ascii="Verdana" w:eastAsia="Cambria" w:hAnsi="Verdana" w:cs="Arial"/>
          <w:i/>
          <w:iCs/>
          <w:sz w:val="22"/>
          <w:szCs w:val="22"/>
          <w:u w:val="single"/>
          <w:lang w:eastAsia="en-US"/>
        </w:rPr>
      </w:pPr>
      <w:r w:rsidRPr="00C4514D">
        <w:rPr>
          <w:rFonts w:ascii="Verdana" w:eastAsia="MS Mincho" w:hAnsi="Verdana" w:cs="Arial"/>
          <w:b/>
          <w:bCs/>
          <w:i/>
          <w:sz w:val="22"/>
          <w:szCs w:val="22"/>
          <w:lang w:eastAsia="ja-JP"/>
        </w:rPr>
        <w:t>Information and communication</w:t>
      </w:r>
    </w:p>
    <w:p w:rsidR="00282D17" w:rsidRPr="00C4514D" w:rsidRDefault="00282D17" w:rsidP="00282D17">
      <w:pPr>
        <w:shd w:val="clear" w:color="auto" w:fill="FFFFFF"/>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 xml:space="preserve">The managing authority, assisted by the joint secretariat, will draw up a communication strategy which will be discussed and approved by the monitoring committee </w:t>
      </w:r>
      <w:r w:rsidRPr="00C4514D">
        <w:rPr>
          <w:rFonts w:ascii="Verdana" w:eastAsia="Cambria" w:hAnsi="Verdana"/>
          <w:sz w:val="22"/>
          <w:szCs w:val="22"/>
          <w:lang w:eastAsia="en-US"/>
        </w:rPr>
        <w:t>no later than 6 months after the adoption of the operational programme concerned</w:t>
      </w:r>
      <w:r w:rsidRPr="00C4514D">
        <w:rPr>
          <w:rFonts w:ascii="Verdana" w:eastAsia="MS Mincho" w:hAnsi="Verdana" w:cs="Arial"/>
          <w:sz w:val="22"/>
          <w:szCs w:val="22"/>
          <w:lang w:eastAsia="ja-JP"/>
        </w:rPr>
        <w:t xml:space="preserve">, in accordance with </w:t>
      </w:r>
      <w:r w:rsidRPr="00C4514D">
        <w:rPr>
          <w:rFonts w:ascii="Verdana" w:eastAsia="MS Mincho" w:hAnsi="Verdana" w:cs="Arial"/>
          <w:bCs/>
          <w:sz w:val="22"/>
          <w:szCs w:val="22"/>
          <w:lang w:eastAsia="ja-JP"/>
        </w:rPr>
        <w:t>Article 116 of Regulation (EU) 1303/2013 [CPR]</w:t>
      </w:r>
      <w:r w:rsidRPr="00C4514D">
        <w:rPr>
          <w:rFonts w:ascii="Verdana" w:eastAsia="MS Mincho" w:hAnsi="Verdana" w:cs="Arial"/>
          <w:sz w:val="22"/>
          <w:szCs w:val="22"/>
          <w:lang w:eastAsia="ja-JP"/>
        </w:rPr>
        <w:t xml:space="preserve">. </w:t>
      </w:r>
    </w:p>
    <w:p w:rsidR="00282D17" w:rsidRPr="00C4514D" w:rsidRDefault="00282D17" w:rsidP="00282D17">
      <w:pPr>
        <w:shd w:val="clear" w:color="auto" w:fill="FFFFFF"/>
        <w:autoSpaceDE w:val="0"/>
        <w:autoSpaceDN w:val="0"/>
        <w:adjustRightInd w:val="0"/>
        <w:spacing w:after="180" w:line="276" w:lineRule="auto"/>
        <w:jc w:val="both"/>
        <w:rPr>
          <w:rFonts w:ascii="Verdana" w:eastAsia="MS Mincho" w:hAnsi="Verdana" w:cs="Arial"/>
          <w:bCs/>
          <w:sz w:val="22"/>
          <w:szCs w:val="22"/>
          <w:lang w:eastAsia="ja-JP"/>
        </w:rPr>
      </w:pPr>
      <w:r w:rsidRPr="00C4514D">
        <w:rPr>
          <w:rFonts w:ascii="Verdana" w:eastAsia="MS Mincho" w:hAnsi="Verdana" w:cs="Arial"/>
          <w:sz w:val="22"/>
          <w:szCs w:val="22"/>
          <w:lang w:eastAsia="ja-JP"/>
        </w:rPr>
        <w:t xml:space="preserve">The Communication Strategy shall include the following elements as outlined in Annex XII of </w:t>
      </w:r>
      <w:r w:rsidRPr="00C4514D">
        <w:rPr>
          <w:rFonts w:ascii="Verdana" w:eastAsia="MS Mincho" w:hAnsi="Verdana" w:cs="Arial"/>
          <w:bCs/>
          <w:sz w:val="22"/>
          <w:szCs w:val="22"/>
          <w:lang w:eastAsia="ja-JP"/>
        </w:rPr>
        <w:t>Regulation (EU) 1303/2013 [CPR]:</w:t>
      </w:r>
    </w:p>
    <w:p w:rsidR="00282D17" w:rsidRPr="00C4514D" w:rsidRDefault="00282D17" w:rsidP="008166DD">
      <w:pPr>
        <w:pStyle w:val="Paragraphedeliste3"/>
        <w:numPr>
          <w:ilvl w:val="0"/>
          <w:numId w:val="47"/>
        </w:numPr>
        <w:shd w:val="clear" w:color="auto" w:fill="FFFFFF"/>
        <w:autoSpaceDE w:val="0"/>
        <w:autoSpaceDN w:val="0"/>
        <w:adjustRightInd w:val="0"/>
        <w:spacing w:after="180"/>
        <w:ind w:left="714" w:hanging="357"/>
        <w:jc w:val="both"/>
        <w:rPr>
          <w:rFonts w:ascii="Verdana" w:eastAsia="MS Mincho" w:hAnsi="Verdana" w:cs="Arial"/>
          <w:lang w:eastAsia="ja-JP"/>
        </w:rPr>
      </w:pPr>
      <w:r w:rsidRPr="00C4514D">
        <w:rPr>
          <w:rFonts w:ascii="Verdana" w:eastAsia="MS Mincho" w:hAnsi="Verdana" w:cs="Arial"/>
          <w:lang w:eastAsia="ja-JP"/>
        </w:rPr>
        <w:t>List of operations receiving ERDF funding</w:t>
      </w:r>
    </w:p>
    <w:p w:rsidR="00282D17" w:rsidRPr="00C4514D" w:rsidRDefault="00282D17" w:rsidP="008166DD">
      <w:pPr>
        <w:pStyle w:val="Paragraphedeliste3"/>
        <w:numPr>
          <w:ilvl w:val="0"/>
          <w:numId w:val="47"/>
        </w:numPr>
        <w:shd w:val="clear" w:color="auto" w:fill="FFFFFF"/>
        <w:autoSpaceDE w:val="0"/>
        <w:autoSpaceDN w:val="0"/>
        <w:adjustRightInd w:val="0"/>
        <w:spacing w:after="180"/>
        <w:ind w:left="714" w:hanging="357"/>
        <w:jc w:val="both"/>
        <w:rPr>
          <w:rFonts w:ascii="Verdana" w:eastAsia="MS Mincho" w:hAnsi="Verdana" w:cs="Arial"/>
          <w:lang w:eastAsia="ja-JP"/>
        </w:rPr>
      </w:pPr>
      <w:r w:rsidRPr="00C4514D">
        <w:rPr>
          <w:rFonts w:ascii="Verdana" w:eastAsia="MS Mincho" w:hAnsi="Verdana" w:cs="Arial"/>
          <w:lang w:eastAsia="ja-JP"/>
        </w:rPr>
        <w:t>Information and communication measures for the public including media coverage, promotion of calls for proposals, use of logos, institutional website</w:t>
      </w:r>
    </w:p>
    <w:p w:rsidR="00282D17" w:rsidRPr="00C4514D" w:rsidRDefault="00282D17" w:rsidP="008166DD">
      <w:pPr>
        <w:pStyle w:val="Paragraphedeliste3"/>
        <w:numPr>
          <w:ilvl w:val="0"/>
          <w:numId w:val="47"/>
        </w:numPr>
        <w:shd w:val="clear" w:color="auto" w:fill="FFFFFF"/>
        <w:autoSpaceDE w:val="0"/>
        <w:autoSpaceDN w:val="0"/>
        <w:adjustRightInd w:val="0"/>
        <w:spacing w:after="180"/>
        <w:ind w:left="714" w:hanging="357"/>
        <w:jc w:val="both"/>
        <w:rPr>
          <w:rFonts w:ascii="Verdana" w:eastAsia="MS Mincho" w:hAnsi="Verdana" w:cs="Arial"/>
          <w:lang w:eastAsia="ja-JP"/>
        </w:rPr>
      </w:pPr>
      <w:r w:rsidRPr="00C4514D">
        <w:rPr>
          <w:rFonts w:ascii="Verdana" w:eastAsia="MS Mincho" w:hAnsi="Verdana" w:cs="Arial"/>
          <w:lang w:eastAsia="ja-JP"/>
        </w:rPr>
        <w:t>Information measures for beneficiaries including information on support offered eligibility of expenditure, description of process and criteria for project selection.</w:t>
      </w:r>
    </w:p>
    <w:p w:rsidR="00282D17" w:rsidRPr="00C4514D" w:rsidRDefault="00282D17" w:rsidP="008166DD">
      <w:pPr>
        <w:pStyle w:val="Paragraphedeliste3"/>
        <w:numPr>
          <w:ilvl w:val="0"/>
          <w:numId w:val="47"/>
        </w:numPr>
        <w:shd w:val="clear" w:color="auto" w:fill="FFFFFF"/>
        <w:autoSpaceDE w:val="0"/>
        <w:autoSpaceDN w:val="0"/>
        <w:adjustRightInd w:val="0"/>
        <w:spacing w:after="180"/>
        <w:ind w:left="714" w:hanging="357"/>
        <w:jc w:val="both"/>
        <w:rPr>
          <w:rFonts w:ascii="Verdana" w:eastAsia="MS Mincho" w:hAnsi="Verdana" w:cs="Arial"/>
          <w:lang w:eastAsia="ja-JP"/>
        </w:rPr>
      </w:pPr>
      <w:r w:rsidRPr="00C4514D">
        <w:rPr>
          <w:rFonts w:ascii="Verdana" w:eastAsia="MS Mincho" w:hAnsi="Verdana" w:cs="Arial"/>
          <w:lang w:eastAsia="ja-JP"/>
        </w:rPr>
        <w:t>A description of the tools including the website, support to beneficiaries, indicative budget, visibility and awareness, communication results and annual targets</w:t>
      </w:r>
    </w:p>
    <w:p w:rsidR="00282D17" w:rsidRPr="00C4514D" w:rsidRDefault="00282D17" w:rsidP="00282D17">
      <w:pPr>
        <w:shd w:val="clear" w:color="auto" w:fill="FFFFFF"/>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Any revision of the communication strategy shall be discussed in, and approved by, the monitoring committee.</w:t>
      </w:r>
    </w:p>
    <w:p w:rsidR="00282D17" w:rsidRPr="00C4514D" w:rsidRDefault="00282D17" w:rsidP="00282D17">
      <w:pPr>
        <w:shd w:val="clear" w:color="auto" w:fill="FFFFFF"/>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The managing authority will inform the monitoring committee at least once a year of progress in the implementation of the communication strategy and its assessment of the results, as well as on the planned information and c</w:t>
      </w:r>
      <w:r>
        <w:rPr>
          <w:rFonts w:ascii="Verdana" w:eastAsia="MS Mincho" w:hAnsi="Verdana" w:cs="Arial"/>
          <w:sz w:val="22"/>
          <w:szCs w:val="22"/>
          <w:lang w:eastAsia="ja-JP"/>
        </w:rPr>
        <w:t>o</w:t>
      </w:r>
      <w:r w:rsidRPr="00C4514D">
        <w:rPr>
          <w:rFonts w:ascii="Verdana" w:eastAsia="MS Mincho" w:hAnsi="Verdana" w:cs="Arial"/>
          <w:sz w:val="22"/>
          <w:szCs w:val="22"/>
          <w:lang w:eastAsia="ja-JP"/>
        </w:rPr>
        <w:t>mmunication activities to be carried out in the following year.</w:t>
      </w:r>
    </w:p>
    <w:p w:rsidR="00282D17" w:rsidRPr="00C4514D" w:rsidRDefault="00282D17" w:rsidP="00282D17">
      <w:pPr>
        <w:shd w:val="clear" w:color="auto" w:fill="FFFFFF"/>
        <w:autoSpaceDE w:val="0"/>
        <w:autoSpaceDN w:val="0"/>
        <w:adjustRightInd w:val="0"/>
        <w:spacing w:after="180" w:line="276" w:lineRule="auto"/>
        <w:jc w:val="both"/>
        <w:rPr>
          <w:rFonts w:ascii="Verdana" w:eastAsia="Cambria" w:hAnsi="Verdana"/>
          <w:sz w:val="22"/>
          <w:szCs w:val="22"/>
          <w:lang w:eastAsia="en-US"/>
        </w:rPr>
      </w:pPr>
      <w:r w:rsidRPr="00C4514D">
        <w:rPr>
          <w:rFonts w:ascii="Verdana" w:eastAsia="Cambria" w:hAnsi="Verdana"/>
          <w:sz w:val="22"/>
          <w:szCs w:val="22"/>
          <w:lang w:eastAsia="en-US"/>
        </w:rPr>
        <w:t>Article 115(1)</w:t>
      </w:r>
      <w:r w:rsidRPr="00C4514D">
        <w:rPr>
          <w:rFonts w:ascii="Verdana" w:eastAsia="MS Mincho" w:hAnsi="Verdana" w:cs="Arial"/>
          <w:sz w:val="22"/>
          <w:szCs w:val="22"/>
          <w:lang w:eastAsia="ja-JP"/>
        </w:rPr>
        <w:t xml:space="preserve"> of </w:t>
      </w:r>
      <w:r w:rsidRPr="00C4514D">
        <w:rPr>
          <w:rFonts w:ascii="Verdana" w:eastAsia="MS Mincho" w:hAnsi="Verdana" w:cs="Arial"/>
          <w:bCs/>
          <w:sz w:val="22"/>
          <w:szCs w:val="22"/>
          <w:lang w:eastAsia="ja-JP"/>
        </w:rPr>
        <w:t>Regulation (EU) 1303/2013 [CPR] states that</w:t>
      </w:r>
      <w:r w:rsidRPr="00C4514D">
        <w:rPr>
          <w:rFonts w:ascii="Verdana" w:eastAsia="Cambria" w:hAnsi="Verdana"/>
          <w:sz w:val="22"/>
          <w:szCs w:val="22"/>
          <w:lang w:eastAsia="en-US"/>
        </w:rPr>
        <w:t xml:space="preserve"> each Member State shall establish a single website to all Operational Programmes in that Member State.</w:t>
      </w:r>
    </w:p>
    <w:p w:rsidR="00282D17" w:rsidRPr="00C4514D" w:rsidRDefault="00282D17" w:rsidP="00282D17">
      <w:pPr>
        <w:shd w:val="clear" w:color="auto" w:fill="FFFFFF"/>
        <w:autoSpaceDE w:val="0"/>
        <w:autoSpaceDN w:val="0"/>
        <w:adjustRightInd w:val="0"/>
        <w:spacing w:after="180" w:line="276" w:lineRule="auto"/>
        <w:jc w:val="both"/>
        <w:rPr>
          <w:rFonts w:ascii="Verdana" w:eastAsia="MS Mincho" w:hAnsi="Verdana" w:cs="Arial"/>
          <w:bCs/>
          <w:sz w:val="22"/>
          <w:szCs w:val="22"/>
          <w:lang w:eastAsia="ja-JP"/>
        </w:rPr>
      </w:pPr>
      <w:r w:rsidRPr="00C4514D">
        <w:rPr>
          <w:rFonts w:ascii="Verdana" w:eastAsia="MS Mincho" w:hAnsi="Verdana" w:cs="Arial"/>
          <w:sz w:val="22"/>
          <w:szCs w:val="22"/>
          <w:lang w:eastAsia="ja-JP"/>
        </w:rPr>
        <w:t xml:space="preserve">The managing authority/JS will designate one person to be responsible for information and communication at programme level and shall inform the Commission of those designated. This person shall participate in any network(s) set up by the Commission to exchange on the results of the implementation of the communication strategy, as per Article 117(4) of </w:t>
      </w:r>
      <w:r w:rsidRPr="00C4514D">
        <w:rPr>
          <w:rFonts w:ascii="Verdana" w:eastAsia="MS Mincho" w:hAnsi="Verdana" w:cs="Arial"/>
          <w:bCs/>
          <w:sz w:val="22"/>
          <w:szCs w:val="22"/>
          <w:lang w:eastAsia="ja-JP"/>
        </w:rPr>
        <w:t>Regulation (EU) 1303/2013 [CPR]. The interaction between the person(s) responsible for information and communication at programme level and in each Member State will be defined in the communication strategy.</w:t>
      </w:r>
    </w:p>
    <w:p w:rsidR="00282D17" w:rsidRPr="00C4514D" w:rsidRDefault="00282D17" w:rsidP="00282D17">
      <w:pPr>
        <w:shd w:val="clear" w:color="auto" w:fill="FFFFFF"/>
        <w:autoSpaceDE w:val="0"/>
        <w:autoSpaceDN w:val="0"/>
        <w:adjustRightInd w:val="0"/>
        <w:spacing w:after="180" w:line="276" w:lineRule="auto"/>
        <w:jc w:val="both"/>
        <w:rPr>
          <w:rFonts w:ascii="Verdana" w:eastAsia="MS Mincho" w:hAnsi="Verdana" w:cs="Arial"/>
          <w:bCs/>
          <w:sz w:val="22"/>
          <w:szCs w:val="22"/>
          <w:lang w:eastAsia="ja-JP"/>
        </w:rPr>
      </w:pPr>
      <w:r w:rsidRPr="00C4514D">
        <w:rPr>
          <w:rFonts w:ascii="Verdana" w:eastAsia="MS Mincho" w:hAnsi="Verdana" w:cs="Arial"/>
          <w:sz w:val="22"/>
          <w:szCs w:val="22"/>
          <w:lang w:eastAsia="ja-JP"/>
        </w:rPr>
        <w:t>The communication strategy will be implemented by the joint secretariat, under the direction of the programme director and the managing authority. It will be delivered in partnership with the member/ partner states and other bodies identified in Annexe XII (3)</w:t>
      </w:r>
      <w:r w:rsidRPr="00C4514D">
        <w:rPr>
          <w:rFonts w:ascii="Verdana" w:eastAsia="MS Mincho" w:hAnsi="Verdana" w:cs="Arial"/>
          <w:bCs/>
          <w:sz w:val="22"/>
          <w:szCs w:val="22"/>
          <w:lang w:eastAsia="ja-JP"/>
        </w:rPr>
        <w:t xml:space="preserve"> of Regulation (EU) 1303/2013 [CPR]. In particular, the programme member / partner states </w:t>
      </w:r>
      <w:r>
        <w:rPr>
          <w:rFonts w:ascii="Verdana" w:eastAsia="MS Mincho" w:hAnsi="Verdana" w:cs="Arial"/>
          <w:bCs/>
          <w:sz w:val="22"/>
          <w:szCs w:val="22"/>
          <w:lang w:eastAsia="ja-JP"/>
        </w:rPr>
        <w:t>will</w:t>
      </w:r>
      <w:r w:rsidRPr="00C4514D">
        <w:rPr>
          <w:rFonts w:ascii="Verdana" w:eastAsia="MS Mincho" w:hAnsi="Verdana" w:cs="Arial"/>
          <w:bCs/>
          <w:sz w:val="22"/>
          <w:szCs w:val="22"/>
          <w:lang w:eastAsia="ja-JP"/>
        </w:rPr>
        <w:t xml:space="preserve"> provide national specific information  </w:t>
      </w:r>
      <w:r>
        <w:rPr>
          <w:rFonts w:ascii="Verdana" w:eastAsia="MS Mincho" w:hAnsi="Verdana" w:cs="Arial"/>
          <w:bCs/>
          <w:sz w:val="22"/>
          <w:szCs w:val="22"/>
          <w:lang w:eastAsia="ja-JP"/>
        </w:rPr>
        <w:t xml:space="preserve">and will support the MA in </w:t>
      </w:r>
      <w:r w:rsidRPr="00C4514D">
        <w:rPr>
          <w:rFonts w:ascii="Verdana" w:eastAsia="MS Mincho" w:hAnsi="Verdana" w:cs="Arial"/>
          <w:bCs/>
          <w:sz w:val="22"/>
          <w:szCs w:val="22"/>
          <w:lang w:eastAsia="ja-JP"/>
        </w:rPr>
        <w:t>provid</w:t>
      </w:r>
      <w:r>
        <w:rPr>
          <w:rFonts w:ascii="Verdana" w:eastAsia="MS Mincho" w:hAnsi="Verdana" w:cs="Arial"/>
          <w:bCs/>
          <w:sz w:val="22"/>
          <w:szCs w:val="22"/>
          <w:lang w:eastAsia="ja-JP"/>
        </w:rPr>
        <w:t>ing</w:t>
      </w:r>
      <w:r w:rsidRPr="00C4514D">
        <w:rPr>
          <w:rFonts w:ascii="Verdana" w:eastAsia="MS Mincho" w:hAnsi="Verdana" w:cs="Arial"/>
          <w:bCs/>
          <w:sz w:val="22"/>
          <w:szCs w:val="22"/>
          <w:lang w:eastAsia="ja-JP"/>
        </w:rPr>
        <w:t xml:space="preserve"> a point of contact for potential applicants; ensure the wide dissemination of programme information; and organise national/regional seminars.</w:t>
      </w:r>
    </w:p>
    <w:p w:rsidR="00282D17" w:rsidRPr="00C4514D" w:rsidRDefault="00282D17" w:rsidP="00282D17">
      <w:pPr>
        <w:shd w:val="clear" w:color="auto" w:fill="FFFFFF"/>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 xml:space="preserve">A budget for the implementation of the communication strategy for the 2014-2022 period will be made available as part of the programme’s budget, </w:t>
      </w:r>
    </w:p>
    <w:p w:rsidR="00282D17" w:rsidRPr="00C4514D" w:rsidRDefault="00282D17" w:rsidP="00282D17">
      <w:pPr>
        <w:shd w:val="clear" w:color="auto" w:fill="FFFFFF"/>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 xml:space="preserve">The communication strategy aims in particular to inform potential beneficiaries about funding opportunities under this operational programme and to publicise to citizens the role and achievements of cohesion policy, through information and communication actions on the results and impacts of the programmes and operations. It will take into consideration the elements detailed in Annexe XII of </w:t>
      </w:r>
      <w:r w:rsidRPr="00C4514D">
        <w:rPr>
          <w:rFonts w:ascii="Verdana" w:eastAsia="MS Mincho" w:hAnsi="Verdana" w:cs="Arial"/>
          <w:bCs/>
          <w:sz w:val="22"/>
          <w:szCs w:val="22"/>
          <w:lang w:eastAsia="ja-JP"/>
        </w:rPr>
        <w:t>Regulation (EU) 1303/2013 [CPR].</w:t>
      </w:r>
    </w:p>
    <w:p w:rsidR="00282D17" w:rsidRPr="00C4514D" w:rsidRDefault="00282D17" w:rsidP="00282D17">
      <w:pPr>
        <w:shd w:val="clear" w:color="auto" w:fill="FFFFFF"/>
        <w:autoSpaceDE w:val="0"/>
        <w:autoSpaceDN w:val="0"/>
        <w:adjustRightInd w:val="0"/>
        <w:spacing w:after="180" w:line="276" w:lineRule="auto"/>
        <w:jc w:val="both"/>
        <w:rPr>
          <w:rFonts w:ascii="Verdana" w:eastAsia="MS Mincho" w:hAnsi="Verdana" w:cs="Arial"/>
          <w:sz w:val="22"/>
          <w:szCs w:val="22"/>
          <w:lang w:eastAsia="ja-JP"/>
        </w:rPr>
      </w:pPr>
    </w:p>
    <w:p w:rsidR="00282D17" w:rsidRPr="00C4514D" w:rsidRDefault="00282D17" w:rsidP="00282D17">
      <w:pPr>
        <w:shd w:val="clear" w:color="auto" w:fill="FFFFFF"/>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 xml:space="preserve">To ensure transparency in the support of the funds, a list of operations with at least the information set out in Annex VII (1) of </w:t>
      </w:r>
      <w:r w:rsidRPr="00C4514D">
        <w:rPr>
          <w:rFonts w:ascii="Verdana" w:eastAsia="MS Mincho" w:hAnsi="Verdana" w:cs="Arial"/>
          <w:bCs/>
          <w:sz w:val="22"/>
          <w:szCs w:val="22"/>
          <w:lang w:eastAsia="ja-JP"/>
        </w:rPr>
        <w:t>Regulation (EU) 1303/2013 [CPR] will be published on the programme website, updated at least every six months, and exportable in a format which allows the data to be sorted, searched, extracted, compared and easily published on the internet.</w:t>
      </w:r>
    </w:p>
    <w:p w:rsidR="00214368" w:rsidRPr="00627420" w:rsidRDefault="00214368" w:rsidP="00214368">
      <w:pPr>
        <w:pStyle w:val="Nagwek2"/>
        <w:spacing w:after="180" w:line="276" w:lineRule="auto"/>
        <w:rPr>
          <w:lang w:eastAsia="ar-SA"/>
        </w:rPr>
      </w:pPr>
      <w:bookmarkStart w:id="42" w:name="_Toc381007267"/>
      <w:bookmarkStart w:id="43" w:name="_Toc381008686"/>
      <w:bookmarkStart w:id="44" w:name="_Toc401325811"/>
      <w:bookmarkEnd w:id="38"/>
      <w:r w:rsidRPr="00627420">
        <w:rPr>
          <w:lang w:eastAsia="ar-SA"/>
        </w:rPr>
        <w:t>5.4</w:t>
      </w:r>
      <w:r>
        <w:rPr>
          <w:lang w:eastAsia="ar-SA"/>
        </w:rPr>
        <w:t>.</w:t>
      </w:r>
      <w:r w:rsidRPr="00627420">
        <w:rPr>
          <w:lang w:eastAsia="ar-SA"/>
        </w:rPr>
        <w:tab/>
        <w:t>The apportionment of liabilities among the participating Member States in case of financial corrections imposed by the managing authority or the Commission</w:t>
      </w:r>
    </w:p>
    <w:p w:rsidR="00214368" w:rsidRPr="00C4514D" w:rsidRDefault="00214368" w:rsidP="00214368">
      <w:pPr>
        <w:autoSpaceDE w:val="0"/>
        <w:autoSpaceDN w:val="0"/>
        <w:adjustRightInd w:val="0"/>
        <w:spacing w:after="180" w:line="276" w:lineRule="auto"/>
        <w:jc w:val="both"/>
        <w:rPr>
          <w:rFonts w:ascii="Verdana" w:eastAsia="Cambria" w:hAnsi="Verdana" w:cs="Arial"/>
          <w:i/>
          <w:iCs/>
          <w:sz w:val="22"/>
          <w:szCs w:val="22"/>
          <w:lang w:eastAsia="en-US"/>
        </w:rPr>
      </w:pPr>
      <w:r w:rsidRPr="00C4514D">
        <w:rPr>
          <w:rFonts w:ascii="Verdana" w:eastAsia="MS Mincho" w:hAnsi="Verdana" w:cs="Arial"/>
          <w:b/>
          <w:bCs/>
          <w:i/>
          <w:color w:val="000000"/>
          <w:sz w:val="22"/>
          <w:szCs w:val="22"/>
          <w:lang w:eastAsia="ja-JP"/>
        </w:rPr>
        <w:t>Reduction and recovery of payments from beneficiaries</w:t>
      </w:r>
    </w:p>
    <w:p w:rsidR="00214368" w:rsidRPr="00C4514D" w:rsidRDefault="00214368" w:rsidP="00214368">
      <w:pPr>
        <w:tabs>
          <w:tab w:val="left" w:pos="0"/>
          <w:tab w:val="left" w:pos="1080"/>
        </w:tabs>
        <w:autoSpaceDE w:val="0"/>
        <w:autoSpaceDN w:val="0"/>
        <w:adjustRightInd w:val="0"/>
        <w:spacing w:after="180" w:line="276" w:lineRule="auto"/>
        <w:jc w:val="both"/>
        <w:rPr>
          <w:rFonts w:ascii="Verdana" w:eastAsia="MS Mincho" w:hAnsi="Verdana" w:cs="Arial"/>
          <w:color w:val="000000"/>
          <w:sz w:val="22"/>
          <w:szCs w:val="22"/>
          <w:lang w:eastAsia="ja-JP"/>
        </w:rPr>
      </w:pPr>
      <w:r w:rsidRPr="00C4514D">
        <w:rPr>
          <w:rFonts w:ascii="Verdana" w:eastAsia="MS Mincho" w:hAnsi="Verdana" w:cs="Arial"/>
          <w:color w:val="000000"/>
          <w:sz w:val="22"/>
          <w:szCs w:val="22"/>
          <w:lang w:eastAsia="ja-JP"/>
        </w:rPr>
        <w:t xml:space="preserve">The managing authority shall ensure that any amount paid as a result of an irregularity is recovered from the project via the lead partner. Project partners shall repay the lead partner any amounts unduly paid. The managing authority shall also recover funds from the lead partner (and the lead partner from the project partner) following a termination of the subsidy contract in full or in part based on the conditions defined in the subsidy contract. </w:t>
      </w:r>
    </w:p>
    <w:p w:rsidR="00214368" w:rsidRPr="00C4514D" w:rsidRDefault="00214368" w:rsidP="00214368">
      <w:pPr>
        <w:tabs>
          <w:tab w:val="left" w:pos="0"/>
          <w:tab w:val="left" w:pos="1080"/>
        </w:tabs>
        <w:autoSpaceDE w:val="0"/>
        <w:autoSpaceDN w:val="0"/>
        <w:adjustRightInd w:val="0"/>
        <w:spacing w:after="180" w:line="276" w:lineRule="auto"/>
        <w:jc w:val="both"/>
        <w:rPr>
          <w:rFonts w:ascii="Verdana" w:hAnsi="Verdana" w:cs="Arial"/>
          <w:color w:val="000000"/>
          <w:sz w:val="22"/>
          <w:szCs w:val="22"/>
        </w:rPr>
      </w:pPr>
      <w:r w:rsidRPr="00C4514D">
        <w:rPr>
          <w:rFonts w:ascii="Verdana" w:hAnsi="Verdana" w:cs="Arial"/>
          <w:color w:val="000000"/>
          <w:sz w:val="22"/>
          <w:szCs w:val="22"/>
        </w:rPr>
        <w:t>Based on Article 27 (3) of Regulation (EU) No 1299/2013 [ETC], if the lead beneficiary does not succeed in securing repayment from other beneficiaries or if the managing authority does not succeed in securing repayment from the lead or sole beneficiary, the Member State or third country on whose territory the beneficiary concerned is located or, in the case of an EGTC, is registered shall reimburse the managing authority any amounts unduly paid to that beneficiary. The managing authority shall be responsible for reimbursing the amounts concerned to the general budget of the Union, in accordance with the apportionment of liabilities among the participating Member States, Norway and Switzerland as laid down in the cooperation programme</w:t>
      </w:r>
      <w:r>
        <w:rPr>
          <w:rFonts w:ascii="Verdana" w:hAnsi="Verdana" w:cs="Arial"/>
          <w:color w:val="000000"/>
          <w:sz w:val="22"/>
          <w:szCs w:val="22"/>
        </w:rPr>
        <w:t xml:space="preserve"> and in Article 27 (3) of Regulation (EU) 1299/2013 [ETC]</w:t>
      </w:r>
      <w:r w:rsidRPr="00C4514D">
        <w:rPr>
          <w:rFonts w:ascii="Verdana" w:hAnsi="Verdana" w:cs="Arial"/>
          <w:color w:val="000000"/>
          <w:sz w:val="22"/>
          <w:szCs w:val="22"/>
        </w:rPr>
        <w:t>.</w:t>
      </w:r>
    </w:p>
    <w:p w:rsidR="00214368" w:rsidRPr="00C4514D" w:rsidRDefault="00214368" w:rsidP="00214368">
      <w:pPr>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In the case of irregularities discovered, for example, by the Court of Auditors or by the EC, which result in certain expenditures being considered ineligible and in a financial correction being the subject of a EC decision on the basis of Articles 143 to 147 of Regulation (EU) 1303/2013 [CPR], the financial consequences for the EU-MS are laid down in the section “liabilities and irregularities” below. Any related exchange of correspondence between the EC and an EU-MS will be copied to the managing authority/joint secretariat. The latter will inform the managing authority/certifying authority and the audit authority/group of auditors where relevant.</w:t>
      </w:r>
    </w:p>
    <w:p w:rsidR="00214368" w:rsidRPr="00C4514D" w:rsidRDefault="00214368" w:rsidP="00214368">
      <w:pPr>
        <w:autoSpaceDE w:val="0"/>
        <w:autoSpaceDN w:val="0"/>
        <w:adjustRightInd w:val="0"/>
        <w:spacing w:after="180" w:line="276" w:lineRule="auto"/>
        <w:jc w:val="both"/>
        <w:rPr>
          <w:rFonts w:ascii="Verdana" w:eastAsia="MS Mincho" w:hAnsi="Verdana" w:cs="Arial"/>
          <w:b/>
          <w:bCs/>
          <w:i/>
          <w:color w:val="000000"/>
          <w:sz w:val="22"/>
          <w:szCs w:val="22"/>
          <w:lang w:eastAsia="ja-JP"/>
        </w:rPr>
      </w:pPr>
    </w:p>
    <w:p w:rsidR="00214368" w:rsidRDefault="00214368" w:rsidP="00214368">
      <w:pPr>
        <w:rPr>
          <w:rFonts w:ascii="Verdana" w:eastAsia="MS Mincho" w:hAnsi="Verdana" w:cs="Arial"/>
          <w:b/>
          <w:bCs/>
          <w:i/>
          <w:color w:val="000000"/>
          <w:sz w:val="22"/>
          <w:szCs w:val="22"/>
          <w:lang w:eastAsia="ja-JP"/>
        </w:rPr>
      </w:pPr>
      <w:r>
        <w:rPr>
          <w:rFonts w:ascii="Verdana" w:eastAsia="MS Mincho" w:hAnsi="Verdana" w:cs="Arial"/>
          <w:b/>
          <w:bCs/>
          <w:i/>
          <w:color w:val="000000"/>
          <w:sz w:val="22"/>
          <w:szCs w:val="22"/>
          <w:lang w:eastAsia="ja-JP"/>
        </w:rPr>
        <w:br w:type="page"/>
      </w:r>
    </w:p>
    <w:p w:rsidR="00214368" w:rsidRPr="00C4514D" w:rsidRDefault="00214368" w:rsidP="00214368">
      <w:pPr>
        <w:autoSpaceDE w:val="0"/>
        <w:autoSpaceDN w:val="0"/>
        <w:adjustRightInd w:val="0"/>
        <w:spacing w:after="180" w:line="276" w:lineRule="auto"/>
        <w:jc w:val="both"/>
        <w:rPr>
          <w:rFonts w:ascii="Verdana" w:eastAsia="MS Mincho" w:hAnsi="Verdana" w:cs="Arial"/>
          <w:color w:val="000000"/>
          <w:sz w:val="22"/>
          <w:szCs w:val="22"/>
          <w:lang w:eastAsia="ja-JP"/>
        </w:rPr>
      </w:pPr>
      <w:r w:rsidRPr="00C4514D">
        <w:rPr>
          <w:rFonts w:ascii="Verdana" w:eastAsia="MS Mincho" w:hAnsi="Verdana" w:cs="Arial"/>
          <w:b/>
          <w:bCs/>
          <w:i/>
          <w:color w:val="000000"/>
          <w:sz w:val="22"/>
          <w:szCs w:val="22"/>
          <w:lang w:eastAsia="ja-JP"/>
        </w:rPr>
        <w:t>Liabilities and irregularities</w:t>
      </w:r>
    </w:p>
    <w:p w:rsidR="00282D17" w:rsidRPr="00C4514D" w:rsidRDefault="00282D17" w:rsidP="00282D17">
      <w:pPr>
        <w:spacing w:after="180" w:line="276" w:lineRule="auto"/>
        <w:jc w:val="both"/>
        <w:rPr>
          <w:rFonts w:ascii="Verdana" w:hAnsi="Verdana" w:cs="Arial"/>
          <w:color w:val="000000"/>
          <w:sz w:val="22"/>
          <w:szCs w:val="22"/>
        </w:rPr>
      </w:pPr>
      <w:r w:rsidRPr="00C4514D">
        <w:rPr>
          <w:rFonts w:ascii="Verdana" w:hAnsi="Verdana" w:cs="Arial"/>
          <w:bCs/>
          <w:color w:val="000000"/>
          <w:sz w:val="22"/>
          <w:szCs w:val="22"/>
        </w:rPr>
        <w:t>In compliance with Article 27 of Regulation (EU) No 1299/2013 [ETC], the MS shall bear liability in connection with the use of the Programme ERDF funding as follows:</w:t>
      </w:r>
    </w:p>
    <w:p w:rsidR="00282D17" w:rsidRPr="00C4514D" w:rsidRDefault="00282D17" w:rsidP="00282D17">
      <w:pPr>
        <w:spacing w:after="180" w:line="276" w:lineRule="auto"/>
        <w:ind w:left="714" w:hanging="357"/>
        <w:rPr>
          <w:rFonts w:ascii="Verdana" w:hAnsi="Verdana" w:cs="Arial"/>
          <w:bCs/>
          <w:color w:val="000000"/>
          <w:sz w:val="22"/>
          <w:szCs w:val="22"/>
        </w:rPr>
      </w:pPr>
      <w:r w:rsidRPr="00C4514D">
        <w:rPr>
          <w:rFonts w:ascii="Verdana" w:hAnsi="Verdana" w:cs="Arial"/>
          <w:bCs/>
          <w:color w:val="000000"/>
          <w:sz w:val="22"/>
          <w:szCs w:val="22"/>
        </w:rPr>
        <w:t>a.</w:t>
      </w:r>
      <w:r w:rsidRPr="00C4514D">
        <w:rPr>
          <w:rFonts w:ascii="Verdana" w:hAnsi="Verdana" w:cs="Arial"/>
          <w:bCs/>
          <w:color w:val="000000"/>
          <w:sz w:val="22"/>
          <w:szCs w:val="22"/>
        </w:rPr>
        <w:tab/>
        <w:t>Each MS and PS bears the possible financial consequences of irregularities committed by the partners located on its national territory in compliance with Article 27 (3) of Regulation (EU) No 1299/2013 [ETC].</w:t>
      </w:r>
    </w:p>
    <w:p w:rsidR="00282D17" w:rsidRPr="00C4514D" w:rsidRDefault="00282D17" w:rsidP="00282D17">
      <w:pPr>
        <w:spacing w:after="180" w:line="276" w:lineRule="auto"/>
        <w:ind w:left="714" w:hanging="357"/>
        <w:rPr>
          <w:rFonts w:ascii="Verdana" w:hAnsi="Verdana" w:cs="Arial"/>
          <w:bCs/>
          <w:color w:val="000000"/>
          <w:sz w:val="22"/>
          <w:szCs w:val="22"/>
        </w:rPr>
      </w:pPr>
      <w:r w:rsidRPr="00C4514D">
        <w:rPr>
          <w:rFonts w:ascii="Verdana" w:hAnsi="Verdana" w:cs="Arial"/>
          <w:bCs/>
          <w:color w:val="000000"/>
          <w:sz w:val="22"/>
          <w:szCs w:val="22"/>
        </w:rPr>
        <w:t>b.</w:t>
      </w:r>
      <w:r w:rsidRPr="00C4514D">
        <w:rPr>
          <w:rFonts w:ascii="Verdana" w:hAnsi="Verdana" w:cs="Arial"/>
          <w:bCs/>
          <w:color w:val="000000"/>
          <w:sz w:val="22"/>
          <w:szCs w:val="22"/>
        </w:rPr>
        <w:tab/>
        <w:t>In case of a systemic irregularity the MS shall jointly bear the financial consequences, whereby each MS shall be responsible in proportion to the ERDF contribution of the respective national PP involved.</w:t>
      </w:r>
    </w:p>
    <w:p w:rsidR="00282D17" w:rsidRPr="00C4514D" w:rsidRDefault="00282D17" w:rsidP="00282D17">
      <w:pPr>
        <w:autoSpaceDE w:val="0"/>
        <w:autoSpaceDN w:val="0"/>
        <w:adjustRightInd w:val="0"/>
        <w:spacing w:after="180" w:line="276" w:lineRule="auto"/>
        <w:ind w:left="714" w:hanging="357"/>
        <w:jc w:val="both"/>
        <w:rPr>
          <w:rFonts w:ascii="Verdana" w:eastAsia="MS Mincho" w:hAnsi="Verdana" w:cs="Arial"/>
          <w:sz w:val="22"/>
          <w:szCs w:val="22"/>
          <w:lang w:eastAsia="ja-JP"/>
        </w:rPr>
      </w:pPr>
      <w:r w:rsidRPr="00C4514D">
        <w:rPr>
          <w:rFonts w:ascii="Verdana" w:hAnsi="Verdana" w:cs="Arial"/>
          <w:bCs/>
          <w:color w:val="000000"/>
          <w:sz w:val="22"/>
          <w:szCs w:val="22"/>
        </w:rPr>
        <w:t>c.</w:t>
      </w:r>
      <w:r w:rsidRPr="00C4514D">
        <w:rPr>
          <w:rFonts w:ascii="Verdana" w:hAnsi="Verdana" w:cs="Arial"/>
          <w:bCs/>
          <w:color w:val="000000"/>
          <w:sz w:val="22"/>
          <w:szCs w:val="22"/>
        </w:rPr>
        <w:tab/>
        <w:t>For Technical Assistance and expenditure incurred by the MA for the implementation of actions under the investment priority, the liability shall be borne by the MA and/or the CA for any irregularities.</w:t>
      </w:r>
    </w:p>
    <w:p w:rsidR="00282D17" w:rsidRDefault="00282D17" w:rsidP="00282D17">
      <w:pPr>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 xml:space="preserve">If the managing authority/joint secretariat, the certifying authority, any EU-MS or PS becomes aware of irregularities, it shall without any delay inform the liable EU-MS or PS or the managing authority/joint secretariat. The latter will ensure the transmission of information to the certifying authority and AA/group of auditors, where relevant. </w:t>
      </w:r>
    </w:p>
    <w:p w:rsidR="00282D17" w:rsidRDefault="00282D17" w:rsidP="00282D17">
      <w:pPr>
        <w:autoSpaceDE w:val="0"/>
        <w:autoSpaceDN w:val="0"/>
        <w:adjustRightInd w:val="0"/>
        <w:spacing w:after="180" w:line="276" w:lineRule="auto"/>
        <w:jc w:val="both"/>
        <w:rPr>
          <w:rFonts w:ascii="Verdana" w:eastAsia="MS Mincho" w:hAnsi="Verdana" w:cs="Arial"/>
          <w:sz w:val="22"/>
          <w:szCs w:val="22"/>
          <w:lang w:eastAsia="ja-JP"/>
        </w:rPr>
      </w:pPr>
      <w:r>
        <w:rPr>
          <w:rFonts w:ascii="Verdana" w:eastAsia="MS Mincho" w:hAnsi="Verdana" w:cs="Arial"/>
          <w:sz w:val="22"/>
          <w:szCs w:val="22"/>
          <w:lang w:eastAsia="ja-JP"/>
        </w:rPr>
        <w:t>A detailed description of the procedures to be implemented concerning liabilities will be included in the Description of Management and Control Systems (DMCS) which will be presented to the programme Monitoring Committee for approval before the start of the designation procedure.  Some main principles are outlined below:</w:t>
      </w:r>
    </w:p>
    <w:p w:rsidR="00282D17" w:rsidRDefault="00282D17" w:rsidP="008166DD">
      <w:pPr>
        <w:pStyle w:val="Akapitzlist"/>
        <w:numPr>
          <w:ilvl w:val="0"/>
          <w:numId w:val="70"/>
        </w:numPr>
        <w:autoSpaceDE w:val="0"/>
        <w:autoSpaceDN w:val="0"/>
        <w:adjustRightInd w:val="0"/>
        <w:spacing w:after="180"/>
        <w:jc w:val="both"/>
        <w:rPr>
          <w:rFonts w:ascii="Verdana" w:eastAsia="MS Mincho" w:hAnsi="Verdana" w:cs="Arial"/>
          <w:lang w:eastAsia="ja-JP"/>
        </w:rPr>
      </w:pPr>
      <w:r>
        <w:rPr>
          <w:rFonts w:ascii="Verdana" w:eastAsia="MS Mincho" w:hAnsi="Verdana" w:cs="Arial"/>
          <w:lang w:eastAsia="ja-JP"/>
        </w:rPr>
        <w:t>The MS shall ensure that provisions are made within the Subsidy Contract for approved projects to terminate the contract and demand repayment of subsidy in the case of detection of irregularities</w:t>
      </w:r>
    </w:p>
    <w:p w:rsidR="00282D17" w:rsidRDefault="00282D17" w:rsidP="008166DD">
      <w:pPr>
        <w:pStyle w:val="Akapitzlist"/>
        <w:numPr>
          <w:ilvl w:val="0"/>
          <w:numId w:val="70"/>
        </w:numPr>
        <w:autoSpaceDE w:val="0"/>
        <w:autoSpaceDN w:val="0"/>
        <w:adjustRightInd w:val="0"/>
        <w:spacing w:after="180"/>
        <w:jc w:val="both"/>
        <w:rPr>
          <w:rFonts w:ascii="Verdana" w:eastAsia="MS Mincho" w:hAnsi="Verdana" w:cs="Arial"/>
          <w:lang w:eastAsia="ja-JP"/>
        </w:rPr>
      </w:pPr>
      <w:r>
        <w:rPr>
          <w:rFonts w:ascii="Verdana" w:eastAsia="MS Mincho" w:hAnsi="Verdana" w:cs="Arial"/>
          <w:lang w:eastAsia="ja-JP"/>
        </w:rPr>
        <w:t>Should the MA detect irregularities in the day to day operation of the programme it shall inform the CA and relevant MS of the procedure to be followed.  Repayment can be calculated on the next payment due to the partner and payments can be suspended if necessary.</w:t>
      </w:r>
    </w:p>
    <w:p w:rsidR="00282D17" w:rsidRDefault="00282D17" w:rsidP="008166DD">
      <w:pPr>
        <w:pStyle w:val="Akapitzlist"/>
        <w:numPr>
          <w:ilvl w:val="0"/>
          <w:numId w:val="70"/>
        </w:numPr>
        <w:autoSpaceDE w:val="0"/>
        <w:autoSpaceDN w:val="0"/>
        <w:adjustRightInd w:val="0"/>
        <w:spacing w:after="180"/>
        <w:jc w:val="both"/>
        <w:rPr>
          <w:rFonts w:ascii="Verdana" w:eastAsia="MS Mincho" w:hAnsi="Verdana" w:cs="Arial"/>
          <w:lang w:eastAsia="ja-JP"/>
        </w:rPr>
      </w:pPr>
      <w:r w:rsidRPr="00FD1021">
        <w:rPr>
          <w:rFonts w:ascii="Verdana" w:eastAsia="MS Mincho" w:hAnsi="Verdana" w:cs="Arial"/>
          <w:lang w:eastAsia="ja-JP"/>
        </w:rPr>
        <w:t>Amounts received from the recourse of subsidy will be credited to the programme. The following application for payment to the Commission will be corrected.</w:t>
      </w:r>
    </w:p>
    <w:p w:rsidR="00282D17" w:rsidRDefault="00282D17" w:rsidP="008166DD">
      <w:pPr>
        <w:pStyle w:val="Akapitzlist"/>
        <w:numPr>
          <w:ilvl w:val="0"/>
          <w:numId w:val="70"/>
        </w:numPr>
        <w:autoSpaceDE w:val="0"/>
        <w:autoSpaceDN w:val="0"/>
        <w:adjustRightInd w:val="0"/>
        <w:spacing w:after="180"/>
        <w:jc w:val="both"/>
        <w:rPr>
          <w:rFonts w:ascii="Verdana" w:eastAsia="MS Mincho" w:hAnsi="Verdana" w:cs="Arial"/>
          <w:lang w:eastAsia="ja-JP"/>
        </w:rPr>
      </w:pPr>
      <w:r>
        <w:rPr>
          <w:rFonts w:ascii="Verdana" w:eastAsia="MS Mincho" w:hAnsi="Verdana" w:cs="Arial"/>
          <w:lang w:eastAsia="ja-JP"/>
        </w:rPr>
        <w:t>In the case where the MA is unable to recover the ineligible amounts the MS, having overall liability, shall be informed immediately and shall start the national procedure to recover these amounts</w:t>
      </w:r>
    </w:p>
    <w:p w:rsidR="00282D17" w:rsidRPr="00FD1021" w:rsidRDefault="00282D17" w:rsidP="008166DD">
      <w:pPr>
        <w:pStyle w:val="Akapitzlist"/>
        <w:numPr>
          <w:ilvl w:val="0"/>
          <w:numId w:val="70"/>
        </w:numPr>
        <w:autoSpaceDE w:val="0"/>
        <w:autoSpaceDN w:val="0"/>
        <w:adjustRightInd w:val="0"/>
        <w:spacing w:after="180"/>
        <w:jc w:val="both"/>
        <w:rPr>
          <w:rFonts w:ascii="Verdana" w:eastAsia="MS Mincho" w:hAnsi="Verdana" w:cs="Arial"/>
          <w:lang w:eastAsia="ja-JP"/>
        </w:rPr>
      </w:pPr>
      <w:r>
        <w:rPr>
          <w:rFonts w:ascii="Verdana" w:eastAsia="MS Mincho" w:hAnsi="Verdana" w:cs="Arial"/>
          <w:lang w:eastAsia="ja-JP"/>
        </w:rPr>
        <w:t>The MA shall demand repayment of irrecoverable amounts and the MS shall reimburse these amounts within a specific timeframe to be agreed in the DMCS</w:t>
      </w:r>
    </w:p>
    <w:p w:rsidR="00282D17" w:rsidRPr="00C4514D" w:rsidRDefault="00282D17" w:rsidP="00282D17">
      <w:pPr>
        <w:autoSpaceDE w:val="0"/>
        <w:autoSpaceDN w:val="0"/>
        <w:adjustRightInd w:val="0"/>
        <w:spacing w:after="180" w:line="276" w:lineRule="auto"/>
        <w:jc w:val="both"/>
        <w:rPr>
          <w:rFonts w:ascii="Verdana" w:eastAsia="MS Mincho" w:hAnsi="Verdana" w:cs="Arial"/>
          <w:sz w:val="22"/>
          <w:szCs w:val="22"/>
          <w:lang w:eastAsia="ja-JP"/>
        </w:rPr>
      </w:pPr>
      <w:r w:rsidRPr="00C4514D">
        <w:rPr>
          <w:rFonts w:ascii="Verdana" w:eastAsia="MS Mincho" w:hAnsi="Verdana" w:cs="Arial"/>
          <w:sz w:val="22"/>
          <w:szCs w:val="22"/>
          <w:lang w:eastAsia="ja-JP"/>
        </w:rPr>
        <w:t xml:space="preserve">In compliance with Article 122 of Regulation (EU) 1303/2013 [CPR], each EU-MS is responsible for reporting irregularities committed by beneficiaries located on its territory to the EC and at the same time to the managing authority/joint secretariat. Each EU-MS shall keep the EC as well as the managing authority/joint secretariat informed of any progress of related administrative and legal proceedings. The managing authority/joint secretariat will ensure the transmission of information to the certifying authority and audit authority. </w:t>
      </w:r>
    </w:p>
    <w:p w:rsidR="00282D17" w:rsidRPr="00C4514D" w:rsidRDefault="00282D17" w:rsidP="00282D17">
      <w:pPr>
        <w:autoSpaceDE w:val="0"/>
        <w:autoSpaceDN w:val="0"/>
        <w:adjustRightInd w:val="0"/>
        <w:spacing w:after="180" w:line="276" w:lineRule="auto"/>
        <w:jc w:val="both"/>
        <w:rPr>
          <w:rFonts w:ascii="Verdana" w:eastAsia="MS Mincho" w:hAnsi="Verdana" w:cs="Arial"/>
          <w:color w:val="000000"/>
          <w:sz w:val="22"/>
          <w:szCs w:val="22"/>
          <w:lang w:eastAsia="ja-JP"/>
        </w:rPr>
      </w:pPr>
      <w:r w:rsidRPr="00C4514D">
        <w:rPr>
          <w:rFonts w:ascii="Verdana" w:eastAsia="MS Mincho" w:hAnsi="Verdana" w:cs="Arial"/>
          <w:sz w:val="22"/>
          <w:szCs w:val="22"/>
          <w:lang w:eastAsia="ja-JP"/>
        </w:rPr>
        <w:t xml:space="preserve">If a Member State does not comply with its duties arising from these provisions, the </w:t>
      </w:r>
      <w:r>
        <w:rPr>
          <w:rFonts w:ascii="Verdana" w:eastAsia="MS Mincho" w:hAnsi="Verdana" w:cs="Arial"/>
          <w:sz w:val="22"/>
          <w:szCs w:val="22"/>
          <w:lang w:eastAsia="ja-JP"/>
        </w:rPr>
        <w:t xml:space="preserve">Monitoring Committee upon recommendation of the </w:t>
      </w:r>
      <w:r w:rsidRPr="00C4514D">
        <w:rPr>
          <w:rFonts w:ascii="Verdana" w:eastAsia="MS Mincho" w:hAnsi="Verdana" w:cs="Arial"/>
          <w:sz w:val="22"/>
          <w:szCs w:val="22"/>
          <w:lang w:eastAsia="ja-JP"/>
        </w:rPr>
        <w:t xml:space="preserve">managing authority is entitled to suspend payments to all project partners located on the territory of this Member State. </w:t>
      </w:r>
    </w:p>
    <w:bookmarkEnd w:id="42"/>
    <w:bookmarkEnd w:id="43"/>
    <w:bookmarkEnd w:id="44"/>
    <w:p w:rsidR="0099587B" w:rsidRPr="00C4514D" w:rsidRDefault="0099587B" w:rsidP="008B00B7">
      <w:pPr>
        <w:autoSpaceDE w:val="0"/>
        <w:autoSpaceDN w:val="0"/>
        <w:adjustRightInd w:val="0"/>
        <w:spacing w:after="180" w:line="276" w:lineRule="auto"/>
        <w:jc w:val="both"/>
        <w:rPr>
          <w:rFonts w:ascii="Verdana" w:eastAsia="Cambria" w:hAnsi="Verdana" w:cs="Arial"/>
          <w:b/>
          <w:bCs/>
          <w:sz w:val="22"/>
          <w:szCs w:val="22"/>
          <w:lang w:eastAsia="en-US"/>
        </w:rPr>
      </w:pPr>
    </w:p>
    <w:p w:rsidR="0099587B" w:rsidRPr="00627420" w:rsidRDefault="007B5752" w:rsidP="00627420">
      <w:pPr>
        <w:pStyle w:val="Nagwek2"/>
        <w:spacing w:after="180" w:line="276" w:lineRule="auto"/>
        <w:rPr>
          <w:lang w:eastAsia="ar-SA"/>
        </w:rPr>
      </w:pPr>
      <w:bookmarkStart w:id="45" w:name="_Toc401325812"/>
      <w:r>
        <w:rPr>
          <w:lang w:eastAsia="ar-SA"/>
        </w:rPr>
        <w:t>5.5.</w:t>
      </w:r>
      <w:r w:rsidR="0099587B" w:rsidRPr="00627420">
        <w:rPr>
          <w:lang w:eastAsia="ar-SA"/>
        </w:rPr>
        <w:tab/>
        <w:t>Use of the Euro</w:t>
      </w:r>
      <w:bookmarkEnd w:id="45"/>
      <w:r w:rsidR="0099587B" w:rsidRPr="00627420">
        <w:rPr>
          <w:lang w:eastAsia="ar-SA"/>
        </w:rPr>
        <w:t xml:space="preserve"> </w:t>
      </w:r>
    </w:p>
    <w:p w:rsidR="00282D17" w:rsidRPr="00C4514D" w:rsidRDefault="00282D17" w:rsidP="00282D17">
      <w:pPr>
        <w:autoSpaceDE w:val="0"/>
        <w:autoSpaceDN w:val="0"/>
        <w:adjustRightInd w:val="0"/>
        <w:spacing w:after="180" w:line="276" w:lineRule="auto"/>
        <w:jc w:val="both"/>
        <w:rPr>
          <w:rFonts w:ascii="Verdana" w:eastAsia="Cambria" w:hAnsi="Verdana"/>
          <w:sz w:val="22"/>
          <w:szCs w:val="22"/>
          <w:lang w:eastAsia="ja-JP"/>
        </w:rPr>
      </w:pPr>
      <w:r w:rsidRPr="00C4514D">
        <w:rPr>
          <w:rFonts w:ascii="Verdana" w:eastAsia="MS Mincho" w:hAnsi="Verdana" w:cs="Arial"/>
          <w:sz w:val="22"/>
          <w:szCs w:val="22"/>
          <w:lang w:eastAsia="ja-JP"/>
        </w:rPr>
        <w:t xml:space="preserve">In accordance with Article 28 of Regulation (EU) No 1299/2013 [ETC], and by way of derogation from Article 133 of Regulation (EU) No 1303/2013 [CPR], expenditure incurred in a currency other than the euro shall be converted into euro by the beneficiaries using the monthly accounting exchange rate of the Commission in the month during which the expenditure was incurred. </w:t>
      </w:r>
      <w:r>
        <w:rPr>
          <w:rFonts w:ascii="Verdana" w:eastAsia="MS Mincho" w:hAnsi="Verdana" w:cs="Arial"/>
          <w:sz w:val="22"/>
          <w:szCs w:val="22"/>
          <w:lang w:eastAsia="ja-JP"/>
        </w:rPr>
        <w:t xml:space="preserve">The URBACT programme selected option is therefore in accordance with </w:t>
      </w:r>
      <w:r w:rsidRPr="00C4514D">
        <w:rPr>
          <w:rFonts w:ascii="Verdana" w:eastAsia="MS Mincho" w:hAnsi="Verdana" w:cs="Arial"/>
          <w:sz w:val="22"/>
          <w:szCs w:val="22"/>
          <w:lang w:eastAsia="ja-JP"/>
        </w:rPr>
        <w:t>Article 28 of Re</w:t>
      </w:r>
      <w:r>
        <w:rPr>
          <w:rFonts w:ascii="Verdana" w:eastAsia="MS Mincho" w:hAnsi="Verdana" w:cs="Arial"/>
          <w:sz w:val="22"/>
          <w:szCs w:val="22"/>
          <w:lang w:eastAsia="ja-JP"/>
        </w:rPr>
        <w:t>gulation (EU) No 1299/2013  paragraph (a).</w:t>
      </w:r>
      <w:r w:rsidRPr="00C4514D">
        <w:rPr>
          <w:rFonts w:ascii="Verdana" w:eastAsia="MS Mincho" w:hAnsi="Verdana" w:cs="Arial"/>
          <w:sz w:val="22"/>
          <w:szCs w:val="22"/>
          <w:lang w:eastAsia="ja-JP"/>
        </w:rPr>
        <w:t xml:space="preserve"> The conversion shall be verified by the managing authority or the controller in the Member/Partner State where the beneficiary is located.</w:t>
      </w:r>
    </w:p>
    <w:bookmarkEnd w:id="39"/>
    <w:bookmarkEnd w:id="40"/>
    <w:bookmarkEnd w:id="41"/>
    <w:p w:rsidR="008D5F4A" w:rsidRPr="00307879" w:rsidRDefault="008D5F4A" w:rsidP="00307879"/>
    <w:p w:rsidR="0099587B" w:rsidRPr="004F5F2B" w:rsidRDefault="007B5752" w:rsidP="008B00B7">
      <w:pPr>
        <w:pStyle w:val="Nagwek2"/>
        <w:spacing w:after="180" w:line="276" w:lineRule="auto"/>
        <w:rPr>
          <w:lang w:eastAsia="ar-SA"/>
        </w:rPr>
      </w:pPr>
      <w:bookmarkStart w:id="46" w:name="_Toc401325813"/>
      <w:r>
        <w:rPr>
          <w:lang w:eastAsia="ar-SA"/>
        </w:rPr>
        <w:t>5.</w:t>
      </w:r>
      <w:r w:rsidR="00623AAA">
        <w:rPr>
          <w:lang w:eastAsia="ar-SA"/>
        </w:rPr>
        <w:t>6</w:t>
      </w:r>
      <w:r>
        <w:rPr>
          <w:lang w:eastAsia="ar-SA"/>
        </w:rPr>
        <w:t>.</w:t>
      </w:r>
      <w:r>
        <w:rPr>
          <w:lang w:eastAsia="ar-SA"/>
        </w:rPr>
        <w:tab/>
      </w:r>
      <w:r w:rsidR="0099587B" w:rsidRPr="004F5F2B">
        <w:rPr>
          <w:lang w:eastAsia="ar-SA"/>
        </w:rPr>
        <w:t>Involvement of partners</w:t>
      </w:r>
      <w:bookmarkEnd w:id="46"/>
      <w:r w:rsidR="0099587B" w:rsidRPr="004F5F2B">
        <w:rPr>
          <w:lang w:eastAsia="ar-SA"/>
        </w:rPr>
        <w:t xml:space="preserve"> </w:t>
      </w:r>
    </w:p>
    <w:p w:rsidR="00361437" w:rsidRPr="00307879" w:rsidRDefault="00361437" w:rsidP="00307879">
      <w:pPr>
        <w:rPr>
          <w:rFonts w:eastAsia="Arial"/>
        </w:rPr>
      </w:pPr>
      <w:bookmarkStart w:id="47" w:name="_Toc381007269"/>
      <w:bookmarkStart w:id="48" w:name="_Toc381008688"/>
    </w:p>
    <w:p w:rsidR="0099587B" w:rsidRPr="00254FD2" w:rsidRDefault="0099587B" w:rsidP="00254FD2">
      <w:pPr>
        <w:pStyle w:val="Nagwek2"/>
        <w:spacing w:after="180" w:line="276" w:lineRule="auto"/>
        <w:rPr>
          <w:lang w:eastAsia="ar-SA"/>
        </w:rPr>
      </w:pPr>
      <w:bookmarkStart w:id="49" w:name="_Toc401325814"/>
      <w:r w:rsidRPr="00254FD2">
        <w:rPr>
          <w:lang w:eastAsia="ar-SA"/>
        </w:rPr>
        <w:t>Role of the relevant partners in the preparation and implementation of the cooperation programme</w:t>
      </w:r>
      <w:bookmarkEnd w:id="47"/>
      <w:bookmarkEnd w:id="48"/>
      <w:bookmarkEnd w:id="49"/>
    </w:p>
    <w:p w:rsidR="0099587B" w:rsidRPr="00C4514D" w:rsidRDefault="0099587B" w:rsidP="008B00B7">
      <w:pPr>
        <w:autoSpaceDE w:val="0"/>
        <w:autoSpaceDN w:val="0"/>
        <w:adjustRightInd w:val="0"/>
        <w:spacing w:after="180" w:line="276" w:lineRule="auto"/>
        <w:jc w:val="both"/>
        <w:rPr>
          <w:rFonts w:ascii="Verdana" w:hAnsi="Verdana" w:cs="Arial"/>
          <w:color w:val="000000"/>
          <w:sz w:val="22"/>
          <w:szCs w:val="22"/>
        </w:rPr>
      </w:pPr>
      <w:r w:rsidRPr="00C4514D">
        <w:rPr>
          <w:rFonts w:ascii="Verdana" w:hAnsi="Verdana" w:cs="Arial"/>
          <w:color w:val="000000"/>
          <w:sz w:val="22"/>
          <w:szCs w:val="22"/>
        </w:rPr>
        <w:t xml:space="preserve">Article 5 of the </w:t>
      </w:r>
      <w:r w:rsidR="00623AAA">
        <w:rPr>
          <w:rFonts w:ascii="Verdana" w:hAnsi="Verdana" w:cs="Arial"/>
          <w:color w:val="000000"/>
          <w:sz w:val="22"/>
          <w:szCs w:val="22"/>
        </w:rPr>
        <w:t>Regulation (EU) N° 1303/2013 [CPR]</w:t>
      </w:r>
      <w:r w:rsidRPr="00C4514D">
        <w:rPr>
          <w:rFonts w:ascii="Verdana" w:hAnsi="Verdana" w:cs="Arial"/>
          <w:color w:val="000000"/>
          <w:sz w:val="22"/>
          <w:szCs w:val="22"/>
        </w:rPr>
        <w:t xml:space="preserve"> provides for a Code of Conduct on Partnership which will lay down the framework within which the Member States shall pursue the implementation of the partnership principle.</w:t>
      </w:r>
    </w:p>
    <w:p w:rsidR="0099587B" w:rsidRPr="00C4514D" w:rsidRDefault="0099587B" w:rsidP="008B00B7">
      <w:pPr>
        <w:autoSpaceDE w:val="0"/>
        <w:autoSpaceDN w:val="0"/>
        <w:adjustRightInd w:val="0"/>
        <w:spacing w:after="180" w:line="276" w:lineRule="auto"/>
        <w:jc w:val="both"/>
        <w:rPr>
          <w:rFonts w:ascii="Verdana" w:hAnsi="Verdana" w:cs="Arial"/>
          <w:color w:val="000000"/>
          <w:sz w:val="22"/>
          <w:szCs w:val="22"/>
        </w:rPr>
      </w:pPr>
      <w:r w:rsidRPr="00C4514D">
        <w:rPr>
          <w:rFonts w:ascii="Verdana" w:hAnsi="Verdana" w:cs="Arial"/>
          <w:color w:val="000000"/>
          <w:sz w:val="22"/>
          <w:szCs w:val="22"/>
        </w:rPr>
        <w:t>The Code of Conduct states that Member States should apply the partnership principle in a transparent manner in particular when identifying the relevant partners and their access to information.</w:t>
      </w:r>
    </w:p>
    <w:p w:rsidR="00361437" w:rsidRDefault="00361437" w:rsidP="008B00B7">
      <w:pPr>
        <w:autoSpaceDE w:val="0"/>
        <w:autoSpaceDN w:val="0"/>
        <w:adjustRightInd w:val="0"/>
        <w:spacing w:after="180" w:line="276" w:lineRule="auto"/>
        <w:rPr>
          <w:rFonts w:ascii="Verdana" w:hAnsi="Verdana" w:cs="Arial"/>
          <w:b/>
          <w:color w:val="000000"/>
          <w:sz w:val="22"/>
          <w:szCs w:val="22"/>
        </w:rPr>
      </w:pPr>
    </w:p>
    <w:p w:rsidR="0099587B" w:rsidRPr="00C4514D" w:rsidRDefault="0099587B" w:rsidP="008B00B7">
      <w:pPr>
        <w:autoSpaceDE w:val="0"/>
        <w:autoSpaceDN w:val="0"/>
        <w:adjustRightInd w:val="0"/>
        <w:spacing w:after="180" w:line="276" w:lineRule="auto"/>
        <w:rPr>
          <w:rFonts w:ascii="Verdana" w:hAnsi="Verdana" w:cs="Arial"/>
          <w:b/>
          <w:color w:val="000000"/>
          <w:sz w:val="22"/>
          <w:szCs w:val="22"/>
        </w:rPr>
      </w:pPr>
      <w:r w:rsidRPr="00C4514D">
        <w:rPr>
          <w:rFonts w:ascii="Verdana" w:hAnsi="Verdana" w:cs="Arial"/>
          <w:b/>
          <w:color w:val="000000"/>
          <w:sz w:val="22"/>
          <w:szCs w:val="22"/>
        </w:rPr>
        <w:t>Identifying the relevant partners</w:t>
      </w:r>
    </w:p>
    <w:p w:rsidR="0099587B" w:rsidRPr="00C4514D" w:rsidRDefault="0099587B" w:rsidP="008B00B7">
      <w:pPr>
        <w:autoSpaceDE w:val="0"/>
        <w:autoSpaceDN w:val="0"/>
        <w:adjustRightInd w:val="0"/>
        <w:spacing w:after="180" w:line="276" w:lineRule="auto"/>
        <w:jc w:val="both"/>
        <w:rPr>
          <w:rFonts w:ascii="Verdana" w:hAnsi="Verdana" w:cs="Arial"/>
          <w:color w:val="000000"/>
          <w:sz w:val="22"/>
          <w:szCs w:val="22"/>
        </w:rPr>
      </w:pPr>
      <w:r w:rsidRPr="00C4514D">
        <w:rPr>
          <w:rFonts w:ascii="Verdana" w:hAnsi="Verdana" w:cs="Arial"/>
          <w:color w:val="000000"/>
          <w:sz w:val="22"/>
          <w:szCs w:val="22"/>
        </w:rPr>
        <w:t>The URBACT programme has a wide geographical base covering all Member States and two partner states.  This wide coverage requires a coordinated approach to the partnership principle which should operate on several levels:</w:t>
      </w:r>
    </w:p>
    <w:p w:rsidR="0099587B" w:rsidRPr="00C4514D" w:rsidRDefault="0099587B" w:rsidP="008B00B7">
      <w:pPr>
        <w:autoSpaceDE w:val="0"/>
        <w:autoSpaceDN w:val="0"/>
        <w:adjustRightInd w:val="0"/>
        <w:spacing w:after="180" w:line="276" w:lineRule="auto"/>
        <w:jc w:val="both"/>
        <w:rPr>
          <w:rFonts w:ascii="Verdana" w:hAnsi="Verdana" w:cs="Arial"/>
          <w:color w:val="000000"/>
          <w:sz w:val="22"/>
          <w:szCs w:val="22"/>
        </w:rPr>
      </w:pPr>
      <w:r w:rsidRPr="00C4514D">
        <w:rPr>
          <w:rFonts w:ascii="Verdana" w:hAnsi="Verdana" w:cs="Arial"/>
          <w:color w:val="000000"/>
          <w:sz w:val="22"/>
          <w:szCs w:val="22"/>
          <w:u w:val="single"/>
        </w:rPr>
        <w:t>Programme Level</w:t>
      </w:r>
      <w:r w:rsidRPr="00C4514D">
        <w:rPr>
          <w:rFonts w:ascii="Verdana" w:hAnsi="Verdana" w:cs="Arial"/>
          <w:color w:val="000000"/>
          <w:sz w:val="22"/>
          <w:szCs w:val="22"/>
        </w:rPr>
        <w:t xml:space="preserve"> – competent National Authorities / other relevant EU level bodies including networks, associations / EU bodies responsible for the application of horizontal principles</w:t>
      </w:r>
    </w:p>
    <w:p w:rsidR="0099587B" w:rsidRPr="00C4514D" w:rsidRDefault="0099587B" w:rsidP="008B00B7">
      <w:pPr>
        <w:autoSpaceDE w:val="0"/>
        <w:autoSpaceDN w:val="0"/>
        <w:adjustRightInd w:val="0"/>
        <w:spacing w:after="180" w:line="276" w:lineRule="auto"/>
        <w:jc w:val="both"/>
        <w:rPr>
          <w:rFonts w:ascii="Verdana" w:hAnsi="Verdana" w:cs="Arial"/>
          <w:color w:val="000000"/>
          <w:sz w:val="22"/>
          <w:szCs w:val="22"/>
        </w:rPr>
      </w:pPr>
      <w:r w:rsidRPr="00C4514D">
        <w:rPr>
          <w:rFonts w:ascii="Verdana" w:hAnsi="Verdana" w:cs="Arial"/>
          <w:color w:val="000000"/>
          <w:sz w:val="22"/>
          <w:szCs w:val="22"/>
          <w:u w:val="single"/>
        </w:rPr>
        <w:t>National Level</w:t>
      </w:r>
      <w:r w:rsidRPr="00C4514D">
        <w:rPr>
          <w:rFonts w:ascii="Verdana" w:hAnsi="Verdana" w:cs="Arial"/>
          <w:color w:val="000000"/>
          <w:sz w:val="22"/>
          <w:szCs w:val="22"/>
        </w:rPr>
        <w:t xml:space="preserve"> – relevant national authorities with competence in sustainable urban development / national representatives of universities, research centres / nationally recognised social partner’ organisations / nationally recognised business associations / national bodies responsible for the application of horizontal principles</w:t>
      </w:r>
    </w:p>
    <w:p w:rsidR="0099587B" w:rsidRPr="00C4514D" w:rsidRDefault="0099587B" w:rsidP="008B00B7">
      <w:pPr>
        <w:autoSpaceDE w:val="0"/>
        <w:autoSpaceDN w:val="0"/>
        <w:adjustRightInd w:val="0"/>
        <w:spacing w:after="180" w:line="276" w:lineRule="auto"/>
        <w:jc w:val="both"/>
        <w:rPr>
          <w:rFonts w:ascii="Verdana" w:hAnsi="Verdana" w:cs="Arial"/>
          <w:color w:val="000000"/>
          <w:sz w:val="22"/>
          <w:szCs w:val="22"/>
        </w:rPr>
      </w:pPr>
      <w:r w:rsidRPr="00C4514D">
        <w:rPr>
          <w:rFonts w:ascii="Verdana" w:hAnsi="Verdana" w:cs="Arial"/>
          <w:color w:val="000000"/>
          <w:sz w:val="22"/>
          <w:szCs w:val="22"/>
          <w:u w:val="single"/>
        </w:rPr>
        <w:t>Sub-National Level</w:t>
      </w:r>
      <w:r w:rsidRPr="00C4514D">
        <w:rPr>
          <w:rFonts w:ascii="Verdana" w:hAnsi="Verdana" w:cs="Arial"/>
          <w:color w:val="000000"/>
          <w:sz w:val="22"/>
          <w:szCs w:val="22"/>
        </w:rPr>
        <w:t xml:space="preserve"> – regional authorities / local authorities / city networks and associations / bodies working in the field of sustainable urban development</w:t>
      </w:r>
    </w:p>
    <w:p w:rsidR="0099587B" w:rsidRPr="00C4514D" w:rsidRDefault="0099587B" w:rsidP="008B00B7">
      <w:pPr>
        <w:autoSpaceDE w:val="0"/>
        <w:autoSpaceDN w:val="0"/>
        <w:adjustRightInd w:val="0"/>
        <w:spacing w:after="180" w:line="276" w:lineRule="auto"/>
        <w:rPr>
          <w:rFonts w:ascii="Verdana" w:hAnsi="Verdana" w:cs="Arial"/>
          <w:b/>
          <w:color w:val="000000"/>
          <w:sz w:val="22"/>
          <w:szCs w:val="22"/>
        </w:rPr>
      </w:pPr>
    </w:p>
    <w:p w:rsidR="0099587B" w:rsidRPr="00C4514D" w:rsidRDefault="0099587B" w:rsidP="008B00B7">
      <w:pPr>
        <w:autoSpaceDE w:val="0"/>
        <w:autoSpaceDN w:val="0"/>
        <w:adjustRightInd w:val="0"/>
        <w:spacing w:after="180" w:line="276" w:lineRule="auto"/>
        <w:rPr>
          <w:rFonts w:ascii="Verdana" w:hAnsi="Verdana" w:cs="Arial"/>
          <w:b/>
          <w:color w:val="000000"/>
          <w:sz w:val="22"/>
          <w:szCs w:val="22"/>
        </w:rPr>
      </w:pPr>
      <w:r w:rsidRPr="00C4514D">
        <w:rPr>
          <w:rFonts w:ascii="Verdana" w:hAnsi="Verdana" w:cs="Arial"/>
          <w:b/>
          <w:color w:val="000000"/>
          <w:sz w:val="22"/>
          <w:szCs w:val="22"/>
        </w:rPr>
        <w:t>Preparation of the Operation Programme</w:t>
      </w:r>
    </w:p>
    <w:p w:rsidR="0099587B" w:rsidRPr="00C4514D" w:rsidRDefault="0099587B" w:rsidP="008B00B7">
      <w:pPr>
        <w:autoSpaceDE w:val="0"/>
        <w:autoSpaceDN w:val="0"/>
        <w:adjustRightInd w:val="0"/>
        <w:spacing w:after="180" w:line="276" w:lineRule="auto"/>
        <w:jc w:val="both"/>
        <w:rPr>
          <w:rFonts w:ascii="Verdana" w:hAnsi="Verdana" w:cs="Arial"/>
          <w:color w:val="000000"/>
          <w:sz w:val="22"/>
          <w:szCs w:val="22"/>
        </w:rPr>
      </w:pPr>
      <w:r w:rsidRPr="00C4514D">
        <w:rPr>
          <w:rFonts w:ascii="Verdana" w:hAnsi="Verdana" w:cs="Arial"/>
          <w:color w:val="000000"/>
          <w:sz w:val="22"/>
          <w:szCs w:val="22"/>
        </w:rPr>
        <w:t xml:space="preserve">The ECCP requires Member States to consult partners on the process and timetable and keep them fully informed of the arrangements concerning the preparation of the Operational Programme (OP).  </w:t>
      </w:r>
    </w:p>
    <w:p w:rsidR="000265F1" w:rsidRPr="00C4514D" w:rsidRDefault="000265F1" w:rsidP="008B00B7">
      <w:pPr>
        <w:autoSpaceDE w:val="0"/>
        <w:autoSpaceDN w:val="0"/>
        <w:adjustRightInd w:val="0"/>
        <w:spacing w:after="180" w:line="276" w:lineRule="auto"/>
        <w:jc w:val="both"/>
        <w:rPr>
          <w:rFonts w:ascii="Verdana" w:hAnsi="Verdana" w:cs="Arial"/>
          <w:color w:val="000000"/>
          <w:sz w:val="22"/>
          <w:szCs w:val="22"/>
          <w:u w:val="single"/>
        </w:rPr>
      </w:pPr>
    </w:p>
    <w:p w:rsidR="0099587B" w:rsidRPr="00C4514D" w:rsidRDefault="0099587B" w:rsidP="008B00B7">
      <w:pPr>
        <w:autoSpaceDE w:val="0"/>
        <w:autoSpaceDN w:val="0"/>
        <w:adjustRightInd w:val="0"/>
        <w:spacing w:after="180" w:line="276" w:lineRule="auto"/>
        <w:jc w:val="both"/>
        <w:rPr>
          <w:rFonts w:ascii="Verdana" w:hAnsi="Verdana" w:cs="Arial"/>
          <w:color w:val="000000"/>
          <w:sz w:val="22"/>
          <w:szCs w:val="22"/>
          <w:u w:val="single"/>
        </w:rPr>
      </w:pPr>
      <w:r w:rsidRPr="00C4514D">
        <w:rPr>
          <w:rFonts w:ascii="Verdana" w:hAnsi="Verdana" w:cs="Arial"/>
          <w:color w:val="000000"/>
          <w:sz w:val="22"/>
          <w:szCs w:val="22"/>
          <w:u w:val="single"/>
        </w:rPr>
        <w:t>The Joint Programm</w:t>
      </w:r>
      <w:r w:rsidR="00623AAA">
        <w:rPr>
          <w:rFonts w:ascii="Verdana" w:hAnsi="Verdana" w:cs="Arial"/>
          <w:color w:val="000000"/>
          <w:sz w:val="22"/>
          <w:szCs w:val="22"/>
          <w:u w:val="single"/>
        </w:rPr>
        <w:t>ing</w:t>
      </w:r>
      <w:r w:rsidRPr="00C4514D">
        <w:rPr>
          <w:rFonts w:ascii="Verdana" w:hAnsi="Verdana" w:cs="Arial"/>
          <w:color w:val="000000"/>
          <w:sz w:val="22"/>
          <w:szCs w:val="22"/>
          <w:u w:val="single"/>
        </w:rPr>
        <w:t xml:space="preserve"> Working Group</w:t>
      </w:r>
    </w:p>
    <w:p w:rsidR="0099587B" w:rsidRPr="00C4514D" w:rsidRDefault="0099587B" w:rsidP="00361437">
      <w:pPr>
        <w:autoSpaceDE w:val="0"/>
        <w:autoSpaceDN w:val="0"/>
        <w:adjustRightInd w:val="0"/>
        <w:spacing w:after="180" w:line="276" w:lineRule="auto"/>
        <w:jc w:val="both"/>
        <w:rPr>
          <w:rFonts w:ascii="Verdana" w:hAnsi="Verdana" w:cs="Arial"/>
          <w:color w:val="000000"/>
          <w:sz w:val="22"/>
          <w:szCs w:val="22"/>
        </w:rPr>
      </w:pPr>
      <w:r w:rsidRPr="00C4514D">
        <w:rPr>
          <w:rFonts w:ascii="Verdana" w:hAnsi="Verdana" w:cs="Arial"/>
          <w:color w:val="000000"/>
          <w:sz w:val="22"/>
          <w:szCs w:val="22"/>
        </w:rPr>
        <w:t>The URBACT programme has done this via the Joint Programme Working Group (JPWG).  The JPWG was made up of willing Member and Partner States who will be informed regularly during the JPWG meetings.</w:t>
      </w:r>
    </w:p>
    <w:p w:rsidR="0099587B" w:rsidRPr="00C4514D" w:rsidRDefault="0099587B" w:rsidP="00361437">
      <w:pPr>
        <w:autoSpaceDE w:val="0"/>
        <w:autoSpaceDN w:val="0"/>
        <w:adjustRightInd w:val="0"/>
        <w:spacing w:after="180" w:line="276" w:lineRule="auto"/>
        <w:jc w:val="both"/>
        <w:rPr>
          <w:rFonts w:ascii="Verdana" w:hAnsi="Verdana" w:cs="Arial"/>
          <w:color w:val="000000"/>
          <w:sz w:val="22"/>
          <w:szCs w:val="22"/>
        </w:rPr>
      </w:pPr>
      <w:r w:rsidRPr="00C4514D">
        <w:rPr>
          <w:rFonts w:ascii="Verdana" w:hAnsi="Verdana" w:cs="Arial"/>
          <w:color w:val="000000"/>
          <w:sz w:val="22"/>
          <w:szCs w:val="22"/>
          <w:u w:val="single"/>
        </w:rPr>
        <w:t>JPWG Members</w:t>
      </w:r>
      <w:r w:rsidRPr="00C4514D">
        <w:rPr>
          <w:rFonts w:ascii="Verdana" w:hAnsi="Verdana" w:cs="Arial"/>
          <w:color w:val="000000"/>
          <w:sz w:val="22"/>
          <w:szCs w:val="22"/>
        </w:rPr>
        <w:t xml:space="preserve"> are national authorities for the most part, the group can also invite cities and other networks and associations to attend when considered relevant.  The group met regularly and documents we</w:t>
      </w:r>
      <w:r w:rsidR="00F201D4" w:rsidRPr="00C4514D">
        <w:rPr>
          <w:rFonts w:ascii="Verdana" w:hAnsi="Verdana" w:cs="Arial"/>
          <w:color w:val="000000"/>
          <w:sz w:val="22"/>
          <w:szCs w:val="22"/>
        </w:rPr>
        <w:t>re</w:t>
      </w:r>
      <w:r w:rsidRPr="00C4514D">
        <w:rPr>
          <w:rFonts w:ascii="Verdana" w:hAnsi="Verdana" w:cs="Arial"/>
          <w:color w:val="000000"/>
          <w:sz w:val="22"/>
          <w:szCs w:val="22"/>
        </w:rPr>
        <w:t xml:space="preserve"> prepared between meetings and placed on the shared work space.  JPWG members we</w:t>
      </w:r>
      <w:r w:rsidR="00F201D4" w:rsidRPr="00C4514D">
        <w:rPr>
          <w:rFonts w:ascii="Verdana" w:hAnsi="Verdana" w:cs="Arial"/>
          <w:color w:val="000000"/>
          <w:sz w:val="22"/>
          <w:szCs w:val="22"/>
        </w:rPr>
        <w:t>re</w:t>
      </w:r>
      <w:r w:rsidRPr="00C4514D">
        <w:rPr>
          <w:rFonts w:ascii="Verdana" w:hAnsi="Verdana" w:cs="Arial"/>
          <w:color w:val="000000"/>
          <w:sz w:val="22"/>
          <w:szCs w:val="22"/>
        </w:rPr>
        <w:t xml:space="preserve"> asked to actively participate in the group and feed in results from consultations and questionnaires at national, regional and local level in their own countries.</w:t>
      </w:r>
    </w:p>
    <w:p w:rsidR="0099587B" w:rsidRPr="00C4514D" w:rsidRDefault="0099587B" w:rsidP="008B00B7">
      <w:pPr>
        <w:autoSpaceDE w:val="0"/>
        <w:autoSpaceDN w:val="0"/>
        <w:adjustRightInd w:val="0"/>
        <w:spacing w:after="180" w:line="276" w:lineRule="auto"/>
        <w:jc w:val="both"/>
        <w:rPr>
          <w:rFonts w:ascii="Verdana" w:hAnsi="Verdana" w:cs="Arial"/>
          <w:color w:val="000000"/>
          <w:sz w:val="22"/>
          <w:szCs w:val="22"/>
        </w:rPr>
      </w:pPr>
      <w:r w:rsidRPr="00C4514D">
        <w:rPr>
          <w:rFonts w:ascii="Verdana" w:hAnsi="Verdana" w:cs="Arial"/>
          <w:color w:val="000000"/>
          <w:sz w:val="22"/>
          <w:szCs w:val="22"/>
        </w:rPr>
        <w:t>All documents we</w:t>
      </w:r>
      <w:r w:rsidR="00F201D4" w:rsidRPr="00C4514D">
        <w:rPr>
          <w:rFonts w:ascii="Verdana" w:hAnsi="Verdana" w:cs="Arial"/>
          <w:color w:val="000000"/>
          <w:sz w:val="22"/>
          <w:szCs w:val="22"/>
        </w:rPr>
        <w:t>re</w:t>
      </w:r>
      <w:r w:rsidRPr="00C4514D">
        <w:rPr>
          <w:rFonts w:ascii="Verdana" w:hAnsi="Verdana" w:cs="Arial"/>
          <w:color w:val="000000"/>
          <w:sz w:val="22"/>
          <w:szCs w:val="22"/>
        </w:rPr>
        <w:t xml:space="preserve"> systematically sent to all current Member and Partner States active in the URBACT programme.</w:t>
      </w:r>
    </w:p>
    <w:p w:rsidR="00361437" w:rsidRDefault="00361437" w:rsidP="008B00B7">
      <w:pPr>
        <w:autoSpaceDE w:val="0"/>
        <w:autoSpaceDN w:val="0"/>
        <w:adjustRightInd w:val="0"/>
        <w:spacing w:after="180" w:line="276" w:lineRule="auto"/>
        <w:jc w:val="both"/>
        <w:rPr>
          <w:rFonts w:ascii="Verdana" w:hAnsi="Verdana" w:cs="Arial"/>
          <w:color w:val="000000"/>
          <w:sz w:val="22"/>
          <w:szCs w:val="22"/>
          <w:u w:val="single"/>
        </w:rPr>
      </w:pPr>
    </w:p>
    <w:p w:rsidR="0099587B" w:rsidRPr="00C4514D" w:rsidRDefault="0099587B" w:rsidP="008B00B7">
      <w:pPr>
        <w:autoSpaceDE w:val="0"/>
        <w:autoSpaceDN w:val="0"/>
        <w:adjustRightInd w:val="0"/>
        <w:spacing w:after="180" w:line="276" w:lineRule="auto"/>
        <w:jc w:val="both"/>
        <w:rPr>
          <w:rFonts w:ascii="Verdana" w:hAnsi="Verdana" w:cs="Arial"/>
          <w:color w:val="000000"/>
          <w:sz w:val="22"/>
          <w:szCs w:val="22"/>
          <w:u w:val="single"/>
        </w:rPr>
      </w:pPr>
      <w:r w:rsidRPr="00C4514D">
        <w:rPr>
          <w:rFonts w:ascii="Verdana" w:hAnsi="Verdana" w:cs="Arial"/>
          <w:color w:val="000000"/>
          <w:sz w:val="22"/>
          <w:szCs w:val="22"/>
          <w:u w:val="single"/>
        </w:rPr>
        <w:t>A dedicated web-page</w:t>
      </w:r>
    </w:p>
    <w:p w:rsidR="0099587B" w:rsidRPr="00C4514D" w:rsidRDefault="0099587B" w:rsidP="008B00B7">
      <w:pPr>
        <w:autoSpaceDE w:val="0"/>
        <w:autoSpaceDN w:val="0"/>
        <w:adjustRightInd w:val="0"/>
        <w:spacing w:after="180" w:line="276" w:lineRule="auto"/>
        <w:jc w:val="both"/>
        <w:rPr>
          <w:rFonts w:ascii="Verdana" w:hAnsi="Verdana" w:cs="Arial"/>
          <w:color w:val="000000"/>
          <w:sz w:val="22"/>
          <w:szCs w:val="22"/>
        </w:rPr>
      </w:pPr>
      <w:r w:rsidRPr="00C4514D">
        <w:rPr>
          <w:rFonts w:ascii="Verdana" w:hAnsi="Verdana" w:cs="Arial"/>
          <w:color w:val="000000"/>
          <w:sz w:val="22"/>
          <w:szCs w:val="22"/>
        </w:rPr>
        <w:t xml:space="preserve">In addition the Managing Authority set up a </w:t>
      </w:r>
      <w:r w:rsidRPr="00C4514D">
        <w:rPr>
          <w:rFonts w:ascii="Verdana" w:hAnsi="Verdana" w:cs="Arial"/>
          <w:color w:val="000000"/>
          <w:sz w:val="22"/>
          <w:szCs w:val="22"/>
          <w:u w:val="single"/>
        </w:rPr>
        <w:t>specific page on the URBACT website</w:t>
      </w:r>
      <w:r w:rsidRPr="00C4514D">
        <w:rPr>
          <w:rFonts w:ascii="Verdana" w:hAnsi="Verdana" w:cs="Arial"/>
          <w:color w:val="000000"/>
          <w:sz w:val="22"/>
          <w:szCs w:val="22"/>
        </w:rPr>
        <w:t xml:space="preserve"> providing information on the programming process with regular inputs which are open for all partners to comment on. This system allowed for timely information to be presented to all stakeholders, it will also allow stakeholders to provide contributions and receive feedback. The website was used as the main platform for EU wide consultation on the final draft version of the OP over a 6 week period</w:t>
      </w:r>
      <w:r w:rsidR="00623AAA">
        <w:rPr>
          <w:rFonts w:ascii="Verdana" w:hAnsi="Verdana" w:cs="Arial"/>
          <w:color w:val="000000"/>
          <w:sz w:val="22"/>
          <w:szCs w:val="22"/>
        </w:rPr>
        <w:t xml:space="preserve"> from 7 April 2014 until 13 May 2014</w:t>
      </w:r>
      <w:r w:rsidRPr="00C4514D">
        <w:rPr>
          <w:rFonts w:ascii="Verdana" w:hAnsi="Verdana" w:cs="Arial"/>
          <w:color w:val="000000"/>
          <w:sz w:val="22"/>
          <w:szCs w:val="22"/>
        </w:rPr>
        <w:t>.</w:t>
      </w:r>
    </w:p>
    <w:p w:rsidR="0099587B" w:rsidRPr="00C4514D" w:rsidRDefault="0099587B" w:rsidP="008B00B7">
      <w:pPr>
        <w:autoSpaceDE w:val="0"/>
        <w:autoSpaceDN w:val="0"/>
        <w:adjustRightInd w:val="0"/>
        <w:spacing w:after="180" w:line="276" w:lineRule="auto"/>
        <w:ind w:left="360"/>
        <w:jc w:val="both"/>
        <w:rPr>
          <w:rFonts w:ascii="Verdana" w:hAnsi="Verdana" w:cs="Arial"/>
          <w:color w:val="000000"/>
          <w:sz w:val="22"/>
          <w:szCs w:val="22"/>
        </w:rPr>
      </w:pPr>
    </w:p>
    <w:p w:rsidR="0099587B" w:rsidRPr="00C4514D" w:rsidRDefault="0099587B" w:rsidP="008B00B7">
      <w:pPr>
        <w:autoSpaceDE w:val="0"/>
        <w:autoSpaceDN w:val="0"/>
        <w:adjustRightInd w:val="0"/>
        <w:spacing w:after="180" w:line="276" w:lineRule="auto"/>
        <w:jc w:val="both"/>
        <w:rPr>
          <w:rFonts w:ascii="Verdana" w:hAnsi="Verdana" w:cs="Arial"/>
          <w:color w:val="000000"/>
          <w:sz w:val="22"/>
          <w:szCs w:val="22"/>
          <w:u w:val="single"/>
        </w:rPr>
      </w:pPr>
      <w:r w:rsidRPr="00C4514D">
        <w:rPr>
          <w:rFonts w:ascii="Verdana" w:hAnsi="Verdana" w:cs="Arial"/>
          <w:color w:val="000000"/>
          <w:sz w:val="22"/>
          <w:szCs w:val="22"/>
          <w:u w:val="single"/>
        </w:rPr>
        <w:t>Specific Tasks for preparing an Operational Programme in Partnership</w:t>
      </w:r>
    </w:p>
    <w:p w:rsidR="0099587B" w:rsidRPr="00C4514D" w:rsidRDefault="0099587B" w:rsidP="008B00B7">
      <w:pPr>
        <w:autoSpaceDE w:val="0"/>
        <w:autoSpaceDN w:val="0"/>
        <w:adjustRightInd w:val="0"/>
        <w:spacing w:after="180" w:line="276" w:lineRule="auto"/>
        <w:jc w:val="both"/>
        <w:rPr>
          <w:rFonts w:ascii="Verdana" w:hAnsi="Verdana" w:cs="Arial"/>
          <w:color w:val="000000"/>
          <w:sz w:val="22"/>
          <w:szCs w:val="22"/>
        </w:rPr>
      </w:pPr>
      <w:r w:rsidRPr="00C4514D">
        <w:rPr>
          <w:rFonts w:ascii="Verdana" w:hAnsi="Verdana" w:cs="Arial"/>
          <w:color w:val="000000"/>
          <w:sz w:val="22"/>
          <w:szCs w:val="22"/>
        </w:rPr>
        <w:t>i) Analysis and identification of Needs</w:t>
      </w:r>
    </w:p>
    <w:p w:rsidR="0099587B" w:rsidRPr="00C4514D" w:rsidRDefault="0099587B" w:rsidP="00361437">
      <w:pPr>
        <w:autoSpaceDE w:val="0"/>
        <w:autoSpaceDN w:val="0"/>
        <w:adjustRightInd w:val="0"/>
        <w:spacing w:after="180" w:line="276" w:lineRule="auto"/>
        <w:jc w:val="both"/>
        <w:rPr>
          <w:rFonts w:ascii="Verdana" w:hAnsi="Verdana" w:cs="Arial"/>
          <w:color w:val="000000"/>
          <w:sz w:val="22"/>
          <w:szCs w:val="22"/>
        </w:rPr>
      </w:pPr>
      <w:r w:rsidRPr="00C4514D">
        <w:rPr>
          <w:rFonts w:ascii="Verdana" w:hAnsi="Verdana" w:cs="Arial"/>
          <w:color w:val="000000"/>
          <w:sz w:val="22"/>
          <w:szCs w:val="22"/>
        </w:rPr>
        <w:t xml:space="preserve">The URBACT Managing Authority /Joint technical Secretariat (MA/JTS) organised a consultation process using the Member States and Partner States to assist in ensuring a wide participation. A series of questionnaires were developed </w:t>
      </w:r>
      <w:r w:rsidR="00623AAA">
        <w:rPr>
          <w:rFonts w:ascii="Verdana" w:hAnsi="Verdana" w:cs="Arial"/>
          <w:color w:val="000000"/>
          <w:sz w:val="22"/>
          <w:szCs w:val="22"/>
        </w:rPr>
        <w:t xml:space="preserve">at the end of 2012 and beginning of 2013 </w:t>
      </w:r>
      <w:r w:rsidRPr="00C4514D">
        <w:rPr>
          <w:rFonts w:ascii="Verdana" w:hAnsi="Verdana" w:cs="Arial"/>
          <w:color w:val="000000"/>
          <w:sz w:val="22"/>
          <w:szCs w:val="22"/>
        </w:rPr>
        <w:t>seeking the views of national authorities and local stakeholder (cities already participating in URBACT as well as non URBACT cities) to assist in identifying the needs and expectations of the URBACT programme.</w:t>
      </w:r>
    </w:p>
    <w:p w:rsidR="0099587B" w:rsidRPr="00C4514D" w:rsidRDefault="0099587B" w:rsidP="00361437">
      <w:pPr>
        <w:autoSpaceDE w:val="0"/>
        <w:autoSpaceDN w:val="0"/>
        <w:adjustRightInd w:val="0"/>
        <w:spacing w:after="180" w:line="276" w:lineRule="auto"/>
        <w:jc w:val="both"/>
        <w:rPr>
          <w:rFonts w:ascii="Verdana" w:hAnsi="Verdana" w:cs="Arial"/>
          <w:color w:val="000000"/>
          <w:sz w:val="22"/>
          <w:szCs w:val="22"/>
        </w:rPr>
      </w:pPr>
      <w:r w:rsidRPr="00C4514D">
        <w:rPr>
          <w:rFonts w:ascii="Verdana" w:hAnsi="Verdana" w:cs="Arial"/>
          <w:color w:val="000000"/>
          <w:sz w:val="22"/>
          <w:szCs w:val="22"/>
        </w:rPr>
        <w:t>The MA/JTS carried out studies and evaluations consulting all URBACT stakeholders via the URBACT newsletter and actively seeking views of members of URBACT Local Support Groups.</w:t>
      </w:r>
    </w:p>
    <w:p w:rsidR="00361437" w:rsidRDefault="00361437" w:rsidP="008B00B7">
      <w:pPr>
        <w:autoSpaceDE w:val="0"/>
        <w:autoSpaceDN w:val="0"/>
        <w:adjustRightInd w:val="0"/>
        <w:spacing w:after="180" w:line="276" w:lineRule="auto"/>
        <w:jc w:val="both"/>
        <w:rPr>
          <w:rFonts w:ascii="Verdana" w:hAnsi="Verdana" w:cs="Arial"/>
          <w:color w:val="000000"/>
          <w:sz w:val="22"/>
          <w:szCs w:val="22"/>
        </w:rPr>
      </w:pPr>
    </w:p>
    <w:p w:rsidR="0099587B" w:rsidRPr="00C4514D" w:rsidRDefault="0099587B" w:rsidP="008B00B7">
      <w:pPr>
        <w:autoSpaceDE w:val="0"/>
        <w:autoSpaceDN w:val="0"/>
        <w:adjustRightInd w:val="0"/>
        <w:spacing w:after="180" w:line="276" w:lineRule="auto"/>
        <w:jc w:val="both"/>
        <w:rPr>
          <w:rFonts w:ascii="Verdana" w:hAnsi="Verdana" w:cs="Arial"/>
          <w:color w:val="000000"/>
          <w:sz w:val="22"/>
          <w:szCs w:val="22"/>
        </w:rPr>
      </w:pPr>
      <w:r w:rsidRPr="00C4514D">
        <w:rPr>
          <w:rFonts w:ascii="Verdana" w:hAnsi="Verdana" w:cs="Arial"/>
          <w:color w:val="000000"/>
          <w:sz w:val="22"/>
          <w:szCs w:val="22"/>
        </w:rPr>
        <w:t>ii) Definition of priorities and related objectives</w:t>
      </w:r>
    </w:p>
    <w:p w:rsidR="0099587B" w:rsidRPr="00C4514D" w:rsidRDefault="0099587B" w:rsidP="008B00B7">
      <w:pPr>
        <w:autoSpaceDE w:val="0"/>
        <w:autoSpaceDN w:val="0"/>
        <w:adjustRightInd w:val="0"/>
        <w:spacing w:after="180" w:line="276" w:lineRule="auto"/>
        <w:jc w:val="both"/>
        <w:rPr>
          <w:rFonts w:ascii="Verdana" w:hAnsi="Verdana" w:cs="Arial"/>
          <w:color w:val="000000"/>
          <w:sz w:val="22"/>
          <w:szCs w:val="22"/>
        </w:rPr>
      </w:pPr>
      <w:r w:rsidRPr="00C4514D">
        <w:rPr>
          <w:rFonts w:ascii="Verdana" w:hAnsi="Verdana" w:cs="Arial"/>
          <w:color w:val="000000"/>
          <w:sz w:val="22"/>
          <w:szCs w:val="22"/>
        </w:rPr>
        <w:t>The JPWG members were responsible for agreeing these aspects having consulted relevant stakeholders in each country. The JPWG members were asked to report on the results of the MS/PS and city level questionnaires to ensure that the priorities and objectives reflect the views of all stakeholders.</w:t>
      </w:r>
    </w:p>
    <w:p w:rsidR="0099587B" w:rsidRPr="00C4514D" w:rsidRDefault="0099587B" w:rsidP="008B00B7">
      <w:pPr>
        <w:autoSpaceDE w:val="0"/>
        <w:autoSpaceDN w:val="0"/>
        <w:adjustRightInd w:val="0"/>
        <w:spacing w:after="180" w:line="276" w:lineRule="auto"/>
        <w:ind w:left="360"/>
        <w:jc w:val="both"/>
        <w:rPr>
          <w:rFonts w:ascii="Verdana" w:hAnsi="Verdana" w:cs="Arial"/>
          <w:color w:val="000000"/>
          <w:sz w:val="22"/>
          <w:szCs w:val="22"/>
        </w:rPr>
      </w:pPr>
    </w:p>
    <w:p w:rsidR="0099587B" w:rsidRPr="00C4514D" w:rsidRDefault="0099587B" w:rsidP="008B00B7">
      <w:pPr>
        <w:autoSpaceDE w:val="0"/>
        <w:autoSpaceDN w:val="0"/>
        <w:adjustRightInd w:val="0"/>
        <w:spacing w:after="180" w:line="276" w:lineRule="auto"/>
        <w:jc w:val="both"/>
        <w:rPr>
          <w:rFonts w:ascii="Verdana" w:hAnsi="Verdana" w:cs="Arial"/>
          <w:color w:val="000000"/>
          <w:sz w:val="22"/>
          <w:szCs w:val="22"/>
        </w:rPr>
      </w:pPr>
      <w:r w:rsidRPr="00C4514D">
        <w:rPr>
          <w:rFonts w:ascii="Verdana" w:hAnsi="Verdana" w:cs="Arial"/>
          <w:color w:val="000000"/>
          <w:sz w:val="22"/>
          <w:szCs w:val="22"/>
        </w:rPr>
        <w:t>iii) The allocation of funding</w:t>
      </w:r>
    </w:p>
    <w:p w:rsidR="0099587B" w:rsidRPr="00C4514D" w:rsidRDefault="0099587B" w:rsidP="008B00B7">
      <w:pPr>
        <w:autoSpaceDE w:val="0"/>
        <w:autoSpaceDN w:val="0"/>
        <w:adjustRightInd w:val="0"/>
        <w:spacing w:after="180" w:line="276" w:lineRule="auto"/>
        <w:jc w:val="both"/>
        <w:rPr>
          <w:rFonts w:ascii="Verdana" w:hAnsi="Verdana" w:cs="Arial"/>
          <w:color w:val="000000"/>
          <w:sz w:val="22"/>
          <w:szCs w:val="22"/>
        </w:rPr>
      </w:pPr>
      <w:r w:rsidRPr="00C4514D">
        <w:rPr>
          <w:rFonts w:ascii="Verdana" w:hAnsi="Verdana" w:cs="Arial"/>
          <w:color w:val="000000"/>
          <w:sz w:val="22"/>
          <w:szCs w:val="22"/>
        </w:rPr>
        <w:t>Upon approval of the programme budget the JPWG decide</w:t>
      </w:r>
      <w:r w:rsidR="00F201D4" w:rsidRPr="00C4514D">
        <w:rPr>
          <w:rFonts w:ascii="Verdana" w:hAnsi="Verdana" w:cs="Arial"/>
          <w:color w:val="000000"/>
          <w:sz w:val="22"/>
          <w:szCs w:val="22"/>
        </w:rPr>
        <w:t>d</w:t>
      </w:r>
      <w:r w:rsidRPr="00C4514D">
        <w:rPr>
          <w:rFonts w:ascii="Verdana" w:hAnsi="Verdana" w:cs="Arial"/>
          <w:color w:val="000000"/>
          <w:sz w:val="22"/>
          <w:szCs w:val="22"/>
        </w:rPr>
        <w:t xml:space="preserve"> upon the programme budgetary structure and will outline the amounts of funding to be dedicated to each kind of action.  </w:t>
      </w:r>
    </w:p>
    <w:p w:rsidR="0099587B" w:rsidRPr="00C4514D" w:rsidRDefault="0099587B" w:rsidP="008B00B7">
      <w:pPr>
        <w:autoSpaceDE w:val="0"/>
        <w:autoSpaceDN w:val="0"/>
        <w:adjustRightInd w:val="0"/>
        <w:spacing w:after="180" w:line="276" w:lineRule="auto"/>
        <w:jc w:val="both"/>
        <w:rPr>
          <w:rFonts w:ascii="Verdana" w:hAnsi="Verdana" w:cs="Arial"/>
          <w:color w:val="000000"/>
          <w:sz w:val="22"/>
          <w:szCs w:val="22"/>
        </w:rPr>
      </w:pPr>
    </w:p>
    <w:p w:rsidR="0099587B" w:rsidRPr="00C4514D" w:rsidRDefault="0099587B" w:rsidP="008B00B7">
      <w:pPr>
        <w:autoSpaceDE w:val="0"/>
        <w:autoSpaceDN w:val="0"/>
        <w:adjustRightInd w:val="0"/>
        <w:spacing w:after="180" w:line="276" w:lineRule="auto"/>
        <w:jc w:val="both"/>
        <w:rPr>
          <w:rFonts w:ascii="Verdana" w:hAnsi="Verdana" w:cs="Arial"/>
          <w:color w:val="000000"/>
          <w:sz w:val="22"/>
          <w:szCs w:val="22"/>
        </w:rPr>
      </w:pPr>
      <w:r w:rsidRPr="00C4514D">
        <w:rPr>
          <w:rFonts w:ascii="Verdana" w:hAnsi="Verdana" w:cs="Arial"/>
          <w:color w:val="000000"/>
          <w:sz w:val="22"/>
          <w:szCs w:val="22"/>
        </w:rPr>
        <w:t>iv) Definition of programme specific indicators</w:t>
      </w:r>
    </w:p>
    <w:p w:rsidR="0099587B" w:rsidRDefault="0099587B" w:rsidP="008B00B7">
      <w:pPr>
        <w:autoSpaceDE w:val="0"/>
        <w:autoSpaceDN w:val="0"/>
        <w:adjustRightInd w:val="0"/>
        <w:spacing w:after="180" w:line="276" w:lineRule="auto"/>
        <w:jc w:val="both"/>
        <w:rPr>
          <w:rFonts w:ascii="Verdana" w:hAnsi="Verdana" w:cs="Arial"/>
          <w:color w:val="000000"/>
          <w:sz w:val="22"/>
          <w:szCs w:val="22"/>
        </w:rPr>
      </w:pPr>
      <w:r w:rsidRPr="00C4514D">
        <w:rPr>
          <w:rFonts w:ascii="Verdana" w:hAnsi="Verdana" w:cs="Arial"/>
          <w:color w:val="000000"/>
          <w:sz w:val="22"/>
          <w:szCs w:val="22"/>
        </w:rPr>
        <w:t>The JPWG members we</w:t>
      </w:r>
      <w:r w:rsidR="00F201D4" w:rsidRPr="00C4514D">
        <w:rPr>
          <w:rFonts w:ascii="Verdana" w:hAnsi="Verdana" w:cs="Arial"/>
          <w:color w:val="000000"/>
          <w:sz w:val="22"/>
          <w:szCs w:val="22"/>
        </w:rPr>
        <w:t>re</w:t>
      </w:r>
      <w:r w:rsidRPr="00C4514D">
        <w:rPr>
          <w:rFonts w:ascii="Verdana" w:hAnsi="Verdana" w:cs="Arial"/>
          <w:color w:val="000000"/>
          <w:sz w:val="22"/>
          <w:szCs w:val="22"/>
        </w:rPr>
        <w:t xml:space="preserve"> responsible for agreeing these aspects having consulted relevant stakeholders in each country.  </w:t>
      </w:r>
    </w:p>
    <w:p w:rsidR="00623AAA" w:rsidRPr="00C4514D" w:rsidRDefault="00623AAA" w:rsidP="008B00B7">
      <w:pPr>
        <w:autoSpaceDE w:val="0"/>
        <w:autoSpaceDN w:val="0"/>
        <w:adjustRightInd w:val="0"/>
        <w:spacing w:after="180" w:line="276" w:lineRule="auto"/>
        <w:jc w:val="both"/>
        <w:rPr>
          <w:rFonts w:ascii="Verdana" w:hAnsi="Verdana" w:cs="Arial"/>
          <w:color w:val="000000"/>
          <w:sz w:val="22"/>
          <w:szCs w:val="22"/>
        </w:rPr>
      </w:pPr>
    </w:p>
    <w:p w:rsidR="001853C6" w:rsidRDefault="00623AAA">
      <w:pPr>
        <w:autoSpaceDE w:val="0"/>
        <w:autoSpaceDN w:val="0"/>
        <w:adjustRightInd w:val="0"/>
        <w:spacing w:after="180" w:line="276" w:lineRule="auto"/>
        <w:jc w:val="both"/>
        <w:rPr>
          <w:rFonts w:ascii="Verdana" w:hAnsi="Verdana" w:cs="Arial"/>
          <w:color w:val="000000"/>
          <w:sz w:val="22"/>
          <w:szCs w:val="22"/>
        </w:rPr>
      </w:pPr>
      <w:r>
        <w:rPr>
          <w:rFonts w:ascii="Verdana" w:hAnsi="Verdana" w:cs="Arial"/>
          <w:color w:val="000000"/>
          <w:sz w:val="22"/>
          <w:szCs w:val="22"/>
        </w:rPr>
        <w:t>v) European level consultation</w:t>
      </w:r>
    </w:p>
    <w:p w:rsidR="0099587B" w:rsidRPr="00C4514D" w:rsidRDefault="0099587B" w:rsidP="008B00B7">
      <w:pPr>
        <w:autoSpaceDE w:val="0"/>
        <w:autoSpaceDN w:val="0"/>
        <w:adjustRightInd w:val="0"/>
        <w:spacing w:after="180" w:line="276" w:lineRule="auto"/>
        <w:jc w:val="both"/>
        <w:rPr>
          <w:rFonts w:ascii="Verdana" w:hAnsi="Verdana" w:cs="Arial"/>
          <w:color w:val="000000"/>
          <w:sz w:val="22"/>
          <w:szCs w:val="22"/>
        </w:rPr>
      </w:pPr>
      <w:r w:rsidRPr="00C4514D">
        <w:rPr>
          <w:rFonts w:ascii="Verdana" w:hAnsi="Verdana" w:cs="Arial"/>
          <w:color w:val="000000"/>
          <w:sz w:val="22"/>
          <w:szCs w:val="22"/>
        </w:rPr>
        <w:t xml:space="preserve"> EU wide </w:t>
      </w:r>
      <w:r w:rsidR="00623AAA">
        <w:rPr>
          <w:rFonts w:ascii="Verdana" w:hAnsi="Verdana" w:cs="Arial"/>
          <w:color w:val="000000"/>
          <w:sz w:val="22"/>
          <w:szCs w:val="22"/>
        </w:rPr>
        <w:t>organisations and European Territorial Cooperation Programmes concerned by the URBACT III Programme were carefully identified</w:t>
      </w:r>
      <w:r w:rsidR="00623AAA">
        <w:rPr>
          <w:rStyle w:val="Odwoanieprzypisudolnego"/>
          <w:rFonts w:ascii="Verdana" w:hAnsi="Verdana"/>
          <w:color w:val="000000"/>
          <w:sz w:val="22"/>
          <w:szCs w:val="22"/>
        </w:rPr>
        <w:footnoteReference w:id="36"/>
      </w:r>
      <w:r w:rsidR="00623AAA">
        <w:rPr>
          <w:rFonts w:ascii="Verdana" w:hAnsi="Verdana" w:cs="Arial"/>
          <w:color w:val="000000"/>
          <w:sz w:val="22"/>
          <w:szCs w:val="22"/>
        </w:rPr>
        <w:t xml:space="preserve">. </w:t>
      </w:r>
      <w:r w:rsidRPr="00C4514D">
        <w:rPr>
          <w:rFonts w:ascii="Verdana" w:hAnsi="Verdana" w:cs="Arial"/>
          <w:color w:val="000000"/>
          <w:sz w:val="22"/>
          <w:szCs w:val="22"/>
        </w:rPr>
        <w:t xml:space="preserve"> </w:t>
      </w:r>
      <w:r w:rsidR="00C6350B">
        <w:rPr>
          <w:rFonts w:ascii="Verdana" w:hAnsi="Verdana" w:cs="Arial"/>
          <w:color w:val="000000"/>
          <w:sz w:val="22"/>
          <w:szCs w:val="22"/>
        </w:rPr>
        <w:t>A</w:t>
      </w:r>
      <w:r w:rsidRPr="00C4514D">
        <w:rPr>
          <w:rFonts w:ascii="Verdana" w:hAnsi="Verdana" w:cs="Arial"/>
          <w:color w:val="000000"/>
          <w:sz w:val="22"/>
          <w:szCs w:val="22"/>
        </w:rPr>
        <w:t xml:space="preserve"> specific event </w:t>
      </w:r>
      <w:r w:rsidR="00C6350B">
        <w:rPr>
          <w:rFonts w:ascii="Verdana" w:hAnsi="Verdana" w:cs="Arial"/>
          <w:color w:val="000000"/>
          <w:sz w:val="22"/>
          <w:szCs w:val="22"/>
        </w:rPr>
        <w:t xml:space="preserve">was </w:t>
      </w:r>
      <w:r w:rsidRPr="00C4514D">
        <w:rPr>
          <w:rFonts w:ascii="Verdana" w:hAnsi="Verdana" w:cs="Arial"/>
          <w:color w:val="000000"/>
          <w:sz w:val="22"/>
          <w:szCs w:val="22"/>
        </w:rPr>
        <w:t>organised in Brussels on 19</w:t>
      </w:r>
      <w:r w:rsidRPr="00C4514D">
        <w:rPr>
          <w:rFonts w:ascii="Verdana" w:hAnsi="Verdana" w:cs="Arial"/>
          <w:color w:val="000000"/>
          <w:sz w:val="22"/>
          <w:szCs w:val="22"/>
          <w:vertAlign w:val="superscript"/>
        </w:rPr>
        <w:t>th</w:t>
      </w:r>
      <w:r w:rsidRPr="00C4514D">
        <w:rPr>
          <w:rFonts w:ascii="Verdana" w:hAnsi="Verdana" w:cs="Arial"/>
          <w:color w:val="000000"/>
          <w:sz w:val="22"/>
          <w:szCs w:val="22"/>
        </w:rPr>
        <w:t xml:space="preserve"> February 2014 </w:t>
      </w:r>
      <w:r w:rsidR="00C6350B">
        <w:rPr>
          <w:rFonts w:ascii="Verdana" w:hAnsi="Verdana" w:cs="Arial"/>
          <w:color w:val="000000"/>
          <w:sz w:val="22"/>
          <w:szCs w:val="22"/>
        </w:rPr>
        <w:t xml:space="preserve">to consult them and </w:t>
      </w:r>
      <w:r w:rsidRPr="00C4514D">
        <w:rPr>
          <w:rFonts w:ascii="Verdana" w:hAnsi="Verdana" w:cs="Arial"/>
          <w:color w:val="000000"/>
          <w:sz w:val="22"/>
          <w:szCs w:val="22"/>
        </w:rPr>
        <w:t>to ensure that the programme is addressing these principles as much as possible.</w:t>
      </w:r>
    </w:p>
    <w:p w:rsidR="00C6350B" w:rsidRPr="00C4514D" w:rsidRDefault="00C6350B" w:rsidP="00C6350B">
      <w:pPr>
        <w:autoSpaceDE w:val="0"/>
        <w:autoSpaceDN w:val="0"/>
        <w:adjustRightInd w:val="0"/>
        <w:spacing w:after="180" w:line="276" w:lineRule="auto"/>
        <w:jc w:val="both"/>
        <w:rPr>
          <w:rFonts w:ascii="Verdana" w:hAnsi="Verdana" w:cs="Arial"/>
          <w:color w:val="000000"/>
          <w:sz w:val="22"/>
          <w:szCs w:val="22"/>
        </w:rPr>
      </w:pPr>
      <w:r>
        <w:t>I</w:t>
      </w:r>
      <w:r>
        <w:rPr>
          <w:rFonts w:ascii="Verdana" w:hAnsi="Verdana" w:cs="Arial"/>
          <w:color w:val="000000"/>
          <w:sz w:val="22"/>
          <w:szCs w:val="22"/>
        </w:rPr>
        <w:t>mportant messages for the future of the programme were gathered as the needs to provide</w:t>
      </w:r>
      <w:r w:rsidRPr="00F4440B">
        <w:rPr>
          <w:rFonts w:ascii="Verdana" w:hAnsi="Verdana" w:cs="Arial"/>
          <w:color w:val="000000"/>
          <w:sz w:val="22"/>
          <w:szCs w:val="22"/>
        </w:rPr>
        <w:t xml:space="preserve"> clear guidance and communica</w:t>
      </w:r>
      <w:r>
        <w:rPr>
          <w:rFonts w:ascii="Verdana" w:hAnsi="Verdana" w:cs="Arial"/>
          <w:color w:val="000000"/>
          <w:sz w:val="22"/>
          <w:szCs w:val="22"/>
        </w:rPr>
        <w:t xml:space="preserve">tions on the new network models, </w:t>
      </w:r>
      <w:r w:rsidRPr="00F4440B">
        <w:rPr>
          <w:rFonts w:ascii="Verdana" w:hAnsi="Verdana" w:cs="Arial"/>
          <w:color w:val="000000"/>
          <w:sz w:val="22"/>
          <w:szCs w:val="22"/>
        </w:rPr>
        <w:t>to take account of functional urban areas, and acknowledge limits of city administrative boundaries</w:t>
      </w:r>
      <w:r>
        <w:rPr>
          <w:rFonts w:ascii="Verdana" w:hAnsi="Verdana" w:cs="Arial"/>
          <w:color w:val="000000"/>
          <w:sz w:val="22"/>
          <w:szCs w:val="22"/>
        </w:rPr>
        <w:t xml:space="preserve">, </w:t>
      </w:r>
      <w:r w:rsidRPr="00F4440B">
        <w:rPr>
          <w:rFonts w:ascii="Verdana" w:hAnsi="Verdana" w:cs="Arial"/>
          <w:color w:val="000000"/>
          <w:sz w:val="22"/>
          <w:szCs w:val="22"/>
        </w:rPr>
        <w:t>to balance th</w:t>
      </w:r>
      <w:r>
        <w:rPr>
          <w:rFonts w:ascii="Verdana" w:hAnsi="Verdana" w:cs="Arial"/>
          <w:color w:val="000000"/>
          <w:sz w:val="22"/>
          <w:szCs w:val="22"/>
        </w:rPr>
        <w:t>ematic entries whilst retaining an integrated approach, to t</w:t>
      </w:r>
      <w:r w:rsidRPr="00F4440B">
        <w:rPr>
          <w:rFonts w:ascii="Verdana" w:hAnsi="Verdana" w:cs="Arial"/>
          <w:color w:val="000000"/>
          <w:sz w:val="22"/>
          <w:szCs w:val="22"/>
        </w:rPr>
        <w:t>ake account</w:t>
      </w:r>
      <w:r>
        <w:rPr>
          <w:rFonts w:ascii="Verdana" w:hAnsi="Verdana" w:cs="Arial"/>
          <w:color w:val="000000"/>
          <w:sz w:val="22"/>
          <w:szCs w:val="22"/>
        </w:rPr>
        <w:t xml:space="preserve"> of the role of non-city actors, to c</w:t>
      </w:r>
      <w:r w:rsidRPr="00F4440B">
        <w:rPr>
          <w:rFonts w:ascii="Verdana" w:hAnsi="Verdana" w:cs="Arial"/>
          <w:color w:val="000000"/>
          <w:sz w:val="22"/>
          <w:szCs w:val="22"/>
        </w:rPr>
        <w:t xml:space="preserve">onsider the scope for </w:t>
      </w:r>
      <w:r>
        <w:rPr>
          <w:rFonts w:ascii="Verdana" w:hAnsi="Verdana" w:cs="Arial"/>
          <w:color w:val="000000"/>
          <w:sz w:val="22"/>
          <w:szCs w:val="22"/>
        </w:rPr>
        <w:t xml:space="preserve">involving EU-wide city networks and </w:t>
      </w:r>
      <w:r w:rsidRPr="00F4440B">
        <w:rPr>
          <w:rFonts w:ascii="Verdana" w:hAnsi="Verdana" w:cs="Arial"/>
          <w:color w:val="000000"/>
          <w:sz w:val="22"/>
          <w:szCs w:val="22"/>
        </w:rPr>
        <w:t>EU-level thematic policy networks</w:t>
      </w:r>
      <w:r>
        <w:rPr>
          <w:rFonts w:ascii="Verdana" w:hAnsi="Verdana" w:cs="Arial"/>
          <w:color w:val="000000"/>
          <w:sz w:val="22"/>
          <w:szCs w:val="22"/>
        </w:rPr>
        <w:t>.</w:t>
      </w:r>
    </w:p>
    <w:p w:rsidR="0099587B" w:rsidRPr="00C4514D" w:rsidRDefault="0099587B" w:rsidP="008B00B7">
      <w:pPr>
        <w:autoSpaceDE w:val="0"/>
        <w:autoSpaceDN w:val="0"/>
        <w:adjustRightInd w:val="0"/>
        <w:spacing w:after="180" w:line="276" w:lineRule="auto"/>
        <w:jc w:val="both"/>
        <w:rPr>
          <w:rFonts w:ascii="Verdana" w:hAnsi="Verdana" w:cs="Arial"/>
          <w:color w:val="000000"/>
          <w:sz w:val="22"/>
          <w:szCs w:val="22"/>
        </w:rPr>
      </w:pPr>
      <w:r w:rsidRPr="00C4514D">
        <w:rPr>
          <w:rFonts w:ascii="Verdana" w:hAnsi="Verdana" w:cs="Arial"/>
          <w:color w:val="000000"/>
          <w:sz w:val="22"/>
          <w:szCs w:val="22"/>
        </w:rPr>
        <w:t xml:space="preserve">Where necessary Member and Partner States carried out specific national level consultation exercises </w:t>
      </w:r>
      <w:r w:rsidR="00C6350B">
        <w:rPr>
          <w:rFonts w:ascii="Verdana" w:hAnsi="Verdana" w:cs="Arial"/>
          <w:color w:val="000000"/>
          <w:sz w:val="22"/>
          <w:szCs w:val="22"/>
        </w:rPr>
        <w:t xml:space="preserve">between 7 </w:t>
      </w:r>
      <w:r w:rsidRPr="00C4514D">
        <w:rPr>
          <w:rFonts w:ascii="Verdana" w:hAnsi="Verdana" w:cs="Arial"/>
          <w:color w:val="000000"/>
          <w:sz w:val="22"/>
          <w:szCs w:val="22"/>
        </w:rPr>
        <w:t>April</w:t>
      </w:r>
      <w:r w:rsidR="00C6350B">
        <w:rPr>
          <w:rFonts w:ascii="Verdana" w:hAnsi="Verdana" w:cs="Arial"/>
          <w:color w:val="000000"/>
          <w:sz w:val="22"/>
          <w:szCs w:val="22"/>
        </w:rPr>
        <w:t xml:space="preserve"> and 20 </w:t>
      </w:r>
      <w:r w:rsidRPr="00C4514D">
        <w:rPr>
          <w:rFonts w:ascii="Verdana" w:hAnsi="Verdana" w:cs="Arial"/>
          <w:color w:val="000000"/>
          <w:sz w:val="22"/>
          <w:szCs w:val="22"/>
        </w:rPr>
        <w:t>May 2014.</w:t>
      </w:r>
    </w:p>
    <w:p w:rsidR="0099587B" w:rsidRPr="00C4514D" w:rsidRDefault="0099587B" w:rsidP="008B00B7">
      <w:pPr>
        <w:autoSpaceDE w:val="0"/>
        <w:autoSpaceDN w:val="0"/>
        <w:adjustRightInd w:val="0"/>
        <w:spacing w:after="180" w:line="276" w:lineRule="auto"/>
        <w:rPr>
          <w:rFonts w:ascii="Verdana" w:hAnsi="Verdana" w:cs="Arial"/>
          <w:color w:val="000000"/>
          <w:sz w:val="22"/>
          <w:szCs w:val="22"/>
        </w:rPr>
      </w:pPr>
    </w:p>
    <w:p w:rsidR="0099587B" w:rsidRPr="00C4514D" w:rsidRDefault="0099587B" w:rsidP="008B00B7">
      <w:pPr>
        <w:autoSpaceDE w:val="0"/>
        <w:autoSpaceDN w:val="0"/>
        <w:adjustRightInd w:val="0"/>
        <w:spacing w:after="180" w:line="276" w:lineRule="auto"/>
        <w:rPr>
          <w:rFonts w:ascii="Verdana" w:hAnsi="Verdana" w:cs="Arial"/>
          <w:b/>
          <w:color w:val="000000"/>
          <w:sz w:val="22"/>
          <w:szCs w:val="22"/>
        </w:rPr>
      </w:pPr>
      <w:r w:rsidRPr="00C4514D">
        <w:rPr>
          <w:rFonts w:ascii="Verdana" w:hAnsi="Verdana" w:cs="Arial"/>
          <w:b/>
          <w:color w:val="000000"/>
          <w:sz w:val="22"/>
          <w:szCs w:val="22"/>
        </w:rPr>
        <w:t>Implementation of the Operational Programme</w:t>
      </w:r>
    </w:p>
    <w:p w:rsidR="0099587B" w:rsidRPr="00C4514D" w:rsidRDefault="0099587B" w:rsidP="008B00B7">
      <w:pPr>
        <w:autoSpaceDE w:val="0"/>
        <w:autoSpaceDN w:val="0"/>
        <w:adjustRightInd w:val="0"/>
        <w:spacing w:after="180" w:line="276" w:lineRule="auto"/>
        <w:jc w:val="both"/>
        <w:rPr>
          <w:rFonts w:ascii="Verdana" w:hAnsi="Verdana" w:cs="Arial"/>
          <w:color w:val="000000"/>
          <w:sz w:val="22"/>
          <w:szCs w:val="22"/>
        </w:rPr>
      </w:pPr>
      <w:r w:rsidRPr="00C4514D">
        <w:rPr>
          <w:rFonts w:ascii="Verdana" w:hAnsi="Verdana" w:cs="Arial"/>
          <w:color w:val="000000"/>
          <w:sz w:val="22"/>
          <w:szCs w:val="22"/>
        </w:rPr>
        <w:t>The programme shall be implemented considering the ongoing involvement of stakeholders.  Some examples can include:</w:t>
      </w:r>
    </w:p>
    <w:p w:rsidR="00C4514D" w:rsidRDefault="00C4514D" w:rsidP="008B00B7">
      <w:pPr>
        <w:spacing w:after="180" w:line="276" w:lineRule="auto"/>
        <w:rPr>
          <w:rFonts w:ascii="Verdana" w:hAnsi="Verdana" w:cs="Arial"/>
          <w:color w:val="000000"/>
          <w:sz w:val="22"/>
          <w:szCs w:val="22"/>
          <w:u w:val="single"/>
        </w:rPr>
      </w:pPr>
    </w:p>
    <w:p w:rsidR="00E234E8" w:rsidRDefault="00E234E8">
      <w:pPr>
        <w:rPr>
          <w:rFonts w:ascii="Verdana" w:hAnsi="Verdana" w:cs="Arial"/>
          <w:color w:val="000000"/>
          <w:sz w:val="22"/>
          <w:szCs w:val="22"/>
          <w:u w:val="single"/>
        </w:rPr>
      </w:pPr>
      <w:r>
        <w:rPr>
          <w:rFonts w:ascii="Verdana" w:hAnsi="Verdana" w:cs="Arial"/>
          <w:color w:val="000000"/>
          <w:sz w:val="22"/>
          <w:szCs w:val="22"/>
          <w:u w:val="single"/>
        </w:rPr>
        <w:br w:type="page"/>
      </w:r>
    </w:p>
    <w:p w:rsidR="0099587B" w:rsidRPr="00C4514D" w:rsidRDefault="0099587B" w:rsidP="008B00B7">
      <w:pPr>
        <w:autoSpaceDE w:val="0"/>
        <w:autoSpaceDN w:val="0"/>
        <w:adjustRightInd w:val="0"/>
        <w:spacing w:after="180" w:line="276" w:lineRule="auto"/>
        <w:jc w:val="both"/>
        <w:rPr>
          <w:rFonts w:ascii="Verdana" w:hAnsi="Verdana" w:cs="Arial"/>
          <w:color w:val="000000"/>
          <w:sz w:val="22"/>
          <w:szCs w:val="22"/>
          <w:u w:val="single"/>
        </w:rPr>
      </w:pPr>
      <w:r w:rsidRPr="00C4514D">
        <w:rPr>
          <w:rFonts w:ascii="Verdana" w:hAnsi="Verdana" w:cs="Arial"/>
          <w:color w:val="000000"/>
          <w:sz w:val="22"/>
          <w:szCs w:val="22"/>
          <w:u w:val="single"/>
        </w:rPr>
        <w:t>Calls for Proposals</w:t>
      </w:r>
    </w:p>
    <w:p w:rsidR="0099587B" w:rsidRPr="00C4514D" w:rsidRDefault="0099587B" w:rsidP="008B00B7">
      <w:pPr>
        <w:autoSpaceDE w:val="0"/>
        <w:autoSpaceDN w:val="0"/>
        <w:adjustRightInd w:val="0"/>
        <w:spacing w:after="180" w:line="276" w:lineRule="auto"/>
        <w:jc w:val="both"/>
        <w:rPr>
          <w:rFonts w:ascii="Verdana" w:hAnsi="Verdana" w:cs="Arial"/>
          <w:color w:val="000000"/>
          <w:sz w:val="22"/>
          <w:szCs w:val="22"/>
        </w:rPr>
      </w:pPr>
      <w:r w:rsidRPr="00C4514D">
        <w:rPr>
          <w:rFonts w:ascii="Verdana" w:hAnsi="Verdana" w:cs="Arial"/>
          <w:color w:val="000000"/>
          <w:sz w:val="22"/>
          <w:szCs w:val="22"/>
        </w:rPr>
        <w:t>The Monitoring Committee shall approve the scope and thematic coverage of each call for proposals.  Whilst preparing the calls for proposals EU level associations relevant for each call will be consulted and asked for their views on the thematic scope of the call.</w:t>
      </w:r>
    </w:p>
    <w:p w:rsidR="0099587B" w:rsidRPr="00C4514D" w:rsidRDefault="0099587B" w:rsidP="008B00B7">
      <w:pPr>
        <w:autoSpaceDE w:val="0"/>
        <w:autoSpaceDN w:val="0"/>
        <w:adjustRightInd w:val="0"/>
        <w:spacing w:after="180" w:line="276" w:lineRule="auto"/>
        <w:jc w:val="both"/>
        <w:rPr>
          <w:rFonts w:ascii="Verdana" w:hAnsi="Verdana" w:cs="Arial"/>
          <w:color w:val="000000"/>
          <w:sz w:val="22"/>
          <w:szCs w:val="22"/>
        </w:rPr>
      </w:pPr>
    </w:p>
    <w:p w:rsidR="0099587B" w:rsidRPr="00C4514D" w:rsidRDefault="0099587B" w:rsidP="008B00B7">
      <w:pPr>
        <w:autoSpaceDE w:val="0"/>
        <w:autoSpaceDN w:val="0"/>
        <w:adjustRightInd w:val="0"/>
        <w:spacing w:after="180" w:line="276" w:lineRule="auto"/>
        <w:jc w:val="both"/>
        <w:rPr>
          <w:rFonts w:ascii="Verdana" w:hAnsi="Verdana" w:cs="Arial"/>
          <w:color w:val="000000"/>
          <w:sz w:val="22"/>
          <w:szCs w:val="22"/>
          <w:u w:val="single"/>
        </w:rPr>
      </w:pPr>
      <w:r w:rsidRPr="00C4514D">
        <w:rPr>
          <w:rFonts w:ascii="Verdana" w:hAnsi="Verdana" w:cs="Arial"/>
          <w:color w:val="000000"/>
          <w:sz w:val="22"/>
          <w:szCs w:val="22"/>
          <w:u w:val="single"/>
        </w:rPr>
        <w:t>The Monitoring Committee</w:t>
      </w:r>
    </w:p>
    <w:p w:rsidR="0099587B" w:rsidRPr="00C4514D" w:rsidRDefault="0099587B" w:rsidP="008B00B7">
      <w:pPr>
        <w:autoSpaceDE w:val="0"/>
        <w:autoSpaceDN w:val="0"/>
        <w:adjustRightInd w:val="0"/>
        <w:spacing w:after="180" w:line="276" w:lineRule="auto"/>
        <w:jc w:val="both"/>
        <w:rPr>
          <w:rFonts w:ascii="Verdana" w:hAnsi="Verdana" w:cs="Arial"/>
          <w:color w:val="000000"/>
          <w:sz w:val="22"/>
          <w:szCs w:val="22"/>
        </w:rPr>
      </w:pPr>
      <w:r w:rsidRPr="00C4514D">
        <w:rPr>
          <w:rFonts w:ascii="Verdana" w:hAnsi="Verdana" w:cs="Arial"/>
          <w:color w:val="000000"/>
          <w:sz w:val="22"/>
          <w:szCs w:val="22"/>
        </w:rPr>
        <w:t>The Monitoring Committee (MC) will be set up to ensure clear and transparent arrangements for managing the programme. The MA will aim to promote equality between men and women in this committee. The members of the MC will be made public and each member will be asked to sign a statement relating to confidentiality and conflict of interest.</w:t>
      </w:r>
      <w:r w:rsidR="00D1400A">
        <w:rPr>
          <w:rFonts w:ascii="Verdana" w:hAnsi="Verdana" w:cs="Arial"/>
          <w:color w:val="000000"/>
          <w:sz w:val="22"/>
          <w:szCs w:val="22"/>
        </w:rPr>
        <w:t xml:space="preserve"> Relevant EU bodies may be invited to attend</w:t>
      </w:r>
      <w:r w:rsidR="00AF5B4B">
        <w:rPr>
          <w:rFonts w:ascii="Verdana" w:hAnsi="Verdana" w:cs="Arial"/>
          <w:color w:val="000000"/>
          <w:sz w:val="22"/>
          <w:szCs w:val="22"/>
        </w:rPr>
        <w:t xml:space="preserve"> as appropriate</w:t>
      </w:r>
      <w:r w:rsidR="00D1400A">
        <w:rPr>
          <w:rFonts w:ascii="Verdana" w:hAnsi="Verdana" w:cs="Arial"/>
          <w:color w:val="000000"/>
          <w:sz w:val="22"/>
          <w:szCs w:val="22"/>
        </w:rPr>
        <w:t>.</w:t>
      </w:r>
    </w:p>
    <w:p w:rsidR="001853C6" w:rsidRDefault="00C6350B">
      <w:pPr>
        <w:autoSpaceDE w:val="0"/>
        <w:autoSpaceDN w:val="0"/>
        <w:adjustRightInd w:val="0"/>
        <w:spacing w:after="180" w:line="276" w:lineRule="auto"/>
        <w:jc w:val="both"/>
        <w:rPr>
          <w:rFonts w:ascii="Verdana" w:hAnsi="Verdana" w:cs="Arial"/>
          <w:color w:val="000000"/>
          <w:sz w:val="22"/>
          <w:szCs w:val="22"/>
        </w:rPr>
      </w:pPr>
      <w:r>
        <w:rPr>
          <w:rFonts w:ascii="Verdana" w:hAnsi="Verdana" w:cs="Arial"/>
          <w:color w:val="000000"/>
          <w:sz w:val="22"/>
          <w:szCs w:val="22"/>
        </w:rPr>
        <w:t>Certain issues may require the set</w:t>
      </w:r>
      <w:r w:rsidR="00697F59">
        <w:rPr>
          <w:rFonts w:ascii="Verdana" w:hAnsi="Verdana" w:cs="Arial"/>
          <w:color w:val="000000"/>
          <w:sz w:val="22"/>
          <w:szCs w:val="22"/>
        </w:rPr>
        <w:t>ting</w:t>
      </w:r>
      <w:r>
        <w:rPr>
          <w:rFonts w:ascii="Verdana" w:hAnsi="Verdana" w:cs="Arial"/>
          <w:color w:val="000000"/>
          <w:sz w:val="22"/>
          <w:szCs w:val="22"/>
        </w:rPr>
        <w:t xml:space="preserve"> up of Sub-Committees of the Monitoring Committee to prepare its work with the involvement of specific organisations at European level dealing with urban themes.   </w:t>
      </w:r>
    </w:p>
    <w:p w:rsidR="0099587B" w:rsidRPr="00C4514D" w:rsidRDefault="0099587B" w:rsidP="008B00B7">
      <w:pPr>
        <w:autoSpaceDE w:val="0"/>
        <w:autoSpaceDN w:val="0"/>
        <w:adjustRightInd w:val="0"/>
        <w:spacing w:after="180" w:line="276" w:lineRule="auto"/>
        <w:jc w:val="both"/>
        <w:rPr>
          <w:rFonts w:ascii="Verdana" w:hAnsi="Verdana" w:cs="Arial"/>
          <w:color w:val="000000"/>
          <w:sz w:val="22"/>
          <w:szCs w:val="22"/>
        </w:rPr>
      </w:pPr>
      <w:r w:rsidRPr="00C4514D">
        <w:rPr>
          <w:rFonts w:ascii="Verdana" w:hAnsi="Verdana" w:cs="Arial"/>
          <w:color w:val="000000"/>
          <w:sz w:val="22"/>
          <w:szCs w:val="22"/>
        </w:rPr>
        <w:t>The MC will agree the rules of procedure which will outline in a clear and transparent manner the internal arrangements for the MC.</w:t>
      </w:r>
    </w:p>
    <w:p w:rsidR="0099587B" w:rsidRPr="00C4514D" w:rsidRDefault="0099587B" w:rsidP="008B00B7">
      <w:pPr>
        <w:autoSpaceDE w:val="0"/>
        <w:autoSpaceDN w:val="0"/>
        <w:adjustRightInd w:val="0"/>
        <w:spacing w:after="180" w:line="276" w:lineRule="auto"/>
        <w:jc w:val="both"/>
        <w:rPr>
          <w:rFonts w:ascii="Verdana" w:hAnsi="Verdana" w:cs="Arial"/>
          <w:color w:val="000000"/>
          <w:sz w:val="22"/>
          <w:szCs w:val="22"/>
        </w:rPr>
      </w:pPr>
    </w:p>
    <w:p w:rsidR="0099587B" w:rsidRPr="00C4514D" w:rsidRDefault="0099587B" w:rsidP="008B00B7">
      <w:pPr>
        <w:autoSpaceDE w:val="0"/>
        <w:autoSpaceDN w:val="0"/>
        <w:adjustRightInd w:val="0"/>
        <w:spacing w:after="180" w:line="276" w:lineRule="auto"/>
        <w:jc w:val="both"/>
        <w:rPr>
          <w:rFonts w:ascii="Verdana" w:hAnsi="Verdana" w:cs="Arial"/>
          <w:color w:val="000000"/>
          <w:sz w:val="22"/>
          <w:szCs w:val="22"/>
          <w:u w:val="single"/>
        </w:rPr>
      </w:pPr>
      <w:r w:rsidRPr="00C4514D">
        <w:rPr>
          <w:rFonts w:ascii="Verdana" w:hAnsi="Verdana" w:cs="Arial"/>
          <w:color w:val="000000"/>
          <w:sz w:val="22"/>
          <w:szCs w:val="22"/>
          <w:u w:val="single"/>
        </w:rPr>
        <w:t>Evaluation</w:t>
      </w:r>
    </w:p>
    <w:p w:rsidR="0099587B" w:rsidRPr="00C4514D" w:rsidRDefault="0099587B" w:rsidP="008B00B7">
      <w:pPr>
        <w:autoSpaceDE w:val="0"/>
        <w:autoSpaceDN w:val="0"/>
        <w:adjustRightInd w:val="0"/>
        <w:spacing w:after="180" w:line="276" w:lineRule="auto"/>
        <w:jc w:val="both"/>
        <w:rPr>
          <w:rFonts w:ascii="Verdana" w:hAnsi="Verdana" w:cs="Arial"/>
          <w:color w:val="000000"/>
          <w:sz w:val="22"/>
          <w:szCs w:val="22"/>
        </w:rPr>
      </w:pPr>
      <w:r w:rsidRPr="00C4514D">
        <w:rPr>
          <w:rFonts w:ascii="Verdana" w:hAnsi="Verdana" w:cs="Arial"/>
          <w:color w:val="000000"/>
          <w:sz w:val="22"/>
          <w:szCs w:val="22"/>
        </w:rPr>
        <w:t>The URBACT programme shall undergo regular evaluation in collaboration and consultation with stakeholders. The result indicators of the programme shall require regular review and consultation with programme beneficiaries.</w:t>
      </w:r>
    </w:p>
    <w:p w:rsidR="0099587B" w:rsidRPr="00C4514D" w:rsidRDefault="0099587B" w:rsidP="008B00B7">
      <w:pPr>
        <w:spacing w:after="180" w:line="276" w:lineRule="auto"/>
        <w:rPr>
          <w:rFonts w:ascii="Verdana" w:hAnsi="Verdana" w:cs="Arial"/>
          <w:color w:val="000000"/>
          <w:sz w:val="22"/>
          <w:szCs w:val="22"/>
        </w:rPr>
      </w:pPr>
    </w:p>
    <w:p w:rsidR="0045684A" w:rsidRPr="00C4514D" w:rsidRDefault="0045684A">
      <w:pPr>
        <w:spacing w:after="200" w:line="276" w:lineRule="auto"/>
        <w:rPr>
          <w:rFonts w:ascii="Verdana" w:hAnsi="Verdana" w:cs="Arial"/>
          <w:color w:val="000000"/>
          <w:sz w:val="22"/>
          <w:szCs w:val="22"/>
        </w:rPr>
      </w:pPr>
      <w:r w:rsidRPr="00C4514D">
        <w:rPr>
          <w:rFonts w:ascii="Verdana" w:hAnsi="Verdana" w:cs="Arial"/>
          <w:color w:val="000000"/>
          <w:sz w:val="22"/>
          <w:szCs w:val="22"/>
        </w:rPr>
        <w:br w:type="page"/>
      </w:r>
    </w:p>
    <w:p w:rsidR="0045684A" w:rsidRPr="004F5F2B" w:rsidRDefault="0045684A" w:rsidP="0099587B">
      <w:pPr>
        <w:rPr>
          <w:rFonts w:ascii="Verdana" w:hAnsi="Verdana" w:cs="Arial"/>
          <w:color w:val="000000"/>
        </w:rPr>
      </w:pPr>
    </w:p>
    <w:p w:rsidR="0045684A" w:rsidRPr="004F5F2B" w:rsidRDefault="0045684A" w:rsidP="0099587B">
      <w:pPr>
        <w:rPr>
          <w:rFonts w:ascii="Verdana" w:hAnsi="Verdana" w:cs="Arial"/>
          <w:color w:val="000000"/>
        </w:rPr>
      </w:pPr>
    </w:p>
    <w:p w:rsidR="0045684A" w:rsidRPr="004F5F2B" w:rsidRDefault="0045684A" w:rsidP="0099587B">
      <w:pPr>
        <w:rPr>
          <w:rFonts w:ascii="Verdana" w:hAnsi="Verdana" w:cs="Arial"/>
          <w:color w:val="000000"/>
        </w:rPr>
      </w:pPr>
    </w:p>
    <w:p w:rsidR="0045684A" w:rsidRPr="004F5F2B" w:rsidRDefault="0045684A" w:rsidP="0099587B">
      <w:pPr>
        <w:rPr>
          <w:rFonts w:ascii="Verdana" w:hAnsi="Verdana" w:cs="Arial"/>
          <w:color w:val="000000"/>
        </w:rPr>
      </w:pPr>
    </w:p>
    <w:p w:rsidR="00AC759C" w:rsidRPr="004F5F2B" w:rsidRDefault="00AC759C" w:rsidP="0045684A">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p>
    <w:p w:rsidR="0045684A" w:rsidRPr="004F5F2B" w:rsidRDefault="0045684A" w:rsidP="0045684A">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r w:rsidRPr="004F5F2B">
        <w:rPr>
          <w:rFonts w:ascii="Verdana" w:hAnsi="Verdana"/>
          <w:b/>
          <w:bCs/>
        </w:rPr>
        <w:t>SECTION SIX</w:t>
      </w:r>
    </w:p>
    <w:p w:rsidR="0045684A" w:rsidRPr="004F5F2B" w:rsidRDefault="0045684A" w:rsidP="0045684A">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p>
    <w:p w:rsidR="0045684A" w:rsidRPr="004F5F2B" w:rsidRDefault="0045684A" w:rsidP="0045684A">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sz w:val="36"/>
          <w:szCs w:val="36"/>
        </w:rPr>
      </w:pPr>
      <w:r w:rsidRPr="004F5F2B">
        <w:rPr>
          <w:rFonts w:ascii="Verdana" w:hAnsi="Verdana"/>
          <w:b/>
          <w:sz w:val="36"/>
          <w:szCs w:val="36"/>
          <w:lang w:eastAsia="ar-SA"/>
        </w:rPr>
        <w:t>Coordination between funds</w:t>
      </w:r>
    </w:p>
    <w:p w:rsidR="0045684A" w:rsidRPr="004F5F2B" w:rsidRDefault="0045684A" w:rsidP="0045684A">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45684A" w:rsidRPr="004F5F2B" w:rsidRDefault="0045684A" w:rsidP="0045684A">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E611D8" w:rsidRPr="004F5F2B" w:rsidRDefault="00E611D8" w:rsidP="0045684A">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45684A" w:rsidRPr="004F5F2B" w:rsidRDefault="0045684A" w:rsidP="008166DD">
      <w:pPr>
        <w:pStyle w:val="Paragraphedeliste3"/>
        <w:numPr>
          <w:ilvl w:val="1"/>
          <w:numId w:val="11"/>
        </w:num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sz w:val="24"/>
          <w:szCs w:val="24"/>
        </w:rPr>
      </w:pPr>
      <w:r w:rsidRPr="004F5F2B">
        <w:rPr>
          <w:rFonts w:ascii="Verdana" w:eastAsia="Arial" w:hAnsi="Verdana"/>
          <w:b/>
          <w:sz w:val="24"/>
          <w:szCs w:val="24"/>
        </w:rPr>
        <w:t>Coordination with mainstream programmes (ERDF, ESF, EAFRD, EMFF)</w:t>
      </w:r>
    </w:p>
    <w:p w:rsidR="0045684A" w:rsidRPr="004F5F2B" w:rsidRDefault="0045684A" w:rsidP="00E611D8">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E611D8" w:rsidRPr="004F5F2B" w:rsidRDefault="00E611D8" w:rsidP="00E611D8">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45684A" w:rsidRPr="004F5F2B" w:rsidRDefault="00E611D8" w:rsidP="008166DD">
      <w:pPr>
        <w:pStyle w:val="Paragraphedeliste3"/>
        <w:numPr>
          <w:ilvl w:val="1"/>
          <w:numId w:val="11"/>
        </w:num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sz w:val="24"/>
          <w:szCs w:val="24"/>
        </w:rPr>
      </w:pPr>
      <w:r w:rsidRPr="004F5F2B">
        <w:rPr>
          <w:rFonts w:ascii="Verdana" w:eastAsia="Arial" w:hAnsi="Verdana"/>
          <w:b/>
          <w:sz w:val="24"/>
          <w:szCs w:val="24"/>
        </w:rPr>
        <w:t>Coordination with other interregional cooperation programmes of the ETC goal</w:t>
      </w:r>
    </w:p>
    <w:p w:rsidR="0045684A" w:rsidRPr="004F5F2B" w:rsidRDefault="0045684A" w:rsidP="0045684A">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45684A" w:rsidRPr="004F5F2B" w:rsidRDefault="0045684A" w:rsidP="0045684A">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45684A" w:rsidRPr="004F5F2B" w:rsidRDefault="0045684A" w:rsidP="0045684A">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45684A" w:rsidRPr="004F5F2B" w:rsidRDefault="0045684A" w:rsidP="0045684A">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45684A" w:rsidRPr="004F5F2B" w:rsidRDefault="0045684A" w:rsidP="0099587B">
      <w:pPr>
        <w:rPr>
          <w:rFonts w:ascii="Verdana" w:hAnsi="Verdana" w:cs="Arial"/>
          <w:color w:val="000000"/>
        </w:rPr>
      </w:pPr>
    </w:p>
    <w:p w:rsidR="0045684A" w:rsidRPr="004F5F2B" w:rsidRDefault="0045684A" w:rsidP="0099587B">
      <w:pPr>
        <w:rPr>
          <w:rFonts w:ascii="Verdana" w:hAnsi="Verdana" w:cs="Arial"/>
          <w:color w:val="000000"/>
        </w:rPr>
      </w:pPr>
    </w:p>
    <w:p w:rsidR="0045684A" w:rsidRPr="004F5F2B" w:rsidRDefault="0045684A" w:rsidP="0099587B">
      <w:pPr>
        <w:rPr>
          <w:rFonts w:ascii="Verdana" w:hAnsi="Verdana" w:cs="Arial"/>
          <w:color w:val="000000"/>
        </w:rPr>
      </w:pPr>
    </w:p>
    <w:p w:rsidR="0045684A" w:rsidRPr="004F5F2B" w:rsidRDefault="0045684A" w:rsidP="0099587B">
      <w:pPr>
        <w:rPr>
          <w:rFonts w:ascii="Verdana" w:hAnsi="Verdana" w:cs="Arial"/>
          <w:color w:val="000000"/>
        </w:rPr>
      </w:pPr>
    </w:p>
    <w:p w:rsidR="0045684A" w:rsidRPr="004F5F2B" w:rsidRDefault="0045684A" w:rsidP="0099587B">
      <w:pPr>
        <w:rPr>
          <w:rFonts w:ascii="Verdana" w:hAnsi="Verdana" w:cs="Arial"/>
          <w:color w:val="000000"/>
        </w:rPr>
      </w:pPr>
    </w:p>
    <w:p w:rsidR="0045684A" w:rsidRPr="004F5F2B" w:rsidRDefault="0045684A" w:rsidP="0099587B">
      <w:pPr>
        <w:rPr>
          <w:rFonts w:ascii="Verdana" w:hAnsi="Verdana" w:cs="Arial"/>
          <w:color w:val="000000"/>
        </w:rPr>
      </w:pPr>
    </w:p>
    <w:p w:rsidR="00B438B7" w:rsidRPr="004F5F2B" w:rsidRDefault="00B438B7">
      <w:pPr>
        <w:spacing w:after="200" w:line="276" w:lineRule="auto"/>
        <w:rPr>
          <w:rFonts w:ascii="Verdana" w:eastAsia="Arial" w:hAnsi="Verdana" w:cs="Arial"/>
          <w:color w:val="1F497D"/>
        </w:rPr>
      </w:pPr>
      <w:r w:rsidRPr="004F5F2B">
        <w:rPr>
          <w:rFonts w:ascii="Verdana" w:eastAsia="Arial" w:hAnsi="Verdana" w:cs="Arial"/>
          <w:color w:val="1F497D"/>
        </w:rPr>
        <w:br w:type="page"/>
      </w:r>
    </w:p>
    <w:p w:rsidR="00B438B7" w:rsidRDefault="00B438B7" w:rsidP="00A40420">
      <w:pPr>
        <w:pStyle w:val="StyleHeading1Hanging085cm"/>
      </w:pPr>
      <w:bookmarkStart w:id="50" w:name="_Toc372539883"/>
      <w:bookmarkStart w:id="51" w:name="_Toc401325815"/>
      <w:r w:rsidRPr="004F5F2B">
        <w:t>Section 6. Coordination between funds</w:t>
      </w:r>
      <w:bookmarkEnd w:id="50"/>
      <w:bookmarkEnd w:id="51"/>
    </w:p>
    <w:p w:rsidR="00E234E8" w:rsidRPr="004F5F2B" w:rsidRDefault="00E234E8" w:rsidP="00A40420">
      <w:pPr>
        <w:pStyle w:val="StyleHeading1Hanging085cm"/>
      </w:pPr>
    </w:p>
    <w:p w:rsidR="00B438B7" w:rsidRPr="003F3792" w:rsidRDefault="00B438B7" w:rsidP="00330F33">
      <w:pPr>
        <w:spacing w:after="180" w:line="276" w:lineRule="auto"/>
        <w:jc w:val="both"/>
        <w:rPr>
          <w:rFonts w:ascii="Verdana" w:hAnsi="Verdana" w:cs="Arial"/>
          <w:sz w:val="22"/>
          <w:szCs w:val="22"/>
        </w:rPr>
      </w:pPr>
      <w:r w:rsidRPr="003F3792">
        <w:rPr>
          <w:rFonts w:ascii="Verdana" w:hAnsi="Verdana" w:cs="Arial"/>
          <w:sz w:val="22"/>
          <w:szCs w:val="22"/>
        </w:rPr>
        <w:t xml:space="preserve">This section addresses the coordination of URBACT III with other EU-funded programmes. Ensuring a better coordination with other policies and programmes is necessary in order to promote synergies and complementarities between them. </w:t>
      </w:r>
    </w:p>
    <w:p w:rsidR="00B438B7" w:rsidRPr="004F5F2B" w:rsidRDefault="007B5752" w:rsidP="00330F33">
      <w:pPr>
        <w:pStyle w:val="Nagwek2"/>
        <w:spacing w:after="180" w:line="276" w:lineRule="auto"/>
      </w:pPr>
      <w:bookmarkStart w:id="52" w:name="_Toc372539885"/>
      <w:bookmarkStart w:id="53" w:name="_Toc401325816"/>
      <w:r>
        <w:t>6.1.</w:t>
      </w:r>
      <w:r>
        <w:tab/>
      </w:r>
      <w:r w:rsidR="00B438B7" w:rsidRPr="004F5F2B">
        <w:t xml:space="preserve">Coordination with mainstream programmes </w:t>
      </w:r>
      <w:bookmarkEnd w:id="52"/>
      <w:r w:rsidR="00B438B7" w:rsidRPr="004F5F2B">
        <w:t>(ERDF, ESF, EAFRD, EMFF)</w:t>
      </w:r>
      <w:bookmarkEnd w:id="53"/>
      <w:r w:rsidR="00B438B7" w:rsidRPr="004F5F2B">
        <w:t xml:space="preserve"> </w:t>
      </w:r>
    </w:p>
    <w:p w:rsidR="008B7C2C" w:rsidRPr="003F3792" w:rsidRDefault="008B7C2C" w:rsidP="00330F33">
      <w:pPr>
        <w:spacing w:after="180" w:line="276" w:lineRule="auto"/>
        <w:jc w:val="both"/>
        <w:rPr>
          <w:rFonts w:ascii="Verdana" w:hAnsi="Verdana"/>
          <w:iCs/>
          <w:sz w:val="22"/>
          <w:szCs w:val="22"/>
          <w:lang w:eastAsia="fr-BE"/>
        </w:rPr>
      </w:pPr>
      <w:r w:rsidRPr="003F3792">
        <w:rPr>
          <w:rFonts w:ascii="Verdana" w:hAnsi="Verdana"/>
          <w:iCs/>
          <w:sz w:val="22"/>
          <w:szCs w:val="22"/>
          <w:lang w:eastAsia="fr-BE"/>
        </w:rPr>
        <w:t xml:space="preserve">URBACT is primarily a capacity building programme for cities in order to </w:t>
      </w:r>
      <w:r w:rsidRPr="003F3792">
        <w:rPr>
          <w:rFonts w:ascii="Verdana" w:hAnsi="Verdana"/>
          <w:sz w:val="22"/>
          <w:szCs w:val="22"/>
          <w:lang w:eastAsia="fr-BE"/>
        </w:rPr>
        <w:t>improve their capacity to develop and implement integrated urban policies and to allow them (and other stakeholders)</w:t>
      </w:r>
      <w:r w:rsidRPr="003F3792">
        <w:rPr>
          <w:rFonts w:ascii="Verdana" w:hAnsi="Verdana"/>
          <w:iCs/>
          <w:sz w:val="22"/>
          <w:szCs w:val="22"/>
          <w:lang w:eastAsia="fr-BE"/>
        </w:rPr>
        <w:t xml:space="preserve"> to share the knowledge needed to foster integrated sustainable urban development.</w:t>
      </w:r>
      <w:r w:rsidRPr="003F3792">
        <w:rPr>
          <w:rFonts w:ascii="Verdana" w:hAnsi="Verdana"/>
          <w:sz w:val="22"/>
          <w:szCs w:val="22"/>
        </w:rPr>
        <w:t xml:space="preserve"> The scope of URBACT puts the programme in a prime position to impact and improve the mainstream programmes for the following reasons:</w:t>
      </w:r>
    </w:p>
    <w:p w:rsidR="008B7C2C" w:rsidRPr="003F3792" w:rsidRDefault="00330F33" w:rsidP="008166DD">
      <w:pPr>
        <w:pStyle w:val="Paragraphedeliste3"/>
        <w:numPr>
          <w:ilvl w:val="0"/>
          <w:numId w:val="48"/>
        </w:numPr>
        <w:spacing w:after="180"/>
        <w:ind w:left="714" w:hanging="357"/>
        <w:jc w:val="both"/>
        <w:rPr>
          <w:rFonts w:ascii="Verdana" w:hAnsi="Verdana" w:cs="Arial"/>
          <w:color w:val="000000"/>
        </w:rPr>
      </w:pPr>
      <w:r>
        <w:rPr>
          <w:rFonts w:ascii="Verdana" w:hAnsi="Verdana"/>
        </w:rPr>
        <w:t>A</w:t>
      </w:r>
      <w:r w:rsidR="008B7C2C" w:rsidRPr="003F3792">
        <w:rPr>
          <w:rFonts w:ascii="Verdana" w:hAnsi="Verdana"/>
        </w:rPr>
        <w:t xml:space="preserve"> </w:t>
      </w:r>
      <w:r w:rsidR="008B7C2C" w:rsidRPr="003F3792">
        <w:rPr>
          <w:rFonts w:ascii="Verdana" w:hAnsi="Verdana"/>
          <w:lang w:eastAsia="ja-JP"/>
        </w:rPr>
        <w:t xml:space="preserve">significant portion of European Structural and Investment (ESI) funds already goes to urban areas through sectoral investments which address issues such as waste water, energy efficiency, mobility, innovation, climate change adaption, etc. </w:t>
      </w:r>
    </w:p>
    <w:p w:rsidR="008B7C2C" w:rsidRPr="003F3792" w:rsidRDefault="00330F33" w:rsidP="008166DD">
      <w:pPr>
        <w:pStyle w:val="Paragraphedeliste3"/>
        <w:numPr>
          <w:ilvl w:val="0"/>
          <w:numId w:val="48"/>
        </w:numPr>
        <w:spacing w:after="180"/>
        <w:ind w:left="714" w:hanging="357"/>
        <w:jc w:val="both"/>
        <w:rPr>
          <w:rFonts w:ascii="Verdana" w:hAnsi="Verdana" w:cs="Arial"/>
          <w:color w:val="000000"/>
          <w:u w:val="single"/>
        </w:rPr>
      </w:pPr>
      <w:r>
        <w:rPr>
          <w:rFonts w:ascii="Verdana" w:hAnsi="Verdana" w:cs="Arial"/>
        </w:rPr>
        <w:t>I</w:t>
      </w:r>
      <w:r w:rsidR="008B7C2C" w:rsidRPr="003F3792">
        <w:rPr>
          <w:rFonts w:ascii="Verdana" w:hAnsi="Verdana" w:cs="Arial"/>
        </w:rPr>
        <w:t xml:space="preserve">ntegration of </w:t>
      </w:r>
      <w:r w:rsidR="008B7C2C" w:rsidRPr="003F3792">
        <w:rPr>
          <w:rFonts w:ascii="Verdana" w:hAnsi="Verdana" w:cs="Arial"/>
          <w:color w:val="000000"/>
        </w:rPr>
        <w:t xml:space="preserve">social, economic, environmental and spatial dimensions requires the combination of various sources of funds, for example infrastructural and social actions financed by ERDF and ESF for a deprived neighbourhood, or ERDF and EAFRD for actions related to urban-rural linkages within an </w:t>
      </w:r>
      <w:r w:rsidR="008B7C2C" w:rsidRPr="003F3792">
        <w:rPr>
          <w:rFonts w:ascii="Verdana" w:hAnsi="Verdana" w:cs="Arial"/>
          <w:color w:val="000000"/>
          <w:u w:val="single"/>
        </w:rPr>
        <w:t xml:space="preserve">urban area. </w:t>
      </w:r>
    </w:p>
    <w:p w:rsidR="008B7C2C" w:rsidRPr="003F3792" w:rsidRDefault="008B7C2C" w:rsidP="00330F33">
      <w:pPr>
        <w:spacing w:after="180" w:line="276" w:lineRule="auto"/>
        <w:jc w:val="both"/>
        <w:rPr>
          <w:rFonts w:ascii="Verdana" w:hAnsi="Verdana"/>
          <w:sz w:val="22"/>
          <w:szCs w:val="22"/>
        </w:rPr>
      </w:pPr>
      <w:r w:rsidRPr="003F3792">
        <w:rPr>
          <w:rFonts w:ascii="Verdana" w:hAnsi="Verdana"/>
          <w:sz w:val="22"/>
          <w:szCs w:val="22"/>
        </w:rPr>
        <w:t xml:space="preserve">URBACT can therefore contribute going forward to </w:t>
      </w:r>
      <w:r w:rsidRPr="003F3792">
        <w:rPr>
          <w:rFonts w:ascii="Verdana" w:hAnsi="Verdana"/>
          <w:sz w:val="22"/>
          <w:szCs w:val="22"/>
          <w:lang w:eastAsia="ja-JP"/>
        </w:rPr>
        <w:t xml:space="preserve">the better alignment of these sectoral investments in order to avoid uncoordinated interventions and to achieve more efficient and effective spending in urban areas. A </w:t>
      </w:r>
      <w:r w:rsidRPr="003F3792">
        <w:rPr>
          <w:rFonts w:ascii="Verdana" w:hAnsi="Verdana" w:cs="Arial"/>
          <w:sz w:val="22"/>
          <w:szCs w:val="22"/>
        </w:rPr>
        <w:t>closer and more structural link between URBACT and mainstream structural investments is therefore essential.</w:t>
      </w:r>
    </w:p>
    <w:p w:rsidR="008B7C2C" w:rsidRPr="003F3792" w:rsidRDefault="008B7C2C" w:rsidP="00330F33">
      <w:pPr>
        <w:spacing w:after="180" w:line="276" w:lineRule="auto"/>
        <w:jc w:val="both"/>
        <w:rPr>
          <w:rFonts w:ascii="Verdana" w:hAnsi="Verdana" w:cs="Arial"/>
          <w:color w:val="000000"/>
          <w:sz w:val="22"/>
          <w:szCs w:val="22"/>
        </w:rPr>
      </w:pPr>
      <w:r w:rsidRPr="003F3792">
        <w:rPr>
          <w:rFonts w:ascii="Verdana" w:hAnsi="Verdana" w:cs="Arial"/>
          <w:color w:val="000000"/>
          <w:sz w:val="22"/>
          <w:szCs w:val="22"/>
        </w:rPr>
        <w:t>As such, URBACT III aims to impact positively on the implementation of mainstream operational programmes in the following ways:</w:t>
      </w:r>
    </w:p>
    <w:p w:rsidR="008B7C2C" w:rsidRPr="003F3792" w:rsidRDefault="008B7C2C" w:rsidP="008166DD">
      <w:pPr>
        <w:pStyle w:val="Paragraphedeliste3"/>
        <w:numPr>
          <w:ilvl w:val="0"/>
          <w:numId w:val="49"/>
        </w:numPr>
        <w:spacing w:after="180"/>
        <w:ind w:left="714" w:hanging="357"/>
        <w:contextualSpacing w:val="0"/>
        <w:jc w:val="both"/>
        <w:rPr>
          <w:rFonts w:ascii="Verdana" w:hAnsi="Verdana"/>
          <w:lang w:eastAsia="ja-JP"/>
        </w:rPr>
      </w:pPr>
      <w:r w:rsidRPr="003F3792">
        <w:rPr>
          <w:rFonts w:ascii="Verdana" w:hAnsi="Verdana" w:cs="Arial"/>
          <w:color w:val="000000"/>
        </w:rPr>
        <w:t xml:space="preserve">URBACT will actively work with those cities receiving funding through ERDF programmes under Article 7 (whether through an ITI, specific Operational Programme, or specific priority axis). URBACT will </w:t>
      </w:r>
      <w:r w:rsidRPr="003F3792">
        <w:rPr>
          <w:rFonts w:ascii="Verdana" w:hAnsi="Verdana"/>
          <w:lang w:eastAsia="ja-JP"/>
        </w:rPr>
        <w:t>seek to scale up the activities of those and disseminate their experiences amongst the URBACT community. URBACT will also seek to provide those 'Article 7' cities the benefit of the knowledge being generated as a result of URBACT activities – thereby improving the delivery of the Operational Programmes implemented partially through Article 7.</w:t>
      </w:r>
    </w:p>
    <w:p w:rsidR="008B7C2C" w:rsidRPr="003F3792" w:rsidRDefault="008B7C2C" w:rsidP="008166DD">
      <w:pPr>
        <w:pStyle w:val="Paragraphedeliste3"/>
        <w:numPr>
          <w:ilvl w:val="0"/>
          <w:numId w:val="49"/>
        </w:numPr>
        <w:spacing w:after="180"/>
        <w:ind w:left="714" w:hanging="357"/>
        <w:contextualSpacing w:val="0"/>
        <w:jc w:val="both"/>
        <w:rPr>
          <w:rFonts w:ascii="Verdana" w:hAnsi="Verdana"/>
          <w:lang w:eastAsia="ja-JP"/>
        </w:rPr>
      </w:pPr>
      <w:r w:rsidRPr="003F3792">
        <w:rPr>
          <w:rFonts w:ascii="Verdana" w:hAnsi="Verdana"/>
        </w:rPr>
        <w:t xml:space="preserve">URBACT III will seek to </w:t>
      </w:r>
      <w:r w:rsidRPr="003F3792">
        <w:rPr>
          <w:rFonts w:ascii="Verdana" w:hAnsi="Verdana"/>
          <w:color w:val="000000"/>
        </w:rPr>
        <w:t>anchor the Community-Led Local Development (CLLD)</w:t>
      </w:r>
      <w:r w:rsidRPr="003F3792">
        <w:rPr>
          <w:rFonts w:ascii="Verdana" w:hAnsi="Verdana" w:cs="Calibri"/>
        </w:rPr>
        <w:t xml:space="preserve"> approach in cities through exchange activities between cities engaged in delivering CLLD approaches (funded by ESI funds) and also capacity building activities for the same cities in order to improve their understanding and management of CLLD.</w:t>
      </w:r>
    </w:p>
    <w:p w:rsidR="008B7C2C" w:rsidRPr="003F3792" w:rsidRDefault="008B7C2C" w:rsidP="008166DD">
      <w:pPr>
        <w:pStyle w:val="Paragraphedeliste3"/>
        <w:numPr>
          <w:ilvl w:val="0"/>
          <w:numId w:val="49"/>
        </w:numPr>
        <w:spacing w:after="180"/>
        <w:ind w:left="714" w:hanging="357"/>
        <w:contextualSpacing w:val="0"/>
        <w:jc w:val="both"/>
        <w:rPr>
          <w:rFonts w:ascii="Verdana" w:hAnsi="Verdana"/>
          <w:lang w:eastAsia="ja-JP"/>
        </w:rPr>
      </w:pPr>
      <w:r w:rsidRPr="003F3792">
        <w:rPr>
          <w:rFonts w:ascii="Verdana" w:hAnsi="Verdana"/>
        </w:rPr>
        <w:t xml:space="preserve">URBACT </w:t>
      </w:r>
      <w:r w:rsidRPr="003F3792">
        <w:rPr>
          <w:rFonts w:ascii="Verdana" w:hAnsi="Verdana" w:cs="Arial"/>
        </w:rPr>
        <w:t>National Points in charge of communicating on URBACT activities and results will strengthen the cooperation between local, regional, national and EU levels and embed better URBACT results in policies and practices in the mainstream programmes.</w:t>
      </w:r>
    </w:p>
    <w:p w:rsidR="00B438B7" w:rsidRPr="00307879" w:rsidRDefault="002E5CA7" w:rsidP="00307879">
      <w:pPr>
        <w:spacing w:after="180" w:line="276" w:lineRule="auto"/>
        <w:jc w:val="both"/>
        <w:rPr>
          <w:rFonts w:ascii="Verdana" w:hAnsi="Verdana"/>
          <w:sz w:val="22"/>
          <w:szCs w:val="22"/>
        </w:rPr>
      </w:pPr>
      <w:r w:rsidRPr="00307879">
        <w:rPr>
          <w:rFonts w:ascii="Verdana" w:hAnsi="Verdana"/>
          <w:sz w:val="22"/>
          <w:szCs w:val="22"/>
        </w:rPr>
        <w:t>URBACT, in a more general sense, through enabling exchange and learning between elected officials, officers and other city stakeholders will contribute to a greater understanding of urban problems and the integrated approach. This, indirectly, will impact positively the implementation in Operational Programmes.</w:t>
      </w:r>
    </w:p>
    <w:p w:rsidR="00B438B7" w:rsidRPr="004F5F2B" w:rsidRDefault="007B5752" w:rsidP="00330F33">
      <w:pPr>
        <w:pStyle w:val="Nagwek2"/>
        <w:spacing w:after="180" w:line="276" w:lineRule="auto"/>
      </w:pPr>
      <w:bookmarkStart w:id="54" w:name="_Toc372539887"/>
      <w:bookmarkStart w:id="55" w:name="_Toc401325817"/>
      <w:r>
        <w:t>6.2.</w:t>
      </w:r>
      <w:r>
        <w:tab/>
      </w:r>
      <w:r w:rsidR="00B438B7" w:rsidRPr="004F5F2B">
        <w:t>Coordination with other interregional cooperation programmes of the ETC goal</w:t>
      </w:r>
      <w:bookmarkEnd w:id="54"/>
      <w:bookmarkEnd w:id="55"/>
    </w:p>
    <w:p w:rsidR="00B438B7" w:rsidRPr="003F3792" w:rsidRDefault="00B438B7" w:rsidP="00330F33">
      <w:pPr>
        <w:autoSpaceDE w:val="0"/>
        <w:autoSpaceDN w:val="0"/>
        <w:adjustRightInd w:val="0"/>
        <w:spacing w:after="180" w:line="276" w:lineRule="auto"/>
        <w:jc w:val="both"/>
        <w:rPr>
          <w:rFonts w:ascii="Verdana" w:eastAsia="MS Mincho" w:hAnsi="Verdana" w:cs="Arial"/>
          <w:sz w:val="22"/>
          <w:szCs w:val="22"/>
          <w:lang w:eastAsia="ja-JP"/>
        </w:rPr>
      </w:pPr>
      <w:r w:rsidRPr="003F3792">
        <w:rPr>
          <w:rFonts w:ascii="Verdana" w:eastAsia="MS Mincho" w:hAnsi="Verdana" w:cs="Arial"/>
          <w:sz w:val="22"/>
          <w:szCs w:val="22"/>
          <w:lang w:eastAsia="ja-JP"/>
        </w:rPr>
        <w:t xml:space="preserve">Since 2000, the four interregional cooperation programmes of the European Territorial Cooperation (ETC) goal – </w:t>
      </w:r>
      <w:r w:rsidRPr="003F3792">
        <w:rPr>
          <w:rFonts w:ascii="Verdana" w:eastAsia="MS Mincho" w:hAnsi="Verdana" w:cs="Arial"/>
          <w:bCs/>
          <w:sz w:val="22"/>
          <w:szCs w:val="22"/>
          <w:lang w:eastAsia="ja-JP"/>
        </w:rPr>
        <w:t>ESPON, INTERACT, INTERREG IVC and URBACT</w:t>
      </w:r>
      <w:r w:rsidRPr="003F3792">
        <w:rPr>
          <w:rFonts w:ascii="Verdana" w:eastAsia="MS Mincho" w:hAnsi="Verdana" w:cs="Arial"/>
          <w:sz w:val="22"/>
          <w:szCs w:val="22"/>
          <w:lang w:eastAsia="ja-JP"/>
        </w:rPr>
        <w:t xml:space="preserve"> - have been in charge of different aspects of improving the quality and the efficiency of EU </w:t>
      </w:r>
      <w:r w:rsidR="00932EEE" w:rsidRPr="003F3792">
        <w:rPr>
          <w:rFonts w:ascii="Verdana" w:eastAsia="MS Mincho" w:hAnsi="Verdana" w:cs="Arial"/>
          <w:sz w:val="22"/>
          <w:szCs w:val="22"/>
          <w:lang w:eastAsia="ja-JP"/>
        </w:rPr>
        <w:t>urban and r</w:t>
      </w:r>
      <w:r w:rsidRPr="003F3792">
        <w:rPr>
          <w:rFonts w:ascii="Verdana" w:eastAsia="MS Mincho" w:hAnsi="Verdana" w:cs="Arial"/>
          <w:sz w:val="22"/>
          <w:szCs w:val="22"/>
          <w:lang w:eastAsia="ja-JP"/>
        </w:rPr>
        <w:t xml:space="preserve">egional Policy. Their common pan-European geographical scope and increasing maturity of operations have been gradually explored. More and more complementarities have been showcased in an increasing number of </w:t>
      </w:r>
      <w:r w:rsidR="00B90A9F" w:rsidRPr="003F3792">
        <w:rPr>
          <w:rFonts w:ascii="Verdana" w:eastAsia="MS Mincho" w:hAnsi="Verdana" w:cs="Arial"/>
          <w:sz w:val="22"/>
          <w:szCs w:val="22"/>
          <w:lang w:eastAsia="ja-JP"/>
        </w:rPr>
        <w:t xml:space="preserve">activities and </w:t>
      </w:r>
      <w:r w:rsidRPr="003F3792">
        <w:rPr>
          <w:rFonts w:ascii="Verdana" w:eastAsia="MS Mincho" w:hAnsi="Verdana" w:cs="Arial"/>
          <w:sz w:val="22"/>
          <w:szCs w:val="22"/>
          <w:lang w:eastAsia="ja-JP"/>
        </w:rPr>
        <w:t xml:space="preserve">events, such as for instance at the Open Days. Additionally, their know-how and committed staff </w:t>
      </w:r>
      <w:r w:rsidR="00B90A9F" w:rsidRPr="003F3792">
        <w:rPr>
          <w:rFonts w:ascii="Verdana" w:eastAsia="MS Mincho" w:hAnsi="Verdana" w:cs="Arial"/>
          <w:sz w:val="22"/>
          <w:szCs w:val="22"/>
          <w:lang w:eastAsia="ja-JP"/>
        </w:rPr>
        <w:t xml:space="preserve">have worked </w:t>
      </w:r>
      <w:r w:rsidRPr="003F3792">
        <w:rPr>
          <w:rFonts w:ascii="Verdana" w:eastAsia="MS Mincho" w:hAnsi="Verdana" w:cs="Arial"/>
          <w:sz w:val="22"/>
          <w:szCs w:val="22"/>
          <w:lang w:eastAsia="ja-JP"/>
        </w:rPr>
        <w:t>together on a number of concrete activities, in particular for a framework for joint capitalisation and dissemination activities.</w:t>
      </w:r>
    </w:p>
    <w:p w:rsidR="00B438B7" w:rsidRPr="003F3792" w:rsidRDefault="00B438B7" w:rsidP="00330F33">
      <w:pPr>
        <w:autoSpaceDE w:val="0"/>
        <w:autoSpaceDN w:val="0"/>
        <w:adjustRightInd w:val="0"/>
        <w:spacing w:after="180" w:line="276" w:lineRule="auto"/>
        <w:jc w:val="both"/>
        <w:rPr>
          <w:rFonts w:ascii="Verdana" w:eastAsia="MS Mincho" w:hAnsi="Verdana" w:cs="Arial"/>
          <w:i/>
          <w:iCs/>
          <w:sz w:val="22"/>
          <w:szCs w:val="22"/>
          <w:lang w:eastAsia="ja-JP"/>
        </w:rPr>
      </w:pPr>
      <w:r w:rsidRPr="003F3792">
        <w:rPr>
          <w:rFonts w:ascii="Verdana" w:eastAsia="MS Mincho" w:hAnsi="Verdana" w:cs="Arial"/>
          <w:sz w:val="22"/>
          <w:szCs w:val="22"/>
          <w:lang w:eastAsia="ja-JP"/>
        </w:rPr>
        <w:t xml:space="preserve">These Operational Programmes all included during the 2007-2013 period a resolution saying in substance: </w:t>
      </w:r>
      <w:r w:rsidRPr="003F3792">
        <w:rPr>
          <w:rFonts w:ascii="Verdana" w:eastAsia="MS Mincho" w:hAnsi="Verdana" w:cs="Arial"/>
          <w:i/>
          <w:iCs/>
          <w:sz w:val="22"/>
          <w:szCs w:val="22"/>
          <w:lang w:eastAsia="ja-JP"/>
        </w:rPr>
        <w:t xml:space="preserve">“Synergies between the </w:t>
      </w:r>
      <w:r w:rsidR="00B90A9F" w:rsidRPr="003F3792">
        <w:rPr>
          <w:rFonts w:ascii="Verdana" w:eastAsia="MS Mincho" w:hAnsi="Verdana" w:cs="Arial"/>
          <w:i/>
          <w:iCs/>
          <w:sz w:val="22"/>
          <w:szCs w:val="22"/>
          <w:lang w:eastAsia="ja-JP"/>
        </w:rPr>
        <w:t>four</w:t>
      </w:r>
      <w:r w:rsidRPr="003F3792">
        <w:rPr>
          <w:rFonts w:ascii="Verdana" w:eastAsia="MS Mincho" w:hAnsi="Verdana" w:cs="Arial"/>
          <w:i/>
          <w:iCs/>
          <w:sz w:val="22"/>
          <w:szCs w:val="22"/>
          <w:lang w:eastAsia="ja-JP"/>
        </w:rPr>
        <w:t xml:space="preserve"> network programmes INTERACT, ESPON, URBACT and INTERREG IVC shall be looked for through a strong coordination in elaborating their yearly activities and through regularly providing information on the activities of and results achieved in the other programmes to the Monitoring Committees. Furthermore, a close cooperation is intended as regards all technical programme implementation matters.” </w:t>
      </w:r>
      <w:r w:rsidRPr="003F3792">
        <w:rPr>
          <w:rFonts w:ascii="Verdana" w:eastAsia="MS Mincho" w:hAnsi="Verdana" w:cs="Arial"/>
          <w:sz w:val="22"/>
          <w:szCs w:val="22"/>
          <w:lang w:eastAsia="ja-JP"/>
        </w:rPr>
        <w:t xml:space="preserve">The current Operational Programmes expand on this, on the basis of the increasing cooperation and efforts to ensure complementarities. </w:t>
      </w:r>
    </w:p>
    <w:p w:rsidR="00B438B7" w:rsidRPr="003F3792" w:rsidRDefault="00B438B7" w:rsidP="00330F33">
      <w:pPr>
        <w:spacing w:after="180" w:line="276" w:lineRule="auto"/>
        <w:jc w:val="both"/>
        <w:rPr>
          <w:rFonts w:ascii="Verdana" w:hAnsi="Verdana" w:cs="Arial"/>
          <w:sz w:val="22"/>
          <w:szCs w:val="22"/>
        </w:rPr>
      </w:pPr>
      <w:r w:rsidRPr="003F3792">
        <w:rPr>
          <w:rFonts w:ascii="Verdana" w:hAnsi="Verdana" w:cs="Arial"/>
          <w:sz w:val="22"/>
          <w:szCs w:val="22"/>
        </w:rPr>
        <w:t xml:space="preserve">Arrangements for the coordination of the interregional cooperation programmes of the ETC goal include in particular the implementation of activities for which programmes could use and share their know-how and committed staff for the following actions: </w:t>
      </w:r>
    </w:p>
    <w:p w:rsidR="00B438B7" w:rsidRPr="003F3792" w:rsidRDefault="00B438B7" w:rsidP="008166DD">
      <w:pPr>
        <w:pStyle w:val="Paragraphedeliste1"/>
        <w:numPr>
          <w:ilvl w:val="0"/>
          <w:numId w:val="8"/>
        </w:numPr>
        <w:spacing w:after="180" w:line="276" w:lineRule="auto"/>
        <w:contextualSpacing/>
        <w:rPr>
          <w:rFonts w:ascii="Verdana" w:hAnsi="Verdana" w:cs="Arial"/>
          <w:sz w:val="22"/>
          <w:szCs w:val="22"/>
        </w:rPr>
      </w:pPr>
      <w:r w:rsidRPr="003F3792">
        <w:rPr>
          <w:rFonts w:ascii="Verdana" w:hAnsi="Verdana" w:cs="Arial"/>
          <w:sz w:val="22"/>
          <w:szCs w:val="22"/>
        </w:rPr>
        <w:t>Bilateral cooperation events</w:t>
      </w:r>
      <w:r w:rsidR="00B90A9F" w:rsidRPr="003F3792">
        <w:rPr>
          <w:rFonts w:ascii="Verdana" w:hAnsi="Verdana" w:cs="Arial"/>
          <w:sz w:val="22"/>
          <w:szCs w:val="22"/>
        </w:rPr>
        <w:t xml:space="preserve"> (Open</w:t>
      </w:r>
      <w:r w:rsidR="004F5F2B" w:rsidRPr="003F3792">
        <w:rPr>
          <w:rFonts w:ascii="Verdana" w:hAnsi="Verdana" w:cs="Arial"/>
          <w:sz w:val="22"/>
          <w:szCs w:val="22"/>
        </w:rPr>
        <w:t xml:space="preserve"> </w:t>
      </w:r>
      <w:r w:rsidR="00B90A9F" w:rsidRPr="003F3792">
        <w:rPr>
          <w:rFonts w:ascii="Verdana" w:hAnsi="Verdana" w:cs="Arial"/>
          <w:sz w:val="22"/>
          <w:szCs w:val="22"/>
        </w:rPr>
        <w:t>days, thematic events, etc.)</w:t>
      </w:r>
    </w:p>
    <w:p w:rsidR="00B438B7" w:rsidRPr="003F3792" w:rsidRDefault="00B438B7" w:rsidP="008166DD">
      <w:pPr>
        <w:pStyle w:val="Paragraphedeliste1"/>
        <w:numPr>
          <w:ilvl w:val="0"/>
          <w:numId w:val="8"/>
        </w:numPr>
        <w:spacing w:after="180" w:line="276" w:lineRule="auto"/>
        <w:contextualSpacing/>
        <w:rPr>
          <w:rFonts w:ascii="Verdana" w:hAnsi="Verdana" w:cs="Arial"/>
          <w:sz w:val="22"/>
          <w:szCs w:val="22"/>
        </w:rPr>
      </w:pPr>
      <w:r w:rsidRPr="003F3792">
        <w:rPr>
          <w:rFonts w:ascii="Verdana" w:hAnsi="Verdana" w:cs="Arial"/>
          <w:sz w:val="22"/>
          <w:szCs w:val="22"/>
        </w:rPr>
        <w:t>Joint capitalisation and dissemination activities (development and promotion of European indicators, tools, data and methods, proven good practices)</w:t>
      </w:r>
    </w:p>
    <w:p w:rsidR="00B438B7" w:rsidRPr="003F3792" w:rsidRDefault="00B438B7" w:rsidP="008166DD">
      <w:pPr>
        <w:pStyle w:val="Paragraphedeliste1"/>
        <w:numPr>
          <w:ilvl w:val="0"/>
          <w:numId w:val="8"/>
        </w:numPr>
        <w:spacing w:after="180" w:line="276" w:lineRule="auto"/>
        <w:contextualSpacing/>
        <w:rPr>
          <w:rFonts w:ascii="Verdana" w:hAnsi="Verdana" w:cs="Arial"/>
          <w:sz w:val="22"/>
          <w:szCs w:val="22"/>
        </w:rPr>
      </w:pPr>
      <w:r w:rsidRPr="003F3792">
        <w:rPr>
          <w:rFonts w:ascii="Verdana" w:hAnsi="Verdana" w:cs="Arial"/>
          <w:sz w:val="22"/>
          <w:szCs w:val="22"/>
        </w:rPr>
        <w:t xml:space="preserve">Joint exhibitions, workshops, information / awareness-raising actions concerning territorial development. </w:t>
      </w:r>
    </w:p>
    <w:p w:rsidR="0045684A" w:rsidRPr="004F5F2B" w:rsidRDefault="0045684A">
      <w:pPr>
        <w:spacing w:after="200" w:line="276" w:lineRule="auto"/>
        <w:rPr>
          <w:rFonts w:ascii="Verdana" w:eastAsia="Arial" w:hAnsi="Verdana" w:cs="Arial"/>
          <w:color w:val="1F497D"/>
        </w:rPr>
      </w:pPr>
    </w:p>
    <w:p w:rsidR="00E234E8" w:rsidRDefault="00E234E8">
      <w:pPr>
        <w:rPr>
          <w:rFonts w:ascii="Verdana" w:eastAsia="Arial" w:hAnsi="Verdana" w:cs="Arial"/>
          <w:color w:val="1F497D"/>
        </w:rPr>
      </w:pPr>
      <w:r>
        <w:rPr>
          <w:rFonts w:ascii="Verdana" w:eastAsia="Arial" w:hAnsi="Verdana" w:cs="Arial"/>
          <w:color w:val="1F497D"/>
        </w:rPr>
        <w:br w:type="page"/>
      </w:r>
    </w:p>
    <w:p w:rsidR="0045684A" w:rsidRPr="004F5F2B" w:rsidRDefault="0045684A">
      <w:pPr>
        <w:spacing w:after="200" w:line="276" w:lineRule="auto"/>
        <w:rPr>
          <w:rFonts w:ascii="Verdana" w:eastAsia="Arial" w:hAnsi="Verdana" w:cs="Arial"/>
          <w:color w:val="1F497D"/>
        </w:rPr>
      </w:pPr>
    </w:p>
    <w:p w:rsidR="0045684A" w:rsidRPr="004F5F2B" w:rsidRDefault="0045684A">
      <w:pPr>
        <w:spacing w:after="200" w:line="276" w:lineRule="auto"/>
        <w:rPr>
          <w:rFonts w:ascii="Verdana" w:eastAsia="Arial" w:hAnsi="Verdana" w:cs="Arial"/>
          <w:color w:val="1F497D"/>
        </w:rPr>
      </w:pPr>
    </w:p>
    <w:p w:rsidR="0045684A" w:rsidRPr="004F5F2B" w:rsidRDefault="0045684A">
      <w:pPr>
        <w:spacing w:after="200" w:line="276" w:lineRule="auto"/>
        <w:rPr>
          <w:rFonts w:ascii="Verdana" w:eastAsia="Arial" w:hAnsi="Verdana" w:cs="Arial"/>
          <w:color w:val="1F497D"/>
        </w:rPr>
      </w:pPr>
    </w:p>
    <w:p w:rsidR="00AC759C" w:rsidRPr="004F5F2B" w:rsidRDefault="00AC759C" w:rsidP="0045684A">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p>
    <w:p w:rsidR="0045684A" w:rsidRPr="004F5F2B" w:rsidRDefault="0045684A" w:rsidP="0045684A">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r w:rsidRPr="004F5F2B">
        <w:rPr>
          <w:rFonts w:ascii="Verdana" w:hAnsi="Verdana"/>
          <w:b/>
          <w:bCs/>
        </w:rPr>
        <w:t>SECTION SEVEN</w:t>
      </w:r>
    </w:p>
    <w:p w:rsidR="0045684A" w:rsidRPr="004F5F2B" w:rsidRDefault="0045684A" w:rsidP="0045684A">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p>
    <w:p w:rsidR="0045684A" w:rsidRPr="004F5F2B" w:rsidRDefault="0045684A" w:rsidP="0045684A">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cs="Arial"/>
          <w:b/>
          <w:bCs/>
          <w:kern w:val="36"/>
          <w:sz w:val="36"/>
          <w:szCs w:val="36"/>
        </w:rPr>
      </w:pPr>
      <w:r w:rsidRPr="004F5F2B">
        <w:rPr>
          <w:rFonts w:ascii="Verdana" w:hAnsi="Verdana" w:cs="Arial"/>
          <w:b/>
          <w:bCs/>
          <w:kern w:val="36"/>
          <w:sz w:val="36"/>
          <w:szCs w:val="36"/>
        </w:rPr>
        <w:t>Reduction of administrative burden</w:t>
      </w:r>
    </w:p>
    <w:p w:rsidR="0045684A" w:rsidRPr="004F5F2B" w:rsidRDefault="0045684A" w:rsidP="0045684A">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sz w:val="36"/>
          <w:szCs w:val="36"/>
        </w:rPr>
      </w:pPr>
      <w:r w:rsidRPr="004F5F2B">
        <w:rPr>
          <w:rFonts w:ascii="Verdana" w:hAnsi="Verdana" w:cs="Arial"/>
          <w:b/>
          <w:bCs/>
          <w:kern w:val="36"/>
          <w:sz w:val="36"/>
          <w:szCs w:val="36"/>
        </w:rPr>
        <w:t>For beneficiaries</w:t>
      </w:r>
    </w:p>
    <w:p w:rsidR="0045684A" w:rsidRPr="004F5F2B" w:rsidRDefault="0045684A" w:rsidP="0045684A">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45684A" w:rsidRPr="004F5F2B" w:rsidRDefault="0045684A" w:rsidP="0045684A">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45684A" w:rsidRPr="004F5F2B" w:rsidRDefault="0045684A" w:rsidP="008166DD">
      <w:pPr>
        <w:pStyle w:val="Paragraphedeliste3"/>
        <w:numPr>
          <w:ilvl w:val="2"/>
          <w:numId w:val="10"/>
        </w:num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sz w:val="24"/>
          <w:szCs w:val="24"/>
        </w:rPr>
      </w:pPr>
      <w:r w:rsidRPr="004F5F2B">
        <w:rPr>
          <w:rFonts w:ascii="Verdana" w:hAnsi="Verdana"/>
          <w:b/>
          <w:bCs/>
          <w:sz w:val="24"/>
          <w:szCs w:val="24"/>
        </w:rPr>
        <w:t>Assessment of the administrative burden of beneficiaries</w:t>
      </w:r>
    </w:p>
    <w:p w:rsidR="0045684A" w:rsidRPr="004F5F2B" w:rsidRDefault="0045684A" w:rsidP="0045684A">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45684A" w:rsidRPr="004F5F2B" w:rsidRDefault="0045684A" w:rsidP="008166DD">
      <w:pPr>
        <w:pStyle w:val="Paragraphedeliste3"/>
        <w:numPr>
          <w:ilvl w:val="2"/>
          <w:numId w:val="10"/>
        </w:num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sz w:val="24"/>
          <w:szCs w:val="24"/>
        </w:rPr>
      </w:pPr>
      <w:r w:rsidRPr="004F5F2B">
        <w:rPr>
          <w:rFonts w:ascii="Verdana" w:hAnsi="Verdana"/>
          <w:b/>
          <w:bCs/>
          <w:sz w:val="24"/>
          <w:szCs w:val="24"/>
        </w:rPr>
        <w:t>Main actions planned to reduce the administrative burden of URBACT III</w:t>
      </w:r>
    </w:p>
    <w:p w:rsidR="0045684A" w:rsidRPr="004F5F2B" w:rsidRDefault="0045684A" w:rsidP="0045684A">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45684A" w:rsidRPr="004F5F2B" w:rsidRDefault="0045684A" w:rsidP="008166DD">
      <w:pPr>
        <w:pStyle w:val="Paragraphedeliste3"/>
        <w:numPr>
          <w:ilvl w:val="2"/>
          <w:numId w:val="10"/>
        </w:num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sz w:val="24"/>
          <w:szCs w:val="24"/>
        </w:rPr>
      </w:pPr>
      <w:r w:rsidRPr="004F5F2B">
        <w:rPr>
          <w:rFonts w:ascii="Verdana" w:hAnsi="Verdana"/>
          <w:b/>
          <w:bCs/>
          <w:sz w:val="24"/>
          <w:szCs w:val="24"/>
        </w:rPr>
        <w:t>E-Cohesion</w:t>
      </w:r>
    </w:p>
    <w:p w:rsidR="0045684A" w:rsidRPr="004F5F2B" w:rsidRDefault="0045684A" w:rsidP="0045684A">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45684A" w:rsidRPr="004F5F2B" w:rsidRDefault="0045684A" w:rsidP="0045684A">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45684A" w:rsidRPr="004F5F2B" w:rsidRDefault="0045684A">
      <w:pPr>
        <w:spacing w:after="200" w:line="276" w:lineRule="auto"/>
        <w:rPr>
          <w:rFonts w:ascii="Verdana" w:eastAsia="Arial" w:hAnsi="Verdana" w:cs="Arial"/>
          <w:color w:val="1F497D"/>
        </w:rPr>
      </w:pPr>
    </w:p>
    <w:p w:rsidR="00DB7DC7" w:rsidRPr="004F5F2B" w:rsidRDefault="00DB7DC7">
      <w:pPr>
        <w:spacing w:after="200" w:line="276" w:lineRule="auto"/>
        <w:rPr>
          <w:rFonts w:ascii="Verdana" w:eastAsia="Arial" w:hAnsi="Verdana" w:cs="Arial"/>
          <w:color w:val="1F497D"/>
        </w:rPr>
      </w:pPr>
      <w:r w:rsidRPr="004F5F2B">
        <w:rPr>
          <w:rFonts w:ascii="Verdana" w:eastAsia="Arial" w:hAnsi="Verdana" w:cs="Arial"/>
          <w:color w:val="1F497D"/>
        </w:rPr>
        <w:br w:type="page"/>
      </w:r>
    </w:p>
    <w:p w:rsidR="00282D17" w:rsidRDefault="00282D17" w:rsidP="00282D17">
      <w:pPr>
        <w:pStyle w:val="StyleHeading1Hanging085cm"/>
      </w:pPr>
      <w:bookmarkStart w:id="56" w:name="_Toc248419285"/>
      <w:bookmarkStart w:id="57" w:name="_Toc401325818"/>
      <w:r>
        <w:t>Section 7. Reduction of administrative burden for beneficiaries</w:t>
      </w:r>
    </w:p>
    <w:p w:rsidR="00282D17" w:rsidRDefault="00282D17" w:rsidP="00282D17">
      <w:pPr>
        <w:spacing w:after="180" w:line="276" w:lineRule="auto"/>
        <w:jc w:val="both"/>
        <w:outlineLvl w:val="2"/>
        <w:rPr>
          <w:rFonts w:ascii="Verdana" w:hAnsi="Verdana"/>
          <w:b/>
          <w:bCs/>
        </w:rPr>
      </w:pPr>
    </w:p>
    <w:p w:rsidR="00282D17" w:rsidRDefault="00282D17" w:rsidP="00282D17">
      <w:pPr>
        <w:pStyle w:val="Nagwek2"/>
        <w:spacing w:after="180" w:line="276" w:lineRule="auto"/>
      </w:pPr>
      <w:r>
        <w:t>7.1.1.</w:t>
      </w:r>
      <w:r>
        <w:tab/>
        <w:t xml:space="preserve">Assessment of the administrative burden of beneficiaries </w:t>
      </w:r>
    </w:p>
    <w:p w:rsidR="00282D17" w:rsidRDefault="00282D17" w:rsidP="00282D17">
      <w:pPr>
        <w:spacing w:after="180" w:line="276" w:lineRule="auto"/>
        <w:jc w:val="both"/>
        <w:rPr>
          <w:rFonts w:ascii="Verdana" w:hAnsi="Verdana"/>
          <w:sz w:val="22"/>
          <w:szCs w:val="22"/>
        </w:rPr>
      </w:pPr>
      <w:r>
        <w:rPr>
          <w:rFonts w:ascii="Verdana" w:hAnsi="Verdana" w:cs="Arial"/>
          <w:sz w:val="22"/>
          <w:szCs w:val="22"/>
        </w:rPr>
        <w:t xml:space="preserve">The mid-term evaluation of URBACT II identified some sources of complexity in the programme’s rules and procedures leaving room for simplification areas as follows: </w:t>
      </w:r>
    </w:p>
    <w:p w:rsidR="00282D17" w:rsidRDefault="00282D17" w:rsidP="008166DD">
      <w:pPr>
        <w:pStyle w:val="Paragraphedeliste3"/>
        <w:numPr>
          <w:ilvl w:val="0"/>
          <w:numId w:val="65"/>
        </w:numPr>
        <w:spacing w:after="180"/>
        <w:ind w:left="714" w:hanging="357"/>
        <w:jc w:val="both"/>
        <w:rPr>
          <w:rFonts w:ascii="Verdana" w:eastAsia="Times New Roman" w:hAnsi="Verdana"/>
          <w:lang w:eastAsia="fr-FR"/>
        </w:rPr>
      </w:pPr>
      <w:r>
        <w:rPr>
          <w:rFonts w:ascii="Verdana" w:eastAsia="Times New Roman" w:hAnsi="Verdana" w:cs="Helvetica"/>
          <w:lang w:eastAsia="fr-FR"/>
        </w:rPr>
        <w:t>T</w:t>
      </w:r>
      <w:r>
        <w:rPr>
          <w:rFonts w:ascii="Verdana" w:eastAsia="Times New Roman" w:hAnsi="Verdana" w:cs="Arial"/>
          <w:lang w:eastAsia="fr-FR"/>
        </w:rPr>
        <w:t xml:space="preserve">he general implementation framework of the programme (e.g. priority axes for activities, varying intervention rates.). </w:t>
      </w:r>
    </w:p>
    <w:p w:rsidR="00282D17" w:rsidRDefault="00282D17" w:rsidP="008166DD">
      <w:pPr>
        <w:pStyle w:val="Paragraphedeliste3"/>
        <w:numPr>
          <w:ilvl w:val="0"/>
          <w:numId w:val="65"/>
        </w:numPr>
        <w:spacing w:after="180"/>
        <w:ind w:left="714" w:hanging="357"/>
        <w:jc w:val="both"/>
        <w:rPr>
          <w:rFonts w:ascii="Verdana" w:eastAsia="Times New Roman" w:hAnsi="Verdana"/>
          <w:lang w:eastAsia="fr-FR"/>
        </w:rPr>
      </w:pPr>
      <w:r>
        <w:rPr>
          <w:rFonts w:ascii="Verdana" w:eastAsia="Times New Roman" w:hAnsi="Verdana" w:cs="Arial"/>
          <w:lang w:eastAsia="fr-FR"/>
        </w:rPr>
        <w:t xml:space="preserve">The administrative and financial management &amp; reporting of projects could be considered disproportionate considering the funding level. </w:t>
      </w:r>
    </w:p>
    <w:p w:rsidR="00282D17" w:rsidRDefault="00282D17" w:rsidP="00282D17">
      <w:pPr>
        <w:spacing w:after="180" w:line="276" w:lineRule="auto"/>
        <w:jc w:val="both"/>
        <w:rPr>
          <w:rFonts w:ascii="Verdana" w:hAnsi="Verdana" w:cs="Arial"/>
          <w:sz w:val="22"/>
          <w:szCs w:val="22"/>
        </w:rPr>
      </w:pPr>
      <w:r>
        <w:rPr>
          <w:rFonts w:ascii="Verdana" w:hAnsi="Verdana" w:cs="Arial"/>
          <w:sz w:val="22"/>
          <w:szCs w:val="22"/>
        </w:rPr>
        <w:t>In addition, the beneficiaries have identified, through questionnaires and surveys, a need for simplification linked to:</w:t>
      </w:r>
    </w:p>
    <w:p w:rsidR="00282D17" w:rsidRDefault="00282D17" w:rsidP="008166DD">
      <w:pPr>
        <w:pStyle w:val="Paragraphedeliste3"/>
        <w:numPr>
          <w:ilvl w:val="0"/>
          <w:numId w:val="66"/>
        </w:numPr>
        <w:spacing w:after="180"/>
        <w:ind w:left="714" w:hanging="357"/>
        <w:jc w:val="both"/>
        <w:rPr>
          <w:rFonts w:ascii="Verdana" w:eastAsia="Times New Roman" w:hAnsi="Verdana" w:cs="Arial"/>
          <w:lang w:eastAsia="fr-FR"/>
        </w:rPr>
      </w:pPr>
      <w:r>
        <w:rPr>
          <w:rFonts w:ascii="Verdana" w:eastAsia="Times New Roman" w:hAnsi="Verdana" w:cs="Arial"/>
          <w:lang w:eastAsia="fr-FR"/>
        </w:rPr>
        <w:t>Project phasing, reporting and payments</w:t>
      </w:r>
    </w:p>
    <w:p w:rsidR="00282D17" w:rsidRDefault="00282D17" w:rsidP="008166DD">
      <w:pPr>
        <w:pStyle w:val="Paragraphedeliste3"/>
        <w:numPr>
          <w:ilvl w:val="0"/>
          <w:numId w:val="66"/>
        </w:numPr>
        <w:spacing w:after="180"/>
        <w:ind w:left="714" w:hanging="357"/>
        <w:jc w:val="both"/>
        <w:rPr>
          <w:rFonts w:ascii="Verdana" w:eastAsia="Times New Roman" w:hAnsi="Verdana" w:cs="Arial"/>
          <w:lang w:eastAsia="fr-FR"/>
        </w:rPr>
      </w:pPr>
      <w:r>
        <w:rPr>
          <w:rFonts w:ascii="Verdana" w:eastAsia="Times New Roman" w:hAnsi="Verdana" w:cs="Arial"/>
          <w:lang w:eastAsia="fr-FR"/>
        </w:rPr>
        <w:t>Project budget simplifications (fewer budget categories, clearer definition of eligible/ineligible costs)</w:t>
      </w:r>
    </w:p>
    <w:p w:rsidR="00282D17" w:rsidRDefault="00282D17" w:rsidP="008166DD">
      <w:pPr>
        <w:pStyle w:val="Paragraphedeliste3"/>
        <w:numPr>
          <w:ilvl w:val="0"/>
          <w:numId w:val="66"/>
        </w:numPr>
        <w:spacing w:after="180"/>
        <w:ind w:left="714" w:hanging="357"/>
        <w:jc w:val="both"/>
        <w:rPr>
          <w:rFonts w:ascii="Verdana" w:eastAsia="Times New Roman" w:hAnsi="Verdana" w:cs="Arial"/>
          <w:lang w:eastAsia="fr-FR"/>
        </w:rPr>
      </w:pPr>
      <w:r>
        <w:rPr>
          <w:rFonts w:ascii="Verdana" w:eastAsia="Times New Roman" w:hAnsi="Verdana" w:cs="Arial"/>
          <w:lang w:eastAsia="fr-FR"/>
        </w:rPr>
        <w:t>Project documentation (contracts, audit trails, First Level Control)</w:t>
      </w:r>
    </w:p>
    <w:p w:rsidR="00282D17" w:rsidRDefault="00282D17" w:rsidP="008166DD">
      <w:pPr>
        <w:pStyle w:val="Paragraphedeliste3"/>
        <w:numPr>
          <w:ilvl w:val="0"/>
          <w:numId w:val="66"/>
        </w:numPr>
        <w:spacing w:after="180"/>
        <w:ind w:left="714" w:hanging="357"/>
        <w:jc w:val="both"/>
        <w:rPr>
          <w:rFonts w:ascii="Verdana" w:eastAsia="Times New Roman" w:hAnsi="Verdana" w:cs="Arial"/>
          <w:lang w:eastAsia="fr-FR"/>
        </w:rPr>
      </w:pPr>
      <w:r>
        <w:rPr>
          <w:rFonts w:ascii="Verdana" w:eastAsia="Times New Roman" w:hAnsi="Verdana" w:cs="Arial"/>
          <w:lang w:eastAsia="fr-FR"/>
        </w:rPr>
        <w:t>Contracting and reporting of expertise</w:t>
      </w:r>
    </w:p>
    <w:p w:rsidR="00282D17" w:rsidRDefault="00282D17" w:rsidP="00282D17">
      <w:pPr>
        <w:pStyle w:val="Nagwek2"/>
        <w:spacing w:after="180" w:line="276" w:lineRule="auto"/>
      </w:pPr>
      <w:r>
        <w:t>7.1.2.</w:t>
      </w:r>
      <w:r>
        <w:tab/>
        <w:t xml:space="preserve">Main actions planned to reduce the administrative burden </w:t>
      </w:r>
    </w:p>
    <w:p w:rsidR="00282D17" w:rsidRDefault="00282D17" w:rsidP="00282D17">
      <w:pPr>
        <w:spacing w:after="180" w:line="276" w:lineRule="auto"/>
        <w:jc w:val="both"/>
        <w:rPr>
          <w:rFonts w:ascii="Verdana" w:hAnsi="Verdana"/>
          <w:sz w:val="22"/>
          <w:szCs w:val="22"/>
        </w:rPr>
      </w:pPr>
      <w:r>
        <w:rPr>
          <w:rFonts w:ascii="Verdana" w:hAnsi="Verdana"/>
          <w:sz w:val="22"/>
          <w:szCs w:val="22"/>
        </w:rPr>
        <w:t>During the 2007-2013 period several steps were taken to reduce or remove some of the complexities related to administrative and financial management and reporting at both project and programme level.  URBACT III will build on these experiences and take further steps to reduce the administrative burden for beneficiaries.</w:t>
      </w:r>
    </w:p>
    <w:p w:rsidR="00282D17" w:rsidRDefault="00282D17" w:rsidP="00282D17">
      <w:pPr>
        <w:spacing w:after="180" w:line="276" w:lineRule="auto"/>
        <w:jc w:val="both"/>
        <w:rPr>
          <w:rFonts w:ascii="Verdana" w:hAnsi="Verdana"/>
          <w:b/>
          <w:sz w:val="22"/>
          <w:szCs w:val="22"/>
          <w:u w:val="single"/>
        </w:rPr>
      </w:pPr>
    </w:p>
    <w:p w:rsidR="00282D17" w:rsidRDefault="00282D17" w:rsidP="00282D17">
      <w:pPr>
        <w:spacing w:after="180" w:line="276" w:lineRule="auto"/>
        <w:jc w:val="both"/>
        <w:rPr>
          <w:rFonts w:ascii="Verdana" w:hAnsi="Verdana"/>
          <w:b/>
          <w:sz w:val="22"/>
          <w:szCs w:val="22"/>
          <w:u w:val="single"/>
        </w:rPr>
      </w:pPr>
      <w:r>
        <w:rPr>
          <w:rFonts w:ascii="Verdana" w:hAnsi="Verdana"/>
          <w:b/>
          <w:sz w:val="22"/>
          <w:szCs w:val="22"/>
          <w:u w:val="single"/>
        </w:rPr>
        <w:t>Programme Management</w:t>
      </w:r>
    </w:p>
    <w:p w:rsidR="00282D17" w:rsidRDefault="00282D17" w:rsidP="00282D17">
      <w:pPr>
        <w:spacing w:after="180" w:line="276" w:lineRule="auto"/>
        <w:jc w:val="both"/>
        <w:rPr>
          <w:rFonts w:ascii="Verdana" w:hAnsi="Verdana"/>
          <w:sz w:val="22"/>
          <w:szCs w:val="22"/>
        </w:rPr>
      </w:pPr>
      <w:r>
        <w:rPr>
          <w:rFonts w:ascii="Verdana" w:hAnsi="Verdana"/>
          <w:sz w:val="22"/>
          <w:szCs w:val="22"/>
        </w:rPr>
        <w:t>The new programme structure developed around one thematic objective will significantly simplify the programme management.  As a large proportion of the programme budget is dedicated to capacity building, capitalization and communication activities it will be possible to significantly streamline the management of these activities.  Examples include:</w:t>
      </w:r>
    </w:p>
    <w:p w:rsidR="00282D17" w:rsidRDefault="00282D17" w:rsidP="008166DD">
      <w:pPr>
        <w:pStyle w:val="Paragraphedeliste3"/>
        <w:numPr>
          <w:ilvl w:val="0"/>
          <w:numId w:val="67"/>
        </w:numPr>
        <w:spacing w:after="180"/>
        <w:jc w:val="both"/>
        <w:rPr>
          <w:rFonts w:ascii="Verdana" w:eastAsia="Times New Roman" w:hAnsi="Verdana"/>
          <w:lang w:eastAsia="fr-FR"/>
        </w:rPr>
      </w:pPr>
      <w:r>
        <w:rPr>
          <w:rFonts w:ascii="Verdana" w:eastAsia="Times New Roman" w:hAnsi="Verdana"/>
          <w:lang w:eastAsia="fr-FR"/>
        </w:rPr>
        <w:t xml:space="preserve">Eliminating the need to split cross cutting projects arbitrarily between priority axes </w:t>
      </w:r>
    </w:p>
    <w:p w:rsidR="00282D17" w:rsidRDefault="00282D17" w:rsidP="008166DD">
      <w:pPr>
        <w:pStyle w:val="Paragraphedeliste3"/>
        <w:numPr>
          <w:ilvl w:val="0"/>
          <w:numId w:val="67"/>
        </w:numPr>
        <w:spacing w:after="180"/>
        <w:jc w:val="both"/>
        <w:rPr>
          <w:rFonts w:ascii="Verdana" w:eastAsia="Times New Roman" w:hAnsi="Verdana"/>
          <w:lang w:eastAsia="fr-FR"/>
        </w:rPr>
      </w:pPr>
      <w:r>
        <w:rPr>
          <w:rFonts w:ascii="Verdana" w:eastAsia="Times New Roman" w:hAnsi="Verdana"/>
          <w:lang w:eastAsia="fr-FR"/>
        </w:rPr>
        <w:t xml:space="preserve">Reducing the number of projects led by the MA </w:t>
      </w:r>
    </w:p>
    <w:p w:rsidR="00282D17" w:rsidRDefault="00282D17" w:rsidP="008166DD">
      <w:pPr>
        <w:pStyle w:val="Paragraphedeliste3"/>
        <w:numPr>
          <w:ilvl w:val="0"/>
          <w:numId w:val="67"/>
        </w:numPr>
        <w:spacing w:after="180"/>
        <w:jc w:val="both"/>
        <w:rPr>
          <w:rFonts w:ascii="Verdana" w:eastAsia="Times New Roman" w:hAnsi="Verdana"/>
          <w:lang w:eastAsia="fr-FR"/>
        </w:rPr>
      </w:pPr>
      <w:r>
        <w:rPr>
          <w:rFonts w:ascii="Verdana" w:eastAsia="Times New Roman" w:hAnsi="Verdana"/>
          <w:lang w:eastAsia="fr-FR"/>
        </w:rPr>
        <w:t>MC members will be asked to provide more delegated powers to the MA/JTS for minor reprogramming changes which have no consequences on the eligibility or the basic features and results of the projects</w:t>
      </w:r>
    </w:p>
    <w:p w:rsidR="00282D17" w:rsidRDefault="00282D17" w:rsidP="008166DD">
      <w:pPr>
        <w:pStyle w:val="Paragraphedeliste3"/>
        <w:numPr>
          <w:ilvl w:val="0"/>
          <w:numId w:val="67"/>
        </w:numPr>
        <w:spacing w:after="180"/>
        <w:jc w:val="both"/>
        <w:rPr>
          <w:rFonts w:ascii="Verdana" w:eastAsia="Times New Roman" w:hAnsi="Verdana"/>
          <w:lang w:eastAsia="fr-FR"/>
        </w:rPr>
      </w:pPr>
      <w:r>
        <w:rPr>
          <w:rFonts w:ascii="Verdana" w:eastAsia="Times New Roman" w:hAnsi="Verdana"/>
          <w:lang w:eastAsia="fr-FR"/>
        </w:rPr>
        <w:t>One TA project will be created for the whole period allowing for less reprogramming and ensuring a complete coverage of TA over the whole programme period</w:t>
      </w:r>
    </w:p>
    <w:p w:rsidR="00282D17" w:rsidRDefault="00282D17" w:rsidP="00282D17">
      <w:pPr>
        <w:spacing w:after="180" w:line="276" w:lineRule="auto"/>
        <w:jc w:val="both"/>
        <w:rPr>
          <w:rFonts w:ascii="Verdana" w:hAnsi="Verdana"/>
          <w:sz w:val="22"/>
          <w:szCs w:val="22"/>
        </w:rPr>
      </w:pPr>
      <w:r>
        <w:rPr>
          <w:rFonts w:ascii="Verdana" w:hAnsi="Verdana"/>
          <w:sz w:val="22"/>
          <w:szCs w:val="22"/>
        </w:rPr>
        <w:t xml:space="preserve">These simplification measures apply at programme level but have a direct impact on the end beneficiaries of the programme.  </w:t>
      </w:r>
    </w:p>
    <w:p w:rsidR="00282D17" w:rsidRDefault="00282D17" w:rsidP="00282D17">
      <w:pPr>
        <w:spacing w:after="180" w:line="276" w:lineRule="auto"/>
        <w:jc w:val="both"/>
        <w:rPr>
          <w:rFonts w:ascii="Verdana" w:hAnsi="Verdana"/>
          <w:b/>
          <w:sz w:val="22"/>
          <w:szCs w:val="22"/>
          <w:u w:val="single"/>
        </w:rPr>
      </w:pPr>
    </w:p>
    <w:p w:rsidR="00282D17" w:rsidRDefault="00282D17" w:rsidP="00282D17">
      <w:pPr>
        <w:spacing w:after="180" w:line="276" w:lineRule="auto"/>
        <w:jc w:val="both"/>
        <w:rPr>
          <w:rFonts w:ascii="Verdana" w:hAnsi="Verdana"/>
          <w:b/>
          <w:sz w:val="22"/>
          <w:szCs w:val="22"/>
          <w:u w:val="single"/>
        </w:rPr>
      </w:pPr>
      <w:r>
        <w:rPr>
          <w:rFonts w:ascii="Verdana" w:hAnsi="Verdana"/>
          <w:b/>
          <w:sz w:val="22"/>
          <w:szCs w:val="22"/>
          <w:u w:val="single"/>
        </w:rPr>
        <w:t>Project Management</w:t>
      </w:r>
    </w:p>
    <w:p w:rsidR="00282D17" w:rsidRDefault="00282D17" w:rsidP="00282D17">
      <w:pPr>
        <w:spacing w:after="180" w:line="276" w:lineRule="auto"/>
        <w:jc w:val="both"/>
        <w:rPr>
          <w:rFonts w:ascii="Verdana" w:hAnsi="Verdana"/>
          <w:sz w:val="22"/>
          <w:szCs w:val="22"/>
        </w:rPr>
      </w:pPr>
      <w:r>
        <w:rPr>
          <w:rFonts w:ascii="Verdana" w:hAnsi="Verdana"/>
          <w:sz w:val="22"/>
          <w:szCs w:val="22"/>
        </w:rPr>
        <w:t>Several aspects to project management have been explored with beneficiaries to seek proposals for simplification:</w:t>
      </w:r>
    </w:p>
    <w:p w:rsidR="00282D17" w:rsidRPr="00D0632D" w:rsidRDefault="00282D17" w:rsidP="00282D17">
      <w:pPr>
        <w:pStyle w:val="Paragraphedeliste3"/>
        <w:spacing w:after="180"/>
        <w:ind w:left="0"/>
        <w:jc w:val="both"/>
        <w:rPr>
          <w:rFonts w:ascii="Verdana" w:hAnsi="Verdana"/>
          <w:color w:val="000000" w:themeColor="text1"/>
        </w:rPr>
      </w:pPr>
      <w:r w:rsidRPr="00D0632D">
        <w:rPr>
          <w:rFonts w:ascii="Verdana" w:eastAsia="Times New Roman" w:hAnsi="Verdana"/>
          <w:color w:val="000000" w:themeColor="text1"/>
          <w:lang w:eastAsia="fr-FR"/>
        </w:rPr>
        <w:t>a)  Flat rates</w:t>
      </w:r>
    </w:p>
    <w:p w:rsidR="00282D17" w:rsidRPr="00D0632D" w:rsidRDefault="00282D17" w:rsidP="00282D17">
      <w:pPr>
        <w:pStyle w:val="Paragraphedeliste3"/>
        <w:spacing w:after="180"/>
        <w:ind w:left="0"/>
        <w:jc w:val="both"/>
        <w:rPr>
          <w:rFonts w:ascii="Verdana" w:hAnsi="Verdana"/>
          <w:color w:val="000000" w:themeColor="text1"/>
        </w:rPr>
      </w:pPr>
      <w:r w:rsidRPr="00D0632D">
        <w:rPr>
          <w:rFonts w:ascii="Verdana" w:hAnsi="Verdana"/>
          <w:color w:val="000000" w:themeColor="text1"/>
        </w:rPr>
        <w:t>The use of flat rates for staff cost as outlined in the Regulation 1303/2013 Article 68 (a) is not appropriate for the URBACT III programme.  Experience shows that exchange projects have on average 40% of their total cost as staff time.  Therefore flat rates for staff costs will not apply to the URBACT programme.</w:t>
      </w:r>
    </w:p>
    <w:p w:rsidR="00282D17" w:rsidRPr="00D0632D" w:rsidRDefault="00282D17" w:rsidP="00282D17">
      <w:pPr>
        <w:pStyle w:val="Paragraphedeliste3"/>
        <w:spacing w:after="180"/>
        <w:ind w:left="0"/>
        <w:jc w:val="both"/>
        <w:rPr>
          <w:rFonts w:ascii="Verdana" w:hAnsi="Verdana"/>
          <w:color w:val="000000" w:themeColor="text1"/>
        </w:rPr>
      </w:pPr>
    </w:p>
    <w:p w:rsidR="00282D17" w:rsidRPr="00D0632D" w:rsidRDefault="00282D17" w:rsidP="00282D17">
      <w:pPr>
        <w:pStyle w:val="Paragraphedeliste3"/>
        <w:spacing w:after="180"/>
        <w:ind w:left="0"/>
        <w:jc w:val="both"/>
        <w:rPr>
          <w:rFonts w:ascii="Verdana" w:hAnsi="Verdana"/>
          <w:color w:val="000000" w:themeColor="text1"/>
        </w:rPr>
      </w:pPr>
      <w:r w:rsidRPr="00D0632D">
        <w:rPr>
          <w:rFonts w:ascii="Verdana" w:hAnsi="Verdana"/>
          <w:color w:val="000000" w:themeColor="text1"/>
        </w:rPr>
        <w:t>Article 68 (b) EU Regulation 1303/2013 allow for a flat rate to be used for other indirect costs.  This possibility to apply a flat rate of up to 15 % of eligible direct staff costs without there being a requirement for the Member State to perform a calculation to determine the applicable rate will remain open for beneficiaries in the URBACT programme.</w:t>
      </w:r>
    </w:p>
    <w:p w:rsidR="00282D17" w:rsidRPr="00D0632D" w:rsidRDefault="00282D17" w:rsidP="00282D17">
      <w:pPr>
        <w:rPr>
          <w:rFonts w:ascii="Verdana" w:eastAsia="Calibri" w:hAnsi="Verdana"/>
          <w:color w:val="000000" w:themeColor="text1"/>
          <w:sz w:val="22"/>
          <w:szCs w:val="22"/>
          <w:lang w:eastAsia="en-US"/>
        </w:rPr>
      </w:pPr>
    </w:p>
    <w:p w:rsidR="00282D17" w:rsidRPr="00D0632D" w:rsidRDefault="00282D17" w:rsidP="00282D17">
      <w:pPr>
        <w:pStyle w:val="Paragraphedeliste3"/>
        <w:spacing w:after="180"/>
        <w:ind w:left="0"/>
        <w:jc w:val="both"/>
        <w:rPr>
          <w:rFonts w:ascii="Verdana" w:eastAsia="Times New Roman" w:hAnsi="Verdana"/>
          <w:color w:val="000000" w:themeColor="text1"/>
          <w:lang w:eastAsia="fr-FR"/>
        </w:rPr>
      </w:pPr>
      <w:r w:rsidRPr="00D0632D">
        <w:rPr>
          <w:rFonts w:ascii="Verdana" w:eastAsia="Times New Roman" w:hAnsi="Verdana"/>
          <w:color w:val="000000" w:themeColor="text1"/>
          <w:lang w:eastAsia="fr-FR"/>
        </w:rPr>
        <w:t>b) Cost Categories and Simplified Cost Options</w:t>
      </w:r>
    </w:p>
    <w:p w:rsidR="00282D17" w:rsidRPr="00D0632D" w:rsidRDefault="00282D17" w:rsidP="00282D17">
      <w:pPr>
        <w:spacing w:after="180" w:line="276" w:lineRule="auto"/>
        <w:jc w:val="both"/>
        <w:rPr>
          <w:rFonts w:ascii="Verdana" w:hAnsi="Verdana"/>
          <w:color w:val="000000" w:themeColor="text1"/>
          <w:sz w:val="22"/>
          <w:szCs w:val="22"/>
        </w:rPr>
      </w:pPr>
      <w:r w:rsidRPr="00D0632D">
        <w:rPr>
          <w:rFonts w:ascii="Verdana" w:hAnsi="Verdana"/>
          <w:color w:val="000000" w:themeColor="text1"/>
          <w:sz w:val="22"/>
          <w:szCs w:val="22"/>
        </w:rPr>
        <w:t>Further steps toward simplification will be taken, as far as finances are concerned, the use of simplified cost options for the reporting of costs under other budget lines will be proposed making use of the possibilities offered by the 2014-2020 regulations. The EC Delegated Regulation (EU) No 481/2014 outlining cost categories and eligibility will apply.</w:t>
      </w:r>
    </w:p>
    <w:p w:rsidR="00282D17" w:rsidRDefault="00282D17" w:rsidP="00282D17">
      <w:pPr>
        <w:spacing w:after="180" w:line="276" w:lineRule="auto"/>
        <w:jc w:val="both"/>
        <w:rPr>
          <w:rFonts w:ascii="Verdana" w:hAnsi="Verdana"/>
          <w:sz w:val="22"/>
          <w:szCs w:val="22"/>
        </w:rPr>
      </w:pPr>
      <w:r>
        <w:rPr>
          <w:rFonts w:ascii="Verdana" w:hAnsi="Verdana"/>
          <w:sz w:val="22"/>
          <w:szCs w:val="22"/>
        </w:rPr>
        <w:t xml:space="preserve">Additional guidance will be provided on project phasing and project management around work packages which will clarify tasks and simplify project management for beneficiaries. The JS will provide ongoing support and guidance to project beneficiaries to ensure that there is a clear understanding about how to avoid administrative burden using the procedures set up at programme level.  </w:t>
      </w:r>
    </w:p>
    <w:p w:rsidR="00282D17" w:rsidRDefault="00282D17" w:rsidP="00282D17">
      <w:pPr>
        <w:spacing w:after="180" w:line="276" w:lineRule="auto"/>
        <w:jc w:val="both"/>
        <w:rPr>
          <w:rFonts w:ascii="Verdana" w:hAnsi="Verdana"/>
          <w:b/>
          <w:sz w:val="22"/>
          <w:szCs w:val="22"/>
          <w:u w:val="single"/>
        </w:rPr>
      </w:pPr>
      <w:r>
        <w:rPr>
          <w:rFonts w:ascii="Verdana" w:hAnsi="Verdana"/>
          <w:b/>
          <w:sz w:val="22"/>
          <w:szCs w:val="22"/>
          <w:u w:val="single"/>
        </w:rPr>
        <w:t>Harmonisation</w:t>
      </w:r>
    </w:p>
    <w:p w:rsidR="00282D17" w:rsidRDefault="00282D17" w:rsidP="00282D17">
      <w:pPr>
        <w:spacing w:after="180" w:line="276" w:lineRule="auto"/>
        <w:jc w:val="both"/>
        <w:rPr>
          <w:rFonts w:ascii="Verdana" w:hAnsi="Verdana"/>
          <w:sz w:val="22"/>
          <w:szCs w:val="22"/>
        </w:rPr>
      </w:pPr>
      <w:r>
        <w:rPr>
          <w:rFonts w:ascii="Verdana" w:hAnsi="Verdana"/>
          <w:sz w:val="22"/>
          <w:szCs w:val="22"/>
        </w:rPr>
        <w:t xml:space="preserve">In additional the harmonisation work carried out jointly by various ETC programmes in preparation of the 2014-2020 programme period will be used. This initiative aims at streamlining programme implementation and procedures through a range of common templates and forms. URBACT III will build on this work when setting up the implementation tools for the period 2014 – 2020. </w:t>
      </w:r>
    </w:p>
    <w:p w:rsidR="00282D17" w:rsidRDefault="00282D17" w:rsidP="00282D17">
      <w:pPr>
        <w:spacing w:after="180" w:line="276" w:lineRule="auto"/>
        <w:jc w:val="both"/>
        <w:rPr>
          <w:rFonts w:ascii="Verdana" w:hAnsi="Verdana"/>
          <w:sz w:val="22"/>
          <w:szCs w:val="22"/>
        </w:rPr>
      </w:pPr>
      <w:r>
        <w:rPr>
          <w:rFonts w:ascii="Verdana" w:hAnsi="Verdana"/>
          <w:sz w:val="22"/>
          <w:szCs w:val="22"/>
        </w:rPr>
        <w:t>The work carried out focused on cost categorization, common templates for reporting and managing projects as well as harmonized documents for first level control. It is proposed that common templates for such documents be used in order to simplify procedures for potential beneficiaries.</w:t>
      </w:r>
    </w:p>
    <w:p w:rsidR="00282D17" w:rsidRDefault="00282D17" w:rsidP="00282D17">
      <w:pPr>
        <w:spacing w:after="180" w:line="276" w:lineRule="auto"/>
        <w:jc w:val="both"/>
        <w:rPr>
          <w:rFonts w:ascii="Verdana" w:hAnsi="Verdana"/>
          <w:b/>
          <w:sz w:val="22"/>
          <w:szCs w:val="22"/>
          <w:u w:val="single"/>
        </w:rPr>
      </w:pPr>
      <w:r>
        <w:rPr>
          <w:rFonts w:ascii="Verdana" w:hAnsi="Verdana"/>
          <w:b/>
          <w:sz w:val="22"/>
          <w:szCs w:val="22"/>
          <w:u w:val="single"/>
        </w:rPr>
        <w:t>SYNERGIE CTE</w:t>
      </w:r>
    </w:p>
    <w:p w:rsidR="00282D17" w:rsidRDefault="00282D17" w:rsidP="00282D17">
      <w:pPr>
        <w:spacing w:after="180" w:line="276" w:lineRule="auto"/>
        <w:jc w:val="both"/>
        <w:rPr>
          <w:rFonts w:ascii="Verdana" w:hAnsi="Verdana"/>
          <w:sz w:val="22"/>
          <w:szCs w:val="22"/>
        </w:rPr>
      </w:pPr>
      <w:r>
        <w:rPr>
          <w:rFonts w:ascii="Verdana" w:hAnsi="Verdana"/>
          <w:sz w:val="22"/>
          <w:szCs w:val="22"/>
        </w:rPr>
        <w:t>The URBACT II programme uses the Presage CTE system for programme and project management.  The system will continue in the period 2014-2020 and will be known as SYNERGIE CTE, it will include several new or modified functionalities to allow for simplification for programme beneficiaries.  These modifications include:</w:t>
      </w:r>
    </w:p>
    <w:p w:rsidR="00282D17" w:rsidRDefault="00282D17" w:rsidP="008166DD">
      <w:pPr>
        <w:pStyle w:val="Paragraphedeliste3"/>
        <w:numPr>
          <w:ilvl w:val="0"/>
          <w:numId w:val="68"/>
        </w:numPr>
        <w:spacing w:after="180"/>
        <w:jc w:val="both"/>
        <w:rPr>
          <w:rFonts w:ascii="Verdana" w:eastAsia="Times New Roman" w:hAnsi="Verdana"/>
          <w:lang w:eastAsia="fr-FR"/>
        </w:rPr>
      </w:pPr>
      <w:r>
        <w:rPr>
          <w:rFonts w:ascii="Verdana" w:eastAsia="Times New Roman" w:hAnsi="Verdana"/>
          <w:lang w:eastAsia="fr-FR"/>
        </w:rPr>
        <w:t>Better ergonomics to make the system clearer, easier to use and more suitable to present and follow up on project information</w:t>
      </w:r>
    </w:p>
    <w:p w:rsidR="00282D17" w:rsidRDefault="00282D17" w:rsidP="008166DD">
      <w:pPr>
        <w:pStyle w:val="Paragraphedeliste3"/>
        <w:numPr>
          <w:ilvl w:val="0"/>
          <w:numId w:val="68"/>
        </w:numPr>
        <w:spacing w:after="180"/>
        <w:jc w:val="both"/>
        <w:rPr>
          <w:rFonts w:ascii="Verdana" w:eastAsia="Times New Roman" w:hAnsi="Verdana"/>
          <w:lang w:eastAsia="fr-FR"/>
        </w:rPr>
      </w:pPr>
      <w:r>
        <w:rPr>
          <w:rFonts w:ascii="Verdana" w:eastAsia="Times New Roman" w:hAnsi="Verdana"/>
          <w:lang w:eastAsia="fr-FR"/>
        </w:rPr>
        <w:t>Better controls built into the system to avoid incoherencies in projects submitted and hence reduce the rate of ineligible projects</w:t>
      </w:r>
    </w:p>
    <w:p w:rsidR="00282D17" w:rsidRDefault="00282D17" w:rsidP="00282D17">
      <w:pPr>
        <w:pStyle w:val="Nagwek2"/>
        <w:spacing w:after="180" w:line="276" w:lineRule="auto"/>
      </w:pPr>
      <w:r>
        <w:t>7.1.3.</w:t>
      </w:r>
      <w:r>
        <w:tab/>
        <w:t>E-Cohesion</w:t>
      </w:r>
    </w:p>
    <w:p w:rsidR="00282D17" w:rsidRDefault="00282D17" w:rsidP="00282D17">
      <w:pPr>
        <w:spacing w:after="180" w:line="276" w:lineRule="auto"/>
        <w:jc w:val="both"/>
        <w:rPr>
          <w:rFonts w:ascii="Verdana" w:hAnsi="Verdana"/>
          <w:sz w:val="22"/>
          <w:szCs w:val="22"/>
        </w:rPr>
      </w:pPr>
      <w:r>
        <w:rPr>
          <w:rFonts w:ascii="Verdana" w:hAnsi="Verdana" w:cs="Arial"/>
          <w:sz w:val="22"/>
          <w:szCs w:val="22"/>
        </w:rPr>
        <w:t xml:space="preserve">The Common Provision Regulation (Article 122(3)) states that, at the latest by the end of 2015, programmes should ensure that all data exchanges between beneficiaries and programme authorities can be carried out electronically. More precisely the e-Cohesion initiative for the structural funds sets the following requirements for electronic data exchange in the 2014-2020 period: </w:t>
      </w:r>
    </w:p>
    <w:p w:rsidR="00282D17" w:rsidRDefault="00282D17" w:rsidP="008166DD">
      <w:pPr>
        <w:pStyle w:val="Paragraphedeliste3"/>
        <w:numPr>
          <w:ilvl w:val="0"/>
          <w:numId w:val="69"/>
        </w:numPr>
        <w:spacing w:after="180"/>
        <w:ind w:left="714" w:hanging="357"/>
        <w:jc w:val="both"/>
        <w:rPr>
          <w:rFonts w:ascii="Verdana" w:eastAsia="Times New Roman" w:hAnsi="Verdana"/>
          <w:lang w:eastAsia="fr-FR"/>
        </w:rPr>
      </w:pPr>
      <w:r>
        <w:rPr>
          <w:rFonts w:ascii="Verdana" w:eastAsia="Times New Roman" w:hAnsi="Verdana" w:cs="Arial"/>
          <w:lang w:eastAsia="fr-FR"/>
        </w:rPr>
        <w:t>Beneficiaries do not have to enter the same data more than once in the system.</w:t>
      </w:r>
    </w:p>
    <w:p w:rsidR="00282D17" w:rsidRDefault="00282D17" w:rsidP="008166DD">
      <w:pPr>
        <w:pStyle w:val="Paragraphedeliste3"/>
        <w:numPr>
          <w:ilvl w:val="0"/>
          <w:numId w:val="69"/>
        </w:numPr>
        <w:spacing w:after="180"/>
        <w:ind w:left="714" w:hanging="357"/>
        <w:jc w:val="both"/>
        <w:rPr>
          <w:rFonts w:ascii="Verdana" w:eastAsia="Times New Roman" w:hAnsi="Verdana"/>
          <w:lang w:eastAsia="fr-FR"/>
        </w:rPr>
      </w:pPr>
      <w:r>
        <w:rPr>
          <w:rFonts w:ascii="Verdana" w:eastAsia="Times New Roman" w:hAnsi="Verdana" w:cs="Arial"/>
          <w:lang w:eastAsia="fr-FR"/>
        </w:rPr>
        <w:t>Interoperability is guaranteed, which means that data entered by beneficiaries is shared between different bodies within the same operational programme.</w:t>
      </w:r>
    </w:p>
    <w:p w:rsidR="00282D17" w:rsidRDefault="00282D17" w:rsidP="008166DD">
      <w:pPr>
        <w:pStyle w:val="Paragraphedeliste3"/>
        <w:numPr>
          <w:ilvl w:val="0"/>
          <w:numId w:val="69"/>
        </w:numPr>
        <w:spacing w:after="180"/>
        <w:ind w:left="714" w:hanging="357"/>
        <w:jc w:val="both"/>
        <w:rPr>
          <w:rFonts w:ascii="Verdana" w:eastAsia="Times New Roman" w:hAnsi="Verdana"/>
          <w:lang w:eastAsia="fr-FR"/>
        </w:rPr>
      </w:pPr>
      <w:r>
        <w:rPr>
          <w:rFonts w:ascii="Verdana" w:eastAsia="Times New Roman" w:hAnsi="Verdana" w:cs="Arial"/>
          <w:lang w:eastAsia="fr-FR"/>
        </w:rPr>
        <w:t>The electronic audit trail complies with relevant articles of the Common Provision Regulation (Articles 122 and 140) as well as with any national requirements on the availability of documents.</w:t>
      </w:r>
    </w:p>
    <w:p w:rsidR="00282D17" w:rsidRDefault="00282D17" w:rsidP="008166DD">
      <w:pPr>
        <w:pStyle w:val="Paragraphedeliste3"/>
        <w:numPr>
          <w:ilvl w:val="0"/>
          <w:numId w:val="69"/>
        </w:numPr>
        <w:spacing w:after="180"/>
        <w:ind w:left="714" w:hanging="357"/>
        <w:jc w:val="both"/>
        <w:rPr>
          <w:rFonts w:ascii="Verdana" w:eastAsia="Times New Roman" w:hAnsi="Verdana"/>
          <w:lang w:eastAsia="fr-FR"/>
        </w:rPr>
      </w:pPr>
      <w:r>
        <w:rPr>
          <w:rFonts w:ascii="Verdana" w:eastAsia="Times New Roman" w:hAnsi="Verdana" w:cs="Arial"/>
          <w:lang w:eastAsia="fr-FR"/>
        </w:rPr>
        <w:t>The system for electronic data exchange guarantees data integrity and confidentiality, authentication of the sender and storage in compliance with defined retention rules (Article 140 of the CPR).</w:t>
      </w:r>
    </w:p>
    <w:p w:rsidR="00282D17" w:rsidRDefault="00282D17" w:rsidP="00282D17">
      <w:pPr>
        <w:spacing w:after="180" w:line="276" w:lineRule="auto"/>
        <w:jc w:val="both"/>
        <w:rPr>
          <w:rFonts w:ascii="Verdana" w:hAnsi="Verdana" w:cs="Arial"/>
          <w:sz w:val="22"/>
          <w:szCs w:val="22"/>
        </w:rPr>
      </w:pPr>
      <w:r>
        <w:rPr>
          <w:rFonts w:ascii="Verdana" w:hAnsi="Verdana" w:cs="Arial"/>
          <w:sz w:val="22"/>
          <w:szCs w:val="22"/>
        </w:rPr>
        <w:t>The URBACT III programme shall refer to the Implementing Act currently under development from the EC to ensure that the programme can respect the minimum requirements of the e-cohesion policy.  Provisions for electronic signatures, interoperability between data exchange systems, electronic audit, pre-filled forms, automatic controls and calculations as some examples can assist in reducing the administrative burden for beneficiaries.</w:t>
      </w:r>
    </w:p>
    <w:p w:rsidR="00282D17" w:rsidRDefault="00282D17" w:rsidP="00282D17">
      <w:pPr>
        <w:spacing w:after="180" w:line="276" w:lineRule="auto"/>
        <w:jc w:val="both"/>
        <w:rPr>
          <w:rFonts w:ascii="Verdana" w:hAnsi="Verdana"/>
          <w:sz w:val="22"/>
          <w:szCs w:val="22"/>
        </w:rPr>
      </w:pPr>
      <w:r>
        <w:rPr>
          <w:rFonts w:ascii="Verdana" w:hAnsi="Verdana" w:cs="Arial"/>
          <w:sz w:val="22"/>
          <w:szCs w:val="22"/>
        </w:rPr>
        <w:t>The Presage CTE system operated under URBACT III is being developed to comply with these norms. The URBACT III programme will operate fully in line with these principles from the start of the programme period ensuring that the system is operational by the end of 2014.</w:t>
      </w:r>
    </w:p>
    <w:bookmarkEnd w:id="56"/>
    <w:bookmarkEnd w:id="57"/>
    <w:p w:rsidR="000346A5" w:rsidRPr="004F5F2B" w:rsidRDefault="000346A5">
      <w:pPr>
        <w:spacing w:after="200" w:line="276" w:lineRule="auto"/>
        <w:rPr>
          <w:rFonts w:ascii="Arial" w:hAnsi="Arial" w:cs="Arial"/>
          <w:color w:val="1F497D"/>
        </w:rPr>
      </w:pPr>
      <w:r w:rsidRPr="004F5F2B">
        <w:rPr>
          <w:rFonts w:ascii="Arial" w:hAnsi="Arial" w:cs="Arial"/>
          <w:color w:val="1F497D"/>
        </w:rPr>
        <w:br w:type="page"/>
      </w:r>
    </w:p>
    <w:p w:rsidR="00AC759C" w:rsidRPr="004F5F2B" w:rsidRDefault="00AC759C" w:rsidP="000346A5">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p>
    <w:p w:rsidR="000346A5" w:rsidRPr="004F5F2B" w:rsidRDefault="000346A5" w:rsidP="000346A5">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r w:rsidRPr="004F5F2B">
        <w:rPr>
          <w:rFonts w:ascii="Verdana" w:hAnsi="Verdana"/>
          <w:b/>
          <w:bCs/>
        </w:rPr>
        <w:t>SECTION EIGHT</w:t>
      </w:r>
    </w:p>
    <w:p w:rsidR="000346A5" w:rsidRPr="004F5F2B" w:rsidRDefault="000346A5" w:rsidP="000346A5">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p>
    <w:p w:rsidR="000346A5" w:rsidRPr="004F5F2B" w:rsidRDefault="000346A5" w:rsidP="000346A5">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sz w:val="36"/>
          <w:szCs w:val="36"/>
        </w:rPr>
      </w:pPr>
      <w:r w:rsidRPr="004F5F2B">
        <w:rPr>
          <w:rFonts w:ascii="Verdana" w:hAnsi="Verdana"/>
          <w:b/>
          <w:sz w:val="36"/>
          <w:szCs w:val="36"/>
        </w:rPr>
        <w:t>Horizontal Principles</w:t>
      </w:r>
    </w:p>
    <w:p w:rsidR="000346A5" w:rsidRPr="004F5F2B" w:rsidRDefault="000346A5" w:rsidP="000346A5">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0346A5" w:rsidRPr="004F5F2B" w:rsidRDefault="000346A5" w:rsidP="000346A5">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0346A5" w:rsidRPr="004F5F2B" w:rsidRDefault="000346A5" w:rsidP="008166DD">
      <w:pPr>
        <w:pStyle w:val="Paragraphedeliste3"/>
        <w:numPr>
          <w:ilvl w:val="1"/>
          <w:numId w:val="9"/>
        </w:num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sz w:val="24"/>
          <w:szCs w:val="24"/>
        </w:rPr>
      </w:pPr>
      <w:r w:rsidRPr="004F5F2B">
        <w:rPr>
          <w:rFonts w:ascii="Verdana" w:hAnsi="Verdana"/>
          <w:b/>
          <w:bCs/>
          <w:sz w:val="24"/>
          <w:szCs w:val="24"/>
        </w:rPr>
        <w:t>Sustainable Development</w:t>
      </w:r>
    </w:p>
    <w:p w:rsidR="000346A5" w:rsidRPr="004F5F2B" w:rsidRDefault="000346A5" w:rsidP="000346A5">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0346A5" w:rsidRPr="004F5F2B" w:rsidRDefault="000346A5" w:rsidP="008166DD">
      <w:pPr>
        <w:pStyle w:val="Paragraphedeliste3"/>
        <w:numPr>
          <w:ilvl w:val="1"/>
          <w:numId w:val="9"/>
        </w:num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sz w:val="24"/>
          <w:szCs w:val="24"/>
        </w:rPr>
      </w:pPr>
      <w:r w:rsidRPr="004F5F2B">
        <w:rPr>
          <w:rFonts w:ascii="Verdana" w:hAnsi="Verdana"/>
          <w:b/>
          <w:bCs/>
          <w:sz w:val="24"/>
          <w:szCs w:val="24"/>
        </w:rPr>
        <w:t>Equal Opportunities and non-discrimination</w:t>
      </w:r>
    </w:p>
    <w:p w:rsidR="000346A5" w:rsidRPr="004F5F2B" w:rsidRDefault="000346A5" w:rsidP="000346A5">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0346A5" w:rsidRPr="004F5F2B" w:rsidRDefault="000346A5" w:rsidP="008166DD">
      <w:pPr>
        <w:numPr>
          <w:ilvl w:val="1"/>
          <w:numId w:val="9"/>
        </w:num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r w:rsidRPr="004F5F2B">
        <w:rPr>
          <w:rFonts w:ascii="Verdana" w:hAnsi="Verdana"/>
          <w:b/>
          <w:bCs/>
        </w:rPr>
        <w:t>Equality between men and women</w:t>
      </w:r>
    </w:p>
    <w:p w:rsidR="000346A5" w:rsidRPr="004F5F2B" w:rsidRDefault="000346A5" w:rsidP="000346A5">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eastAsia="Calibri" w:hAnsi="Verdana"/>
          <w:b/>
          <w:bCs/>
          <w:sz w:val="22"/>
          <w:szCs w:val="22"/>
          <w:lang w:eastAsia="en-US"/>
        </w:rPr>
      </w:pPr>
    </w:p>
    <w:p w:rsidR="000346A5" w:rsidRPr="004F5F2B" w:rsidRDefault="000346A5" w:rsidP="000346A5">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0346A5" w:rsidRPr="004F5F2B" w:rsidRDefault="000346A5">
      <w:pPr>
        <w:spacing w:after="200" w:line="276" w:lineRule="auto"/>
        <w:rPr>
          <w:rFonts w:ascii="Arial" w:hAnsi="Arial" w:cs="Arial"/>
          <w:color w:val="1F497D"/>
        </w:rPr>
      </w:pPr>
    </w:p>
    <w:p w:rsidR="00DB7DC7" w:rsidRPr="004F5F2B" w:rsidRDefault="00DB7DC7">
      <w:pPr>
        <w:spacing w:after="200" w:line="276" w:lineRule="auto"/>
        <w:rPr>
          <w:rFonts w:ascii="Arial" w:hAnsi="Arial" w:cs="Arial"/>
          <w:color w:val="1F497D"/>
        </w:rPr>
      </w:pPr>
      <w:r w:rsidRPr="004F5F2B">
        <w:rPr>
          <w:rFonts w:ascii="Arial" w:hAnsi="Arial" w:cs="Arial"/>
          <w:color w:val="1F497D"/>
        </w:rPr>
        <w:br w:type="page"/>
      </w:r>
    </w:p>
    <w:p w:rsidR="00026F8F" w:rsidRPr="004F5F2B" w:rsidRDefault="00026F8F" w:rsidP="00A40420">
      <w:pPr>
        <w:pStyle w:val="StyleHeading1Hanging085cm"/>
      </w:pPr>
      <w:bookmarkStart w:id="58" w:name="_Toc401325822"/>
      <w:r w:rsidRPr="004F5F2B">
        <w:t>Section 8 Horizontal Principles</w:t>
      </w:r>
      <w:bookmarkEnd w:id="58"/>
    </w:p>
    <w:p w:rsidR="00026F8F" w:rsidRPr="004F5F2B" w:rsidRDefault="00026F8F" w:rsidP="00026F8F">
      <w:pPr>
        <w:rPr>
          <w:rFonts w:ascii="Verdana" w:hAnsi="Verdana"/>
          <w:b/>
        </w:rPr>
      </w:pPr>
    </w:p>
    <w:p w:rsidR="00026F8F" w:rsidRPr="004F5F2B" w:rsidRDefault="00026F8F" w:rsidP="00026F8F">
      <w:pPr>
        <w:rPr>
          <w:rFonts w:ascii="Verdana" w:hAnsi="Verdana"/>
          <w:b/>
        </w:rPr>
      </w:pPr>
    </w:p>
    <w:p w:rsidR="00026F8F" w:rsidRPr="004F5F2B" w:rsidRDefault="007B5752" w:rsidP="00026F8F">
      <w:pPr>
        <w:pStyle w:val="Nagwek2"/>
      </w:pPr>
      <w:bookmarkStart w:id="59" w:name="_Toc401325823"/>
      <w:r>
        <w:t>8.1.</w:t>
      </w:r>
      <w:r>
        <w:tab/>
      </w:r>
      <w:r w:rsidR="00026F8F" w:rsidRPr="004F5F2B">
        <w:t>Sustainable Development</w:t>
      </w:r>
      <w:bookmarkEnd w:id="59"/>
    </w:p>
    <w:p w:rsidR="00C6350B" w:rsidRPr="003F3792" w:rsidRDefault="00C6350B" w:rsidP="00E234E8">
      <w:pPr>
        <w:spacing w:line="276" w:lineRule="auto"/>
        <w:rPr>
          <w:rFonts w:ascii="Verdana" w:hAnsi="Verdana"/>
          <w:sz w:val="22"/>
          <w:szCs w:val="22"/>
        </w:rPr>
      </w:pPr>
      <w:r>
        <w:rPr>
          <w:rFonts w:ascii="Verdana" w:hAnsi="Verdana"/>
          <w:sz w:val="22"/>
          <w:szCs w:val="22"/>
        </w:rPr>
        <w:t>Although relevant at programme level and an issue to be considered by URBACT beneficiaries when developing and implementing their projects, this section is n</w:t>
      </w:r>
      <w:r w:rsidRPr="003F3792">
        <w:rPr>
          <w:rFonts w:ascii="Verdana" w:hAnsi="Verdana"/>
          <w:sz w:val="22"/>
          <w:szCs w:val="22"/>
        </w:rPr>
        <w:t>ot applicable to URBACT</w:t>
      </w:r>
      <w:r>
        <w:rPr>
          <w:rFonts w:ascii="Verdana" w:hAnsi="Verdana"/>
          <w:sz w:val="22"/>
          <w:szCs w:val="22"/>
        </w:rPr>
        <w:t xml:space="preserve"> according to the EC template for ETC Operational Programmes.</w:t>
      </w:r>
    </w:p>
    <w:p w:rsidR="00026F8F" w:rsidRPr="004F5F2B" w:rsidRDefault="00026F8F" w:rsidP="00E234E8">
      <w:pPr>
        <w:spacing w:line="276" w:lineRule="auto"/>
        <w:rPr>
          <w:rFonts w:ascii="Verdana" w:hAnsi="Verdana"/>
          <w:b/>
        </w:rPr>
      </w:pPr>
    </w:p>
    <w:p w:rsidR="00026F8F" w:rsidRPr="004F5F2B" w:rsidRDefault="00026F8F" w:rsidP="00E234E8">
      <w:pPr>
        <w:spacing w:line="276" w:lineRule="auto"/>
        <w:rPr>
          <w:rFonts w:ascii="Verdana" w:hAnsi="Verdana"/>
          <w:b/>
        </w:rPr>
      </w:pPr>
    </w:p>
    <w:p w:rsidR="00026F8F" w:rsidRPr="004F5F2B" w:rsidRDefault="007B5752" w:rsidP="00026F8F">
      <w:pPr>
        <w:pStyle w:val="Nagwek2"/>
      </w:pPr>
      <w:bookmarkStart w:id="60" w:name="_Toc401325824"/>
      <w:r>
        <w:t>8.2.</w:t>
      </w:r>
      <w:r>
        <w:tab/>
      </w:r>
      <w:r w:rsidR="00026F8F" w:rsidRPr="004F5F2B">
        <w:t>Equal opportunities and non-discrimination</w:t>
      </w:r>
      <w:bookmarkEnd w:id="60"/>
    </w:p>
    <w:p w:rsidR="00C6350B" w:rsidRPr="003F3792" w:rsidRDefault="00C6350B" w:rsidP="00E234E8">
      <w:pPr>
        <w:spacing w:line="276" w:lineRule="auto"/>
        <w:rPr>
          <w:rFonts w:ascii="Verdana" w:hAnsi="Verdana"/>
          <w:sz w:val="22"/>
          <w:szCs w:val="22"/>
        </w:rPr>
      </w:pPr>
      <w:r>
        <w:rPr>
          <w:rFonts w:ascii="Verdana" w:hAnsi="Verdana"/>
          <w:sz w:val="22"/>
          <w:szCs w:val="22"/>
        </w:rPr>
        <w:t>Although relevant at programme level and an issue to be considered by URBACT beneficiaries when developing and implementing their projects, this section is n</w:t>
      </w:r>
      <w:r w:rsidRPr="003F3792">
        <w:rPr>
          <w:rFonts w:ascii="Verdana" w:hAnsi="Verdana"/>
          <w:sz w:val="22"/>
          <w:szCs w:val="22"/>
        </w:rPr>
        <w:t>ot applicable to URBACT</w:t>
      </w:r>
      <w:r>
        <w:rPr>
          <w:rFonts w:ascii="Verdana" w:hAnsi="Verdana"/>
          <w:sz w:val="22"/>
          <w:szCs w:val="22"/>
        </w:rPr>
        <w:t xml:space="preserve"> according to the EC template for ETC Operational Programmes.</w:t>
      </w:r>
    </w:p>
    <w:p w:rsidR="00026F8F" w:rsidRPr="004F5F2B" w:rsidRDefault="00026F8F" w:rsidP="00026F8F">
      <w:pPr>
        <w:rPr>
          <w:rFonts w:ascii="Verdana" w:hAnsi="Verdana"/>
          <w:b/>
        </w:rPr>
      </w:pPr>
    </w:p>
    <w:p w:rsidR="00026F8F" w:rsidRPr="004F5F2B" w:rsidRDefault="00026F8F" w:rsidP="00026F8F">
      <w:pPr>
        <w:rPr>
          <w:rFonts w:ascii="Verdana" w:hAnsi="Verdana"/>
          <w:b/>
        </w:rPr>
      </w:pPr>
    </w:p>
    <w:p w:rsidR="00026F8F" w:rsidRPr="004F5F2B" w:rsidRDefault="007B5752" w:rsidP="004C4BB9">
      <w:pPr>
        <w:pStyle w:val="Nagwek2"/>
        <w:spacing w:after="180" w:line="276" w:lineRule="auto"/>
      </w:pPr>
      <w:bookmarkStart w:id="61" w:name="_Toc401325825"/>
      <w:r>
        <w:t>8.3.</w:t>
      </w:r>
      <w:r>
        <w:tab/>
      </w:r>
      <w:r w:rsidR="00026F8F" w:rsidRPr="004F5F2B">
        <w:t>Equality between men and women</w:t>
      </w:r>
      <w:bookmarkEnd w:id="61"/>
    </w:p>
    <w:p w:rsidR="00026F8F" w:rsidRPr="00C82E8B" w:rsidRDefault="00026F8F" w:rsidP="004C4BB9">
      <w:pPr>
        <w:spacing w:after="180" w:line="276" w:lineRule="auto"/>
        <w:jc w:val="both"/>
        <w:rPr>
          <w:rFonts w:ascii="Verdana" w:hAnsi="Verdana"/>
          <w:sz w:val="22"/>
          <w:szCs w:val="22"/>
        </w:rPr>
      </w:pPr>
      <w:r w:rsidRPr="00C82E8B">
        <w:rPr>
          <w:rFonts w:ascii="Verdana" w:hAnsi="Verdana"/>
          <w:sz w:val="22"/>
          <w:szCs w:val="22"/>
        </w:rPr>
        <w:t>The objective of promoting equality between women and men is a fundamental value of the EU, as enshrined in Article 3 of the Treaty on European Union (TEU) and Article 8 of the Treaty on the Function of the European Union (TFEU) obliging the EU to mainstream gender equality in all of its activities. EU policy on gender equality is currently articulated in the Commission’s Strategy for Equality between Women and Men 2010-2015 and the Council’s European Pact for Gender Equality (2011-2020), closely linked with Europe 2020: the European Union's Strategy for Jobs and Smart, Sustainable and Inclusive Growth.</w:t>
      </w:r>
    </w:p>
    <w:p w:rsidR="00026F8F" w:rsidRPr="00C82E8B" w:rsidRDefault="00026F8F" w:rsidP="004C4BB9">
      <w:pPr>
        <w:spacing w:after="180" w:line="276" w:lineRule="auto"/>
        <w:jc w:val="both"/>
        <w:rPr>
          <w:rFonts w:ascii="Verdana" w:hAnsi="Verdana"/>
          <w:sz w:val="22"/>
          <w:szCs w:val="22"/>
        </w:rPr>
      </w:pPr>
      <w:r w:rsidRPr="00C82E8B">
        <w:rPr>
          <w:rFonts w:ascii="Verdana" w:hAnsi="Verdana"/>
          <w:sz w:val="22"/>
          <w:szCs w:val="22"/>
        </w:rPr>
        <w:t xml:space="preserve">URBACT III will promote gender equality principles in the Programme, ensuring that the gender equality perspective and awareness will be present in the planning, implementation and evaluation phases. </w:t>
      </w:r>
    </w:p>
    <w:p w:rsidR="00026F8F" w:rsidRPr="00C82E8B" w:rsidRDefault="00026F8F" w:rsidP="004C4BB9">
      <w:pPr>
        <w:spacing w:after="180" w:line="276" w:lineRule="auto"/>
        <w:jc w:val="both"/>
        <w:rPr>
          <w:rFonts w:ascii="Verdana" w:hAnsi="Verdana"/>
          <w:sz w:val="22"/>
          <w:szCs w:val="22"/>
        </w:rPr>
      </w:pPr>
      <w:r w:rsidRPr="00C82E8B">
        <w:rPr>
          <w:rFonts w:ascii="Verdana" w:hAnsi="Verdana"/>
          <w:sz w:val="22"/>
          <w:szCs w:val="22"/>
        </w:rPr>
        <w:t>There will be no specific funding allocated for specific gender focused actions; however, several initiatives will be taken by the Programme to ensure both men and women benefit from URBACT III activities, including:</w:t>
      </w:r>
    </w:p>
    <w:p w:rsidR="00026F8F" w:rsidRPr="00C82E8B" w:rsidRDefault="00026F8F" w:rsidP="008166DD">
      <w:pPr>
        <w:pStyle w:val="Paragraphedeliste3"/>
        <w:numPr>
          <w:ilvl w:val="0"/>
          <w:numId w:val="55"/>
        </w:numPr>
        <w:spacing w:after="180"/>
        <w:ind w:left="714" w:hanging="357"/>
        <w:contextualSpacing w:val="0"/>
        <w:jc w:val="both"/>
        <w:rPr>
          <w:rFonts w:ascii="Verdana" w:hAnsi="Verdana"/>
        </w:rPr>
      </w:pPr>
      <w:r w:rsidRPr="00C82E8B">
        <w:rPr>
          <w:rFonts w:ascii="Verdana" w:hAnsi="Verdana"/>
        </w:rPr>
        <w:t>Ensuring that the gender ratio of direct beneficiaries and also speakers taking part in the Programme-level transnational events, such as, for example, transnational capacity building training seminars, conferences, thematic events and seminars, would not exceed 60/40;</w:t>
      </w:r>
    </w:p>
    <w:p w:rsidR="00026F8F" w:rsidRPr="00C82E8B" w:rsidRDefault="00026F8F" w:rsidP="008166DD">
      <w:pPr>
        <w:pStyle w:val="Paragraphedeliste3"/>
        <w:numPr>
          <w:ilvl w:val="0"/>
          <w:numId w:val="55"/>
        </w:numPr>
        <w:spacing w:after="180"/>
        <w:ind w:left="714" w:hanging="357"/>
        <w:contextualSpacing w:val="0"/>
        <w:jc w:val="both"/>
        <w:rPr>
          <w:rFonts w:ascii="Verdana" w:hAnsi="Verdana"/>
        </w:rPr>
      </w:pPr>
      <w:r w:rsidRPr="00C82E8B">
        <w:rPr>
          <w:rFonts w:ascii="Verdana" w:hAnsi="Verdana"/>
        </w:rPr>
        <w:t>Guaranteeing  that there would be a balanced ratio of qualified men and women recruited for senior management and specialist positions in the Joint Technical Secretariat of the URBACT Programme;</w:t>
      </w:r>
    </w:p>
    <w:p w:rsidR="00026F8F" w:rsidRPr="00C82E8B" w:rsidRDefault="00026F8F" w:rsidP="008166DD">
      <w:pPr>
        <w:pStyle w:val="Paragraphedeliste3"/>
        <w:numPr>
          <w:ilvl w:val="0"/>
          <w:numId w:val="55"/>
        </w:numPr>
        <w:spacing w:after="180"/>
        <w:ind w:left="714" w:hanging="357"/>
        <w:contextualSpacing w:val="0"/>
        <w:jc w:val="both"/>
        <w:rPr>
          <w:rFonts w:ascii="Verdana" w:hAnsi="Verdana"/>
        </w:rPr>
      </w:pPr>
      <w:r w:rsidRPr="00C82E8B">
        <w:rPr>
          <w:rFonts w:ascii="Verdana" w:hAnsi="Verdana"/>
        </w:rPr>
        <w:t>Inviting applicants for “Action-Planning”, “Implementation” and “Transfer” networks to explain in their application forms and progress reports on how their network activities comply with and strengthen the gender equality principle;</w:t>
      </w:r>
    </w:p>
    <w:p w:rsidR="00026F8F" w:rsidRPr="00C82E8B" w:rsidRDefault="00026F8F" w:rsidP="008166DD">
      <w:pPr>
        <w:pStyle w:val="Paragraphedeliste3"/>
        <w:numPr>
          <w:ilvl w:val="0"/>
          <w:numId w:val="55"/>
        </w:numPr>
        <w:spacing w:after="180"/>
        <w:ind w:left="714" w:hanging="357"/>
        <w:contextualSpacing w:val="0"/>
        <w:jc w:val="both"/>
        <w:rPr>
          <w:rFonts w:ascii="Verdana" w:hAnsi="Verdana"/>
        </w:rPr>
      </w:pPr>
      <w:r w:rsidRPr="00C82E8B">
        <w:rPr>
          <w:rFonts w:ascii="Verdana" w:hAnsi="Verdana"/>
        </w:rPr>
        <w:t>Monitoring how gender balance is maintained in transnational exchange projects, and, if the loss of equilibrium is identified</w:t>
      </w:r>
      <w:r w:rsidR="001D79FC" w:rsidRPr="001D79FC">
        <w:rPr>
          <w:rFonts w:ascii="Verdana" w:hAnsi="Verdana"/>
        </w:rPr>
        <w:t xml:space="preserve"> </w:t>
      </w:r>
      <w:r w:rsidR="001D79FC">
        <w:rPr>
          <w:rFonts w:ascii="Verdana" w:hAnsi="Verdana"/>
        </w:rPr>
        <w:t>(for example after the Mid-Term Review of the programme)</w:t>
      </w:r>
      <w:r w:rsidRPr="00C82E8B">
        <w:rPr>
          <w:rFonts w:ascii="Verdana" w:hAnsi="Verdana"/>
        </w:rPr>
        <w:t>, to develop and implement corrective actions (for example, by introducing a specific requirement in the application forms of the calls for transnational networks stating how the participation of underrepresented gender would be encouraged, monitored and maintained) to improve the situation;</w:t>
      </w:r>
    </w:p>
    <w:p w:rsidR="00026F8F" w:rsidRPr="00C82E8B" w:rsidRDefault="00026F8F" w:rsidP="008166DD">
      <w:pPr>
        <w:pStyle w:val="Paragraphedeliste3"/>
        <w:numPr>
          <w:ilvl w:val="0"/>
          <w:numId w:val="55"/>
        </w:numPr>
        <w:spacing w:after="180"/>
        <w:ind w:left="714" w:hanging="357"/>
        <w:contextualSpacing w:val="0"/>
        <w:jc w:val="both"/>
        <w:rPr>
          <w:rFonts w:ascii="Verdana" w:hAnsi="Verdana"/>
        </w:rPr>
      </w:pPr>
      <w:r w:rsidRPr="00C82E8B">
        <w:rPr>
          <w:rFonts w:ascii="Verdana" w:hAnsi="Verdana"/>
        </w:rPr>
        <w:t>Carrying out an evaluation as an integral part of the Mid-Term Review of the Programme on how URBACT III Programme activities directly and/or indirectly have contributed in promoting the gender equality.</w:t>
      </w:r>
    </w:p>
    <w:p w:rsidR="00026F8F" w:rsidRPr="00C82E8B" w:rsidRDefault="00026F8F" w:rsidP="004C4BB9">
      <w:pPr>
        <w:spacing w:after="180" w:line="276" w:lineRule="auto"/>
        <w:jc w:val="both"/>
        <w:rPr>
          <w:rFonts w:ascii="Verdana" w:hAnsi="Verdana"/>
          <w:sz w:val="22"/>
          <w:szCs w:val="22"/>
        </w:rPr>
      </w:pPr>
      <w:r w:rsidRPr="00C82E8B">
        <w:rPr>
          <w:rFonts w:ascii="Verdana" w:hAnsi="Verdana"/>
          <w:sz w:val="22"/>
          <w:szCs w:val="22"/>
        </w:rPr>
        <w:t>In addition, it is expected that the main actions of URBACT III Programme, such as capacity building activities, transnational exchange and capitalisation activities for designing and implementation of sustainable urban policies, will have the spill</w:t>
      </w:r>
      <w:r w:rsidR="00C82E8B">
        <w:rPr>
          <w:rFonts w:ascii="Verdana" w:hAnsi="Verdana"/>
          <w:sz w:val="22"/>
          <w:szCs w:val="22"/>
        </w:rPr>
        <w:t xml:space="preserve"> </w:t>
      </w:r>
      <w:r w:rsidRPr="00C82E8B">
        <w:rPr>
          <w:rFonts w:ascii="Verdana" w:hAnsi="Verdana"/>
          <w:sz w:val="22"/>
          <w:szCs w:val="22"/>
        </w:rPr>
        <w:t>over effects to positively influence equality between women and men in the European level (for example, the balanced gender ratio of direct beneficiaries taking part in the capacity building activities can create the following positive spill</w:t>
      </w:r>
      <w:r w:rsidR="00C82E8B">
        <w:rPr>
          <w:rFonts w:ascii="Verdana" w:hAnsi="Verdana"/>
          <w:sz w:val="22"/>
          <w:szCs w:val="22"/>
        </w:rPr>
        <w:t xml:space="preserve"> </w:t>
      </w:r>
      <w:r w:rsidRPr="00C82E8B">
        <w:rPr>
          <w:rFonts w:ascii="Verdana" w:hAnsi="Verdana"/>
          <w:sz w:val="22"/>
          <w:szCs w:val="22"/>
        </w:rPr>
        <w:t xml:space="preserve">over effect: elected representatives and urban practitioners of both genders having an equal access to right capacities and skills to become city leaders and key players). </w:t>
      </w:r>
    </w:p>
    <w:p w:rsidR="00466221" w:rsidRPr="00C82E8B" w:rsidRDefault="00466221" w:rsidP="004C4BB9">
      <w:pPr>
        <w:spacing w:after="180" w:line="276" w:lineRule="auto"/>
        <w:rPr>
          <w:rFonts w:ascii="Arial" w:hAnsi="Arial" w:cs="Arial"/>
          <w:color w:val="1F497D"/>
          <w:sz w:val="22"/>
          <w:szCs w:val="22"/>
        </w:rPr>
      </w:pPr>
    </w:p>
    <w:p w:rsidR="00E65CCD" w:rsidRPr="00C82E8B" w:rsidRDefault="00E65CCD" w:rsidP="004C4BB9">
      <w:pPr>
        <w:spacing w:after="180" w:line="276" w:lineRule="auto"/>
        <w:rPr>
          <w:rFonts w:ascii="Arial" w:hAnsi="Arial" w:cs="Arial"/>
          <w:color w:val="1F497D"/>
          <w:sz w:val="22"/>
          <w:szCs w:val="22"/>
        </w:rPr>
      </w:pPr>
    </w:p>
    <w:p w:rsidR="00C82E8B" w:rsidRDefault="00C82E8B">
      <w:pPr>
        <w:rPr>
          <w:rFonts w:ascii="Arial" w:hAnsi="Arial" w:cs="Arial"/>
          <w:color w:val="1F497D"/>
          <w:sz w:val="22"/>
          <w:szCs w:val="22"/>
        </w:rPr>
      </w:pPr>
      <w:r>
        <w:rPr>
          <w:rFonts w:ascii="Arial" w:hAnsi="Arial" w:cs="Arial"/>
          <w:color w:val="1F497D"/>
          <w:sz w:val="22"/>
          <w:szCs w:val="22"/>
        </w:rPr>
        <w:br w:type="page"/>
      </w:r>
    </w:p>
    <w:p w:rsidR="00E65CCD" w:rsidRDefault="00E65CCD" w:rsidP="00466221">
      <w:pPr>
        <w:spacing w:after="200" w:line="276" w:lineRule="auto"/>
        <w:rPr>
          <w:rFonts w:ascii="Arial" w:hAnsi="Arial" w:cs="Arial"/>
          <w:color w:val="1F497D"/>
          <w:sz w:val="22"/>
          <w:szCs w:val="22"/>
        </w:rPr>
      </w:pPr>
    </w:p>
    <w:p w:rsidR="00C82E8B" w:rsidRDefault="00C82E8B" w:rsidP="00466221">
      <w:pPr>
        <w:spacing w:after="200" w:line="276" w:lineRule="auto"/>
        <w:rPr>
          <w:rFonts w:ascii="Arial" w:hAnsi="Arial" w:cs="Arial"/>
          <w:color w:val="1F497D"/>
          <w:sz w:val="22"/>
          <w:szCs w:val="22"/>
        </w:rPr>
      </w:pPr>
    </w:p>
    <w:p w:rsidR="00C82E8B" w:rsidRDefault="00C82E8B" w:rsidP="00466221">
      <w:pPr>
        <w:spacing w:after="200" w:line="276" w:lineRule="auto"/>
        <w:rPr>
          <w:rFonts w:ascii="Arial" w:hAnsi="Arial" w:cs="Arial"/>
          <w:color w:val="1F497D"/>
          <w:sz w:val="22"/>
          <w:szCs w:val="22"/>
        </w:rPr>
      </w:pPr>
    </w:p>
    <w:p w:rsidR="00C82E8B" w:rsidRPr="004F5F2B" w:rsidRDefault="00C82E8B" w:rsidP="00C82E8B">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p>
    <w:p w:rsidR="00C82E8B" w:rsidRPr="004F5F2B" w:rsidRDefault="00C82E8B" w:rsidP="00C82E8B">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r w:rsidRPr="004F5F2B">
        <w:rPr>
          <w:rFonts w:ascii="Verdana" w:hAnsi="Verdana"/>
          <w:b/>
          <w:bCs/>
        </w:rPr>
        <w:t xml:space="preserve">SECTION </w:t>
      </w:r>
      <w:r>
        <w:rPr>
          <w:rFonts w:ascii="Verdana" w:hAnsi="Verdana"/>
          <w:b/>
          <w:bCs/>
        </w:rPr>
        <w:t>NINE</w:t>
      </w:r>
    </w:p>
    <w:p w:rsidR="00C82E8B" w:rsidRPr="004F5F2B" w:rsidRDefault="00C82E8B" w:rsidP="00C82E8B">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p>
    <w:p w:rsidR="00C82E8B" w:rsidRPr="004F5F2B" w:rsidRDefault="00C82E8B" w:rsidP="00C82E8B">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sz w:val="36"/>
          <w:szCs w:val="36"/>
        </w:rPr>
      </w:pPr>
      <w:r>
        <w:rPr>
          <w:rFonts w:ascii="Verdana" w:hAnsi="Verdana"/>
          <w:b/>
          <w:sz w:val="36"/>
          <w:szCs w:val="36"/>
        </w:rPr>
        <w:t>Separate Elements</w:t>
      </w:r>
    </w:p>
    <w:p w:rsidR="00C82E8B" w:rsidRPr="004F5F2B" w:rsidRDefault="00C82E8B" w:rsidP="00C82E8B">
      <w:pPr>
        <w:pBdr>
          <w:top w:val="single" w:sz="4" w:space="1" w:color="auto" w:shadow="1"/>
          <w:left w:val="single" w:sz="4" w:space="4" w:color="auto" w:shadow="1"/>
          <w:bottom w:val="single" w:sz="4" w:space="1" w:color="auto" w:shadow="1"/>
          <w:right w:val="single" w:sz="4" w:space="4" w:color="auto" w:shadow="1"/>
        </w:pBdr>
        <w:spacing w:before="60" w:after="120"/>
        <w:jc w:val="both"/>
        <w:rPr>
          <w:rFonts w:ascii="Verdana" w:hAnsi="Verdana"/>
          <w:b/>
          <w:bCs/>
        </w:rPr>
      </w:pPr>
    </w:p>
    <w:p w:rsidR="00C82E8B" w:rsidRPr="00C82E8B" w:rsidRDefault="00C82E8B" w:rsidP="00C82E8B">
      <w:pPr>
        <w:pBdr>
          <w:top w:val="single" w:sz="4" w:space="1" w:color="auto" w:shadow="1"/>
          <w:left w:val="single" w:sz="4" w:space="4" w:color="auto" w:shadow="1"/>
          <w:bottom w:val="single" w:sz="4" w:space="1" w:color="auto" w:shadow="1"/>
          <w:right w:val="single" w:sz="4" w:space="4" w:color="auto" w:shadow="1"/>
        </w:pBdr>
        <w:spacing w:before="60" w:after="120"/>
        <w:jc w:val="both"/>
        <w:rPr>
          <w:rFonts w:ascii="Verdana" w:hAnsi="Verdana"/>
          <w:b/>
          <w:bCs/>
        </w:rPr>
      </w:pPr>
    </w:p>
    <w:p w:rsidR="00C82E8B" w:rsidRPr="00C82E8B" w:rsidRDefault="00C82E8B" w:rsidP="008166DD">
      <w:pPr>
        <w:pStyle w:val="Paragraphedeliste3"/>
        <w:numPr>
          <w:ilvl w:val="1"/>
          <w:numId w:val="18"/>
        </w:numPr>
        <w:pBdr>
          <w:top w:val="single" w:sz="4" w:space="1" w:color="auto" w:shadow="1"/>
          <w:left w:val="single" w:sz="4" w:space="4" w:color="auto" w:shadow="1"/>
          <w:bottom w:val="single" w:sz="4" w:space="1" w:color="auto" w:shadow="1"/>
          <w:right w:val="single" w:sz="4" w:space="4" w:color="auto" w:shadow="1"/>
        </w:pBdr>
        <w:spacing w:before="60" w:after="120"/>
        <w:jc w:val="both"/>
        <w:rPr>
          <w:rFonts w:ascii="Verdana" w:hAnsi="Verdana"/>
          <w:b/>
          <w:bCs/>
          <w:sz w:val="24"/>
          <w:szCs w:val="24"/>
        </w:rPr>
      </w:pPr>
      <w:r>
        <w:rPr>
          <w:rFonts w:ascii="Verdana" w:hAnsi="Verdana"/>
          <w:b/>
          <w:sz w:val="24"/>
          <w:szCs w:val="24"/>
        </w:rPr>
        <w:t>Li</w:t>
      </w:r>
      <w:r w:rsidRPr="00C82E8B">
        <w:rPr>
          <w:rFonts w:ascii="Verdana" w:hAnsi="Verdana"/>
          <w:b/>
          <w:sz w:val="24"/>
          <w:szCs w:val="24"/>
        </w:rPr>
        <w:t>st of major projects for which the implementation is planned during the programming period</w:t>
      </w:r>
    </w:p>
    <w:p w:rsidR="00C82E8B" w:rsidRPr="004F5F2B" w:rsidRDefault="00C82E8B" w:rsidP="00C82E8B">
      <w:pPr>
        <w:pBdr>
          <w:top w:val="single" w:sz="4" w:space="1" w:color="auto" w:shadow="1"/>
          <w:left w:val="single" w:sz="4" w:space="4" w:color="auto" w:shadow="1"/>
          <w:bottom w:val="single" w:sz="4" w:space="1" w:color="auto" w:shadow="1"/>
          <w:right w:val="single" w:sz="4" w:space="4" w:color="auto" w:shadow="1"/>
        </w:pBdr>
        <w:spacing w:before="60" w:after="120"/>
        <w:jc w:val="both"/>
        <w:rPr>
          <w:rFonts w:ascii="Verdana" w:hAnsi="Verdana"/>
          <w:b/>
          <w:bCs/>
        </w:rPr>
      </w:pPr>
    </w:p>
    <w:p w:rsidR="00C82E8B" w:rsidRPr="004F5F2B" w:rsidRDefault="00C82E8B" w:rsidP="008166DD">
      <w:pPr>
        <w:pStyle w:val="Paragraphedeliste3"/>
        <w:numPr>
          <w:ilvl w:val="1"/>
          <w:numId w:val="18"/>
        </w:numPr>
        <w:pBdr>
          <w:top w:val="single" w:sz="4" w:space="1" w:color="auto" w:shadow="1"/>
          <w:left w:val="single" w:sz="4" w:space="4" w:color="auto" w:shadow="1"/>
          <w:bottom w:val="single" w:sz="4" w:space="1" w:color="auto" w:shadow="1"/>
          <w:right w:val="single" w:sz="4" w:space="4" w:color="auto" w:shadow="1"/>
        </w:pBdr>
        <w:spacing w:before="60" w:after="120"/>
        <w:jc w:val="both"/>
        <w:rPr>
          <w:rFonts w:ascii="Verdana" w:hAnsi="Verdana"/>
          <w:b/>
          <w:bCs/>
          <w:sz w:val="24"/>
          <w:szCs w:val="24"/>
        </w:rPr>
      </w:pPr>
      <w:r>
        <w:rPr>
          <w:rFonts w:ascii="Verdana" w:hAnsi="Verdana"/>
          <w:b/>
          <w:bCs/>
          <w:sz w:val="24"/>
          <w:szCs w:val="24"/>
        </w:rPr>
        <w:t>Performance Framework</w:t>
      </w:r>
    </w:p>
    <w:p w:rsidR="00C82E8B" w:rsidRPr="004F5F2B" w:rsidRDefault="00C82E8B" w:rsidP="00C82E8B">
      <w:pPr>
        <w:pBdr>
          <w:top w:val="single" w:sz="4" w:space="1" w:color="auto" w:shadow="1"/>
          <w:left w:val="single" w:sz="4" w:space="4" w:color="auto" w:shadow="1"/>
          <w:bottom w:val="single" w:sz="4" w:space="1" w:color="auto" w:shadow="1"/>
          <w:right w:val="single" w:sz="4" w:space="4" w:color="auto" w:shadow="1"/>
        </w:pBdr>
        <w:spacing w:before="60" w:after="120"/>
        <w:jc w:val="both"/>
        <w:rPr>
          <w:rFonts w:ascii="Verdana" w:hAnsi="Verdana"/>
          <w:b/>
          <w:bCs/>
        </w:rPr>
      </w:pPr>
    </w:p>
    <w:p w:rsidR="00C82E8B" w:rsidRDefault="00C82E8B" w:rsidP="008166DD">
      <w:pPr>
        <w:numPr>
          <w:ilvl w:val="1"/>
          <w:numId w:val="18"/>
        </w:numPr>
        <w:pBdr>
          <w:top w:val="single" w:sz="4" w:space="1" w:color="auto" w:shadow="1"/>
          <w:left w:val="single" w:sz="4" w:space="4" w:color="auto" w:shadow="1"/>
          <w:bottom w:val="single" w:sz="4" w:space="1" w:color="auto" w:shadow="1"/>
          <w:right w:val="single" w:sz="4" w:space="4" w:color="auto" w:shadow="1"/>
        </w:pBdr>
        <w:spacing w:before="60" w:after="120"/>
        <w:jc w:val="both"/>
        <w:rPr>
          <w:rFonts w:ascii="Verdana" w:hAnsi="Verdana"/>
          <w:b/>
          <w:bCs/>
        </w:rPr>
      </w:pPr>
      <w:r w:rsidRPr="004F5F2B">
        <w:rPr>
          <w:rFonts w:ascii="Verdana" w:hAnsi="Verdana"/>
          <w:b/>
          <w:bCs/>
        </w:rPr>
        <w:t>List of relevant partners involved in the preparation of the cooperation programme</w:t>
      </w:r>
    </w:p>
    <w:p w:rsidR="00C82E8B" w:rsidRDefault="00C82E8B" w:rsidP="00C82E8B">
      <w:pPr>
        <w:pBdr>
          <w:top w:val="single" w:sz="4" w:space="1" w:color="auto" w:shadow="1"/>
          <w:left w:val="single" w:sz="4" w:space="4" w:color="auto" w:shadow="1"/>
          <w:bottom w:val="single" w:sz="4" w:space="1" w:color="auto" w:shadow="1"/>
          <w:right w:val="single" w:sz="4" w:space="4" w:color="auto" w:shadow="1"/>
        </w:pBdr>
        <w:spacing w:before="60" w:after="120"/>
        <w:jc w:val="both"/>
        <w:rPr>
          <w:rFonts w:ascii="Verdana" w:hAnsi="Verdana"/>
          <w:b/>
          <w:bCs/>
        </w:rPr>
      </w:pPr>
    </w:p>
    <w:p w:rsidR="00C82E8B" w:rsidRPr="00C82E8B" w:rsidRDefault="00C82E8B" w:rsidP="008166DD">
      <w:pPr>
        <w:pStyle w:val="Paragraphedeliste3"/>
        <w:numPr>
          <w:ilvl w:val="1"/>
          <w:numId w:val="18"/>
        </w:numPr>
        <w:pBdr>
          <w:top w:val="single" w:sz="4" w:space="1" w:color="auto" w:shadow="1"/>
          <w:left w:val="single" w:sz="4" w:space="4" w:color="auto" w:shadow="1"/>
          <w:bottom w:val="single" w:sz="4" w:space="1" w:color="auto" w:shadow="1"/>
          <w:right w:val="single" w:sz="4" w:space="4" w:color="auto" w:shadow="1"/>
        </w:pBdr>
        <w:spacing w:before="60" w:after="120"/>
        <w:jc w:val="both"/>
        <w:rPr>
          <w:rFonts w:ascii="Verdana" w:hAnsi="Verdana"/>
          <w:b/>
          <w:bCs/>
          <w:sz w:val="24"/>
          <w:szCs w:val="24"/>
        </w:rPr>
      </w:pPr>
      <w:r w:rsidRPr="00C82E8B">
        <w:rPr>
          <w:rFonts w:ascii="Verdana" w:hAnsi="Verdana"/>
          <w:b/>
          <w:sz w:val="24"/>
          <w:szCs w:val="24"/>
        </w:rPr>
        <w:t>Applicable programme implementation conditions governing for the participation of third countries through a contribution of ENI and IPA resources</w:t>
      </w:r>
    </w:p>
    <w:p w:rsidR="00C82E8B" w:rsidRPr="004F5F2B" w:rsidRDefault="00C82E8B" w:rsidP="00C82E8B">
      <w:pPr>
        <w:pBdr>
          <w:top w:val="single" w:sz="4" w:space="1" w:color="auto" w:shadow="1"/>
          <w:left w:val="single" w:sz="4" w:space="4" w:color="auto" w:shadow="1"/>
          <w:bottom w:val="single" w:sz="4" w:space="1" w:color="auto" w:shadow="1"/>
          <w:right w:val="single" w:sz="4" w:space="4" w:color="auto" w:shadow="1"/>
        </w:pBdr>
        <w:spacing w:before="60" w:after="120"/>
        <w:jc w:val="both"/>
        <w:rPr>
          <w:rFonts w:ascii="Verdana" w:hAnsi="Verdana"/>
          <w:b/>
          <w:bCs/>
        </w:rPr>
      </w:pPr>
    </w:p>
    <w:p w:rsidR="00C82E8B" w:rsidRPr="004F5F2B" w:rsidRDefault="00C82E8B" w:rsidP="00C82E8B">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eastAsia="Calibri" w:hAnsi="Verdana"/>
          <w:b/>
          <w:bCs/>
          <w:sz w:val="22"/>
          <w:szCs w:val="22"/>
          <w:lang w:eastAsia="en-US"/>
        </w:rPr>
      </w:pPr>
    </w:p>
    <w:p w:rsidR="00C82E8B" w:rsidRPr="004F5F2B" w:rsidRDefault="00C82E8B" w:rsidP="00C82E8B">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C82E8B" w:rsidRPr="004F5F2B" w:rsidRDefault="00C82E8B" w:rsidP="00C82E8B">
      <w:pPr>
        <w:spacing w:after="200" w:line="276" w:lineRule="auto"/>
        <w:rPr>
          <w:rFonts w:ascii="Arial" w:hAnsi="Arial" w:cs="Arial"/>
          <w:color w:val="1F497D"/>
        </w:rPr>
      </w:pPr>
    </w:p>
    <w:p w:rsidR="00C82E8B" w:rsidRPr="00C82E8B" w:rsidRDefault="00C82E8B" w:rsidP="00466221">
      <w:pPr>
        <w:spacing w:after="200" w:line="276" w:lineRule="auto"/>
        <w:rPr>
          <w:rFonts w:ascii="Arial" w:hAnsi="Arial" w:cs="Arial"/>
          <w:color w:val="1F497D"/>
          <w:sz w:val="22"/>
          <w:szCs w:val="22"/>
        </w:rPr>
      </w:pPr>
    </w:p>
    <w:p w:rsidR="00E65CCD" w:rsidRPr="00C82E8B" w:rsidRDefault="00E65CCD" w:rsidP="00466221">
      <w:pPr>
        <w:spacing w:after="200" w:line="276" w:lineRule="auto"/>
        <w:rPr>
          <w:rFonts w:ascii="Arial" w:hAnsi="Arial" w:cs="Arial"/>
          <w:color w:val="1F497D"/>
          <w:sz w:val="22"/>
          <w:szCs w:val="22"/>
        </w:rPr>
      </w:pPr>
    </w:p>
    <w:p w:rsidR="00E65CCD" w:rsidRPr="00C82E8B" w:rsidRDefault="00E65CCD" w:rsidP="00466221">
      <w:pPr>
        <w:spacing w:after="200" w:line="276" w:lineRule="auto"/>
        <w:rPr>
          <w:rFonts w:ascii="Arial" w:hAnsi="Arial" w:cs="Arial"/>
          <w:color w:val="1F497D"/>
          <w:sz w:val="22"/>
          <w:szCs w:val="22"/>
        </w:rPr>
      </w:pPr>
    </w:p>
    <w:p w:rsidR="00E65CCD" w:rsidRPr="00C82E8B" w:rsidRDefault="00E65CCD" w:rsidP="00466221">
      <w:pPr>
        <w:spacing w:after="200" w:line="276" w:lineRule="auto"/>
        <w:rPr>
          <w:rFonts w:ascii="Arial" w:hAnsi="Arial" w:cs="Arial"/>
          <w:color w:val="1F497D"/>
          <w:sz w:val="22"/>
          <w:szCs w:val="22"/>
        </w:rPr>
      </w:pPr>
    </w:p>
    <w:p w:rsidR="00E65CCD" w:rsidRPr="00C82E8B" w:rsidRDefault="00E65CCD" w:rsidP="00466221">
      <w:pPr>
        <w:spacing w:after="200" w:line="276" w:lineRule="auto"/>
        <w:rPr>
          <w:rFonts w:ascii="Arial" w:hAnsi="Arial" w:cs="Arial"/>
          <w:color w:val="1F497D"/>
          <w:sz w:val="22"/>
          <w:szCs w:val="22"/>
        </w:rPr>
      </w:pPr>
    </w:p>
    <w:p w:rsidR="00E65CCD" w:rsidRPr="00C82E8B" w:rsidRDefault="00E65CCD" w:rsidP="00466221">
      <w:pPr>
        <w:spacing w:after="200" w:line="276" w:lineRule="auto"/>
        <w:rPr>
          <w:rFonts w:ascii="Arial" w:hAnsi="Arial" w:cs="Arial"/>
          <w:color w:val="1F497D"/>
          <w:sz w:val="22"/>
          <w:szCs w:val="22"/>
        </w:rPr>
      </w:pPr>
    </w:p>
    <w:p w:rsidR="00E65CCD" w:rsidRPr="00C82E8B" w:rsidRDefault="00E65CCD" w:rsidP="00466221">
      <w:pPr>
        <w:spacing w:after="200" w:line="276" w:lineRule="auto"/>
        <w:rPr>
          <w:rFonts w:ascii="Arial" w:hAnsi="Arial" w:cs="Arial"/>
          <w:color w:val="1F497D"/>
          <w:sz w:val="22"/>
          <w:szCs w:val="22"/>
        </w:rPr>
      </w:pPr>
    </w:p>
    <w:p w:rsidR="00E65CCD" w:rsidRPr="004F5F2B" w:rsidRDefault="00E65CCD" w:rsidP="00466221">
      <w:pPr>
        <w:spacing w:after="200" w:line="276" w:lineRule="auto"/>
        <w:rPr>
          <w:rFonts w:ascii="Arial" w:hAnsi="Arial" w:cs="Arial"/>
          <w:color w:val="1F497D"/>
        </w:rPr>
      </w:pPr>
    </w:p>
    <w:p w:rsidR="00817B82" w:rsidRPr="004F5F2B" w:rsidRDefault="00817B82" w:rsidP="00A40420">
      <w:pPr>
        <w:pStyle w:val="StyleHeading1Hanging085cm"/>
      </w:pPr>
      <w:bookmarkStart w:id="62" w:name="_Toc401325826"/>
      <w:r w:rsidRPr="004F5F2B">
        <w:t>Section 9. Separate Elements</w:t>
      </w:r>
      <w:bookmarkEnd w:id="62"/>
      <w:r w:rsidRPr="004F5F2B">
        <w:t xml:space="preserve"> </w:t>
      </w:r>
    </w:p>
    <w:p w:rsidR="004C4BB9" w:rsidRPr="00254FD2" w:rsidRDefault="004C4BB9" w:rsidP="00254FD2"/>
    <w:p w:rsidR="00817B82" w:rsidRPr="004F5F2B" w:rsidRDefault="007B5752" w:rsidP="004C4BB9">
      <w:pPr>
        <w:pStyle w:val="Nagwek2"/>
        <w:spacing w:after="180" w:line="276" w:lineRule="auto"/>
      </w:pPr>
      <w:bookmarkStart w:id="63" w:name="_Toc401325827"/>
      <w:r>
        <w:t>9.1.</w:t>
      </w:r>
      <w:r>
        <w:tab/>
      </w:r>
      <w:r w:rsidR="00817B82" w:rsidRPr="004F5F2B">
        <w:t>A list of major projects</w:t>
      </w:r>
      <w:r w:rsidR="00E16C58" w:rsidRPr="004F5F2B">
        <w:t xml:space="preserve"> for which the implementation is planned during the programming period</w:t>
      </w:r>
      <w:bookmarkEnd w:id="63"/>
    </w:p>
    <w:p w:rsidR="00817B82" w:rsidRPr="00C82E8B" w:rsidRDefault="00817B82" w:rsidP="004C4BB9">
      <w:pPr>
        <w:spacing w:after="180" w:line="276" w:lineRule="auto"/>
        <w:jc w:val="both"/>
        <w:outlineLvl w:val="2"/>
        <w:rPr>
          <w:rFonts w:ascii="Verdana" w:hAnsi="Verdana"/>
          <w:bCs/>
          <w:sz w:val="22"/>
          <w:szCs w:val="22"/>
        </w:rPr>
      </w:pPr>
      <w:bookmarkStart w:id="64" w:name="_Toc384648478"/>
      <w:bookmarkStart w:id="65" w:name="_Toc401325828"/>
      <w:r w:rsidRPr="00C82E8B">
        <w:rPr>
          <w:rFonts w:ascii="Verdana" w:hAnsi="Verdana"/>
          <w:bCs/>
          <w:sz w:val="22"/>
          <w:szCs w:val="22"/>
        </w:rPr>
        <w:t>Not applicable to URBACT</w:t>
      </w:r>
      <w:bookmarkEnd w:id="64"/>
      <w:bookmarkEnd w:id="65"/>
    </w:p>
    <w:p w:rsidR="004C4BB9" w:rsidRDefault="004C4BB9" w:rsidP="004C4BB9">
      <w:pPr>
        <w:spacing w:after="180" w:line="276" w:lineRule="auto"/>
        <w:jc w:val="both"/>
        <w:outlineLvl w:val="2"/>
        <w:rPr>
          <w:rFonts w:ascii="Verdana" w:hAnsi="Verdana"/>
          <w:b/>
          <w:bCs/>
        </w:rPr>
      </w:pPr>
    </w:p>
    <w:p w:rsidR="00817B82" w:rsidRDefault="007B5752" w:rsidP="00627420">
      <w:pPr>
        <w:pStyle w:val="Nagwek2"/>
        <w:spacing w:after="180" w:line="276" w:lineRule="auto"/>
        <w:rPr>
          <w:lang w:eastAsia="ar-SA"/>
        </w:rPr>
      </w:pPr>
      <w:bookmarkStart w:id="66" w:name="_Toc401325829"/>
      <w:r>
        <w:rPr>
          <w:lang w:eastAsia="ar-SA"/>
        </w:rPr>
        <w:t>9.2.</w:t>
      </w:r>
      <w:r>
        <w:rPr>
          <w:lang w:eastAsia="ar-SA"/>
        </w:rPr>
        <w:tab/>
      </w:r>
      <w:r w:rsidR="00817B82" w:rsidRPr="004F5F2B">
        <w:rPr>
          <w:lang w:eastAsia="ar-SA"/>
        </w:rPr>
        <w:t>The performance framework of the cooperation programme</w:t>
      </w:r>
      <w:bookmarkEnd w:id="66"/>
    </w:p>
    <w:p w:rsidR="00E5202D" w:rsidRDefault="00E5202D">
      <w:pPr>
        <w:rPr>
          <w:lang w:eastAsia="ar-SA"/>
        </w:rPr>
      </w:pPr>
    </w:p>
    <w:p w:rsidR="005A44C7" w:rsidRPr="004F5F2B" w:rsidRDefault="005A44C7" w:rsidP="005A44C7">
      <w:pPr>
        <w:ind w:right="566"/>
        <w:rPr>
          <w:rFonts w:ascii="Verdana" w:hAnsi="Verdana"/>
          <w: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559"/>
        <w:gridCol w:w="1844"/>
        <w:gridCol w:w="1276"/>
        <w:gridCol w:w="1416"/>
        <w:gridCol w:w="1956"/>
      </w:tblGrid>
      <w:tr w:rsidR="005A44C7" w:rsidRPr="003F234F" w:rsidTr="00DA481A">
        <w:trPr>
          <w:trHeight w:val="3283"/>
        </w:trPr>
        <w:tc>
          <w:tcPr>
            <w:tcW w:w="987" w:type="pct"/>
            <w:tcBorders>
              <w:top w:val="single" w:sz="4" w:space="0" w:color="auto"/>
              <w:left w:val="single" w:sz="4" w:space="0" w:color="auto"/>
              <w:bottom w:val="single" w:sz="4" w:space="0" w:color="auto"/>
              <w:right w:val="single" w:sz="4" w:space="0" w:color="auto"/>
            </w:tcBorders>
            <w:vAlign w:val="center"/>
          </w:tcPr>
          <w:p w:rsidR="005A44C7" w:rsidRPr="003F234F" w:rsidRDefault="005A44C7" w:rsidP="00DA481A">
            <w:pPr>
              <w:spacing w:before="120" w:after="120"/>
              <w:jc w:val="center"/>
              <w:rPr>
                <w:rFonts w:ascii="Verdana" w:hAnsi="Verdana"/>
                <w:b/>
                <w:i/>
                <w:sz w:val="18"/>
                <w:szCs w:val="18"/>
              </w:rPr>
            </w:pPr>
            <w:r w:rsidRPr="003F234F">
              <w:rPr>
                <w:rFonts w:ascii="Verdana" w:hAnsi="Verdana"/>
                <w:b/>
                <w:i/>
                <w:sz w:val="18"/>
                <w:szCs w:val="18"/>
              </w:rPr>
              <w:t>Implementation</w:t>
            </w:r>
          </w:p>
          <w:p w:rsidR="005A44C7" w:rsidRPr="003F234F" w:rsidRDefault="005A44C7" w:rsidP="00DA481A">
            <w:pPr>
              <w:spacing w:before="120" w:after="120"/>
              <w:jc w:val="center"/>
              <w:rPr>
                <w:rFonts w:ascii="Verdana" w:hAnsi="Verdana"/>
                <w:b/>
                <w:i/>
                <w:sz w:val="18"/>
                <w:szCs w:val="18"/>
              </w:rPr>
            </w:pPr>
            <w:r w:rsidRPr="003F234F">
              <w:rPr>
                <w:rFonts w:ascii="Verdana" w:hAnsi="Verdana"/>
                <w:b/>
                <w:i/>
                <w:sz w:val="18"/>
                <w:szCs w:val="18"/>
              </w:rPr>
              <w:t>step. financial,</w:t>
            </w:r>
          </w:p>
          <w:p w:rsidR="005A44C7" w:rsidRPr="003F234F" w:rsidRDefault="005A44C7" w:rsidP="00DA481A">
            <w:pPr>
              <w:spacing w:before="120" w:after="120"/>
              <w:jc w:val="center"/>
              <w:rPr>
                <w:rFonts w:ascii="Verdana" w:hAnsi="Verdana"/>
                <w:b/>
                <w:i/>
                <w:sz w:val="18"/>
                <w:szCs w:val="18"/>
              </w:rPr>
            </w:pPr>
            <w:r w:rsidRPr="003F234F">
              <w:rPr>
                <w:rFonts w:ascii="Verdana" w:hAnsi="Verdana"/>
                <w:b/>
                <w:i/>
                <w:sz w:val="18"/>
                <w:szCs w:val="18"/>
              </w:rPr>
              <w:t>result indicator</w:t>
            </w:r>
          </w:p>
        </w:tc>
        <w:tc>
          <w:tcPr>
            <w:tcW w:w="777" w:type="pct"/>
            <w:tcBorders>
              <w:top w:val="single" w:sz="4" w:space="0" w:color="auto"/>
              <w:left w:val="single" w:sz="4" w:space="0" w:color="auto"/>
              <w:bottom w:val="single" w:sz="4" w:space="0" w:color="auto"/>
              <w:right w:val="single" w:sz="4" w:space="0" w:color="auto"/>
            </w:tcBorders>
            <w:vAlign w:val="center"/>
          </w:tcPr>
          <w:p w:rsidR="005A44C7" w:rsidRPr="003F234F" w:rsidRDefault="005A44C7" w:rsidP="00DA481A">
            <w:pPr>
              <w:spacing w:before="120" w:after="120"/>
              <w:jc w:val="center"/>
              <w:rPr>
                <w:rFonts w:ascii="Verdana" w:hAnsi="Verdana"/>
                <w:b/>
                <w:i/>
                <w:sz w:val="18"/>
                <w:szCs w:val="18"/>
              </w:rPr>
            </w:pPr>
            <w:r w:rsidRPr="003F234F">
              <w:rPr>
                <w:rFonts w:ascii="Verdana" w:hAnsi="Verdana"/>
                <w:b/>
                <w:i/>
                <w:sz w:val="18"/>
                <w:szCs w:val="18"/>
              </w:rPr>
              <w:t>Measurement Unit</w:t>
            </w:r>
          </w:p>
        </w:tc>
        <w:tc>
          <w:tcPr>
            <w:tcW w:w="919" w:type="pct"/>
            <w:tcBorders>
              <w:top w:val="single" w:sz="4" w:space="0" w:color="auto"/>
              <w:left w:val="single" w:sz="4" w:space="0" w:color="auto"/>
              <w:bottom w:val="single" w:sz="4" w:space="0" w:color="auto"/>
              <w:right w:val="single" w:sz="4" w:space="0" w:color="auto"/>
            </w:tcBorders>
            <w:vAlign w:val="center"/>
          </w:tcPr>
          <w:p w:rsidR="005A44C7" w:rsidRPr="003F234F" w:rsidRDefault="005A44C7" w:rsidP="00DA481A">
            <w:pPr>
              <w:spacing w:before="120" w:after="120"/>
              <w:jc w:val="center"/>
              <w:rPr>
                <w:rFonts w:ascii="Verdana" w:hAnsi="Verdana"/>
                <w:b/>
                <w:i/>
                <w:sz w:val="18"/>
                <w:szCs w:val="18"/>
              </w:rPr>
            </w:pPr>
            <w:r w:rsidRPr="003F234F">
              <w:rPr>
                <w:rFonts w:ascii="Verdana" w:hAnsi="Verdana"/>
                <w:b/>
                <w:i/>
                <w:sz w:val="18"/>
                <w:szCs w:val="18"/>
              </w:rPr>
              <w:t>Milestone for 2018</w:t>
            </w:r>
          </w:p>
        </w:tc>
        <w:tc>
          <w:tcPr>
            <w:tcW w:w="636" w:type="pct"/>
            <w:tcBorders>
              <w:top w:val="single" w:sz="4" w:space="0" w:color="auto"/>
              <w:left w:val="single" w:sz="4" w:space="0" w:color="auto"/>
              <w:bottom w:val="single" w:sz="4" w:space="0" w:color="auto"/>
              <w:right w:val="single" w:sz="4" w:space="0" w:color="auto"/>
            </w:tcBorders>
            <w:vAlign w:val="center"/>
          </w:tcPr>
          <w:p w:rsidR="005A44C7" w:rsidRPr="003F234F" w:rsidRDefault="005A44C7" w:rsidP="00DA481A">
            <w:pPr>
              <w:spacing w:before="120" w:after="120"/>
              <w:jc w:val="center"/>
              <w:rPr>
                <w:rFonts w:ascii="Verdana" w:hAnsi="Verdana"/>
                <w:b/>
                <w:i/>
                <w:sz w:val="18"/>
                <w:szCs w:val="18"/>
              </w:rPr>
            </w:pPr>
            <w:r w:rsidRPr="003F234F">
              <w:rPr>
                <w:rFonts w:ascii="Verdana" w:hAnsi="Verdana"/>
                <w:b/>
                <w:i/>
                <w:sz w:val="18"/>
                <w:szCs w:val="18"/>
              </w:rPr>
              <w:t>Final Target</w:t>
            </w:r>
          </w:p>
          <w:p w:rsidR="005A44C7" w:rsidRPr="003F234F" w:rsidRDefault="005A44C7" w:rsidP="00DA481A">
            <w:pPr>
              <w:spacing w:before="120" w:after="120"/>
              <w:jc w:val="center"/>
              <w:rPr>
                <w:rFonts w:ascii="Verdana" w:hAnsi="Verdana"/>
                <w:b/>
                <w:i/>
                <w:sz w:val="18"/>
                <w:szCs w:val="18"/>
              </w:rPr>
            </w:pPr>
            <w:r w:rsidRPr="003F234F">
              <w:rPr>
                <w:rFonts w:ascii="Verdana" w:hAnsi="Verdana"/>
                <w:b/>
                <w:i/>
                <w:sz w:val="18"/>
                <w:szCs w:val="18"/>
              </w:rPr>
              <w:t>202</w:t>
            </w:r>
            <w:r>
              <w:rPr>
                <w:rFonts w:ascii="Verdana" w:hAnsi="Verdana"/>
                <w:b/>
                <w:i/>
                <w:sz w:val="18"/>
                <w:szCs w:val="18"/>
              </w:rPr>
              <w:t>3</w:t>
            </w:r>
          </w:p>
        </w:tc>
        <w:tc>
          <w:tcPr>
            <w:tcW w:w="706" w:type="pct"/>
            <w:tcBorders>
              <w:top w:val="single" w:sz="4" w:space="0" w:color="auto"/>
              <w:left w:val="single" w:sz="4" w:space="0" w:color="auto"/>
              <w:bottom w:val="single" w:sz="4" w:space="0" w:color="auto"/>
              <w:right w:val="single" w:sz="4" w:space="0" w:color="auto"/>
            </w:tcBorders>
            <w:vAlign w:val="center"/>
          </w:tcPr>
          <w:p w:rsidR="005A44C7" w:rsidRPr="003F234F" w:rsidRDefault="005A44C7" w:rsidP="00DA481A">
            <w:pPr>
              <w:spacing w:before="120" w:after="120"/>
              <w:jc w:val="center"/>
              <w:rPr>
                <w:rFonts w:ascii="Verdana" w:hAnsi="Verdana"/>
                <w:b/>
                <w:i/>
                <w:sz w:val="18"/>
                <w:szCs w:val="18"/>
              </w:rPr>
            </w:pPr>
            <w:r w:rsidRPr="003F234F">
              <w:rPr>
                <w:rFonts w:ascii="Verdana" w:hAnsi="Verdana"/>
                <w:b/>
                <w:i/>
                <w:sz w:val="18"/>
                <w:szCs w:val="18"/>
              </w:rPr>
              <w:t>Source of data</w:t>
            </w:r>
          </w:p>
        </w:tc>
        <w:tc>
          <w:tcPr>
            <w:tcW w:w="975" w:type="pct"/>
            <w:tcBorders>
              <w:top w:val="single" w:sz="4" w:space="0" w:color="auto"/>
              <w:left w:val="single" w:sz="4" w:space="0" w:color="auto"/>
              <w:bottom w:val="single" w:sz="4" w:space="0" w:color="auto"/>
              <w:right w:val="single" w:sz="4" w:space="0" w:color="auto"/>
            </w:tcBorders>
            <w:vAlign w:val="center"/>
          </w:tcPr>
          <w:p w:rsidR="005A44C7" w:rsidRPr="003F234F" w:rsidRDefault="005A44C7" w:rsidP="00DA481A">
            <w:pPr>
              <w:spacing w:before="120" w:after="120"/>
              <w:jc w:val="center"/>
              <w:rPr>
                <w:rFonts w:ascii="Verdana" w:hAnsi="Verdana"/>
                <w:b/>
                <w:i/>
                <w:sz w:val="18"/>
                <w:szCs w:val="18"/>
              </w:rPr>
            </w:pPr>
            <w:r w:rsidRPr="003F234F">
              <w:rPr>
                <w:rFonts w:ascii="Verdana" w:hAnsi="Verdana"/>
                <w:b/>
                <w:i/>
                <w:sz w:val="18"/>
                <w:szCs w:val="18"/>
              </w:rPr>
              <w:t>Explanation of the relevance of the indicator, where appropriate</w:t>
            </w:r>
          </w:p>
        </w:tc>
      </w:tr>
      <w:tr w:rsidR="005A44C7" w:rsidRPr="003F234F" w:rsidTr="00DA481A">
        <w:trPr>
          <w:trHeight w:val="5271"/>
        </w:trPr>
        <w:tc>
          <w:tcPr>
            <w:tcW w:w="987" w:type="pct"/>
            <w:tcBorders>
              <w:top w:val="single" w:sz="4" w:space="0" w:color="auto"/>
              <w:left w:val="single" w:sz="4" w:space="0" w:color="auto"/>
              <w:bottom w:val="single" w:sz="4" w:space="0" w:color="auto"/>
              <w:right w:val="single" w:sz="4" w:space="0" w:color="auto"/>
            </w:tcBorders>
          </w:tcPr>
          <w:p w:rsidR="005A44C7" w:rsidRPr="001046D4" w:rsidRDefault="005A44C7" w:rsidP="00DA481A">
            <w:pPr>
              <w:rPr>
                <w:rFonts w:ascii="Verdana" w:hAnsi="Verdana" w:cs="Vijaya"/>
                <w:b/>
                <w:i/>
                <w:sz w:val="18"/>
                <w:szCs w:val="18"/>
                <w:lang w:val="en-US"/>
              </w:rPr>
            </w:pPr>
            <w:r>
              <w:rPr>
                <w:rFonts w:ascii="Verdana" w:hAnsi="Verdana" w:cs="Vijaya"/>
                <w:b/>
                <w:i/>
                <w:sz w:val="18"/>
                <w:szCs w:val="18"/>
                <w:lang w:val="en-US"/>
              </w:rPr>
              <w:t>Financial indicator</w:t>
            </w:r>
            <w:r w:rsidRPr="001046D4">
              <w:rPr>
                <w:rFonts w:ascii="Verdana" w:hAnsi="Verdana" w:cs="Vijaya"/>
                <w:b/>
                <w:i/>
                <w:sz w:val="18"/>
                <w:szCs w:val="18"/>
                <w:lang w:val="en-US"/>
              </w:rPr>
              <w:t>:</w:t>
            </w:r>
          </w:p>
          <w:p w:rsidR="005A44C7" w:rsidRPr="001046D4" w:rsidRDefault="005A44C7" w:rsidP="00DA481A">
            <w:pPr>
              <w:rPr>
                <w:rFonts w:ascii="Verdana" w:hAnsi="Verdana" w:cs="Vijaya"/>
                <w:b/>
                <w:i/>
                <w:sz w:val="18"/>
                <w:szCs w:val="18"/>
                <w:lang w:val="en-US"/>
              </w:rPr>
            </w:pPr>
          </w:p>
          <w:p w:rsidR="005A44C7" w:rsidRPr="001046D4" w:rsidRDefault="005A44C7" w:rsidP="00DA481A">
            <w:pPr>
              <w:rPr>
                <w:rFonts w:ascii="Verdana" w:hAnsi="Verdana" w:cs="Vijaya"/>
                <w:b/>
                <w:i/>
                <w:sz w:val="18"/>
                <w:szCs w:val="18"/>
                <w:lang w:val="en-US"/>
              </w:rPr>
            </w:pPr>
            <w:r w:rsidRPr="001046D4">
              <w:rPr>
                <w:rFonts w:ascii="Verdana" w:hAnsi="Verdana" w:cs="Vijaya"/>
                <w:b/>
                <w:i/>
                <w:sz w:val="18"/>
                <w:szCs w:val="18"/>
                <w:lang w:val="en-US"/>
              </w:rPr>
              <w:t xml:space="preserve"> Expenditure (Total certified expenses for the</w:t>
            </w:r>
            <w:r w:rsidRPr="001046D4">
              <w:rPr>
                <w:rFonts w:ascii="Verdana" w:hAnsi="Verdana" w:cs="Vijaya"/>
                <w:b/>
                <w:i/>
                <w:sz w:val="18"/>
                <w:szCs w:val="18"/>
              </w:rPr>
              <w:t>programme</w:t>
            </w:r>
            <w:r w:rsidRPr="001046D4">
              <w:rPr>
                <w:rFonts w:ascii="Verdana" w:hAnsi="Verdana" w:cs="Vijaya"/>
                <w:b/>
                <w:sz w:val="18"/>
                <w:szCs w:val="18"/>
              </w:rPr>
              <w:t>)</w:t>
            </w:r>
          </w:p>
        </w:tc>
        <w:tc>
          <w:tcPr>
            <w:tcW w:w="777" w:type="pct"/>
            <w:tcBorders>
              <w:top w:val="single" w:sz="4" w:space="0" w:color="auto"/>
              <w:left w:val="single" w:sz="4" w:space="0" w:color="auto"/>
              <w:bottom w:val="single" w:sz="4" w:space="0" w:color="auto"/>
              <w:right w:val="single" w:sz="4" w:space="0" w:color="auto"/>
            </w:tcBorders>
          </w:tcPr>
          <w:p w:rsidR="005A44C7" w:rsidRPr="006641E5" w:rsidRDefault="005A44C7" w:rsidP="00DA481A">
            <w:pPr>
              <w:spacing w:before="120"/>
              <w:rPr>
                <w:rFonts w:ascii="Verdana" w:hAnsi="Verdana"/>
                <w:i/>
                <w:sz w:val="18"/>
                <w:szCs w:val="18"/>
              </w:rPr>
            </w:pPr>
            <w:r w:rsidRPr="006641E5">
              <w:rPr>
                <w:rFonts w:ascii="Verdana" w:hAnsi="Verdana"/>
                <w:i/>
                <w:sz w:val="18"/>
                <w:szCs w:val="18"/>
              </w:rPr>
              <w:t xml:space="preserve">  Euros</w:t>
            </w:r>
          </w:p>
        </w:tc>
        <w:tc>
          <w:tcPr>
            <w:tcW w:w="919" w:type="pct"/>
            <w:tcBorders>
              <w:top w:val="single" w:sz="4" w:space="0" w:color="auto"/>
              <w:left w:val="single" w:sz="4" w:space="0" w:color="auto"/>
              <w:bottom w:val="single" w:sz="4" w:space="0" w:color="auto"/>
              <w:right w:val="single" w:sz="4" w:space="0" w:color="auto"/>
            </w:tcBorders>
          </w:tcPr>
          <w:p w:rsidR="005A44C7" w:rsidRPr="006641E5" w:rsidRDefault="005A44C7" w:rsidP="00DA481A">
            <w:pPr>
              <w:spacing w:before="120" w:after="120"/>
              <w:ind w:right="566"/>
              <w:jc w:val="right"/>
              <w:rPr>
                <w:rFonts w:ascii="Verdana" w:hAnsi="Verdana"/>
                <w:i/>
                <w:sz w:val="18"/>
                <w:szCs w:val="18"/>
              </w:rPr>
            </w:pPr>
            <w:r w:rsidRPr="006641E5">
              <w:rPr>
                <w:rFonts w:ascii="Verdana" w:hAnsi="Verdana"/>
                <w:i/>
                <w:sz w:val="18"/>
                <w:szCs w:val="18"/>
              </w:rPr>
              <w:t>16 561 174</w:t>
            </w:r>
          </w:p>
        </w:tc>
        <w:tc>
          <w:tcPr>
            <w:tcW w:w="636" w:type="pct"/>
            <w:tcBorders>
              <w:top w:val="single" w:sz="4" w:space="0" w:color="auto"/>
              <w:left w:val="single" w:sz="4" w:space="0" w:color="auto"/>
              <w:bottom w:val="single" w:sz="4" w:space="0" w:color="auto"/>
              <w:right w:val="single" w:sz="4" w:space="0" w:color="auto"/>
            </w:tcBorders>
          </w:tcPr>
          <w:p w:rsidR="005A44C7" w:rsidRPr="006641E5" w:rsidRDefault="005A44C7" w:rsidP="00DA481A">
            <w:pPr>
              <w:spacing w:before="120"/>
              <w:rPr>
                <w:rFonts w:ascii="Verdana" w:hAnsi="Verdana"/>
                <w:i/>
                <w:sz w:val="18"/>
                <w:szCs w:val="18"/>
              </w:rPr>
            </w:pPr>
            <w:r w:rsidRPr="006641E5">
              <w:rPr>
                <w:rFonts w:ascii="Verdana" w:hAnsi="Verdana"/>
                <w:i/>
                <w:sz w:val="18"/>
                <w:szCs w:val="18"/>
              </w:rPr>
              <w:t>94 324 550</w:t>
            </w:r>
          </w:p>
        </w:tc>
        <w:tc>
          <w:tcPr>
            <w:tcW w:w="706" w:type="pct"/>
            <w:tcBorders>
              <w:top w:val="single" w:sz="4" w:space="0" w:color="auto"/>
              <w:left w:val="single" w:sz="4" w:space="0" w:color="auto"/>
              <w:bottom w:val="single" w:sz="4" w:space="0" w:color="auto"/>
              <w:right w:val="single" w:sz="4" w:space="0" w:color="auto"/>
            </w:tcBorders>
          </w:tcPr>
          <w:p w:rsidR="005A44C7" w:rsidRPr="006641E5" w:rsidRDefault="005A44C7" w:rsidP="00DA481A">
            <w:pPr>
              <w:spacing w:before="120" w:after="120"/>
              <w:ind w:right="566"/>
              <w:rPr>
                <w:rFonts w:ascii="Verdana" w:hAnsi="Verdana"/>
                <w:i/>
                <w:sz w:val="18"/>
                <w:szCs w:val="18"/>
              </w:rPr>
            </w:pPr>
            <w:r>
              <w:rPr>
                <w:rFonts w:ascii="Verdana" w:hAnsi="Verdana"/>
                <w:i/>
                <w:sz w:val="18"/>
                <w:szCs w:val="18"/>
              </w:rPr>
              <w:t>Programme monitoring</w:t>
            </w:r>
          </w:p>
        </w:tc>
        <w:tc>
          <w:tcPr>
            <w:tcW w:w="975" w:type="pct"/>
            <w:tcBorders>
              <w:top w:val="single" w:sz="4" w:space="0" w:color="auto"/>
              <w:left w:val="single" w:sz="4" w:space="0" w:color="auto"/>
              <w:bottom w:val="single" w:sz="4" w:space="0" w:color="auto"/>
              <w:right w:val="single" w:sz="4" w:space="0" w:color="auto"/>
            </w:tcBorders>
          </w:tcPr>
          <w:p w:rsidR="005A44C7" w:rsidRPr="003F234F" w:rsidRDefault="005A44C7" w:rsidP="00DA481A">
            <w:pPr>
              <w:spacing w:before="120" w:after="120"/>
              <w:ind w:right="-108"/>
              <w:rPr>
                <w:rFonts w:ascii="Verdana" w:hAnsi="Verdana"/>
                <w:i/>
                <w:sz w:val="18"/>
                <w:szCs w:val="18"/>
              </w:rPr>
            </w:pPr>
            <w:r w:rsidRPr="0022723A">
              <w:rPr>
                <w:rFonts w:ascii="Verdana" w:hAnsi="Verdana"/>
                <w:i/>
                <w:sz w:val="18"/>
                <w:szCs w:val="18"/>
                <w:lang w:val="en-US"/>
              </w:rPr>
              <w:t xml:space="preserve">The </w:t>
            </w:r>
            <w:r>
              <w:rPr>
                <w:rFonts w:ascii="Verdana" w:hAnsi="Verdana"/>
                <w:i/>
                <w:sz w:val="18"/>
                <w:szCs w:val="18"/>
                <w:lang w:val="en-US"/>
              </w:rPr>
              <w:t xml:space="preserve">indicator is based on the total budget of the programme </w:t>
            </w:r>
            <w:r w:rsidRPr="0022723A">
              <w:rPr>
                <w:rFonts w:ascii="Verdana" w:hAnsi="Verdana"/>
                <w:i/>
                <w:sz w:val="18"/>
                <w:szCs w:val="18"/>
                <w:lang w:val="en-US"/>
              </w:rPr>
              <w:t xml:space="preserve">using the auto decommitment target for 2018 </w:t>
            </w:r>
          </w:p>
        </w:tc>
      </w:tr>
      <w:tr w:rsidR="005A44C7" w:rsidRPr="003F234F" w:rsidTr="00DA481A">
        <w:trPr>
          <w:trHeight w:val="5271"/>
        </w:trPr>
        <w:tc>
          <w:tcPr>
            <w:tcW w:w="987" w:type="pct"/>
            <w:tcBorders>
              <w:top w:val="single" w:sz="4" w:space="0" w:color="auto"/>
              <w:left w:val="single" w:sz="4" w:space="0" w:color="auto"/>
              <w:bottom w:val="single" w:sz="4" w:space="0" w:color="auto"/>
              <w:right w:val="single" w:sz="4" w:space="0" w:color="auto"/>
            </w:tcBorders>
          </w:tcPr>
          <w:p w:rsidR="005A44C7" w:rsidRPr="001046D4" w:rsidRDefault="005A44C7" w:rsidP="00DA481A">
            <w:pPr>
              <w:spacing w:before="120"/>
              <w:rPr>
                <w:rFonts w:ascii="Verdana" w:hAnsi="Verdana"/>
                <w:b/>
                <w:i/>
                <w:sz w:val="18"/>
                <w:szCs w:val="18"/>
              </w:rPr>
            </w:pPr>
            <w:r w:rsidRPr="001046D4">
              <w:rPr>
                <w:rFonts w:ascii="Verdana" w:hAnsi="Verdana"/>
                <w:b/>
                <w:i/>
                <w:sz w:val="18"/>
                <w:szCs w:val="18"/>
              </w:rPr>
              <w:t>Output indicator</w:t>
            </w:r>
          </w:p>
          <w:p w:rsidR="005A44C7" w:rsidRDefault="005A44C7" w:rsidP="00DA481A">
            <w:pPr>
              <w:spacing w:before="120"/>
              <w:rPr>
                <w:rFonts w:ascii="Verdana" w:hAnsi="Verdana"/>
                <w:b/>
                <w:i/>
                <w:sz w:val="18"/>
                <w:szCs w:val="18"/>
              </w:rPr>
            </w:pPr>
          </w:p>
          <w:p w:rsidR="005A44C7" w:rsidRDefault="005A44C7" w:rsidP="00DA481A">
            <w:pPr>
              <w:spacing w:before="120"/>
              <w:rPr>
                <w:rFonts w:ascii="Verdana" w:hAnsi="Verdana"/>
                <w:b/>
                <w:i/>
                <w:sz w:val="18"/>
                <w:szCs w:val="18"/>
              </w:rPr>
            </w:pPr>
            <w:r w:rsidRPr="00351D4D">
              <w:rPr>
                <w:rFonts w:ascii="Verdana" w:hAnsi="Verdana"/>
                <w:b/>
                <w:i/>
                <w:sz w:val="18"/>
                <w:szCs w:val="18"/>
                <w:lang w:val="en-US"/>
              </w:rPr>
              <w:t>Total number of networks completed</w:t>
            </w:r>
          </w:p>
          <w:p w:rsidR="005A44C7" w:rsidRDefault="005A44C7" w:rsidP="00DA481A">
            <w:pPr>
              <w:spacing w:before="120"/>
              <w:rPr>
                <w:rFonts w:ascii="Verdana" w:hAnsi="Verdana"/>
                <w:b/>
                <w:i/>
                <w:sz w:val="18"/>
                <w:szCs w:val="18"/>
              </w:rPr>
            </w:pPr>
          </w:p>
          <w:p w:rsidR="005A44C7" w:rsidRPr="003F234F" w:rsidRDefault="005A44C7" w:rsidP="00DA481A">
            <w:pPr>
              <w:spacing w:before="120"/>
              <w:rPr>
                <w:rFonts w:ascii="Verdana" w:hAnsi="Verdana"/>
                <w:b/>
                <w:i/>
                <w:sz w:val="18"/>
                <w:szCs w:val="18"/>
              </w:rPr>
            </w:pPr>
            <w:r w:rsidRPr="003F234F">
              <w:rPr>
                <w:rFonts w:ascii="Verdana" w:hAnsi="Verdana"/>
                <w:b/>
                <w:i/>
                <w:sz w:val="18"/>
                <w:szCs w:val="18"/>
              </w:rPr>
              <w:t>s</w:t>
            </w:r>
          </w:p>
        </w:tc>
        <w:tc>
          <w:tcPr>
            <w:tcW w:w="777" w:type="pct"/>
            <w:tcBorders>
              <w:top w:val="single" w:sz="4" w:space="0" w:color="auto"/>
              <w:left w:val="single" w:sz="4" w:space="0" w:color="auto"/>
              <w:bottom w:val="single" w:sz="4" w:space="0" w:color="auto"/>
              <w:right w:val="single" w:sz="4" w:space="0" w:color="auto"/>
            </w:tcBorders>
          </w:tcPr>
          <w:p w:rsidR="005A44C7" w:rsidRPr="003F234F" w:rsidRDefault="005A44C7" w:rsidP="00DA481A">
            <w:pPr>
              <w:spacing w:before="120"/>
              <w:rPr>
                <w:rFonts w:ascii="Verdana" w:hAnsi="Verdana"/>
                <w:i/>
                <w:sz w:val="18"/>
                <w:szCs w:val="18"/>
              </w:rPr>
            </w:pPr>
            <w:r w:rsidRPr="003F234F">
              <w:rPr>
                <w:rFonts w:ascii="Verdana" w:hAnsi="Verdana"/>
                <w:i/>
                <w:sz w:val="18"/>
                <w:szCs w:val="18"/>
              </w:rPr>
              <w:t xml:space="preserve">Number </w:t>
            </w:r>
          </w:p>
        </w:tc>
        <w:tc>
          <w:tcPr>
            <w:tcW w:w="919" w:type="pct"/>
            <w:tcBorders>
              <w:top w:val="single" w:sz="4" w:space="0" w:color="auto"/>
              <w:left w:val="single" w:sz="4" w:space="0" w:color="auto"/>
              <w:bottom w:val="single" w:sz="4" w:space="0" w:color="auto"/>
              <w:right w:val="single" w:sz="4" w:space="0" w:color="auto"/>
            </w:tcBorders>
          </w:tcPr>
          <w:p w:rsidR="005A44C7" w:rsidRPr="003F234F" w:rsidRDefault="005A44C7" w:rsidP="00DA481A">
            <w:pPr>
              <w:spacing w:before="120" w:after="120"/>
              <w:ind w:right="566"/>
              <w:rPr>
                <w:rFonts w:ascii="Verdana" w:hAnsi="Verdana"/>
                <w:i/>
                <w:sz w:val="18"/>
                <w:szCs w:val="18"/>
              </w:rPr>
            </w:pPr>
            <w:r>
              <w:rPr>
                <w:rFonts w:ascii="Verdana" w:hAnsi="Verdana"/>
                <w:i/>
                <w:sz w:val="18"/>
                <w:szCs w:val="18"/>
              </w:rPr>
              <w:t>20</w:t>
            </w:r>
          </w:p>
          <w:p w:rsidR="005A44C7" w:rsidRPr="003F234F" w:rsidRDefault="005A44C7" w:rsidP="00DA481A">
            <w:pPr>
              <w:spacing w:before="120" w:after="120"/>
              <w:ind w:right="566"/>
              <w:rPr>
                <w:rFonts w:ascii="Verdana" w:hAnsi="Verdana"/>
                <w:i/>
                <w:sz w:val="18"/>
                <w:szCs w:val="18"/>
              </w:rPr>
            </w:pPr>
          </w:p>
        </w:tc>
        <w:tc>
          <w:tcPr>
            <w:tcW w:w="636" w:type="pct"/>
            <w:tcBorders>
              <w:top w:val="single" w:sz="4" w:space="0" w:color="auto"/>
              <w:left w:val="single" w:sz="4" w:space="0" w:color="auto"/>
              <w:bottom w:val="single" w:sz="4" w:space="0" w:color="auto"/>
              <w:right w:val="single" w:sz="4" w:space="0" w:color="auto"/>
            </w:tcBorders>
          </w:tcPr>
          <w:p w:rsidR="005A44C7" w:rsidRPr="003F234F" w:rsidRDefault="005A44C7" w:rsidP="00DA481A">
            <w:pPr>
              <w:spacing w:before="120"/>
              <w:rPr>
                <w:rFonts w:ascii="Verdana" w:hAnsi="Verdana"/>
                <w:i/>
                <w:sz w:val="18"/>
                <w:szCs w:val="18"/>
              </w:rPr>
            </w:pPr>
            <w:r>
              <w:rPr>
                <w:rFonts w:ascii="Verdana" w:hAnsi="Verdana"/>
                <w:i/>
                <w:sz w:val="18"/>
                <w:szCs w:val="18"/>
              </w:rPr>
              <w:t>70</w:t>
            </w:r>
          </w:p>
        </w:tc>
        <w:tc>
          <w:tcPr>
            <w:tcW w:w="706" w:type="pct"/>
            <w:tcBorders>
              <w:top w:val="single" w:sz="4" w:space="0" w:color="auto"/>
              <w:left w:val="single" w:sz="4" w:space="0" w:color="auto"/>
              <w:bottom w:val="single" w:sz="4" w:space="0" w:color="auto"/>
              <w:right w:val="single" w:sz="4" w:space="0" w:color="auto"/>
            </w:tcBorders>
          </w:tcPr>
          <w:p w:rsidR="005A44C7" w:rsidRPr="003F234F" w:rsidRDefault="005A44C7" w:rsidP="00DA481A">
            <w:pPr>
              <w:spacing w:before="120" w:after="120"/>
              <w:ind w:right="566"/>
              <w:rPr>
                <w:rFonts w:ascii="Verdana" w:hAnsi="Verdana"/>
                <w:b/>
                <w:i/>
                <w:sz w:val="18"/>
                <w:szCs w:val="18"/>
              </w:rPr>
            </w:pPr>
            <w:r>
              <w:rPr>
                <w:rFonts w:ascii="Verdana" w:hAnsi="Verdana"/>
                <w:i/>
                <w:sz w:val="18"/>
                <w:szCs w:val="18"/>
              </w:rPr>
              <w:t>Programme monitoring</w:t>
            </w:r>
            <w:r w:rsidRPr="003F234F">
              <w:rPr>
                <w:rFonts w:ascii="Verdana" w:hAnsi="Verdana"/>
                <w:i/>
                <w:sz w:val="18"/>
                <w:szCs w:val="18"/>
              </w:rPr>
              <w:t xml:space="preserve"> </w:t>
            </w:r>
          </w:p>
        </w:tc>
        <w:tc>
          <w:tcPr>
            <w:tcW w:w="975" w:type="pct"/>
            <w:tcBorders>
              <w:top w:val="single" w:sz="4" w:space="0" w:color="auto"/>
              <w:left w:val="single" w:sz="4" w:space="0" w:color="auto"/>
              <w:bottom w:val="single" w:sz="4" w:space="0" w:color="auto"/>
              <w:right w:val="single" w:sz="4" w:space="0" w:color="auto"/>
            </w:tcBorders>
          </w:tcPr>
          <w:p w:rsidR="005A44C7" w:rsidRDefault="005A44C7" w:rsidP="00DA481A">
            <w:pPr>
              <w:spacing w:before="120" w:after="120"/>
              <w:ind w:right="-108"/>
              <w:rPr>
                <w:rFonts w:ascii="Verdana" w:hAnsi="Verdana"/>
                <w:color w:val="000000"/>
                <w:sz w:val="18"/>
                <w:szCs w:val="18"/>
              </w:rPr>
            </w:pPr>
          </w:p>
          <w:p w:rsidR="005A44C7" w:rsidRPr="002618C9" w:rsidRDefault="005A44C7" w:rsidP="00DA481A">
            <w:pPr>
              <w:spacing w:before="120" w:after="120"/>
              <w:ind w:right="-108"/>
              <w:rPr>
                <w:rFonts w:ascii="Verdana" w:hAnsi="Verdana"/>
                <w:i/>
                <w:sz w:val="18"/>
                <w:szCs w:val="18"/>
              </w:rPr>
            </w:pPr>
            <w:r>
              <w:rPr>
                <w:rFonts w:ascii="Verdana" w:hAnsi="Verdana"/>
                <w:i/>
                <w:sz w:val="18"/>
                <w:szCs w:val="18"/>
              </w:rPr>
              <w:t>The indicator is</w:t>
            </w:r>
            <w:r w:rsidRPr="002618C9">
              <w:rPr>
                <w:rFonts w:ascii="Verdana" w:hAnsi="Verdana"/>
                <w:i/>
                <w:sz w:val="18"/>
                <w:szCs w:val="18"/>
              </w:rPr>
              <w:t xml:space="preserve"> tracking the exchange activit</w:t>
            </w:r>
            <w:r>
              <w:rPr>
                <w:rFonts w:ascii="Verdana" w:hAnsi="Verdana"/>
                <w:i/>
                <w:sz w:val="18"/>
                <w:szCs w:val="18"/>
              </w:rPr>
              <w:t>ies (Networks) which mobilize more than half of the budget of total budget</w:t>
            </w:r>
            <w:r w:rsidRPr="002618C9">
              <w:rPr>
                <w:rFonts w:ascii="Verdana" w:hAnsi="Verdana"/>
                <w:i/>
                <w:sz w:val="18"/>
                <w:szCs w:val="18"/>
              </w:rPr>
              <w:t xml:space="preserve"> </w:t>
            </w:r>
            <w:r>
              <w:rPr>
                <w:rFonts w:ascii="Verdana" w:hAnsi="Verdana"/>
                <w:i/>
                <w:sz w:val="18"/>
                <w:szCs w:val="18"/>
              </w:rPr>
              <w:t>of the programme</w:t>
            </w:r>
          </w:p>
          <w:p w:rsidR="005A44C7" w:rsidRPr="003F234F" w:rsidRDefault="005A44C7" w:rsidP="00DA481A">
            <w:pPr>
              <w:spacing w:before="120" w:after="120"/>
              <w:ind w:right="-108"/>
              <w:rPr>
                <w:rFonts w:ascii="Verdana" w:hAnsi="Verdana"/>
                <w:i/>
                <w:sz w:val="18"/>
                <w:szCs w:val="18"/>
              </w:rPr>
            </w:pPr>
          </w:p>
        </w:tc>
      </w:tr>
      <w:tr w:rsidR="005A44C7" w:rsidRPr="003F234F" w:rsidTr="00DA481A">
        <w:trPr>
          <w:trHeight w:val="420"/>
        </w:trPr>
        <w:tc>
          <w:tcPr>
            <w:tcW w:w="987" w:type="pct"/>
            <w:tcBorders>
              <w:top w:val="single" w:sz="4" w:space="0" w:color="auto"/>
              <w:left w:val="single" w:sz="4" w:space="0" w:color="auto"/>
              <w:bottom w:val="single" w:sz="4" w:space="0" w:color="auto"/>
              <w:right w:val="single" w:sz="4" w:space="0" w:color="auto"/>
            </w:tcBorders>
          </w:tcPr>
          <w:p w:rsidR="005A44C7" w:rsidRPr="001046D4" w:rsidRDefault="005A44C7" w:rsidP="00DA481A">
            <w:pPr>
              <w:spacing w:before="120"/>
              <w:rPr>
                <w:rFonts w:ascii="Verdana" w:hAnsi="Verdana"/>
                <w:b/>
                <w:i/>
                <w:sz w:val="18"/>
                <w:szCs w:val="18"/>
              </w:rPr>
            </w:pPr>
            <w:r w:rsidRPr="001046D4">
              <w:rPr>
                <w:rFonts w:ascii="Verdana" w:hAnsi="Verdana"/>
                <w:b/>
                <w:i/>
                <w:sz w:val="18"/>
                <w:szCs w:val="18"/>
              </w:rPr>
              <w:t>Output indicator</w:t>
            </w:r>
          </w:p>
          <w:p w:rsidR="005A44C7" w:rsidRDefault="005A44C7" w:rsidP="00DA481A">
            <w:pPr>
              <w:spacing w:before="120"/>
              <w:rPr>
                <w:rFonts w:ascii="Verdana" w:hAnsi="Verdana"/>
                <w:b/>
                <w:i/>
                <w:sz w:val="18"/>
                <w:szCs w:val="18"/>
              </w:rPr>
            </w:pPr>
          </w:p>
          <w:p w:rsidR="005A44C7" w:rsidRDefault="005A44C7" w:rsidP="00DA481A">
            <w:pPr>
              <w:spacing w:before="120"/>
              <w:rPr>
                <w:rFonts w:ascii="Verdana" w:hAnsi="Verdana"/>
                <w:b/>
                <w:i/>
                <w:sz w:val="18"/>
                <w:szCs w:val="18"/>
              </w:rPr>
            </w:pPr>
            <w:r>
              <w:rPr>
                <w:rFonts w:ascii="Verdana" w:hAnsi="Verdana"/>
                <w:b/>
                <w:i/>
                <w:sz w:val="18"/>
                <w:szCs w:val="18"/>
                <w:lang w:val="en-US"/>
              </w:rPr>
              <w:t>Total number of local stakeholders involved in URBACT networks activiities at local level (URBACT Local Support Groups Members)</w:t>
            </w:r>
          </w:p>
          <w:p w:rsidR="005A44C7" w:rsidRPr="003F234F" w:rsidRDefault="005A44C7" w:rsidP="00DA481A">
            <w:pPr>
              <w:spacing w:before="120"/>
              <w:rPr>
                <w:rFonts w:ascii="Verdana" w:hAnsi="Verdana"/>
                <w:b/>
                <w:i/>
                <w:sz w:val="18"/>
                <w:szCs w:val="18"/>
              </w:rPr>
            </w:pPr>
          </w:p>
        </w:tc>
        <w:tc>
          <w:tcPr>
            <w:tcW w:w="777" w:type="pct"/>
            <w:tcBorders>
              <w:top w:val="single" w:sz="4" w:space="0" w:color="auto"/>
              <w:left w:val="single" w:sz="4" w:space="0" w:color="auto"/>
              <w:bottom w:val="single" w:sz="4" w:space="0" w:color="auto"/>
              <w:right w:val="single" w:sz="4" w:space="0" w:color="auto"/>
            </w:tcBorders>
          </w:tcPr>
          <w:p w:rsidR="005A44C7" w:rsidRPr="003F234F" w:rsidRDefault="005A44C7" w:rsidP="00DA481A">
            <w:pPr>
              <w:spacing w:before="120" w:after="120"/>
              <w:ind w:right="566"/>
              <w:rPr>
                <w:rFonts w:ascii="Verdana" w:hAnsi="Verdana"/>
                <w:b/>
                <w:i/>
                <w:sz w:val="18"/>
                <w:szCs w:val="18"/>
              </w:rPr>
            </w:pPr>
            <w:r>
              <w:rPr>
                <w:rFonts w:ascii="Verdana" w:hAnsi="Verdana"/>
                <w:i/>
                <w:sz w:val="18"/>
                <w:szCs w:val="18"/>
              </w:rPr>
              <w:t>Numbers</w:t>
            </w:r>
            <w:r w:rsidRPr="003F234F">
              <w:rPr>
                <w:rFonts w:ascii="Verdana" w:hAnsi="Verdana"/>
                <w:i/>
                <w:sz w:val="18"/>
                <w:szCs w:val="18"/>
              </w:rPr>
              <w:t>d</w:t>
            </w:r>
          </w:p>
        </w:tc>
        <w:tc>
          <w:tcPr>
            <w:tcW w:w="919" w:type="pct"/>
            <w:tcBorders>
              <w:top w:val="single" w:sz="4" w:space="0" w:color="auto"/>
              <w:left w:val="single" w:sz="4" w:space="0" w:color="auto"/>
              <w:bottom w:val="single" w:sz="4" w:space="0" w:color="auto"/>
              <w:right w:val="single" w:sz="4" w:space="0" w:color="auto"/>
            </w:tcBorders>
          </w:tcPr>
          <w:p w:rsidR="005A44C7" w:rsidRPr="003F234F" w:rsidRDefault="005A44C7" w:rsidP="00DA481A">
            <w:pPr>
              <w:spacing w:before="120" w:after="120"/>
              <w:ind w:right="566"/>
              <w:rPr>
                <w:rFonts w:ascii="Verdana" w:hAnsi="Verdana"/>
                <w:i/>
                <w:sz w:val="18"/>
                <w:szCs w:val="18"/>
              </w:rPr>
            </w:pPr>
            <w:r>
              <w:rPr>
                <w:rFonts w:ascii="Verdana" w:hAnsi="Verdana"/>
                <w:i/>
                <w:sz w:val="18"/>
                <w:szCs w:val="18"/>
              </w:rPr>
              <w:t>1</w:t>
            </w:r>
            <w:r w:rsidRPr="003F234F">
              <w:rPr>
                <w:rFonts w:ascii="Verdana" w:hAnsi="Verdana"/>
                <w:i/>
                <w:sz w:val="18"/>
                <w:szCs w:val="18"/>
              </w:rPr>
              <w:t>70</w:t>
            </w:r>
            <w:r>
              <w:rPr>
                <w:rFonts w:ascii="Verdana" w:hAnsi="Verdana"/>
                <w:i/>
                <w:sz w:val="18"/>
                <w:szCs w:val="18"/>
              </w:rPr>
              <w:t>0</w:t>
            </w:r>
            <w:r w:rsidRPr="003F234F">
              <w:rPr>
                <w:rFonts w:ascii="Verdana" w:hAnsi="Verdana"/>
                <w:i/>
                <w:sz w:val="18"/>
                <w:szCs w:val="18"/>
              </w:rPr>
              <w:t xml:space="preserve"> </w:t>
            </w:r>
          </w:p>
          <w:p w:rsidR="005A44C7" w:rsidRPr="003F234F" w:rsidRDefault="005A44C7" w:rsidP="00DA481A">
            <w:pPr>
              <w:spacing w:before="120" w:after="120"/>
              <w:ind w:right="566"/>
              <w:rPr>
                <w:rFonts w:ascii="Verdana" w:hAnsi="Verdana"/>
                <w:i/>
                <w:sz w:val="18"/>
                <w:szCs w:val="18"/>
              </w:rPr>
            </w:pPr>
          </w:p>
        </w:tc>
        <w:tc>
          <w:tcPr>
            <w:tcW w:w="636" w:type="pct"/>
            <w:tcBorders>
              <w:top w:val="single" w:sz="4" w:space="0" w:color="auto"/>
              <w:left w:val="single" w:sz="4" w:space="0" w:color="auto"/>
              <w:bottom w:val="single" w:sz="4" w:space="0" w:color="auto"/>
              <w:right w:val="single" w:sz="4" w:space="0" w:color="auto"/>
            </w:tcBorders>
          </w:tcPr>
          <w:p w:rsidR="005A44C7" w:rsidRPr="003F234F" w:rsidRDefault="005A44C7" w:rsidP="00DA481A">
            <w:pPr>
              <w:spacing w:before="120"/>
              <w:rPr>
                <w:rFonts w:ascii="Verdana" w:hAnsi="Verdana"/>
                <w:i/>
                <w:sz w:val="18"/>
                <w:szCs w:val="18"/>
              </w:rPr>
            </w:pPr>
            <w:r>
              <w:rPr>
                <w:rFonts w:ascii="Verdana" w:hAnsi="Verdana"/>
                <w:i/>
                <w:sz w:val="18"/>
                <w:szCs w:val="18"/>
              </w:rPr>
              <w:t>6000</w:t>
            </w:r>
          </w:p>
          <w:p w:rsidR="005A44C7" w:rsidRPr="003F234F" w:rsidRDefault="005A44C7" w:rsidP="00DA481A">
            <w:pPr>
              <w:spacing w:before="120" w:after="120"/>
              <w:ind w:right="566"/>
              <w:rPr>
                <w:rFonts w:ascii="Verdana" w:hAnsi="Verdana"/>
                <w:i/>
                <w:sz w:val="18"/>
                <w:szCs w:val="18"/>
              </w:rPr>
            </w:pPr>
          </w:p>
        </w:tc>
        <w:tc>
          <w:tcPr>
            <w:tcW w:w="706" w:type="pct"/>
            <w:tcBorders>
              <w:top w:val="single" w:sz="4" w:space="0" w:color="auto"/>
              <w:left w:val="single" w:sz="4" w:space="0" w:color="auto"/>
              <w:bottom w:val="single" w:sz="4" w:space="0" w:color="auto"/>
              <w:right w:val="single" w:sz="4" w:space="0" w:color="auto"/>
            </w:tcBorders>
          </w:tcPr>
          <w:p w:rsidR="005A44C7" w:rsidRPr="003F234F" w:rsidRDefault="005A44C7" w:rsidP="00DA481A">
            <w:pPr>
              <w:spacing w:before="120" w:after="120"/>
              <w:ind w:right="566"/>
              <w:rPr>
                <w:rFonts w:ascii="Verdana" w:hAnsi="Verdana"/>
                <w:b/>
                <w:i/>
                <w:sz w:val="18"/>
                <w:szCs w:val="18"/>
              </w:rPr>
            </w:pPr>
            <w:r>
              <w:rPr>
                <w:rFonts w:ascii="Verdana" w:hAnsi="Verdana"/>
                <w:i/>
                <w:sz w:val="18"/>
                <w:szCs w:val="18"/>
              </w:rPr>
              <w:t>Programme monitoring</w:t>
            </w:r>
            <w:r w:rsidRPr="003F234F" w:rsidDel="006641E5">
              <w:rPr>
                <w:rFonts w:ascii="Verdana" w:hAnsi="Verdana"/>
                <w:i/>
                <w:sz w:val="18"/>
                <w:szCs w:val="18"/>
              </w:rPr>
              <w:t xml:space="preserve"> </w:t>
            </w:r>
          </w:p>
        </w:tc>
        <w:tc>
          <w:tcPr>
            <w:tcW w:w="975" w:type="pct"/>
            <w:tcBorders>
              <w:top w:val="single" w:sz="4" w:space="0" w:color="auto"/>
              <w:left w:val="single" w:sz="4" w:space="0" w:color="auto"/>
              <w:bottom w:val="single" w:sz="4" w:space="0" w:color="auto"/>
              <w:right w:val="single" w:sz="4" w:space="0" w:color="auto"/>
            </w:tcBorders>
          </w:tcPr>
          <w:p w:rsidR="005A44C7" w:rsidRPr="002618C9" w:rsidRDefault="005A44C7" w:rsidP="00DA481A">
            <w:pPr>
              <w:spacing w:before="120" w:after="120"/>
              <w:ind w:right="-108"/>
              <w:rPr>
                <w:rFonts w:ascii="Verdana" w:hAnsi="Verdana"/>
                <w:i/>
                <w:sz w:val="18"/>
                <w:szCs w:val="18"/>
              </w:rPr>
            </w:pPr>
            <w:r>
              <w:rPr>
                <w:rFonts w:ascii="Verdana" w:hAnsi="Verdana"/>
                <w:i/>
                <w:sz w:val="18"/>
                <w:szCs w:val="18"/>
              </w:rPr>
              <w:t>The indicator is tracking a key element (URBACT Local Support Groups) of the</w:t>
            </w:r>
            <w:r w:rsidRPr="002618C9">
              <w:rPr>
                <w:rFonts w:ascii="Verdana" w:hAnsi="Verdana"/>
                <w:i/>
                <w:sz w:val="18"/>
                <w:szCs w:val="18"/>
              </w:rPr>
              <w:t xml:space="preserve"> exchange activit</w:t>
            </w:r>
            <w:r>
              <w:rPr>
                <w:rFonts w:ascii="Verdana" w:hAnsi="Verdana"/>
                <w:i/>
                <w:sz w:val="18"/>
                <w:szCs w:val="18"/>
              </w:rPr>
              <w:t>ies which mobilize more than half of the budget of total budget</w:t>
            </w:r>
            <w:r w:rsidRPr="002618C9">
              <w:rPr>
                <w:rFonts w:ascii="Verdana" w:hAnsi="Verdana"/>
                <w:i/>
                <w:sz w:val="18"/>
                <w:szCs w:val="18"/>
              </w:rPr>
              <w:t xml:space="preserve"> </w:t>
            </w:r>
            <w:r>
              <w:rPr>
                <w:rFonts w:ascii="Verdana" w:hAnsi="Verdana"/>
                <w:i/>
                <w:sz w:val="18"/>
                <w:szCs w:val="18"/>
              </w:rPr>
              <w:t>of the programme</w:t>
            </w:r>
          </w:p>
          <w:p w:rsidR="005A44C7" w:rsidRPr="003F234F" w:rsidRDefault="005A44C7" w:rsidP="00DA481A">
            <w:pPr>
              <w:spacing w:before="120" w:after="120"/>
              <w:ind w:right="-108"/>
              <w:rPr>
                <w:rFonts w:ascii="Verdana" w:hAnsi="Verdana"/>
                <w:i/>
                <w:sz w:val="18"/>
                <w:szCs w:val="18"/>
              </w:rPr>
            </w:pPr>
          </w:p>
        </w:tc>
      </w:tr>
    </w:tbl>
    <w:p w:rsidR="004C4BB9" w:rsidRDefault="005A44C7" w:rsidP="00E5202D">
      <w:pPr>
        <w:ind w:right="566"/>
        <w:jc w:val="both"/>
        <w:rPr>
          <w:rFonts w:ascii="Verdana" w:hAnsi="Verdana"/>
          <w:b/>
          <w:bCs/>
        </w:rPr>
      </w:pPr>
      <w:r w:rsidRPr="004F5F2B">
        <w:rPr>
          <w:rFonts w:ascii="Verdana" w:hAnsi="Verdana"/>
          <w:b/>
          <w:vanish/>
        </w:rPr>
        <w:cr/>
      </w:r>
    </w:p>
    <w:p w:rsidR="00817B82" w:rsidRPr="004F5F2B" w:rsidRDefault="007B5752" w:rsidP="00627420">
      <w:pPr>
        <w:pStyle w:val="Nagwek2"/>
      </w:pPr>
      <w:bookmarkStart w:id="67" w:name="_Toc401325830"/>
      <w:r>
        <w:t>9.3.</w:t>
      </w:r>
      <w:r>
        <w:tab/>
      </w:r>
      <w:r w:rsidR="00817B82" w:rsidRPr="004F5F2B">
        <w:t>List of relevant partners involved in the preparation of the cooperation programme</w:t>
      </w:r>
      <w:bookmarkEnd w:id="67"/>
    </w:p>
    <w:p w:rsidR="00E16C58" w:rsidRPr="00C82E8B" w:rsidRDefault="00F54AEA" w:rsidP="004C4BB9">
      <w:pPr>
        <w:spacing w:after="180" w:line="276" w:lineRule="auto"/>
        <w:jc w:val="both"/>
        <w:rPr>
          <w:rFonts w:ascii="Verdana" w:hAnsi="Verdana"/>
          <w:sz w:val="22"/>
          <w:szCs w:val="22"/>
        </w:rPr>
      </w:pPr>
      <w:r w:rsidRPr="00C82E8B">
        <w:rPr>
          <w:rFonts w:ascii="Verdana" w:hAnsi="Verdana"/>
          <w:sz w:val="22"/>
          <w:szCs w:val="22"/>
        </w:rPr>
        <w:t>The main partners involved in the preparation were the Member States, the cities and the EU level organizations concerned by urban and territorial development as well as the 3 other Interregional Territorial Cooperation programmes</w:t>
      </w:r>
      <w:r w:rsidR="00E16C58" w:rsidRPr="00C82E8B">
        <w:rPr>
          <w:rFonts w:ascii="Verdana" w:hAnsi="Verdana"/>
          <w:sz w:val="22"/>
          <w:szCs w:val="22"/>
        </w:rPr>
        <w:t>.</w:t>
      </w:r>
    </w:p>
    <w:p w:rsidR="00F54AEA" w:rsidRPr="00C82E8B" w:rsidRDefault="00F54AEA" w:rsidP="004C4BB9">
      <w:pPr>
        <w:autoSpaceDE w:val="0"/>
        <w:autoSpaceDN w:val="0"/>
        <w:adjustRightInd w:val="0"/>
        <w:spacing w:after="180" w:line="276" w:lineRule="auto"/>
        <w:jc w:val="both"/>
        <w:rPr>
          <w:rFonts w:ascii="Verdana" w:hAnsi="Verdana"/>
          <w:sz w:val="22"/>
          <w:szCs w:val="22"/>
        </w:rPr>
      </w:pPr>
      <w:r w:rsidRPr="00C82E8B">
        <w:rPr>
          <w:rFonts w:ascii="Verdana" w:hAnsi="Verdana"/>
          <w:sz w:val="22"/>
          <w:szCs w:val="22"/>
        </w:rPr>
        <w:t xml:space="preserve">Concerning the EU level organisation and Interregional Territorial Cooperation Programmes, the following partners were specifically involved: Committee of the Regions (CoR), </w:t>
      </w:r>
      <w:r w:rsidRPr="00C82E8B">
        <w:rPr>
          <w:rFonts w:ascii="Verdana" w:hAnsi="Verdana"/>
          <w:bCs/>
          <w:sz w:val="22"/>
          <w:szCs w:val="22"/>
        </w:rPr>
        <w:t>Council of European Municipalities and Regions</w:t>
      </w:r>
      <w:r w:rsidRPr="00C82E8B">
        <w:rPr>
          <w:rFonts w:ascii="Verdana" w:hAnsi="Verdana"/>
          <w:sz w:val="22"/>
          <w:szCs w:val="22"/>
        </w:rPr>
        <w:t xml:space="preserve"> (CEMR), Eurocities, Energy Cities, Eurotowns, CECODAHS, ICLEI, </w:t>
      </w:r>
      <w:r w:rsidRPr="00C82E8B">
        <w:rPr>
          <w:rFonts w:ascii="Verdana" w:hAnsi="Verdana" w:cs="Calibri"/>
          <w:color w:val="000000"/>
          <w:sz w:val="22"/>
          <w:szCs w:val="22"/>
        </w:rPr>
        <w:t xml:space="preserve">Association of Architects and urban planners, </w:t>
      </w:r>
      <w:r w:rsidR="0073002B">
        <w:rPr>
          <w:rFonts w:ascii="Verdana" w:hAnsi="Verdana" w:cs="Calibri"/>
          <w:color w:val="000000"/>
          <w:sz w:val="22"/>
          <w:szCs w:val="22"/>
        </w:rPr>
        <w:t>European Urban Knowledge Network EGTC Ltd (</w:t>
      </w:r>
      <w:r w:rsidRPr="00C82E8B">
        <w:rPr>
          <w:rFonts w:ascii="Verdana" w:hAnsi="Verdana" w:cs="Calibri"/>
          <w:color w:val="000000"/>
          <w:sz w:val="22"/>
          <w:szCs w:val="22"/>
        </w:rPr>
        <w:t>EUKN</w:t>
      </w:r>
      <w:r w:rsidR="0073002B">
        <w:rPr>
          <w:rFonts w:ascii="Verdana" w:hAnsi="Verdana" w:cs="Calibri"/>
          <w:color w:val="000000"/>
          <w:sz w:val="22"/>
          <w:szCs w:val="22"/>
        </w:rPr>
        <w:t>)</w:t>
      </w:r>
      <w:r w:rsidRPr="00C82E8B">
        <w:rPr>
          <w:rFonts w:ascii="Verdana" w:hAnsi="Verdana" w:cs="Calibri"/>
          <w:color w:val="000000"/>
          <w:sz w:val="22"/>
          <w:szCs w:val="22"/>
        </w:rPr>
        <w:t xml:space="preserve">, Healthy Cities, Mission Opérationnelle Transfrontalière (MOT), Cities for Mobility, POLIS, ESPON, JPI Urban Europe, European Environmental Agency, European </w:t>
      </w:r>
      <w:r w:rsidR="0029014E" w:rsidRPr="00C82E8B">
        <w:rPr>
          <w:rFonts w:ascii="Verdana" w:hAnsi="Verdana" w:cs="Calibri"/>
          <w:color w:val="000000"/>
          <w:sz w:val="22"/>
          <w:szCs w:val="22"/>
        </w:rPr>
        <w:t>Anti-Poverty</w:t>
      </w:r>
      <w:r w:rsidRPr="00C82E8B">
        <w:rPr>
          <w:rFonts w:ascii="Verdana" w:hAnsi="Verdana" w:cs="Calibri"/>
          <w:color w:val="000000"/>
          <w:sz w:val="22"/>
          <w:szCs w:val="22"/>
        </w:rPr>
        <w:t xml:space="preserve"> Network (EAPN), INTERACT, INTERREG IV C, Cooperation Network of European Mid-Size Towns and Cities, EURA, AESOP  Planning EU,  International Urban Food Network (IUFN)</w:t>
      </w:r>
      <w:r w:rsidRPr="00C82E8B">
        <w:rPr>
          <w:rFonts w:ascii="Verdana" w:hAnsi="Verdana"/>
          <w:sz w:val="22"/>
          <w:szCs w:val="22"/>
        </w:rPr>
        <w:t>.</w:t>
      </w:r>
    </w:p>
    <w:p w:rsidR="00F54AEA" w:rsidRPr="00C82E8B" w:rsidRDefault="00F54AEA" w:rsidP="004C4BB9">
      <w:pPr>
        <w:spacing w:after="180" w:line="276" w:lineRule="auto"/>
        <w:rPr>
          <w:rFonts w:ascii="Verdana" w:hAnsi="Verdana"/>
          <w:sz w:val="22"/>
          <w:szCs w:val="22"/>
        </w:rPr>
      </w:pPr>
    </w:p>
    <w:p w:rsidR="00F54AEA" w:rsidRPr="004F5F2B" w:rsidRDefault="007B5752" w:rsidP="00627420">
      <w:pPr>
        <w:pStyle w:val="Nagwek2"/>
      </w:pPr>
      <w:bookmarkStart w:id="68" w:name="_Toc401325831"/>
      <w:r>
        <w:t>9.4.</w:t>
      </w:r>
      <w:r>
        <w:tab/>
      </w:r>
      <w:r w:rsidR="00F54AEA" w:rsidRPr="004F5F2B">
        <w:t>Applicable programme implementation conditions governing for the participation of third countries through a contribution of ENI and IPA resources</w:t>
      </w:r>
      <w:bookmarkEnd w:id="68"/>
    </w:p>
    <w:p w:rsidR="00F54AEA" w:rsidRPr="00585630" w:rsidRDefault="00192BF2" w:rsidP="00585630">
      <w:pPr>
        <w:rPr>
          <w:rFonts w:ascii="Arial" w:hAnsi="Arial" w:cs="Arial"/>
        </w:rPr>
      </w:pPr>
      <w:r w:rsidRPr="00585630">
        <w:rPr>
          <w:rFonts w:ascii="Arial" w:hAnsi="Arial" w:cs="Arial"/>
        </w:rPr>
        <w:t xml:space="preserve">Not applicable to URBACT </w:t>
      </w:r>
    </w:p>
    <w:p w:rsidR="00817B82" w:rsidRPr="004F5F2B" w:rsidRDefault="00817B82" w:rsidP="00817B82"/>
    <w:p w:rsidR="00F54AEA" w:rsidRPr="004F5F2B" w:rsidRDefault="00F54AEA" w:rsidP="00817B82"/>
    <w:p w:rsidR="004B01BB" w:rsidRDefault="004B01BB">
      <w:r>
        <w:br w:type="page"/>
      </w:r>
    </w:p>
    <w:p w:rsidR="00F54AEA" w:rsidRPr="004F5F2B" w:rsidRDefault="00F54AEA" w:rsidP="00817B82"/>
    <w:p w:rsidR="00F54AEA" w:rsidRPr="004F5F2B" w:rsidRDefault="00F54AEA" w:rsidP="00817B82"/>
    <w:p w:rsidR="00F54AEA" w:rsidRPr="004F5F2B" w:rsidRDefault="00F54AEA" w:rsidP="00817B82"/>
    <w:p w:rsidR="00F54AEA" w:rsidRPr="004F5F2B" w:rsidRDefault="00F54AEA" w:rsidP="00817B82"/>
    <w:p w:rsidR="00F54AEA" w:rsidRPr="004F5F2B" w:rsidRDefault="00F54AEA" w:rsidP="00817B82"/>
    <w:p w:rsidR="00817B82" w:rsidRPr="004F5F2B" w:rsidRDefault="00817B82" w:rsidP="00817B82"/>
    <w:p w:rsidR="00F54AEA" w:rsidRPr="004F5F2B" w:rsidRDefault="00F54AEA" w:rsidP="00817B82"/>
    <w:p w:rsidR="00817B82" w:rsidRPr="004F5F2B" w:rsidRDefault="00817B82" w:rsidP="00817B82"/>
    <w:p w:rsidR="00466221" w:rsidRPr="004F5F2B" w:rsidRDefault="00466221" w:rsidP="00466221">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p>
    <w:p w:rsidR="00466221" w:rsidRPr="004F5F2B" w:rsidRDefault="00466221" w:rsidP="00466221">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p>
    <w:p w:rsidR="00466221" w:rsidRPr="004F5F2B" w:rsidRDefault="00466221" w:rsidP="00466221">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rPr>
      </w:pPr>
    </w:p>
    <w:p w:rsidR="00466221" w:rsidRPr="00403EA5" w:rsidRDefault="00466221" w:rsidP="00466221">
      <w:pPr>
        <w:pBdr>
          <w:top w:val="single" w:sz="4" w:space="1" w:color="auto" w:shadow="1"/>
          <w:left w:val="single" w:sz="4" w:space="4" w:color="auto" w:shadow="1"/>
          <w:bottom w:val="single" w:sz="4" w:space="1" w:color="auto" w:shadow="1"/>
          <w:right w:val="single" w:sz="4" w:space="4" w:color="auto" w:shadow="1"/>
        </w:pBdr>
        <w:spacing w:before="60"/>
        <w:jc w:val="center"/>
        <w:rPr>
          <w:rFonts w:ascii="Verdana" w:hAnsi="Verdana"/>
          <w:b/>
          <w:bCs/>
          <w:sz w:val="36"/>
          <w:szCs w:val="36"/>
        </w:rPr>
      </w:pPr>
      <w:r w:rsidRPr="00403EA5">
        <w:rPr>
          <w:rFonts w:ascii="Verdana" w:hAnsi="Verdana"/>
          <w:b/>
          <w:sz w:val="36"/>
          <w:szCs w:val="36"/>
        </w:rPr>
        <w:t>Annexes</w:t>
      </w:r>
    </w:p>
    <w:p w:rsidR="00466221" w:rsidRPr="00403EA5" w:rsidRDefault="00466221" w:rsidP="00466221">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1F0EC4" w:rsidRPr="00403EA5" w:rsidRDefault="001F0EC4" w:rsidP="00466221">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466221" w:rsidRPr="00403EA5" w:rsidRDefault="00466221" w:rsidP="00466221">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466221" w:rsidRPr="00403EA5" w:rsidRDefault="00466221" w:rsidP="00466221">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r w:rsidRPr="00403EA5">
        <w:rPr>
          <w:rFonts w:ascii="Verdana" w:hAnsi="Verdana"/>
          <w:b/>
          <w:bCs/>
        </w:rPr>
        <w:t>Annex 1</w:t>
      </w:r>
      <w:r w:rsidRPr="00403EA5">
        <w:rPr>
          <w:rFonts w:ascii="Verdana" w:hAnsi="Verdana"/>
          <w:b/>
          <w:bCs/>
        </w:rPr>
        <w:tab/>
      </w:r>
      <w:r w:rsidRPr="00403EA5">
        <w:rPr>
          <w:rFonts w:ascii="Verdana" w:hAnsi="Verdana"/>
          <w:b/>
          <w:bCs/>
        </w:rPr>
        <w:tab/>
        <w:t>Ex-Ante Evaluation Report</w:t>
      </w:r>
    </w:p>
    <w:p w:rsidR="00466221" w:rsidRPr="00403EA5" w:rsidRDefault="00466221" w:rsidP="00466221">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1F0EC4" w:rsidRPr="00403EA5" w:rsidRDefault="001F0EC4" w:rsidP="00466221">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466221" w:rsidRPr="004F5F2B" w:rsidRDefault="00466221" w:rsidP="00466221">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r w:rsidRPr="004F5F2B">
        <w:rPr>
          <w:rFonts w:ascii="Verdana" w:hAnsi="Verdana"/>
          <w:b/>
          <w:bCs/>
        </w:rPr>
        <w:t>Annex 2</w:t>
      </w:r>
      <w:r w:rsidRPr="004F5F2B">
        <w:rPr>
          <w:rFonts w:ascii="Verdana" w:hAnsi="Verdana"/>
          <w:b/>
          <w:bCs/>
        </w:rPr>
        <w:tab/>
      </w:r>
      <w:r w:rsidRPr="004F5F2B">
        <w:rPr>
          <w:rFonts w:ascii="Verdana" w:hAnsi="Verdana"/>
          <w:b/>
          <w:bCs/>
        </w:rPr>
        <w:tab/>
        <w:t>Member and Partner States Agreement</w:t>
      </w:r>
    </w:p>
    <w:p w:rsidR="00466221" w:rsidRPr="004F5F2B" w:rsidRDefault="00466221" w:rsidP="00466221">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1F0EC4" w:rsidRPr="004F5F2B" w:rsidRDefault="001F0EC4" w:rsidP="00466221">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291F43" w:rsidRPr="00346F27" w:rsidRDefault="00291F43" w:rsidP="00291F43">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r w:rsidRPr="001853C6">
        <w:rPr>
          <w:rFonts w:ascii="Verdana" w:hAnsi="Verdana"/>
          <w:b/>
          <w:bCs/>
        </w:rPr>
        <w:t xml:space="preserve">Annex </w:t>
      </w:r>
      <w:r>
        <w:rPr>
          <w:rFonts w:ascii="Verdana" w:hAnsi="Verdana"/>
          <w:b/>
          <w:bCs/>
        </w:rPr>
        <w:t>3</w:t>
      </w:r>
      <w:r w:rsidRPr="001853C6">
        <w:rPr>
          <w:rFonts w:ascii="Verdana" w:hAnsi="Verdana"/>
          <w:b/>
          <w:bCs/>
        </w:rPr>
        <w:tab/>
      </w:r>
      <w:r w:rsidRPr="001853C6">
        <w:rPr>
          <w:rFonts w:ascii="Verdana" w:hAnsi="Verdana"/>
          <w:b/>
          <w:bCs/>
        </w:rPr>
        <w:tab/>
        <w:t>Strategic Environmental Assessment</w:t>
      </w:r>
    </w:p>
    <w:p w:rsidR="00291F43" w:rsidRDefault="00291F43" w:rsidP="00291F43">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E5202D" w:rsidRDefault="00E5202D" w:rsidP="00291F43">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291F43" w:rsidRDefault="00291F43" w:rsidP="00291F43">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r>
        <w:rPr>
          <w:rFonts w:ascii="Verdana" w:hAnsi="Verdana"/>
          <w:b/>
          <w:bCs/>
        </w:rPr>
        <w:t>Annex 4</w:t>
      </w:r>
      <w:r>
        <w:rPr>
          <w:rFonts w:ascii="Verdana" w:hAnsi="Verdana"/>
          <w:b/>
          <w:bCs/>
        </w:rPr>
        <w:tab/>
      </w:r>
      <w:r>
        <w:rPr>
          <w:rFonts w:ascii="Verdana" w:hAnsi="Verdana"/>
          <w:b/>
          <w:bCs/>
        </w:rPr>
        <w:tab/>
        <w:t>Member and Partner States Contributions</w:t>
      </w:r>
    </w:p>
    <w:p w:rsidR="00291F43" w:rsidRDefault="00291F43" w:rsidP="00291F43">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E5202D" w:rsidRPr="00346F27" w:rsidRDefault="00E5202D" w:rsidP="00291F43">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466221" w:rsidRPr="004F5F2B" w:rsidRDefault="00BF5FB8" w:rsidP="00466221">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r w:rsidRPr="00BF5FB8">
        <w:rPr>
          <w:rFonts w:ascii="Verdana" w:hAnsi="Verdana"/>
          <w:b/>
          <w:bCs/>
        </w:rPr>
        <w:t>Annex 5</w:t>
      </w:r>
      <w:r w:rsidRPr="00BF5FB8">
        <w:rPr>
          <w:rFonts w:ascii="Verdana" w:hAnsi="Verdana"/>
          <w:b/>
          <w:bCs/>
        </w:rPr>
        <w:tab/>
      </w:r>
      <w:r w:rsidRPr="00BF5FB8">
        <w:rPr>
          <w:rFonts w:ascii="Verdana" w:hAnsi="Verdana"/>
          <w:b/>
          <w:bCs/>
        </w:rPr>
        <w:tab/>
        <w:t>Map of the Programme Area</w:t>
      </w:r>
      <w:r w:rsidR="00466221" w:rsidRPr="004F5F2B">
        <w:rPr>
          <w:rFonts w:ascii="Verdana" w:hAnsi="Verdana"/>
          <w:b/>
          <w:bCs/>
        </w:rPr>
        <w:t xml:space="preserve"> </w:t>
      </w:r>
    </w:p>
    <w:p w:rsidR="00466221" w:rsidRPr="004F5F2B" w:rsidRDefault="00466221" w:rsidP="00466221">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1F0EC4" w:rsidRPr="004F5F2B" w:rsidRDefault="001F0EC4" w:rsidP="00466221">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1D79FC" w:rsidRPr="001D79FC" w:rsidRDefault="001D79FC" w:rsidP="00466221">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466221" w:rsidRPr="001D79FC" w:rsidRDefault="00466221" w:rsidP="00466221">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eastAsia="Calibri" w:hAnsi="Verdana"/>
          <w:b/>
          <w:bCs/>
          <w:sz w:val="22"/>
          <w:szCs w:val="22"/>
          <w:lang w:eastAsia="en-US"/>
        </w:rPr>
      </w:pPr>
    </w:p>
    <w:p w:rsidR="001F0EC4" w:rsidRPr="001D79FC" w:rsidRDefault="001F0EC4" w:rsidP="00466221">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eastAsia="Calibri" w:hAnsi="Verdana"/>
          <w:b/>
          <w:bCs/>
          <w:sz w:val="22"/>
          <w:szCs w:val="22"/>
          <w:lang w:eastAsia="en-US"/>
        </w:rPr>
      </w:pPr>
    </w:p>
    <w:p w:rsidR="00466221" w:rsidRPr="001D79FC" w:rsidRDefault="00466221" w:rsidP="00466221">
      <w:pPr>
        <w:pBdr>
          <w:top w:val="single" w:sz="4" w:space="1" w:color="auto" w:shadow="1"/>
          <w:left w:val="single" w:sz="4" w:space="4" w:color="auto" w:shadow="1"/>
          <w:bottom w:val="single" w:sz="4" w:space="1" w:color="auto" w:shadow="1"/>
          <w:right w:val="single" w:sz="4" w:space="4" w:color="auto" w:shadow="1"/>
        </w:pBdr>
        <w:spacing w:before="60"/>
        <w:jc w:val="both"/>
        <w:rPr>
          <w:rFonts w:ascii="Verdana" w:hAnsi="Verdana"/>
          <w:b/>
          <w:bCs/>
        </w:rPr>
      </w:pPr>
    </w:p>
    <w:p w:rsidR="00466221" w:rsidRPr="001D79FC" w:rsidRDefault="00466221" w:rsidP="00466221">
      <w:pPr>
        <w:spacing w:after="200" w:line="276" w:lineRule="auto"/>
        <w:rPr>
          <w:rFonts w:ascii="Arial" w:hAnsi="Arial" w:cs="Arial"/>
          <w:color w:val="1F497D"/>
        </w:rPr>
      </w:pPr>
    </w:p>
    <w:p w:rsidR="00DB7DC7" w:rsidRPr="001D79FC" w:rsidRDefault="00DB7DC7" w:rsidP="00DB7DC7">
      <w:pPr>
        <w:spacing w:before="100" w:beforeAutospacing="1" w:after="100" w:afterAutospacing="1"/>
        <w:rPr>
          <w:rFonts w:ascii="Arial" w:hAnsi="Arial" w:cs="Arial"/>
          <w:color w:val="1F497D"/>
        </w:rPr>
      </w:pPr>
    </w:p>
    <w:p w:rsidR="00A720B1" w:rsidRPr="001D79FC" w:rsidRDefault="00185F6E">
      <w:pPr>
        <w:spacing w:after="200" w:line="276" w:lineRule="auto"/>
        <w:rPr>
          <w:rFonts w:ascii="Arial" w:hAnsi="Arial" w:cs="Arial"/>
          <w:color w:val="1F497D"/>
        </w:rPr>
      </w:pPr>
      <w:r w:rsidRPr="00185F6E">
        <w:rPr>
          <w:rFonts w:ascii="Arial" w:hAnsi="Arial" w:cs="Arial"/>
          <w:color w:val="1F497D"/>
        </w:rPr>
        <w:br w:type="page"/>
      </w:r>
    </w:p>
    <w:p w:rsidR="00A720B1" w:rsidRPr="00346F27" w:rsidRDefault="001853C6" w:rsidP="00D670AA">
      <w:pPr>
        <w:pStyle w:val="Nagwek2"/>
      </w:pPr>
      <w:bookmarkStart w:id="69" w:name="_Toc401325832"/>
      <w:r w:rsidRPr="001853C6">
        <w:t>ANNEX 1 Ex-Ante Evaluation Report</w:t>
      </w:r>
      <w:bookmarkEnd w:id="69"/>
    </w:p>
    <w:p w:rsidR="00A720B1" w:rsidRPr="00346F27" w:rsidRDefault="00A720B1" w:rsidP="00DB7DC7">
      <w:pPr>
        <w:spacing w:before="100" w:beforeAutospacing="1" w:after="100" w:afterAutospacing="1"/>
      </w:pPr>
    </w:p>
    <w:p w:rsidR="00466221" w:rsidRPr="00346F27" w:rsidRDefault="00466221" w:rsidP="00DB7DC7">
      <w:pPr>
        <w:spacing w:before="100" w:beforeAutospacing="1" w:after="100" w:afterAutospacing="1"/>
      </w:pPr>
    </w:p>
    <w:p w:rsidR="00466221" w:rsidRPr="00346F27" w:rsidRDefault="00466221" w:rsidP="00DB7DC7">
      <w:pPr>
        <w:spacing w:before="100" w:beforeAutospacing="1" w:after="100" w:afterAutospacing="1"/>
      </w:pPr>
    </w:p>
    <w:p w:rsidR="00466221" w:rsidRPr="00346F27" w:rsidRDefault="00466221" w:rsidP="00DB7DC7">
      <w:pPr>
        <w:spacing w:before="100" w:beforeAutospacing="1" w:after="100" w:afterAutospacing="1"/>
      </w:pPr>
    </w:p>
    <w:p w:rsidR="00466221" w:rsidRPr="00346F27" w:rsidRDefault="00466221" w:rsidP="00DB7DC7">
      <w:pPr>
        <w:spacing w:before="100" w:beforeAutospacing="1" w:after="100" w:afterAutospacing="1"/>
      </w:pPr>
    </w:p>
    <w:p w:rsidR="00466221" w:rsidRPr="00346F27" w:rsidRDefault="00466221" w:rsidP="00DB7DC7">
      <w:pPr>
        <w:spacing w:before="100" w:beforeAutospacing="1" w:after="100" w:afterAutospacing="1"/>
      </w:pPr>
    </w:p>
    <w:p w:rsidR="00DB7DC7" w:rsidRPr="00346F27" w:rsidRDefault="00DB7DC7" w:rsidP="0099587B">
      <w:pPr>
        <w:rPr>
          <w:rFonts w:eastAsia="Arial"/>
        </w:rPr>
      </w:pPr>
    </w:p>
    <w:p w:rsidR="00DB7DC7" w:rsidRPr="00346F27" w:rsidRDefault="00DB7DC7" w:rsidP="0099587B">
      <w:pPr>
        <w:rPr>
          <w:rFonts w:eastAsia="Arial"/>
        </w:rPr>
      </w:pPr>
    </w:p>
    <w:p w:rsidR="00DB7DC7" w:rsidRPr="00346F27" w:rsidRDefault="00DB7DC7" w:rsidP="0099587B">
      <w:pPr>
        <w:rPr>
          <w:rFonts w:eastAsia="Arial"/>
        </w:rPr>
      </w:pPr>
    </w:p>
    <w:p w:rsidR="00B438B7" w:rsidRPr="00346F27" w:rsidRDefault="00B438B7" w:rsidP="0099587B">
      <w:pPr>
        <w:rPr>
          <w:rFonts w:eastAsia="Arial"/>
        </w:rPr>
      </w:pPr>
    </w:p>
    <w:p w:rsidR="00B438B7" w:rsidRPr="00346F27" w:rsidRDefault="00B438B7" w:rsidP="0099587B">
      <w:pPr>
        <w:rPr>
          <w:rFonts w:eastAsia="Arial"/>
        </w:rPr>
      </w:pPr>
    </w:p>
    <w:p w:rsidR="009400AD" w:rsidRPr="00346F27" w:rsidRDefault="009400AD" w:rsidP="000265F1"/>
    <w:p w:rsidR="00A720B1" w:rsidRPr="00346F27" w:rsidRDefault="00A720B1" w:rsidP="000265F1"/>
    <w:p w:rsidR="00A720B1" w:rsidRPr="00346F27" w:rsidRDefault="001853C6">
      <w:pPr>
        <w:spacing w:after="200" w:line="276" w:lineRule="auto"/>
      </w:pPr>
      <w:r w:rsidRPr="001853C6">
        <w:br w:type="page"/>
      </w:r>
    </w:p>
    <w:p w:rsidR="00A720B1" w:rsidRPr="00A97643" w:rsidRDefault="00A720B1" w:rsidP="00D670AA">
      <w:pPr>
        <w:pStyle w:val="Nagwek2"/>
      </w:pPr>
      <w:bookmarkStart w:id="70" w:name="_Toc401325833"/>
      <w:r w:rsidRPr="00A97643">
        <w:t>ANNEX 2 Member and Partner States Agreement</w:t>
      </w:r>
      <w:bookmarkEnd w:id="70"/>
    </w:p>
    <w:p w:rsidR="00A720B1" w:rsidRPr="00A97643" w:rsidRDefault="00A720B1" w:rsidP="00A720B1">
      <w:pPr>
        <w:pStyle w:val="Nagwek"/>
        <w:ind w:right="134" w:firstLine="709"/>
      </w:pPr>
      <w:r w:rsidRPr="00A97643">
        <w:object w:dxaOrig="3600" w:dyaOrig="1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5pt;height:51.75pt" o:ole="">
            <v:imagedata r:id="rId33" o:title=""/>
          </v:shape>
          <o:OLEObject Type="Embed" ProgID="MSPhotoEd.3" ShapeID="_x0000_i1025" DrawAspect="Content" ObjectID="_1482314643" r:id="rId34"/>
        </w:object>
      </w:r>
    </w:p>
    <w:p w:rsidR="00A720B1" w:rsidRPr="00403EA5" w:rsidRDefault="00A720B1" w:rsidP="00A720B1">
      <w:pPr>
        <w:jc w:val="center"/>
        <w:rPr>
          <w:rFonts w:ascii="Verdana" w:hAnsi="Verdana"/>
          <w:b/>
          <w:sz w:val="22"/>
          <w:szCs w:val="22"/>
        </w:rPr>
      </w:pPr>
      <w:r w:rsidRPr="00403EA5">
        <w:rPr>
          <w:rFonts w:ascii="Verdana" w:hAnsi="Verdana"/>
          <w:b/>
          <w:sz w:val="22"/>
          <w:szCs w:val="22"/>
        </w:rPr>
        <w:t xml:space="preserve">URBACT III European Territorial Cooperation programme </w:t>
      </w:r>
    </w:p>
    <w:p w:rsidR="00A720B1" w:rsidRPr="00403EA5" w:rsidRDefault="00A720B1" w:rsidP="00A720B1">
      <w:pPr>
        <w:jc w:val="center"/>
        <w:rPr>
          <w:rFonts w:ascii="Verdana" w:hAnsi="Verdana"/>
          <w:b/>
          <w:sz w:val="22"/>
          <w:szCs w:val="22"/>
        </w:rPr>
      </w:pPr>
      <w:r w:rsidRPr="00403EA5">
        <w:rPr>
          <w:rFonts w:ascii="Verdana" w:hAnsi="Verdana"/>
          <w:b/>
          <w:sz w:val="22"/>
          <w:szCs w:val="22"/>
        </w:rPr>
        <w:t xml:space="preserve">Member State Agreement </w:t>
      </w:r>
    </w:p>
    <w:p w:rsidR="00A720B1" w:rsidRPr="00A97643" w:rsidRDefault="00A720B1" w:rsidP="00A720B1">
      <w:pPr>
        <w:jc w:val="both"/>
      </w:pPr>
    </w:p>
    <w:p w:rsidR="00403EA5" w:rsidRPr="00A344CC" w:rsidRDefault="00403EA5" w:rsidP="00403EA5">
      <w:pPr>
        <w:jc w:val="both"/>
        <w:rPr>
          <w:rFonts w:ascii="Verdana" w:hAnsi="Verdana" w:cs="Arial"/>
          <w:bCs/>
          <w:color w:val="000000"/>
          <w:sz w:val="22"/>
          <w:szCs w:val="22"/>
        </w:rPr>
      </w:pPr>
      <w:r w:rsidRPr="00A344CC">
        <w:rPr>
          <w:rFonts w:ascii="Verdana" w:hAnsi="Verdana" w:cs="Arial"/>
          <w:bCs/>
          <w:color w:val="000000"/>
          <w:sz w:val="22"/>
          <w:szCs w:val="22"/>
        </w:rPr>
        <w:t xml:space="preserve">Having regard to the EU regulations laying down provisions on the Structural Funds, in particular Regulation </w:t>
      </w:r>
      <w:r w:rsidRPr="005E0210">
        <w:rPr>
          <w:rFonts w:ascii="Verdana" w:hAnsi="Verdana" w:cs="Arial"/>
          <w:bCs/>
          <w:color w:val="000000"/>
          <w:sz w:val="22"/>
          <w:szCs w:val="22"/>
        </w:rPr>
        <w:t xml:space="preserve">(EU) No </w:t>
      </w:r>
      <w:r>
        <w:rPr>
          <w:rFonts w:ascii="Verdana" w:hAnsi="Verdana" w:cs="Arial"/>
          <w:bCs/>
          <w:color w:val="000000"/>
          <w:sz w:val="22"/>
          <w:szCs w:val="22"/>
        </w:rPr>
        <w:t>1303</w:t>
      </w:r>
      <w:r w:rsidRPr="005E0210">
        <w:rPr>
          <w:rFonts w:ascii="Verdana" w:hAnsi="Verdana" w:cs="Arial"/>
          <w:bCs/>
          <w:color w:val="000000"/>
          <w:sz w:val="22"/>
          <w:szCs w:val="22"/>
        </w:rPr>
        <w:t>/2013</w:t>
      </w:r>
      <w:r>
        <w:rPr>
          <w:rFonts w:ascii="Verdana" w:hAnsi="Verdana" w:cs="Arial"/>
          <w:bCs/>
          <w:color w:val="000000"/>
          <w:sz w:val="22"/>
          <w:szCs w:val="22"/>
        </w:rPr>
        <w:t xml:space="preserve"> </w:t>
      </w:r>
      <w:r w:rsidRPr="00A344CC">
        <w:rPr>
          <w:rFonts w:ascii="Verdana" w:hAnsi="Verdana" w:cs="Arial"/>
          <w:bCs/>
          <w:color w:val="000000"/>
          <w:sz w:val="22"/>
          <w:szCs w:val="22"/>
        </w:rPr>
        <w:t>of the European Parliament and the Council (“CPR</w:t>
      </w:r>
      <w:r>
        <w:rPr>
          <w:rFonts w:ascii="Verdana" w:hAnsi="Verdana" w:cs="Arial"/>
          <w:bCs/>
          <w:color w:val="000000"/>
          <w:sz w:val="22"/>
          <w:szCs w:val="22"/>
        </w:rPr>
        <w:t xml:space="preserve"> Regulation”), the Regulation</w:t>
      </w:r>
      <w:r w:rsidRPr="00A344CC">
        <w:rPr>
          <w:rFonts w:ascii="Verdana" w:hAnsi="Verdana" w:cs="Arial"/>
          <w:bCs/>
          <w:color w:val="000000"/>
          <w:sz w:val="22"/>
          <w:szCs w:val="22"/>
        </w:rPr>
        <w:t xml:space="preserve"> </w:t>
      </w:r>
      <w:r w:rsidRPr="005E0210">
        <w:rPr>
          <w:rFonts w:ascii="Verdana" w:hAnsi="Verdana" w:cs="Arial"/>
          <w:bCs/>
          <w:color w:val="000000"/>
          <w:sz w:val="22"/>
          <w:szCs w:val="22"/>
        </w:rPr>
        <w:t xml:space="preserve">(EU) No </w:t>
      </w:r>
      <w:r>
        <w:rPr>
          <w:rFonts w:ascii="Verdana" w:hAnsi="Verdana" w:cs="Arial"/>
          <w:bCs/>
          <w:color w:val="000000"/>
          <w:sz w:val="22"/>
          <w:szCs w:val="22"/>
        </w:rPr>
        <w:t>1301</w:t>
      </w:r>
      <w:r w:rsidRPr="005E0210">
        <w:rPr>
          <w:rFonts w:ascii="Verdana" w:hAnsi="Verdana" w:cs="Arial"/>
          <w:bCs/>
          <w:color w:val="000000"/>
          <w:sz w:val="22"/>
          <w:szCs w:val="22"/>
        </w:rPr>
        <w:t>/2013</w:t>
      </w:r>
      <w:r>
        <w:rPr>
          <w:rFonts w:ascii="Verdana" w:hAnsi="Verdana" w:cs="Arial"/>
          <w:bCs/>
          <w:color w:val="000000"/>
          <w:sz w:val="22"/>
          <w:szCs w:val="22"/>
        </w:rPr>
        <w:t xml:space="preserve"> </w:t>
      </w:r>
      <w:r w:rsidRPr="00A344CC">
        <w:rPr>
          <w:rFonts w:ascii="Verdana" w:hAnsi="Verdana" w:cs="Arial"/>
          <w:bCs/>
          <w:color w:val="000000"/>
          <w:sz w:val="22"/>
          <w:szCs w:val="22"/>
        </w:rPr>
        <w:t>of the European Parliament and the Council (“ERDF R</w:t>
      </w:r>
      <w:r>
        <w:rPr>
          <w:rFonts w:ascii="Verdana" w:hAnsi="Verdana" w:cs="Arial"/>
          <w:bCs/>
          <w:color w:val="000000"/>
          <w:sz w:val="22"/>
          <w:szCs w:val="22"/>
        </w:rPr>
        <w:t xml:space="preserve">egulation”) and the Regulation </w:t>
      </w:r>
      <w:r w:rsidRPr="005E0210">
        <w:rPr>
          <w:rFonts w:ascii="Verdana" w:hAnsi="Verdana" w:cs="Arial"/>
          <w:bCs/>
          <w:color w:val="000000"/>
          <w:sz w:val="22"/>
          <w:szCs w:val="22"/>
        </w:rPr>
        <w:t xml:space="preserve">(EU) No </w:t>
      </w:r>
      <w:r>
        <w:rPr>
          <w:rFonts w:ascii="Verdana" w:hAnsi="Verdana" w:cs="Arial"/>
          <w:bCs/>
          <w:color w:val="000000"/>
          <w:sz w:val="22"/>
          <w:szCs w:val="22"/>
        </w:rPr>
        <w:t>1299</w:t>
      </w:r>
      <w:r w:rsidRPr="005E0210">
        <w:rPr>
          <w:rFonts w:ascii="Verdana" w:hAnsi="Verdana" w:cs="Arial"/>
          <w:bCs/>
          <w:color w:val="000000"/>
          <w:sz w:val="22"/>
          <w:szCs w:val="22"/>
        </w:rPr>
        <w:t>/2013</w:t>
      </w:r>
      <w:r>
        <w:rPr>
          <w:rFonts w:ascii="Verdana" w:hAnsi="Verdana" w:cs="Arial"/>
          <w:bCs/>
          <w:color w:val="000000"/>
          <w:sz w:val="22"/>
          <w:szCs w:val="22"/>
        </w:rPr>
        <w:t xml:space="preserve"> </w:t>
      </w:r>
      <w:r w:rsidRPr="00A344CC">
        <w:rPr>
          <w:rFonts w:ascii="Verdana" w:hAnsi="Verdana" w:cs="Arial"/>
          <w:bCs/>
          <w:color w:val="000000"/>
          <w:sz w:val="22"/>
          <w:szCs w:val="22"/>
        </w:rPr>
        <w:t xml:space="preserve">of the European Parliament and the Council on specific provisions for the support from the European Regional Development Fund to the European Territorial Cooperation goal (“ETC Regulation”), as well as the </w:t>
      </w:r>
      <w:r>
        <w:rPr>
          <w:rFonts w:ascii="Verdana" w:hAnsi="Verdana" w:cs="Arial"/>
          <w:bCs/>
          <w:color w:val="000000"/>
          <w:sz w:val="22"/>
          <w:szCs w:val="22"/>
        </w:rPr>
        <w:t>URBACT III</w:t>
      </w:r>
      <w:r w:rsidRPr="00A344CC">
        <w:rPr>
          <w:rFonts w:ascii="Verdana" w:hAnsi="Verdana" w:cs="Arial"/>
          <w:bCs/>
          <w:color w:val="000000"/>
          <w:sz w:val="22"/>
          <w:szCs w:val="22"/>
        </w:rPr>
        <w:t xml:space="preserve"> cooperation programme </w:t>
      </w:r>
      <w:r w:rsidRPr="00BA4933">
        <w:rPr>
          <w:rFonts w:ascii="Verdana" w:hAnsi="Verdana" w:cs="Arial"/>
          <w:bCs/>
          <w:color w:val="000000"/>
          <w:sz w:val="22"/>
          <w:szCs w:val="22"/>
        </w:rPr>
        <w:t xml:space="preserve">reference CCI 2014TC16RFIR003, as validated by the </w:t>
      </w:r>
      <w:r w:rsidR="00AF5B4B">
        <w:rPr>
          <w:rFonts w:ascii="Verdana" w:hAnsi="Verdana" w:cs="Arial"/>
          <w:bCs/>
          <w:color w:val="000000"/>
          <w:sz w:val="22"/>
          <w:szCs w:val="22"/>
        </w:rPr>
        <w:t xml:space="preserve">Member and Partner States by Written Procedure </w:t>
      </w:r>
      <w:r w:rsidRPr="00BA4933">
        <w:rPr>
          <w:rFonts w:ascii="Verdana" w:hAnsi="Verdana" w:cs="Arial"/>
          <w:bCs/>
          <w:color w:val="000000"/>
          <w:sz w:val="22"/>
          <w:szCs w:val="22"/>
        </w:rPr>
        <w:t xml:space="preserve">on </w:t>
      </w:r>
      <w:r w:rsidR="00AF5B4B">
        <w:rPr>
          <w:rFonts w:ascii="Verdana" w:hAnsi="Verdana" w:cs="Arial"/>
          <w:bCs/>
          <w:color w:val="000000"/>
          <w:sz w:val="22"/>
          <w:szCs w:val="22"/>
        </w:rPr>
        <w:t>30 June 2014</w:t>
      </w:r>
      <w:r w:rsidRPr="00A344CC">
        <w:rPr>
          <w:rFonts w:ascii="Verdana" w:hAnsi="Verdana" w:cs="Arial"/>
          <w:bCs/>
          <w:color w:val="000000"/>
          <w:sz w:val="22"/>
          <w:szCs w:val="22"/>
        </w:rPr>
        <w:t xml:space="preserve"> and wi</w:t>
      </w:r>
      <w:r>
        <w:rPr>
          <w:rFonts w:ascii="Verdana" w:hAnsi="Verdana" w:cs="Arial"/>
          <w:bCs/>
          <w:color w:val="000000"/>
          <w:sz w:val="22"/>
          <w:szCs w:val="22"/>
        </w:rPr>
        <w:t xml:space="preserve">th specific reference to Art </w:t>
      </w:r>
      <w:r w:rsidR="00AF5B4B">
        <w:rPr>
          <w:rFonts w:ascii="Verdana" w:hAnsi="Verdana" w:cs="Arial"/>
          <w:bCs/>
          <w:color w:val="000000"/>
          <w:sz w:val="22"/>
          <w:szCs w:val="22"/>
        </w:rPr>
        <w:t>8</w:t>
      </w:r>
      <w:r>
        <w:rPr>
          <w:rFonts w:ascii="Verdana" w:hAnsi="Verdana" w:cs="Arial"/>
          <w:bCs/>
          <w:color w:val="000000"/>
          <w:sz w:val="22"/>
          <w:szCs w:val="22"/>
        </w:rPr>
        <w:t>(9</w:t>
      </w:r>
      <w:r w:rsidRPr="00A344CC">
        <w:rPr>
          <w:rFonts w:ascii="Verdana" w:hAnsi="Verdana" w:cs="Arial"/>
          <w:bCs/>
          <w:color w:val="000000"/>
          <w:sz w:val="22"/>
          <w:szCs w:val="22"/>
        </w:rPr>
        <w:t xml:space="preserve">) [ETC], the </w:t>
      </w:r>
      <w:r>
        <w:rPr>
          <w:rFonts w:ascii="Verdana" w:hAnsi="Verdana" w:cs="Arial"/>
          <w:bCs/>
          <w:color w:val="000000"/>
          <w:sz w:val="22"/>
          <w:szCs w:val="22"/>
        </w:rPr>
        <w:t>Member</w:t>
      </w:r>
      <w:r w:rsidRPr="00A344CC">
        <w:rPr>
          <w:rFonts w:ascii="Verdana" w:hAnsi="Verdana" w:cs="Arial"/>
          <w:bCs/>
          <w:color w:val="000000"/>
          <w:sz w:val="22"/>
          <w:szCs w:val="22"/>
        </w:rPr>
        <w:t xml:space="preserve"> State agrees to the following:</w:t>
      </w:r>
    </w:p>
    <w:p w:rsidR="00403EA5" w:rsidRPr="00A344CC" w:rsidRDefault="00403EA5" w:rsidP="00403EA5">
      <w:pPr>
        <w:pStyle w:val="Default"/>
        <w:spacing w:line="360" w:lineRule="auto"/>
        <w:jc w:val="both"/>
        <w:outlineLvl w:val="0"/>
        <w:rPr>
          <w:rFonts w:ascii="Verdana" w:hAnsi="Verdana" w:cs="Arial"/>
          <w:b/>
          <w:bCs/>
          <w:sz w:val="22"/>
          <w:szCs w:val="22"/>
          <w:lang w:val="en-GB"/>
        </w:rPr>
      </w:pPr>
    </w:p>
    <w:p w:rsidR="00E5202D" w:rsidRDefault="00BF5FB8">
      <w:pPr>
        <w:rPr>
          <w:b/>
        </w:rPr>
      </w:pPr>
      <w:r w:rsidRPr="00BF5FB8">
        <w:rPr>
          <w:rFonts w:ascii="Verdana" w:hAnsi="Verdana"/>
          <w:b/>
          <w:sz w:val="22"/>
          <w:szCs w:val="22"/>
        </w:rPr>
        <w:t>Article</w:t>
      </w:r>
      <w:r w:rsidRPr="00BF5FB8">
        <w:rPr>
          <w:b/>
        </w:rPr>
        <w:t xml:space="preserve"> 1</w:t>
      </w:r>
    </w:p>
    <w:p w:rsidR="00403EA5" w:rsidRPr="00A344CC" w:rsidRDefault="00403EA5" w:rsidP="00403EA5">
      <w:pPr>
        <w:jc w:val="both"/>
        <w:rPr>
          <w:rFonts w:ascii="Verdana" w:hAnsi="Verdana" w:cs="Arial"/>
          <w:bCs/>
          <w:sz w:val="22"/>
          <w:szCs w:val="22"/>
        </w:rPr>
      </w:pPr>
      <w:r w:rsidRPr="00A344CC">
        <w:rPr>
          <w:rFonts w:ascii="Verdana" w:hAnsi="Verdana" w:cs="Arial"/>
          <w:bCs/>
          <w:color w:val="000000"/>
          <w:sz w:val="22"/>
          <w:szCs w:val="22"/>
        </w:rPr>
        <w:t xml:space="preserve">The </w:t>
      </w:r>
      <w:r>
        <w:rPr>
          <w:rFonts w:ascii="Verdana" w:hAnsi="Verdana" w:cs="Arial"/>
          <w:bCs/>
          <w:color w:val="000000"/>
          <w:sz w:val="22"/>
          <w:szCs w:val="22"/>
        </w:rPr>
        <w:t xml:space="preserve">Member </w:t>
      </w:r>
      <w:r w:rsidRPr="00A344CC">
        <w:rPr>
          <w:rFonts w:ascii="Verdana" w:hAnsi="Verdana" w:cs="Arial"/>
          <w:bCs/>
          <w:color w:val="000000"/>
          <w:sz w:val="22"/>
          <w:szCs w:val="22"/>
        </w:rPr>
        <w:t>State</w:t>
      </w:r>
      <w:r>
        <w:rPr>
          <w:rStyle w:val="Odwoanieprzypisudolnego"/>
          <w:rFonts w:ascii="Verdana" w:hAnsi="Verdana" w:cs="Arial"/>
          <w:bCs/>
          <w:color w:val="000000"/>
          <w:sz w:val="22"/>
          <w:szCs w:val="22"/>
        </w:rPr>
        <w:footnoteReference w:id="37"/>
      </w:r>
      <w:r w:rsidRPr="00A344CC">
        <w:rPr>
          <w:rFonts w:ascii="Verdana" w:hAnsi="Verdana" w:cs="Arial"/>
          <w:bCs/>
          <w:color w:val="000000"/>
          <w:sz w:val="22"/>
          <w:szCs w:val="22"/>
        </w:rPr>
        <w:t xml:space="preserve"> confirms its agreement to the content of the </w:t>
      </w:r>
      <w:r>
        <w:rPr>
          <w:rFonts w:ascii="Verdana" w:hAnsi="Verdana" w:cs="Arial"/>
          <w:bCs/>
          <w:color w:val="000000"/>
          <w:sz w:val="22"/>
          <w:szCs w:val="22"/>
        </w:rPr>
        <w:t>operational</w:t>
      </w:r>
      <w:r w:rsidRPr="00A344CC">
        <w:rPr>
          <w:rFonts w:ascii="Verdana" w:hAnsi="Verdana" w:cs="Arial"/>
          <w:bCs/>
          <w:color w:val="000000"/>
          <w:sz w:val="22"/>
          <w:szCs w:val="22"/>
        </w:rPr>
        <w:t xml:space="preserve"> programme of the </w:t>
      </w:r>
      <w:r>
        <w:rPr>
          <w:rFonts w:ascii="Verdana" w:hAnsi="Verdana" w:cs="Arial"/>
          <w:bCs/>
          <w:sz w:val="22"/>
          <w:szCs w:val="22"/>
        </w:rPr>
        <w:t>URBACT III</w:t>
      </w:r>
      <w:r w:rsidRPr="00A344CC">
        <w:rPr>
          <w:rFonts w:ascii="Verdana" w:hAnsi="Verdana" w:cs="Arial"/>
          <w:bCs/>
          <w:sz w:val="22"/>
          <w:szCs w:val="22"/>
        </w:rPr>
        <w:t xml:space="preserve"> programme.</w:t>
      </w:r>
    </w:p>
    <w:p w:rsidR="00403EA5" w:rsidRPr="00A344CC" w:rsidRDefault="00403EA5" w:rsidP="00403EA5">
      <w:pPr>
        <w:jc w:val="both"/>
        <w:rPr>
          <w:rFonts w:ascii="Verdana" w:hAnsi="Verdana" w:cs="Arial"/>
          <w:bCs/>
          <w:sz w:val="22"/>
          <w:szCs w:val="22"/>
        </w:rPr>
      </w:pPr>
    </w:p>
    <w:p w:rsidR="00403EA5" w:rsidRPr="00A344CC" w:rsidRDefault="00403EA5" w:rsidP="00403EA5">
      <w:pPr>
        <w:jc w:val="both"/>
        <w:rPr>
          <w:rFonts w:ascii="Verdana" w:hAnsi="Verdana" w:cs="Arial"/>
          <w:b/>
          <w:bCs/>
          <w:color w:val="000000"/>
          <w:sz w:val="22"/>
          <w:szCs w:val="22"/>
        </w:rPr>
      </w:pPr>
      <w:r w:rsidRPr="00A344CC">
        <w:rPr>
          <w:rFonts w:ascii="Verdana" w:hAnsi="Verdana" w:cs="Arial"/>
          <w:b/>
          <w:bCs/>
          <w:color w:val="000000"/>
          <w:sz w:val="22"/>
          <w:szCs w:val="22"/>
        </w:rPr>
        <w:t>Article 2</w:t>
      </w:r>
    </w:p>
    <w:p w:rsidR="00AF5B4B" w:rsidRDefault="00403EA5" w:rsidP="00403EA5">
      <w:pPr>
        <w:jc w:val="both"/>
        <w:rPr>
          <w:rFonts w:ascii="Verdana" w:hAnsi="Verdana" w:cs="Arial"/>
          <w:bCs/>
          <w:color w:val="000000"/>
          <w:sz w:val="22"/>
          <w:szCs w:val="22"/>
        </w:rPr>
      </w:pPr>
      <w:r w:rsidRPr="00A344CC">
        <w:rPr>
          <w:rFonts w:ascii="Verdana" w:hAnsi="Verdana" w:cs="Arial"/>
          <w:bCs/>
          <w:color w:val="000000"/>
          <w:sz w:val="22"/>
          <w:szCs w:val="22"/>
        </w:rPr>
        <w:t xml:space="preserve">The </w:t>
      </w:r>
      <w:r>
        <w:rPr>
          <w:rFonts w:ascii="Verdana" w:hAnsi="Verdana" w:cs="Arial"/>
          <w:bCs/>
          <w:color w:val="000000"/>
          <w:sz w:val="22"/>
          <w:szCs w:val="22"/>
        </w:rPr>
        <w:t xml:space="preserve">Member </w:t>
      </w:r>
      <w:r w:rsidRPr="00A344CC">
        <w:rPr>
          <w:rFonts w:ascii="Verdana" w:hAnsi="Verdana" w:cs="Arial"/>
          <w:bCs/>
          <w:color w:val="000000"/>
          <w:sz w:val="22"/>
          <w:szCs w:val="22"/>
        </w:rPr>
        <w:t>State commits to provide the co-financing necessary</w:t>
      </w:r>
      <w:r>
        <w:rPr>
          <w:rFonts w:ascii="Verdana" w:hAnsi="Verdana" w:cs="Arial"/>
          <w:bCs/>
          <w:color w:val="000000"/>
          <w:sz w:val="22"/>
          <w:szCs w:val="22"/>
        </w:rPr>
        <w:t xml:space="preserve"> as presented in the operational programme</w:t>
      </w:r>
      <w:r w:rsidRPr="00A344CC">
        <w:rPr>
          <w:rFonts w:ascii="Verdana" w:hAnsi="Verdana" w:cs="Arial"/>
          <w:bCs/>
          <w:color w:val="000000"/>
          <w:sz w:val="22"/>
          <w:szCs w:val="22"/>
        </w:rPr>
        <w:t xml:space="preserve"> to implement the </w:t>
      </w:r>
      <w:r>
        <w:rPr>
          <w:rFonts w:ascii="Verdana" w:hAnsi="Verdana" w:cs="Arial"/>
          <w:bCs/>
          <w:color w:val="000000"/>
          <w:sz w:val="22"/>
          <w:szCs w:val="22"/>
        </w:rPr>
        <w:t>URBACT III</w:t>
      </w:r>
      <w:r w:rsidRPr="00A344CC">
        <w:rPr>
          <w:rFonts w:ascii="Verdana" w:hAnsi="Verdana" w:cs="Arial"/>
          <w:bCs/>
          <w:color w:val="000000"/>
          <w:sz w:val="22"/>
          <w:szCs w:val="22"/>
        </w:rPr>
        <w:t xml:space="preserve"> programme</w:t>
      </w:r>
      <w:r w:rsidR="00AF5B4B">
        <w:rPr>
          <w:rFonts w:ascii="Verdana" w:hAnsi="Verdana" w:cs="Arial"/>
          <w:bCs/>
          <w:color w:val="000000"/>
          <w:sz w:val="22"/>
          <w:szCs w:val="22"/>
        </w:rPr>
        <w:t xml:space="preserve"> (Annex 5 of the Operational Programme)</w:t>
      </w:r>
      <w:r w:rsidRPr="00A344CC">
        <w:rPr>
          <w:rFonts w:ascii="Verdana" w:hAnsi="Verdana" w:cs="Arial"/>
          <w:bCs/>
          <w:color w:val="000000"/>
          <w:sz w:val="22"/>
          <w:szCs w:val="22"/>
        </w:rPr>
        <w:t>.</w:t>
      </w:r>
    </w:p>
    <w:p w:rsidR="00AF5B4B" w:rsidRDefault="00AF5B4B" w:rsidP="00403EA5">
      <w:pPr>
        <w:jc w:val="both"/>
        <w:rPr>
          <w:rFonts w:ascii="Verdana" w:hAnsi="Verdana" w:cs="Arial"/>
          <w:bCs/>
          <w:color w:val="000000"/>
          <w:sz w:val="22"/>
          <w:szCs w:val="22"/>
        </w:rPr>
      </w:pPr>
    </w:p>
    <w:p w:rsidR="00403EA5" w:rsidRPr="00A344CC" w:rsidRDefault="00AF5B4B" w:rsidP="00403EA5">
      <w:pPr>
        <w:jc w:val="both"/>
        <w:rPr>
          <w:rFonts w:ascii="Verdana" w:hAnsi="Verdana" w:cs="Arial"/>
          <w:bCs/>
          <w:color w:val="000000"/>
          <w:sz w:val="22"/>
          <w:szCs w:val="22"/>
        </w:rPr>
      </w:pPr>
      <w:r>
        <w:rPr>
          <w:rFonts w:ascii="Verdana" w:hAnsi="Verdana" w:cs="Arial"/>
          <w:bCs/>
          <w:color w:val="000000"/>
          <w:sz w:val="22"/>
          <w:szCs w:val="22"/>
        </w:rPr>
        <w:t>The co-financing of operations is the responsibility of the beneficiaries. Depending on country-specific provisions, the co-financing can be provided from the national/federal level as well as from regional or local sources.</w:t>
      </w:r>
      <w:r w:rsidR="00403EA5" w:rsidRPr="00A344CC">
        <w:rPr>
          <w:rFonts w:ascii="Verdana" w:hAnsi="Verdana" w:cs="Arial"/>
          <w:bCs/>
          <w:color w:val="000000"/>
          <w:sz w:val="22"/>
          <w:szCs w:val="22"/>
        </w:rPr>
        <w:t xml:space="preserve"> </w:t>
      </w:r>
    </w:p>
    <w:p w:rsidR="00403EA5" w:rsidRPr="00A344CC" w:rsidRDefault="00403EA5" w:rsidP="00403EA5">
      <w:pPr>
        <w:pStyle w:val="Default"/>
        <w:spacing w:line="360" w:lineRule="auto"/>
        <w:jc w:val="both"/>
        <w:outlineLvl w:val="0"/>
        <w:rPr>
          <w:rFonts w:ascii="Verdana" w:hAnsi="Verdana" w:cs="Arial"/>
          <w:b/>
          <w:bCs/>
          <w:sz w:val="22"/>
          <w:szCs w:val="22"/>
          <w:lang w:val="en-GB"/>
        </w:rPr>
      </w:pPr>
    </w:p>
    <w:p w:rsidR="00E5202D" w:rsidRDefault="00BF5FB8">
      <w:pPr>
        <w:rPr>
          <w:rFonts w:ascii="Verdana" w:hAnsi="Verdana"/>
          <w:b/>
          <w:sz w:val="22"/>
          <w:szCs w:val="22"/>
          <w:lang w:eastAsia="de-DE"/>
        </w:rPr>
      </w:pPr>
      <w:r w:rsidRPr="00BF5FB8">
        <w:rPr>
          <w:rFonts w:ascii="Verdana" w:hAnsi="Verdana"/>
          <w:b/>
          <w:sz w:val="22"/>
          <w:szCs w:val="22"/>
          <w:lang w:eastAsia="de-DE"/>
        </w:rPr>
        <w:t xml:space="preserve">The Member State: </w:t>
      </w:r>
    </w:p>
    <w:p w:rsidR="00403EA5" w:rsidRPr="00A344CC" w:rsidRDefault="00403EA5" w:rsidP="00403EA5">
      <w:pPr>
        <w:spacing w:line="360" w:lineRule="auto"/>
        <w:jc w:val="both"/>
        <w:rPr>
          <w:rFonts w:ascii="Verdana" w:hAnsi="Verdana" w:cs="Arial"/>
          <w:i/>
          <w:sz w:val="22"/>
          <w:szCs w:val="22"/>
          <w:lang w:eastAsia="de-DE"/>
        </w:rPr>
      </w:pPr>
    </w:p>
    <w:p w:rsidR="00403EA5" w:rsidRPr="00A344CC" w:rsidRDefault="00762F13" w:rsidP="00403EA5">
      <w:pPr>
        <w:spacing w:line="360" w:lineRule="auto"/>
        <w:jc w:val="both"/>
        <w:rPr>
          <w:rFonts w:ascii="Verdana" w:hAnsi="Verdana" w:cs="Arial"/>
          <w:i/>
          <w:sz w:val="22"/>
          <w:szCs w:val="22"/>
          <w:lang w:eastAsia="de-DE"/>
        </w:rPr>
      </w:pPr>
      <w:r>
        <w:rPr>
          <w:rFonts w:ascii="Verdana" w:hAnsi="Verdana"/>
          <w:i/>
          <w:noProof/>
          <w:sz w:val="22"/>
          <w:szCs w:val="22"/>
          <w:lang w:val="pl-PL" w:eastAsia="pl-PL"/>
        </w:rPr>
        <mc:AlternateContent>
          <mc:Choice Requires="wps">
            <w:drawing>
              <wp:anchor distT="4294967294" distB="4294967294" distL="114300" distR="114300" simplePos="0" relativeHeight="251660288" behindDoc="0" locked="0" layoutInCell="1" allowOverlap="1">
                <wp:simplePos x="0" y="0"/>
                <wp:positionH relativeFrom="column">
                  <wp:posOffset>2471420</wp:posOffset>
                </wp:positionH>
                <wp:positionV relativeFrom="paragraph">
                  <wp:posOffset>147954</wp:posOffset>
                </wp:positionV>
                <wp:extent cx="3017520" cy="0"/>
                <wp:effectExtent l="0" t="0" r="11430" b="19050"/>
                <wp:wrapNone/>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7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4.6pt,11.65pt" to="432.2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rcGEg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"/>
            </w:pict>
          </mc:Fallback>
        </mc:AlternateContent>
      </w:r>
      <w:r w:rsidR="00403EA5" w:rsidRPr="00A344CC">
        <w:rPr>
          <w:rFonts w:ascii="Verdana" w:hAnsi="Verdana" w:cs="Arial"/>
          <w:i/>
          <w:sz w:val="22"/>
          <w:szCs w:val="22"/>
          <w:lang w:eastAsia="de-DE"/>
        </w:rPr>
        <w:t>Title of the institution:</w:t>
      </w:r>
    </w:p>
    <w:p w:rsidR="00403EA5" w:rsidRPr="00A344CC" w:rsidRDefault="00762F13" w:rsidP="00403EA5">
      <w:pPr>
        <w:spacing w:line="360" w:lineRule="auto"/>
        <w:jc w:val="both"/>
        <w:rPr>
          <w:rFonts w:ascii="Verdana" w:hAnsi="Verdana" w:cs="Arial"/>
          <w:i/>
          <w:sz w:val="22"/>
          <w:szCs w:val="22"/>
          <w:lang w:eastAsia="de-DE"/>
        </w:rPr>
      </w:pPr>
      <w:r>
        <w:rPr>
          <w:rFonts w:ascii="Verdana" w:hAnsi="Verdana"/>
          <w:i/>
          <w:noProof/>
          <w:sz w:val="22"/>
          <w:szCs w:val="22"/>
          <w:lang w:val="pl-PL" w:eastAsia="pl-PL"/>
        </w:rPr>
        <mc:AlternateContent>
          <mc:Choice Requires="wps">
            <w:drawing>
              <wp:anchor distT="4294967294" distB="4294967294" distL="114300" distR="114300" simplePos="0" relativeHeight="251661312" behindDoc="0" locked="0" layoutInCell="1" allowOverlap="1">
                <wp:simplePos x="0" y="0"/>
                <wp:positionH relativeFrom="column">
                  <wp:posOffset>2465705</wp:posOffset>
                </wp:positionH>
                <wp:positionV relativeFrom="paragraph">
                  <wp:posOffset>172084</wp:posOffset>
                </wp:positionV>
                <wp:extent cx="3017520" cy="0"/>
                <wp:effectExtent l="0" t="0" r="11430" b="19050"/>
                <wp:wrapNone/>
                <wp:docPr id="9"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7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4.15pt,13.55pt" to="431.7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epEA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"/>
            </w:pict>
          </mc:Fallback>
        </mc:AlternateContent>
      </w:r>
      <w:r w:rsidR="00FD2D2C">
        <w:rPr>
          <w:rFonts w:ascii="Verdana" w:hAnsi="Verdana" w:cs="Arial"/>
          <w:i/>
          <w:sz w:val="22"/>
          <w:szCs w:val="22"/>
          <w:lang w:eastAsia="de-DE"/>
        </w:rPr>
        <w:t>Place and date:</w:t>
      </w:r>
    </w:p>
    <w:p w:rsidR="00403EA5" w:rsidRPr="00A344CC" w:rsidRDefault="00762F13" w:rsidP="00403EA5">
      <w:pPr>
        <w:spacing w:line="360" w:lineRule="auto"/>
        <w:jc w:val="both"/>
        <w:rPr>
          <w:rFonts w:ascii="Verdana" w:hAnsi="Verdana" w:cs="Arial"/>
          <w:i/>
          <w:sz w:val="22"/>
          <w:szCs w:val="22"/>
          <w:lang w:eastAsia="de-DE"/>
        </w:rPr>
      </w:pPr>
      <w:r>
        <w:rPr>
          <w:rFonts w:ascii="Verdana" w:hAnsi="Verdana"/>
          <w:i/>
          <w:noProof/>
          <w:sz w:val="22"/>
          <w:szCs w:val="22"/>
          <w:lang w:val="pl-PL" w:eastAsia="pl-PL"/>
        </w:rPr>
        <mc:AlternateContent>
          <mc:Choice Requires="wps">
            <w:drawing>
              <wp:anchor distT="4294967294" distB="4294967294" distL="114300" distR="114300" simplePos="0" relativeHeight="251662336" behindDoc="0" locked="0" layoutInCell="1" allowOverlap="1">
                <wp:simplePos x="0" y="0"/>
                <wp:positionH relativeFrom="column">
                  <wp:posOffset>2465705</wp:posOffset>
                </wp:positionH>
                <wp:positionV relativeFrom="paragraph">
                  <wp:posOffset>123189</wp:posOffset>
                </wp:positionV>
                <wp:extent cx="3017520" cy="0"/>
                <wp:effectExtent l="0" t="0" r="11430" b="19050"/>
                <wp:wrapNone/>
                <wp:docPr id="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7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4.15pt,9.7pt" to="431.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G4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"/>
            </w:pict>
          </mc:Fallback>
        </mc:AlternateContent>
      </w:r>
      <w:r w:rsidR="00403EA5" w:rsidRPr="00A344CC">
        <w:rPr>
          <w:rFonts w:ascii="Verdana" w:hAnsi="Verdana" w:cs="Arial"/>
          <w:i/>
          <w:sz w:val="22"/>
          <w:szCs w:val="22"/>
          <w:lang w:eastAsia="de-DE"/>
        </w:rPr>
        <w:t xml:space="preserve">Name and function of the signatory: </w:t>
      </w:r>
    </w:p>
    <w:p w:rsidR="00403EA5" w:rsidRPr="00A344CC" w:rsidRDefault="00762F13" w:rsidP="00403EA5">
      <w:pPr>
        <w:spacing w:line="360" w:lineRule="auto"/>
        <w:jc w:val="both"/>
        <w:rPr>
          <w:rFonts w:ascii="Verdana" w:hAnsi="Verdana" w:cs="Arial"/>
          <w:i/>
          <w:sz w:val="22"/>
          <w:szCs w:val="22"/>
          <w:lang w:eastAsia="de-DE"/>
        </w:rPr>
      </w:pPr>
      <w:r>
        <w:rPr>
          <w:rFonts w:ascii="Verdana" w:hAnsi="Verdana"/>
          <w:i/>
          <w:noProof/>
          <w:sz w:val="22"/>
          <w:szCs w:val="22"/>
          <w:lang w:val="pl-PL" w:eastAsia="pl-PL"/>
        </w:rPr>
        <mc:AlternateContent>
          <mc:Choice Requires="wps">
            <w:drawing>
              <wp:anchor distT="4294967294" distB="4294967294" distL="114300" distR="114300" simplePos="0" relativeHeight="251663360" behindDoc="0" locked="0" layoutInCell="1" allowOverlap="1">
                <wp:simplePos x="0" y="0"/>
                <wp:positionH relativeFrom="column">
                  <wp:posOffset>2465705</wp:posOffset>
                </wp:positionH>
                <wp:positionV relativeFrom="paragraph">
                  <wp:posOffset>189229</wp:posOffset>
                </wp:positionV>
                <wp:extent cx="3017520" cy="0"/>
                <wp:effectExtent l="0" t="0" r="11430" b="19050"/>
                <wp:wrapNone/>
                <wp:docPr id="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7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4.15pt,14.9pt" to="431.7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1UhEwIAACk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"/>
            </w:pict>
          </mc:Fallback>
        </mc:AlternateContent>
      </w:r>
      <w:r w:rsidR="00403EA5" w:rsidRPr="00A344CC">
        <w:rPr>
          <w:rFonts w:ascii="Verdana" w:hAnsi="Verdana" w:cs="Arial"/>
          <w:i/>
          <w:sz w:val="22"/>
          <w:szCs w:val="22"/>
          <w:lang w:eastAsia="de-DE"/>
        </w:rPr>
        <w:t xml:space="preserve">Signature/Stamp: </w:t>
      </w:r>
    </w:p>
    <w:p w:rsidR="00403EA5" w:rsidRPr="00A344CC" w:rsidRDefault="00403EA5" w:rsidP="00403EA5">
      <w:pPr>
        <w:rPr>
          <w:rFonts w:ascii="Verdana" w:hAnsi="Verdana" w:cs="Arial"/>
          <w:i/>
          <w:sz w:val="22"/>
          <w:szCs w:val="22"/>
          <w:lang w:eastAsia="de-DE"/>
        </w:rPr>
      </w:pPr>
      <w:r w:rsidRPr="00A344CC">
        <w:rPr>
          <w:rFonts w:ascii="Verdana" w:hAnsi="Verdana" w:cs="Arial"/>
          <w:i/>
          <w:sz w:val="22"/>
          <w:szCs w:val="22"/>
          <w:lang w:eastAsia="de-DE"/>
        </w:rPr>
        <w:br w:type="page"/>
      </w:r>
    </w:p>
    <w:p w:rsidR="00403EA5" w:rsidRPr="00A344CC" w:rsidRDefault="00403EA5" w:rsidP="00403EA5">
      <w:pPr>
        <w:spacing w:line="360" w:lineRule="auto"/>
        <w:jc w:val="center"/>
        <w:rPr>
          <w:rFonts w:ascii="Verdana" w:hAnsi="Verdana" w:cs="Arial"/>
          <w:b/>
          <w:sz w:val="22"/>
          <w:szCs w:val="22"/>
          <w:lang w:eastAsia="de-DE"/>
        </w:rPr>
      </w:pPr>
      <w:r w:rsidRPr="00A344CC">
        <w:rPr>
          <w:rFonts w:ascii="Verdana" w:hAnsi="Verdana" w:cs="Arial"/>
          <w:b/>
          <w:sz w:val="22"/>
          <w:szCs w:val="22"/>
          <w:lang w:eastAsia="de-DE"/>
        </w:rPr>
        <w:t>Annex 1: Contact details</w:t>
      </w:r>
    </w:p>
    <w:p w:rsidR="00403EA5" w:rsidRPr="00A344CC" w:rsidRDefault="00403EA5" w:rsidP="00403EA5">
      <w:pPr>
        <w:spacing w:line="360" w:lineRule="auto"/>
        <w:jc w:val="both"/>
        <w:rPr>
          <w:rFonts w:ascii="Verdana" w:hAnsi="Verdana" w:cs="Arial"/>
          <w:i/>
          <w:sz w:val="22"/>
          <w:szCs w:val="22"/>
          <w:lang w:eastAsia="de-DE"/>
        </w:rPr>
      </w:pPr>
    </w:p>
    <w:p w:rsidR="00403EA5" w:rsidRPr="00A344CC" w:rsidRDefault="00403EA5" w:rsidP="008166DD">
      <w:pPr>
        <w:pStyle w:val="Akapitzlist"/>
        <w:numPr>
          <w:ilvl w:val="0"/>
          <w:numId w:val="13"/>
        </w:numPr>
        <w:rPr>
          <w:rFonts w:ascii="Verdana" w:hAnsi="Verdana" w:cs="Arial"/>
        </w:rPr>
      </w:pPr>
      <w:r w:rsidRPr="00A344CC">
        <w:rPr>
          <w:rFonts w:ascii="Verdana" w:hAnsi="Verdana" w:cs="Arial"/>
        </w:rPr>
        <w:t xml:space="preserve">Name and contact details of the </w:t>
      </w:r>
      <w:r>
        <w:rPr>
          <w:rFonts w:ascii="Verdana" w:hAnsi="Verdana" w:cs="Arial"/>
        </w:rPr>
        <w:t xml:space="preserve">Member </w:t>
      </w:r>
      <w:r w:rsidRPr="00A344CC">
        <w:rPr>
          <w:rFonts w:ascii="Verdana" w:hAnsi="Verdana" w:cs="Arial"/>
        </w:rPr>
        <w:t>State representative:</w:t>
      </w:r>
    </w:p>
    <w:p w:rsidR="00403EA5" w:rsidRPr="00A344CC" w:rsidRDefault="00403EA5" w:rsidP="00403EA5">
      <w:pPr>
        <w:pStyle w:val="Akapitzlist"/>
        <w:rPr>
          <w:rFonts w:ascii="Verdana" w:hAnsi="Verdana" w:cs="Arial"/>
        </w:rPr>
      </w:pPr>
    </w:p>
    <w:p w:rsidR="00403EA5" w:rsidRPr="00A344CC" w:rsidRDefault="00403EA5" w:rsidP="00403EA5">
      <w:pPr>
        <w:spacing w:line="360" w:lineRule="auto"/>
        <w:jc w:val="both"/>
        <w:rPr>
          <w:rFonts w:ascii="Verdana" w:hAnsi="Verdana" w:cs="Arial"/>
          <w:sz w:val="22"/>
          <w:szCs w:val="22"/>
          <w:lang w:eastAsia="de-DE"/>
        </w:rPr>
      </w:pPr>
      <w:r w:rsidRPr="00A344CC">
        <w:rPr>
          <w:rFonts w:ascii="Verdana" w:hAnsi="Verdana" w:cs="Arial"/>
          <w:sz w:val="22"/>
          <w:szCs w:val="22"/>
          <w:lang w:eastAsia="de-DE"/>
        </w:rPr>
        <w:t>Institution</w:t>
      </w:r>
      <w:r w:rsidRPr="00A344CC">
        <w:rPr>
          <w:rFonts w:ascii="Verdana" w:hAnsi="Verdana" w:cs="Arial"/>
          <w:sz w:val="22"/>
          <w:szCs w:val="22"/>
          <w:lang w:eastAsia="de-DE"/>
        </w:rPr>
        <w:tab/>
      </w:r>
      <w:r w:rsidRPr="00A344CC">
        <w:rPr>
          <w:rFonts w:ascii="Verdana" w:hAnsi="Verdana" w:cs="Arial"/>
          <w:sz w:val="22"/>
          <w:szCs w:val="22"/>
          <w:lang w:eastAsia="de-DE"/>
        </w:rPr>
        <w:tab/>
        <w:t>……………………………………………………………………</w:t>
      </w:r>
    </w:p>
    <w:p w:rsidR="00403EA5" w:rsidRDefault="00403EA5" w:rsidP="00403EA5">
      <w:pPr>
        <w:spacing w:line="360" w:lineRule="auto"/>
        <w:jc w:val="both"/>
        <w:rPr>
          <w:rFonts w:ascii="Verdana" w:hAnsi="Verdana" w:cs="Arial"/>
          <w:sz w:val="22"/>
          <w:szCs w:val="22"/>
          <w:lang w:eastAsia="de-DE"/>
        </w:rPr>
      </w:pPr>
      <w:r w:rsidRPr="00A344CC">
        <w:rPr>
          <w:rFonts w:ascii="Verdana" w:hAnsi="Verdana" w:cs="Arial"/>
          <w:sz w:val="22"/>
          <w:szCs w:val="22"/>
          <w:lang w:eastAsia="de-DE"/>
        </w:rPr>
        <w:t>Address</w:t>
      </w:r>
      <w:r w:rsidRPr="00A344CC">
        <w:rPr>
          <w:rFonts w:ascii="Verdana" w:hAnsi="Verdana" w:cs="Arial"/>
          <w:sz w:val="22"/>
          <w:szCs w:val="22"/>
          <w:lang w:eastAsia="de-DE"/>
        </w:rPr>
        <w:tab/>
      </w:r>
      <w:r w:rsidRPr="00A344CC">
        <w:rPr>
          <w:rFonts w:ascii="Verdana" w:hAnsi="Verdana" w:cs="Arial"/>
          <w:sz w:val="22"/>
          <w:szCs w:val="22"/>
          <w:lang w:eastAsia="de-DE"/>
        </w:rPr>
        <w:tab/>
        <w:t>……………………………………………………………………</w:t>
      </w:r>
    </w:p>
    <w:p w:rsidR="00403EA5" w:rsidRPr="00A344CC" w:rsidRDefault="00403EA5" w:rsidP="00403EA5">
      <w:pPr>
        <w:spacing w:line="360" w:lineRule="auto"/>
        <w:jc w:val="both"/>
        <w:rPr>
          <w:rFonts w:ascii="Verdana" w:hAnsi="Verdana" w:cs="Arial"/>
          <w:sz w:val="22"/>
          <w:szCs w:val="22"/>
          <w:lang w:eastAsia="de-DE"/>
        </w:rPr>
      </w:pPr>
      <w:r>
        <w:rPr>
          <w:rFonts w:ascii="Verdana" w:hAnsi="Verdana" w:cs="Arial"/>
          <w:sz w:val="22"/>
          <w:szCs w:val="22"/>
          <w:lang w:eastAsia="de-DE"/>
        </w:rPr>
        <w:t>Contact person</w:t>
      </w:r>
      <w:r>
        <w:rPr>
          <w:rFonts w:ascii="Verdana" w:hAnsi="Verdana" w:cs="Arial"/>
          <w:sz w:val="22"/>
          <w:szCs w:val="22"/>
          <w:lang w:eastAsia="de-DE"/>
        </w:rPr>
        <w:tab/>
      </w:r>
      <w:r w:rsidRPr="00A344CC">
        <w:rPr>
          <w:rFonts w:ascii="Verdana" w:hAnsi="Verdana" w:cs="Arial"/>
          <w:sz w:val="22"/>
          <w:szCs w:val="22"/>
          <w:lang w:eastAsia="de-DE"/>
        </w:rPr>
        <w:t>……………………………………………………………………</w:t>
      </w:r>
    </w:p>
    <w:p w:rsidR="00403EA5" w:rsidRPr="00A344CC" w:rsidRDefault="00403EA5" w:rsidP="00403EA5">
      <w:pPr>
        <w:spacing w:line="360" w:lineRule="auto"/>
        <w:jc w:val="both"/>
        <w:rPr>
          <w:rFonts w:ascii="Verdana" w:hAnsi="Verdana" w:cs="Arial"/>
          <w:sz w:val="22"/>
          <w:szCs w:val="22"/>
          <w:lang w:eastAsia="de-DE"/>
        </w:rPr>
      </w:pPr>
      <w:r w:rsidRPr="00A344CC">
        <w:rPr>
          <w:rFonts w:ascii="Verdana" w:hAnsi="Verdana" w:cs="Arial"/>
          <w:sz w:val="22"/>
          <w:szCs w:val="22"/>
          <w:lang w:eastAsia="de-DE"/>
        </w:rPr>
        <w:t>Telephone</w:t>
      </w:r>
      <w:r w:rsidRPr="00A344CC">
        <w:rPr>
          <w:rFonts w:ascii="Verdana" w:hAnsi="Verdana" w:cs="Arial"/>
          <w:sz w:val="22"/>
          <w:szCs w:val="22"/>
          <w:lang w:eastAsia="de-DE"/>
        </w:rPr>
        <w:tab/>
      </w:r>
      <w:r w:rsidRPr="00A344CC">
        <w:rPr>
          <w:rFonts w:ascii="Verdana" w:hAnsi="Verdana" w:cs="Arial"/>
          <w:sz w:val="22"/>
          <w:szCs w:val="22"/>
          <w:lang w:eastAsia="de-DE"/>
        </w:rPr>
        <w:tab/>
        <w:t>……………………………………………………………………</w:t>
      </w:r>
    </w:p>
    <w:p w:rsidR="00403EA5" w:rsidRPr="00A344CC" w:rsidRDefault="00403EA5" w:rsidP="00403EA5">
      <w:pPr>
        <w:spacing w:line="360" w:lineRule="auto"/>
        <w:jc w:val="both"/>
        <w:rPr>
          <w:rFonts w:ascii="Verdana" w:hAnsi="Verdana" w:cs="Arial"/>
          <w:sz w:val="22"/>
          <w:szCs w:val="22"/>
          <w:lang w:eastAsia="de-DE"/>
        </w:rPr>
      </w:pPr>
      <w:r w:rsidRPr="00A344CC">
        <w:rPr>
          <w:rFonts w:ascii="Verdana" w:hAnsi="Verdana" w:cs="Arial"/>
          <w:sz w:val="22"/>
          <w:szCs w:val="22"/>
          <w:lang w:eastAsia="de-DE"/>
        </w:rPr>
        <w:t>Email</w:t>
      </w:r>
      <w:r w:rsidRPr="00A344CC">
        <w:rPr>
          <w:rFonts w:ascii="Verdana" w:hAnsi="Verdana" w:cs="Arial"/>
          <w:sz w:val="22"/>
          <w:szCs w:val="22"/>
          <w:lang w:eastAsia="de-DE"/>
        </w:rPr>
        <w:tab/>
      </w:r>
      <w:r w:rsidRPr="00A344CC">
        <w:rPr>
          <w:rFonts w:ascii="Verdana" w:hAnsi="Verdana" w:cs="Arial"/>
          <w:sz w:val="22"/>
          <w:szCs w:val="22"/>
          <w:lang w:eastAsia="de-DE"/>
        </w:rPr>
        <w:tab/>
      </w:r>
      <w:r w:rsidRPr="00A344CC">
        <w:rPr>
          <w:rFonts w:ascii="Verdana" w:hAnsi="Verdana" w:cs="Arial"/>
          <w:sz w:val="22"/>
          <w:szCs w:val="22"/>
          <w:lang w:eastAsia="de-DE"/>
        </w:rPr>
        <w:tab/>
        <w:t>……………………………………………………………………</w:t>
      </w:r>
    </w:p>
    <w:p w:rsidR="00403EA5" w:rsidRPr="00A344CC" w:rsidRDefault="00403EA5" w:rsidP="00403EA5">
      <w:pPr>
        <w:spacing w:line="360" w:lineRule="auto"/>
        <w:jc w:val="both"/>
        <w:rPr>
          <w:rFonts w:ascii="Verdana" w:hAnsi="Verdana" w:cs="Arial"/>
          <w:sz w:val="22"/>
          <w:szCs w:val="22"/>
          <w:lang w:eastAsia="de-DE"/>
        </w:rPr>
      </w:pPr>
    </w:p>
    <w:p w:rsidR="00403EA5" w:rsidRPr="00A344CC" w:rsidRDefault="00403EA5" w:rsidP="008166DD">
      <w:pPr>
        <w:pStyle w:val="Akapitzlist"/>
        <w:numPr>
          <w:ilvl w:val="0"/>
          <w:numId w:val="13"/>
        </w:numPr>
        <w:spacing w:after="0" w:line="240" w:lineRule="auto"/>
        <w:jc w:val="both"/>
        <w:rPr>
          <w:rFonts w:ascii="Verdana" w:hAnsi="Verdana" w:cs="Arial"/>
        </w:rPr>
      </w:pPr>
      <w:r w:rsidRPr="00A344CC">
        <w:rPr>
          <w:rFonts w:ascii="Verdana" w:hAnsi="Verdana" w:cs="Arial"/>
        </w:rPr>
        <w:t>Name and contact details of the body responsible for establishing the sy</w:t>
      </w:r>
      <w:r>
        <w:rPr>
          <w:rFonts w:ascii="Verdana" w:hAnsi="Verdana" w:cs="Arial"/>
        </w:rPr>
        <w:t>s</w:t>
      </w:r>
      <w:r w:rsidRPr="00A344CC">
        <w:rPr>
          <w:rFonts w:ascii="Verdana" w:hAnsi="Verdana" w:cs="Arial"/>
        </w:rPr>
        <w:t xml:space="preserve">tem for financial controls in the </w:t>
      </w:r>
      <w:r>
        <w:rPr>
          <w:rFonts w:ascii="Verdana" w:hAnsi="Verdana" w:cs="Arial"/>
        </w:rPr>
        <w:t>Member State according to Article 23</w:t>
      </w:r>
      <w:r w:rsidRPr="00A344CC">
        <w:rPr>
          <w:rFonts w:ascii="Verdana" w:hAnsi="Verdana" w:cs="Arial"/>
        </w:rPr>
        <w:t xml:space="preserve"> (4) of Regulation (EU) </w:t>
      </w:r>
      <w:r>
        <w:rPr>
          <w:rFonts w:ascii="Verdana" w:hAnsi="Verdana" w:cs="Arial"/>
        </w:rPr>
        <w:t>1299</w:t>
      </w:r>
      <w:r w:rsidRPr="00A344CC">
        <w:rPr>
          <w:rFonts w:ascii="Verdana" w:hAnsi="Verdana" w:cs="Arial"/>
        </w:rPr>
        <w:t>/2013 [ETC]:</w:t>
      </w:r>
    </w:p>
    <w:p w:rsidR="00403EA5" w:rsidRPr="00A344CC" w:rsidRDefault="00403EA5" w:rsidP="00403EA5">
      <w:pPr>
        <w:ind w:left="360"/>
        <w:jc w:val="both"/>
        <w:rPr>
          <w:rFonts w:ascii="Verdana" w:hAnsi="Verdana" w:cs="Arial"/>
          <w:sz w:val="22"/>
          <w:szCs w:val="22"/>
        </w:rPr>
      </w:pPr>
    </w:p>
    <w:p w:rsidR="00403EA5" w:rsidRPr="00A344CC" w:rsidRDefault="00403EA5" w:rsidP="00403EA5">
      <w:pPr>
        <w:spacing w:line="360" w:lineRule="auto"/>
        <w:jc w:val="both"/>
        <w:rPr>
          <w:rFonts w:ascii="Verdana" w:hAnsi="Verdana" w:cs="Arial"/>
          <w:sz w:val="22"/>
          <w:szCs w:val="22"/>
          <w:lang w:eastAsia="de-DE"/>
        </w:rPr>
      </w:pPr>
      <w:r w:rsidRPr="00A344CC">
        <w:rPr>
          <w:rFonts w:ascii="Verdana" w:hAnsi="Verdana" w:cs="Arial"/>
          <w:sz w:val="22"/>
          <w:szCs w:val="22"/>
          <w:lang w:eastAsia="de-DE"/>
        </w:rPr>
        <w:t>Institution</w:t>
      </w:r>
      <w:r w:rsidRPr="00A344CC">
        <w:rPr>
          <w:rFonts w:ascii="Verdana" w:hAnsi="Verdana" w:cs="Arial"/>
          <w:sz w:val="22"/>
          <w:szCs w:val="22"/>
          <w:lang w:eastAsia="de-DE"/>
        </w:rPr>
        <w:tab/>
      </w:r>
      <w:r w:rsidRPr="00A344CC">
        <w:rPr>
          <w:rFonts w:ascii="Verdana" w:hAnsi="Verdana" w:cs="Arial"/>
          <w:sz w:val="22"/>
          <w:szCs w:val="22"/>
          <w:lang w:eastAsia="de-DE"/>
        </w:rPr>
        <w:tab/>
        <w:t>……………………………………………………………………</w:t>
      </w:r>
    </w:p>
    <w:p w:rsidR="00403EA5" w:rsidRDefault="00403EA5" w:rsidP="00403EA5">
      <w:pPr>
        <w:spacing w:line="360" w:lineRule="auto"/>
        <w:jc w:val="both"/>
        <w:rPr>
          <w:rFonts w:ascii="Verdana" w:hAnsi="Verdana" w:cs="Arial"/>
          <w:sz w:val="22"/>
          <w:szCs w:val="22"/>
          <w:lang w:eastAsia="de-DE"/>
        </w:rPr>
      </w:pPr>
      <w:r w:rsidRPr="00A344CC">
        <w:rPr>
          <w:rFonts w:ascii="Verdana" w:hAnsi="Verdana" w:cs="Arial"/>
          <w:sz w:val="22"/>
          <w:szCs w:val="22"/>
          <w:lang w:eastAsia="de-DE"/>
        </w:rPr>
        <w:t>Address</w:t>
      </w:r>
      <w:r w:rsidRPr="00A344CC">
        <w:rPr>
          <w:rFonts w:ascii="Verdana" w:hAnsi="Verdana" w:cs="Arial"/>
          <w:sz w:val="22"/>
          <w:szCs w:val="22"/>
          <w:lang w:eastAsia="de-DE"/>
        </w:rPr>
        <w:tab/>
      </w:r>
      <w:r w:rsidRPr="00A344CC">
        <w:rPr>
          <w:rFonts w:ascii="Verdana" w:hAnsi="Verdana" w:cs="Arial"/>
          <w:sz w:val="22"/>
          <w:szCs w:val="22"/>
          <w:lang w:eastAsia="de-DE"/>
        </w:rPr>
        <w:tab/>
        <w:t>……………………………………………………………………</w:t>
      </w:r>
    </w:p>
    <w:p w:rsidR="00403EA5" w:rsidRDefault="00403EA5" w:rsidP="00403EA5">
      <w:pPr>
        <w:spacing w:line="360" w:lineRule="auto"/>
        <w:jc w:val="both"/>
        <w:rPr>
          <w:rFonts w:ascii="Verdana" w:hAnsi="Verdana" w:cs="Arial"/>
          <w:sz w:val="22"/>
          <w:szCs w:val="22"/>
          <w:lang w:eastAsia="de-DE"/>
        </w:rPr>
      </w:pPr>
      <w:r>
        <w:rPr>
          <w:rFonts w:ascii="Verdana" w:hAnsi="Verdana" w:cs="Arial"/>
          <w:sz w:val="22"/>
          <w:szCs w:val="22"/>
          <w:lang w:eastAsia="de-DE"/>
        </w:rPr>
        <w:t>Contact person</w:t>
      </w:r>
      <w:r>
        <w:rPr>
          <w:rFonts w:ascii="Verdana" w:hAnsi="Verdana" w:cs="Arial"/>
          <w:sz w:val="22"/>
          <w:szCs w:val="22"/>
          <w:lang w:eastAsia="de-DE"/>
        </w:rPr>
        <w:tab/>
      </w:r>
      <w:r w:rsidRPr="00A344CC">
        <w:rPr>
          <w:rFonts w:ascii="Verdana" w:hAnsi="Verdana" w:cs="Arial"/>
          <w:sz w:val="22"/>
          <w:szCs w:val="22"/>
          <w:lang w:eastAsia="de-DE"/>
        </w:rPr>
        <w:t>……………………………………………………………………</w:t>
      </w:r>
    </w:p>
    <w:p w:rsidR="00403EA5" w:rsidRPr="00A344CC" w:rsidRDefault="00403EA5" w:rsidP="00403EA5">
      <w:pPr>
        <w:spacing w:line="360" w:lineRule="auto"/>
        <w:jc w:val="both"/>
        <w:rPr>
          <w:rFonts w:ascii="Verdana" w:hAnsi="Verdana" w:cs="Arial"/>
          <w:sz w:val="22"/>
          <w:szCs w:val="22"/>
          <w:lang w:eastAsia="de-DE"/>
        </w:rPr>
      </w:pPr>
      <w:r w:rsidRPr="00A344CC">
        <w:rPr>
          <w:rFonts w:ascii="Verdana" w:hAnsi="Verdana" w:cs="Arial"/>
          <w:sz w:val="22"/>
          <w:szCs w:val="22"/>
          <w:lang w:eastAsia="de-DE"/>
        </w:rPr>
        <w:t>Telep</w:t>
      </w:r>
      <w:r>
        <w:rPr>
          <w:rFonts w:ascii="Verdana" w:hAnsi="Verdana" w:cs="Arial"/>
          <w:sz w:val="22"/>
          <w:szCs w:val="22"/>
          <w:lang w:eastAsia="de-DE"/>
        </w:rPr>
        <w:t>hone</w:t>
      </w:r>
      <w:r>
        <w:rPr>
          <w:rFonts w:ascii="Verdana" w:hAnsi="Verdana" w:cs="Arial"/>
          <w:sz w:val="22"/>
          <w:szCs w:val="22"/>
          <w:lang w:eastAsia="de-DE"/>
        </w:rPr>
        <w:tab/>
      </w:r>
      <w:r>
        <w:rPr>
          <w:rFonts w:ascii="Verdana" w:hAnsi="Verdana" w:cs="Arial"/>
          <w:sz w:val="22"/>
          <w:szCs w:val="22"/>
          <w:lang w:eastAsia="de-DE"/>
        </w:rPr>
        <w:tab/>
        <w:t>……………………………………………………………………</w:t>
      </w:r>
    </w:p>
    <w:p w:rsidR="00403EA5" w:rsidRPr="00A344CC" w:rsidRDefault="00403EA5" w:rsidP="00403EA5">
      <w:pPr>
        <w:spacing w:line="360" w:lineRule="auto"/>
        <w:jc w:val="both"/>
        <w:rPr>
          <w:rFonts w:ascii="Verdana" w:hAnsi="Verdana" w:cs="Arial"/>
          <w:sz w:val="22"/>
          <w:szCs w:val="22"/>
          <w:lang w:eastAsia="de-DE"/>
        </w:rPr>
      </w:pPr>
      <w:r>
        <w:rPr>
          <w:rFonts w:ascii="Verdana" w:hAnsi="Verdana" w:cs="Arial"/>
          <w:sz w:val="22"/>
          <w:szCs w:val="22"/>
          <w:lang w:eastAsia="de-DE"/>
        </w:rPr>
        <w:t>Email</w:t>
      </w:r>
      <w:r w:rsidRPr="00A344CC">
        <w:rPr>
          <w:rFonts w:ascii="Verdana" w:hAnsi="Verdana" w:cs="Arial"/>
          <w:sz w:val="22"/>
          <w:szCs w:val="22"/>
          <w:lang w:eastAsia="de-DE"/>
        </w:rPr>
        <w:tab/>
      </w:r>
      <w:r w:rsidRPr="00A344CC">
        <w:rPr>
          <w:rFonts w:ascii="Verdana" w:hAnsi="Verdana" w:cs="Arial"/>
          <w:sz w:val="22"/>
          <w:szCs w:val="22"/>
          <w:lang w:eastAsia="de-DE"/>
        </w:rPr>
        <w:tab/>
      </w:r>
      <w:r>
        <w:rPr>
          <w:rFonts w:ascii="Verdana" w:hAnsi="Verdana" w:cs="Arial"/>
          <w:sz w:val="22"/>
          <w:szCs w:val="22"/>
          <w:lang w:eastAsia="de-DE"/>
        </w:rPr>
        <w:tab/>
      </w:r>
      <w:r w:rsidRPr="00A344CC">
        <w:rPr>
          <w:rFonts w:ascii="Verdana" w:hAnsi="Verdana" w:cs="Arial"/>
          <w:sz w:val="22"/>
          <w:szCs w:val="22"/>
          <w:lang w:eastAsia="de-DE"/>
        </w:rPr>
        <w:t>……………………………………………………………………</w:t>
      </w:r>
    </w:p>
    <w:p w:rsidR="00403EA5" w:rsidRPr="00A344CC" w:rsidRDefault="00403EA5" w:rsidP="00403EA5">
      <w:pPr>
        <w:outlineLvl w:val="0"/>
        <w:rPr>
          <w:rFonts w:ascii="Verdana" w:hAnsi="Verdana" w:cs="Arial"/>
          <w:i/>
          <w:sz w:val="22"/>
          <w:szCs w:val="22"/>
        </w:rPr>
      </w:pPr>
    </w:p>
    <w:p w:rsidR="00E5202D" w:rsidRDefault="00BF5FB8">
      <w:pPr>
        <w:rPr>
          <w:rFonts w:ascii="Verdana" w:hAnsi="Verdana"/>
          <w:i/>
          <w:sz w:val="22"/>
          <w:szCs w:val="22"/>
        </w:rPr>
      </w:pPr>
      <w:r w:rsidRPr="00BF5FB8">
        <w:rPr>
          <w:rFonts w:ascii="Verdana" w:hAnsi="Verdana"/>
          <w:i/>
          <w:sz w:val="22"/>
          <w:szCs w:val="22"/>
        </w:rPr>
        <w:t xml:space="preserve">Please specify the control system opted for by selecting one of the tick boxes below: </w:t>
      </w:r>
    </w:p>
    <w:bookmarkStart w:id="71" w:name="Check1"/>
    <w:p w:rsidR="00403EA5" w:rsidRPr="00A344CC" w:rsidRDefault="00565EF9" w:rsidP="00403EA5">
      <w:pPr>
        <w:pStyle w:val="Style1"/>
        <w:spacing w:after="0"/>
        <w:jc w:val="both"/>
        <w:rPr>
          <w:rFonts w:ascii="Verdana" w:hAnsi="Verdana" w:cs="Arial"/>
          <w:sz w:val="22"/>
          <w:szCs w:val="22"/>
        </w:rPr>
      </w:pPr>
      <w:r w:rsidRPr="00A344CC">
        <w:rPr>
          <w:rFonts w:ascii="Verdana" w:hAnsi="Verdana" w:cs="Arial"/>
          <w:sz w:val="22"/>
          <w:szCs w:val="22"/>
        </w:rPr>
        <w:fldChar w:fldCharType="begin">
          <w:ffData>
            <w:name w:val="Check1"/>
            <w:enabled/>
            <w:calcOnExit w:val="0"/>
            <w:checkBox>
              <w:sizeAuto/>
              <w:default w:val="0"/>
            </w:checkBox>
          </w:ffData>
        </w:fldChar>
      </w:r>
      <w:r w:rsidR="00403EA5" w:rsidRPr="00A344CC">
        <w:rPr>
          <w:rFonts w:ascii="Verdana" w:hAnsi="Verdana" w:cs="Arial"/>
          <w:sz w:val="22"/>
          <w:szCs w:val="22"/>
        </w:rPr>
        <w:instrText xml:space="preserve"> FORMCHECKBOX </w:instrText>
      </w:r>
      <w:r w:rsidR="006F7B95">
        <w:rPr>
          <w:rFonts w:ascii="Verdana" w:hAnsi="Verdana" w:cs="Arial"/>
          <w:sz w:val="22"/>
          <w:szCs w:val="22"/>
        </w:rPr>
      </w:r>
      <w:r w:rsidR="006F7B95">
        <w:rPr>
          <w:rFonts w:ascii="Verdana" w:hAnsi="Verdana" w:cs="Arial"/>
          <w:sz w:val="22"/>
          <w:szCs w:val="22"/>
        </w:rPr>
        <w:fldChar w:fldCharType="separate"/>
      </w:r>
      <w:r w:rsidRPr="00A344CC">
        <w:rPr>
          <w:rFonts w:ascii="Verdana" w:hAnsi="Verdana" w:cs="Arial"/>
          <w:sz w:val="22"/>
          <w:szCs w:val="22"/>
        </w:rPr>
        <w:fldChar w:fldCharType="end"/>
      </w:r>
      <w:bookmarkEnd w:id="71"/>
      <w:r w:rsidR="00403EA5" w:rsidRPr="00A344CC">
        <w:rPr>
          <w:rFonts w:ascii="Verdana" w:hAnsi="Verdana" w:cs="Arial"/>
          <w:sz w:val="22"/>
          <w:szCs w:val="22"/>
        </w:rPr>
        <w:t xml:space="preserve"> centralised system, i.e. a central body/central bodies coordinated by one main body is/are appointed to carry out the control </w:t>
      </w:r>
      <w:r w:rsidR="00403EA5">
        <w:rPr>
          <w:rFonts w:ascii="Verdana" w:hAnsi="Verdana" w:cs="Arial"/>
          <w:sz w:val="22"/>
          <w:szCs w:val="22"/>
        </w:rPr>
        <w:t xml:space="preserve">tasks </w:t>
      </w:r>
      <w:r w:rsidR="00403EA5" w:rsidRPr="00A344CC">
        <w:rPr>
          <w:rFonts w:ascii="Verdana" w:hAnsi="Verdana" w:cs="Arial"/>
          <w:sz w:val="22"/>
          <w:szCs w:val="22"/>
        </w:rPr>
        <w:t>in accordance with Arti</w:t>
      </w:r>
      <w:r w:rsidR="00403EA5">
        <w:rPr>
          <w:rFonts w:ascii="Verdana" w:hAnsi="Verdana" w:cs="Arial"/>
          <w:sz w:val="22"/>
          <w:szCs w:val="22"/>
        </w:rPr>
        <w:t>cle 23</w:t>
      </w:r>
      <w:r w:rsidR="00403EA5" w:rsidRPr="00A344CC">
        <w:rPr>
          <w:rFonts w:ascii="Verdana" w:hAnsi="Verdana" w:cs="Arial"/>
          <w:sz w:val="22"/>
          <w:szCs w:val="22"/>
        </w:rPr>
        <w:t xml:space="preserve"> (4) of Regulation (EU) </w:t>
      </w:r>
      <w:r w:rsidR="00403EA5">
        <w:rPr>
          <w:rFonts w:ascii="Verdana" w:hAnsi="Verdana" w:cs="Arial"/>
          <w:sz w:val="22"/>
          <w:szCs w:val="22"/>
        </w:rPr>
        <w:t>1299</w:t>
      </w:r>
      <w:r w:rsidR="00403EA5" w:rsidRPr="00A344CC">
        <w:rPr>
          <w:rFonts w:ascii="Verdana" w:hAnsi="Verdana" w:cs="Arial"/>
          <w:sz w:val="22"/>
          <w:szCs w:val="22"/>
        </w:rPr>
        <w:t>/2013 [ETC]:</w:t>
      </w:r>
    </w:p>
    <w:p w:rsidR="00403EA5" w:rsidRPr="00A344CC" w:rsidRDefault="00403EA5" w:rsidP="00403EA5">
      <w:pPr>
        <w:pStyle w:val="Style1"/>
        <w:spacing w:after="0"/>
        <w:jc w:val="both"/>
        <w:rPr>
          <w:rFonts w:ascii="Verdana" w:hAnsi="Verdana" w:cs="Arial"/>
          <w:sz w:val="22"/>
          <w:szCs w:val="22"/>
        </w:rPr>
      </w:pPr>
    </w:p>
    <w:p w:rsidR="00403EA5" w:rsidRPr="00A344CC" w:rsidRDefault="00565EF9" w:rsidP="00403EA5">
      <w:pPr>
        <w:pStyle w:val="Style1"/>
        <w:spacing w:after="0"/>
        <w:jc w:val="both"/>
        <w:rPr>
          <w:rFonts w:ascii="Verdana" w:hAnsi="Verdana" w:cs="Arial"/>
          <w:sz w:val="22"/>
          <w:szCs w:val="22"/>
        </w:rPr>
      </w:pPr>
      <w:r w:rsidRPr="00A344CC">
        <w:rPr>
          <w:rFonts w:ascii="Verdana" w:hAnsi="Verdana" w:cs="Arial"/>
          <w:sz w:val="22"/>
          <w:szCs w:val="22"/>
        </w:rPr>
        <w:fldChar w:fldCharType="begin">
          <w:ffData>
            <w:name w:val="Check1"/>
            <w:enabled/>
            <w:calcOnExit w:val="0"/>
            <w:checkBox>
              <w:sizeAuto/>
              <w:default w:val="0"/>
            </w:checkBox>
          </w:ffData>
        </w:fldChar>
      </w:r>
      <w:r w:rsidR="00403EA5" w:rsidRPr="00A344CC">
        <w:rPr>
          <w:rFonts w:ascii="Verdana" w:hAnsi="Verdana" w:cs="Arial"/>
          <w:sz w:val="22"/>
          <w:szCs w:val="22"/>
        </w:rPr>
        <w:instrText xml:space="preserve"> FORMCHECKBOX </w:instrText>
      </w:r>
      <w:r w:rsidR="006F7B95">
        <w:rPr>
          <w:rFonts w:ascii="Verdana" w:hAnsi="Verdana" w:cs="Arial"/>
          <w:sz w:val="22"/>
          <w:szCs w:val="22"/>
        </w:rPr>
      </w:r>
      <w:r w:rsidR="006F7B95">
        <w:rPr>
          <w:rFonts w:ascii="Verdana" w:hAnsi="Verdana" w:cs="Arial"/>
          <w:sz w:val="22"/>
          <w:szCs w:val="22"/>
        </w:rPr>
        <w:fldChar w:fldCharType="separate"/>
      </w:r>
      <w:r w:rsidRPr="00A344CC">
        <w:rPr>
          <w:rFonts w:ascii="Verdana" w:hAnsi="Verdana" w:cs="Arial"/>
          <w:sz w:val="22"/>
          <w:szCs w:val="22"/>
        </w:rPr>
        <w:fldChar w:fldCharType="end"/>
      </w:r>
      <w:r w:rsidR="00403EA5" w:rsidRPr="00A344CC">
        <w:rPr>
          <w:rFonts w:ascii="Verdana" w:hAnsi="Verdana" w:cs="Arial"/>
          <w:sz w:val="22"/>
          <w:szCs w:val="22"/>
        </w:rPr>
        <w:t xml:space="preserve"> decentralised system, i.e. an approbation body will designate an independent, qualified controller to carry out the contr</w:t>
      </w:r>
      <w:r w:rsidR="00403EA5">
        <w:rPr>
          <w:rFonts w:ascii="Verdana" w:hAnsi="Verdana" w:cs="Arial"/>
          <w:sz w:val="22"/>
          <w:szCs w:val="22"/>
        </w:rPr>
        <w:t xml:space="preserve">ol tasks in accordance with Article 23 </w:t>
      </w:r>
      <w:r w:rsidR="00403EA5" w:rsidRPr="00A344CC">
        <w:rPr>
          <w:rFonts w:ascii="Verdana" w:hAnsi="Verdana" w:cs="Arial"/>
          <w:sz w:val="22"/>
          <w:szCs w:val="22"/>
        </w:rPr>
        <w:t xml:space="preserve">(4) of Regulation (EU) </w:t>
      </w:r>
      <w:r w:rsidR="00403EA5">
        <w:rPr>
          <w:rFonts w:ascii="Verdana" w:hAnsi="Verdana" w:cs="Arial"/>
          <w:sz w:val="22"/>
          <w:szCs w:val="22"/>
        </w:rPr>
        <w:t>1299</w:t>
      </w:r>
      <w:r w:rsidR="00403EA5" w:rsidRPr="00A344CC">
        <w:rPr>
          <w:rFonts w:ascii="Verdana" w:hAnsi="Verdana" w:cs="Arial"/>
          <w:sz w:val="22"/>
          <w:szCs w:val="22"/>
        </w:rPr>
        <w:t xml:space="preserve">/2013 [ETC]. The designation is based on a proposal made by the project partner or based on a shortlist established by the approbation body. </w:t>
      </w:r>
    </w:p>
    <w:p w:rsidR="00403EA5" w:rsidRPr="00A344CC" w:rsidRDefault="00403EA5" w:rsidP="00403EA5">
      <w:pPr>
        <w:rPr>
          <w:rFonts w:ascii="Verdana" w:hAnsi="Verdana" w:cs="Arial"/>
          <w:sz w:val="22"/>
          <w:szCs w:val="22"/>
        </w:rPr>
      </w:pPr>
    </w:p>
    <w:p w:rsidR="00403EA5" w:rsidRPr="00A344CC" w:rsidRDefault="00403EA5" w:rsidP="008166DD">
      <w:pPr>
        <w:pStyle w:val="Akapitzlist"/>
        <w:numPr>
          <w:ilvl w:val="0"/>
          <w:numId w:val="13"/>
        </w:numPr>
        <w:spacing w:after="0" w:line="240" w:lineRule="auto"/>
        <w:jc w:val="both"/>
        <w:rPr>
          <w:rFonts w:ascii="Verdana" w:hAnsi="Verdana" w:cs="Arial"/>
        </w:rPr>
      </w:pPr>
      <w:r w:rsidRPr="00A344CC">
        <w:rPr>
          <w:rFonts w:ascii="Verdana" w:hAnsi="Verdana" w:cs="Arial"/>
        </w:rPr>
        <w:t xml:space="preserve">Name and contact details of the body representing the </w:t>
      </w:r>
      <w:r>
        <w:rPr>
          <w:rFonts w:ascii="Verdana" w:hAnsi="Verdana" w:cs="Arial"/>
        </w:rPr>
        <w:t xml:space="preserve">Member State </w:t>
      </w:r>
      <w:r w:rsidRPr="00A344CC">
        <w:rPr>
          <w:rFonts w:ascii="Verdana" w:hAnsi="Verdana" w:cs="Arial"/>
        </w:rPr>
        <w:t xml:space="preserve">in the group of </w:t>
      </w:r>
      <w:r>
        <w:rPr>
          <w:rFonts w:ascii="Verdana" w:hAnsi="Verdana" w:cs="Arial"/>
        </w:rPr>
        <w:t>auditors according to Article 25</w:t>
      </w:r>
      <w:r w:rsidRPr="00A344CC">
        <w:rPr>
          <w:rFonts w:ascii="Verdana" w:hAnsi="Verdana" w:cs="Arial"/>
        </w:rPr>
        <w:t xml:space="preserve"> of Regulation (EU) No </w:t>
      </w:r>
      <w:r>
        <w:rPr>
          <w:rFonts w:ascii="Verdana" w:hAnsi="Verdana" w:cs="Arial"/>
        </w:rPr>
        <w:t>1299</w:t>
      </w:r>
      <w:r w:rsidRPr="00A344CC">
        <w:rPr>
          <w:rFonts w:ascii="Verdana" w:hAnsi="Verdana" w:cs="Arial"/>
        </w:rPr>
        <w:t>/2013 [ETC]:</w:t>
      </w:r>
    </w:p>
    <w:p w:rsidR="00403EA5" w:rsidRPr="00A344CC" w:rsidRDefault="00403EA5" w:rsidP="00403EA5">
      <w:pPr>
        <w:jc w:val="both"/>
        <w:rPr>
          <w:rFonts w:ascii="Verdana" w:hAnsi="Verdana" w:cs="Arial"/>
          <w:sz w:val="22"/>
          <w:szCs w:val="22"/>
        </w:rPr>
      </w:pPr>
    </w:p>
    <w:p w:rsidR="00403EA5" w:rsidRPr="00A344CC" w:rsidRDefault="00403EA5" w:rsidP="00403EA5">
      <w:pPr>
        <w:jc w:val="both"/>
        <w:rPr>
          <w:rFonts w:ascii="Verdana" w:hAnsi="Verdana" w:cs="Arial"/>
          <w:sz w:val="22"/>
          <w:szCs w:val="22"/>
        </w:rPr>
      </w:pPr>
    </w:p>
    <w:p w:rsidR="00403EA5" w:rsidRPr="00A344CC" w:rsidRDefault="00403EA5" w:rsidP="00403EA5">
      <w:pPr>
        <w:spacing w:line="360" w:lineRule="auto"/>
        <w:jc w:val="both"/>
        <w:rPr>
          <w:rFonts w:ascii="Verdana" w:hAnsi="Verdana" w:cs="Arial"/>
          <w:sz w:val="22"/>
          <w:szCs w:val="22"/>
          <w:lang w:eastAsia="de-DE"/>
        </w:rPr>
      </w:pPr>
      <w:r w:rsidRPr="00A344CC">
        <w:rPr>
          <w:rFonts w:ascii="Verdana" w:hAnsi="Verdana" w:cs="Arial"/>
          <w:sz w:val="22"/>
          <w:szCs w:val="22"/>
          <w:lang w:eastAsia="de-DE"/>
        </w:rPr>
        <w:t>Institution</w:t>
      </w:r>
      <w:r w:rsidRPr="00A344CC">
        <w:rPr>
          <w:rFonts w:ascii="Verdana" w:hAnsi="Verdana" w:cs="Arial"/>
          <w:sz w:val="22"/>
          <w:szCs w:val="22"/>
          <w:lang w:eastAsia="de-DE"/>
        </w:rPr>
        <w:tab/>
      </w:r>
      <w:r w:rsidRPr="00A344CC">
        <w:rPr>
          <w:rFonts w:ascii="Verdana" w:hAnsi="Verdana" w:cs="Arial"/>
          <w:sz w:val="22"/>
          <w:szCs w:val="22"/>
          <w:lang w:eastAsia="de-DE"/>
        </w:rPr>
        <w:tab/>
        <w:t>……………………………………………………………………</w:t>
      </w:r>
    </w:p>
    <w:p w:rsidR="00403EA5" w:rsidRPr="00A344CC" w:rsidRDefault="00403EA5" w:rsidP="00403EA5">
      <w:pPr>
        <w:spacing w:line="360" w:lineRule="auto"/>
        <w:jc w:val="both"/>
        <w:rPr>
          <w:rFonts w:ascii="Verdana" w:hAnsi="Verdana" w:cs="Arial"/>
          <w:sz w:val="22"/>
          <w:szCs w:val="22"/>
          <w:lang w:eastAsia="de-DE"/>
        </w:rPr>
      </w:pPr>
      <w:r w:rsidRPr="00A344CC">
        <w:rPr>
          <w:rFonts w:ascii="Verdana" w:hAnsi="Verdana" w:cs="Arial"/>
          <w:sz w:val="22"/>
          <w:szCs w:val="22"/>
          <w:lang w:eastAsia="de-DE"/>
        </w:rPr>
        <w:t>Address</w:t>
      </w:r>
      <w:r w:rsidRPr="00A344CC">
        <w:rPr>
          <w:rFonts w:ascii="Verdana" w:hAnsi="Verdana" w:cs="Arial"/>
          <w:sz w:val="22"/>
          <w:szCs w:val="22"/>
          <w:lang w:eastAsia="de-DE"/>
        </w:rPr>
        <w:tab/>
      </w:r>
      <w:r w:rsidRPr="00A344CC">
        <w:rPr>
          <w:rFonts w:ascii="Verdana" w:hAnsi="Verdana" w:cs="Arial"/>
          <w:sz w:val="22"/>
          <w:szCs w:val="22"/>
          <w:lang w:eastAsia="de-DE"/>
        </w:rPr>
        <w:tab/>
        <w:t>……………………………………………………………………</w:t>
      </w:r>
    </w:p>
    <w:p w:rsidR="00403EA5" w:rsidRPr="00A344CC" w:rsidRDefault="00403EA5" w:rsidP="00403EA5">
      <w:pPr>
        <w:spacing w:line="360" w:lineRule="auto"/>
        <w:jc w:val="both"/>
        <w:rPr>
          <w:rFonts w:ascii="Verdana" w:hAnsi="Verdana" w:cs="Arial"/>
          <w:sz w:val="22"/>
          <w:szCs w:val="22"/>
          <w:lang w:eastAsia="de-DE"/>
        </w:rPr>
      </w:pPr>
      <w:r>
        <w:rPr>
          <w:rFonts w:ascii="Verdana" w:hAnsi="Verdana" w:cs="Arial"/>
          <w:sz w:val="22"/>
          <w:szCs w:val="22"/>
          <w:lang w:eastAsia="de-DE"/>
        </w:rPr>
        <w:t>Contact person</w:t>
      </w:r>
      <w:r>
        <w:rPr>
          <w:rFonts w:ascii="Verdana" w:hAnsi="Verdana" w:cs="Arial"/>
          <w:sz w:val="22"/>
          <w:szCs w:val="22"/>
          <w:lang w:eastAsia="de-DE"/>
        </w:rPr>
        <w:tab/>
      </w:r>
      <w:r w:rsidRPr="00A344CC">
        <w:rPr>
          <w:rFonts w:ascii="Verdana" w:hAnsi="Verdana" w:cs="Arial"/>
          <w:sz w:val="22"/>
          <w:szCs w:val="22"/>
          <w:lang w:eastAsia="de-DE"/>
        </w:rPr>
        <w:t>……………………………………………………………………</w:t>
      </w:r>
    </w:p>
    <w:p w:rsidR="00403EA5" w:rsidRPr="00A344CC" w:rsidRDefault="00403EA5" w:rsidP="00403EA5">
      <w:pPr>
        <w:spacing w:line="360" w:lineRule="auto"/>
        <w:jc w:val="both"/>
        <w:rPr>
          <w:rFonts w:ascii="Verdana" w:hAnsi="Verdana" w:cs="Arial"/>
          <w:sz w:val="22"/>
          <w:szCs w:val="22"/>
          <w:lang w:eastAsia="de-DE"/>
        </w:rPr>
      </w:pPr>
      <w:r w:rsidRPr="00A344CC">
        <w:rPr>
          <w:rFonts w:ascii="Verdana" w:hAnsi="Verdana" w:cs="Arial"/>
          <w:sz w:val="22"/>
          <w:szCs w:val="22"/>
          <w:lang w:eastAsia="de-DE"/>
        </w:rPr>
        <w:t>Telephone</w:t>
      </w:r>
      <w:r w:rsidRPr="00A344CC">
        <w:rPr>
          <w:rFonts w:ascii="Verdana" w:hAnsi="Verdana" w:cs="Arial"/>
          <w:sz w:val="22"/>
          <w:szCs w:val="22"/>
          <w:lang w:eastAsia="de-DE"/>
        </w:rPr>
        <w:tab/>
      </w:r>
      <w:r w:rsidRPr="00A344CC">
        <w:rPr>
          <w:rFonts w:ascii="Verdana" w:hAnsi="Verdana" w:cs="Arial"/>
          <w:sz w:val="22"/>
          <w:szCs w:val="22"/>
          <w:lang w:eastAsia="de-DE"/>
        </w:rPr>
        <w:tab/>
        <w:t>……………………………………………………………………</w:t>
      </w:r>
    </w:p>
    <w:p w:rsidR="00403EA5" w:rsidRPr="00A344CC" w:rsidRDefault="00403EA5" w:rsidP="00403EA5">
      <w:pPr>
        <w:spacing w:line="360" w:lineRule="auto"/>
        <w:jc w:val="both"/>
        <w:rPr>
          <w:rFonts w:ascii="Verdana" w:hAnsi="Verdana" w:cs="Arial"/>
          <w:sz w:val="22"/>
          <w:szCs w:val="22"/>
          <w:lang w:eastAsia="de-DE"/>
        </w:rPr>
      </w:pPr>
      <w:r w:rsidRPr="00A344CC">
        <w:rPr>
          <w:rFonts w:ascii="Verdana" w:hAnsi="Verdana" w:cs="Arial"/>
          <w:sz w:val="22"/>
          <w:szCs w:val="22"/>
          <w:lang w:eastAsia="de-DE"/>
        </w:rPr>
        <w:t>Email</w:t>
      </w:r>
      <w:r w:rsidRPr="00A344CC">
        <w:rPr>
          <w:rFonts w:ascii="Verdana" w:hAnsi="Verdana" w:cs="Arial"/>
          <w:sz w:val="22"/>
          <w:szCs w:val="22"/>
          <w:lang w:eastAsia="de-DE"/>
        </w:rPr>
        <w:tab/>
      </w:r>
      <w:r w:rsidRPr="00A344CC">
        <w:rPr>
          <w:rFonts w:ascii="Verdana" w:hAnsi="Verdana" w:cs="Arial"/>
          <w:sz w:val="22"/>
          <w:szCs w:val="22"/>
          <w:lang w:eastAsia="de-DE"/>
        </w:rPr>
        <w:tab/>
      </w:r>
      <w:r w:rsidRPr="00A344CC">
        <w:rPr>
          <w:rFonts w:ascii="Verdana" w:hAnsi="Verdana" w:cs="Arial"/>
          <w:sz w:val="22"/>
          <w:szCs w:val="22"/>
          <w:lang w:eastAsia="de-DE"/>
        </w:rPr>
        <w:tab/>
        <w:t>……………………………………………………………………</w:t>
      </w:r>
    </w:p>
    <w:p w:rsidR="00403EA5" w:rsidRDefault="00403EA5" w:rsidP="00403EA5">
      <w:pPr>
        <w:spacing w:line="360" w:lineRule="auto"/>
        <w:jc w:val="both"/>
        <w:rPr>
          <w:rFonts w:ascii="Verdana" w:hAnsi="Verdana" w:cs="Arial"/>
          <w:i/>
          <w:sz w:val="22"/>
          <w:szCs w:val="22"/>
          <w:lang w:eastAsia="de-DE"/>
        </w:rPr>
      </w:pPr>
    </w:p>
    <w:p w:rsidR="00403EA5" w:rsidRPr="00403EA5" w:rsidRDefault="00403EA5" w:rsidP="00403EA5">
      <w:pPr>
        <w:spacing w:line="360" w:lineRule="auto"/>
        <w:jc w:val="center"/>
        <w:rPr>
          <w:rFonts w:ascii="Verdana" w:hAnsi="Verdana" w:cs="Arial"/>
          <w:b/>
          <w:sz w:val="22"/>
          <w:szCs w:val="22"/>
          <w:lang w:eastAsia="de-DE"/>
        </w:rPr>
      </w:pPr>
      <w:r w:rsidRPr="00403EA5">
        <w:rPr>
          <w:rFonts w:ascii="Verdana" w:hAnsi="Verdana" w:cs="Arial"/>
          <w:b/>
          <w:sz w:val="22"/>
          <w:szCs w:val="22"/>
          <w:lang w:eastAsia="de-DE"/>
        </w:rPr>
        <w:t>Annex 2: National contribution</w:t>
      </w:r>
    </w:p>
    <w:p w:rsidR="00403EA5" w:rsidRPr="00403EA5" w:rsidRDefault="00403EA5" w:rsidP="00403EA5">
      <w:pPr>
        <w:autoSpaceDE w:val="0"/>
        <w:autoSpaceDN w:val="0"/>
        <w:adjustRightInd w:val="0"/>
        <w:rPr>
          <w:sz w:val="22"/>
        </w:rPr>
      </w:pPr>
    </w:p>
    <w:p w:rsidR="00403EA5" w:rsidRDefault="00403EA5" w:rsidP="00403EA5">
      <w:pPr>
        <w:jc w:val="both"/>
        <w:rPr>
          <w:rFonts w:ascii="Verdana" w:hAnsi="Verdana" w:cs="Arial"/>
          <w:sz w:val="22"/>
          <w:szCs w:val="22"/>
          <w:lang w:eastAsia="ko-KR"/>
        </w:rPr>
      </w:pPr>
    </w:p>
    <w:p w:rsidR="00403EA5" w:rsidRPr="005E478B" w:rsidRDefault="00403EA5" w:rsidP="00403EA5">
      <w:pPr>
        <w:jc w:val="both"/>
        <w:rPr>
          <w:rFonts w:ascii="Verdana" w:hAnsi="Verdana" w:cs="Arial"/>
          <w:sz w:val="22"/>
          <w:szCs w:val="22"/>
          <w:lang w:eastAsia="ko-KR"/>
        </w:rPr>
      </w:pPr>
      <w:r w:rsidRPr="005E478B">
        <w:rPr>
          <w:rFonts w:ascii="Verdana" w:hAnsi="Verdana" w:cs="Arial"/>
          <w:sz w:val="22"/>
          <w:szCs w:val="22"/>
          <w:lang w:eastAsia="ko-KR"/>
        </w:rPr>
        <w:t xml:space="preserve">The total national contribution amount to …….. Euros. This contribution shall be paid within the following schedule: </w:t>
      </w:r>
    </w:p>
    <w:p w:rsidR="00403EA5" w:rsidRDefault="00403EA5" w:rsidP="00403EA5"/>
    <w:p w:rsidR="00403EA5" w:rsidRDefault="00403EA5" w:rsidP="00403EA5">
      <w:pPr>
        <w:rPr>
          <w:sz w:val="22"/>
        </w:rPr>
      </w:pPr>
    </w:p>
    <w:p w:rsidR="00403EA5" w:rsidRDefault="00403EA5" w:rsidP="00403EA5">
      <w:pPr>
        <w:rPr>
          <w:sz w:val="22"/>
        </w:rPr>
      </w:pPr>
    </w:p>
    <w:tbl>
      <w:tblPr>
        <w:tblStyle w:val="Tabela-Siatka"/>
        <w:tblW w:w="0" w:type="auto"/>
        <w:tblLook w:val="04A0" w:firstRow="1" w:lastRow="0" w:firstColumn="1" w:lastColumn="0" w:noHBand="0" w:noVBand="1"/>
      </w:tblPr>
      <w:tblGrid>
        <w:gridCol w:w="4603"/>
        <w:gridCol w:w="4603"/>
      </w:tblGrid>
      <w:tr w:rsidR="00403EA5" w:rsidTr="008D0C9C">
        <w:tc>
          <w:tcPr>
            <w:tcW w:w="4603" w:type="dxa"/>
          </w:tcPr>
          <w:p w:rsidR="00403EA5" w:rsidRPr="005E478B" w:rsidRDefault="00403EA5" w:rsidP="008D0C9C">
            <w:pPr>
              <w:spacing w:line="360" w:lineRule="auto"/>
              <w:jc w:val="center"/>
              <w:rPr>
                <w:rFonts w:ascii="Verdana" w:hAnsi="Verdana" w:cs="Arial"/>
                <w:b/>
                <w:sz w:val="22"/>
                <w:szCs w:val="22"/>
                <w:lang w:eastAsia="de-DE"/>
              </w:rPr>
            </w:pPr>
            <w:r w:rsidRPr="005E478B">
              <w:rPr>
                <w:rFonts w:ascii="Verdana" w:hAnsi="Verdana" w:cs="Arial"/>
                <w:b/>
                <w:sz w:val="22"/>
                <w:szCs w:val="22"/>
                <w:lang w:eastAsia="de-DE"/>
              </w:rPr>
              <w:t>Year</w:t>
            </w:r>
          </w:p>
        </w:tc>
        <w:tc>
          <w:tcPr>
            <w:tcW w:w="4603" w:type="dxa"/>
          </w:tcPr>
          <w:p w:rsidR="00403EA5" w:rsidRPr="005E478B" w:rsidRDefault="00403EA5" w:rsidP="008D0C9C">
            <w:pPr>
              <w:spacing w:line="360" w:lineRule="auto"/>
              <w:jc w:val="center"/>
              <w:rPr>
                <w:rFonts w:ascii="Verdana" w:hAnsi="Verdana" w:cs="Arial"/>
                <w:b/>
                <w:sz w:val="22"/>
                <w:szCs w:val="22"/>
                <w:lang w:eastAsia="de-DE"/>
              </w:rPr>
            </w:pPr>
            <w:r w:rsidRPr="005E478B">
              <w:rPr>
                <w:rFonts w:ascii="Verdana" w:hAnsi="Verdana" w:cs="Arial"/>
                <w:b/>
                <w:sz w:val="22"/>
                <w:szCs w:val="22"/>
                <w:lang w:eastAsia="de-DE"/>
              </w:rPr>
              <w:t>Amount</w:t>
            </w:r>
            <w:r>
              <w:rPr>
                <w:rFonts w:ascii="Verdana" w:hAnsi="Verdana" w:cs="Arial"/>
                <w:b/>
                <w:sz w:val="22"/>
                <w:szCs w:val="22"/>
                <w:lang w:eastAsia="de-DE"/>
              </w:rPr>
              <w:t xml:space="preserve"> in €</w:t>
            </w:r>
          </w:p>
        </w:tc>
      </w:tr>
      <w:tr w:rsidR="00403EA5" w:rsidTr="008D0C9C">
        <w:tc>
          <w:tcPr>
            <w:tcW w:w="4603" w:type="dxa"/>
          </w:tcPr>
          <w:p w:rsidR="00403EA5" w:rsidRPr="005E478B" w:rsidRDefault="00403EA5" w:rsidP="008D0C9C">
            <w:pPr>
              <w:spacing w:line="360" w:lineRule="auto"/>
              <w:jc w:val="center"/>
              <w:rPr>
                <w:rFonts w:ascii="Verdana" w:hAnsi="Verdana" w:cs="Arial"/>
                <w:b/>
                <w:sz w:val="22"/>
                <w:szCs w:val="22"/>
                <w:lang w:eastAsia="de-DE"/>
              </w:rPr>
            </w:pPr>
            <w:r w:rsidRPr="005E478B">
              <w:rPr>
                <w:rFonts w:ascii="Verdana" w:hAnsi="Verdana" w:cs="Arial"/>
                <w:b/>
                <w:sz w:val="22"/>
                <w:szCs w:val="22"/>
                <w:lang w:eastAsia="de-DE"/>
              </w:rPr>
              <w:t>2014</w:t>
            </w:r>
          </w:p>
        </w:tc>
        <w:tc>
          <w:tcPr>
            <w:tcW w:w="4603" w:type="dxa"/>
          </w:tcPr>
          <w:p w:rsidR="00403EA5" w:rsidRPr="005E478B" w:rsidRDefault="00403EA5" w:rsidP="008D0C9C">
            <w:pPr>
              <w:spacing w:line="360" w:lineRule="auto"/>
              <w:jc w:val="center"/>
              <w:rPr>
                <w:rFonts w:ascii="Verdana" w:hAnsi="Verdana" w:cs="Arial"/>
                <w:b/>
                <w:sz w:val="22"/>
                <w:szCs w:val="22"/>
                <w:lang w:eastAsia="de-DE"/>
              </w:rPr>
            </w:pPr>
          </w:p>
        </w:tc>
      </w:tr>
      <w:tr w:rsidR="00403EA5" w:rsidTr="008D0C9C">
        <w:tc>
          <w:tcPr>
            <w:tcW w:w="4603" w:type="dxa"/>
          </w:tcPr>
          <w:p w:rsidR="00403EA5" w:rsidRPr="005E478B" w:rsidRDefault="00403EA5" w:rsidP="008D0C9C">
            <w:pPr>
              <w:spacing w:line="360" w:lineRule="auto"/>
              <w:jc w:val="center"/>
              <w:rPr>
                <w:rFonts w:ascii="Verdana" w:hAnsi="Verdana" w:cs="Arial"/>
                <w:b/>
                <w:sz w:val="22"/>
                <w:szCs w:val="22"/>
                <w:lang w:eastAsia="de-DE"/>
              </w:rPr>
            </w:pPr>
            <w:r w:rsidRPr="005E478B">
              <w:rPr>
                <w:rFonts w:ascii="Verdana" w:hAnsi="Verdana" w:cs="Arial"/>
                <w:b/>
                <w:sz w:val="22"/>
                <w:szCs w:val="22"/>
                <w:lang w:eastAsia="de-DE"/>
              </w:rPr>
              <w:t>2015</w:t>
            </w:r>
          </w:p>
        </w:tc>
        <w:tc>
          <w:tcPr>
            <w:tcW w:w="4603" w:type="dxa"/>
          </w:tcPr>
          <w:p w:rsidR="00403EA5" w:rsidRPr="005E478B" w:rsidRDefault="00403EA5" w:rsidP="008D0C9C">
            <w:pPr>
              <w:spacing w:line="360" w:lineRule="auto"/>
              <w:jc w:val="center"/>
              <w:rPr>
                <w:rFonts w:ascii="Verdana" w:hAnsi="Verdana" w:cs="Arial"/>
                <w:b/>
                <w:sz w:val="22"/>
                <w:szCs w:val="22"/>
                <w:lang w:eastAsia="de-DE"/>
              </w:rPr>
            </w:pPr>
          </w:p>
        </w:tc>
      </w:tr>
      <w:tr w:rsidR="00403EA5" w:rsidTr="008D0C9C">
        <w:tc>
          <w:tcPr>
            <w:tcW w:w="4603" w:type="dxa"/>
          </w:tcPr>
          <w:p w:rsidR="00403EA5" w:rsidRPr="005E478B" w:rsidRDefault="00403EA5" w:rsidP="008D0C9C">
            <w:pPr>
              <w:spacing w:line="360" w:lineRule="auto"/>
              <w:jc w:val="center"/>
              <w:rPr>
                <w:rFonts w:ascii="Verdana" w:hAnsi="Verdana" w:cs="Arial"/>
                <w:b/>
                <w:sz w:val="22"/>
                <w:szCs w:val="22"/>
                <w:lang w:eastAsia="de-DE"/>
              </w:rPr>
            </w:pPr>
            <w:r w:rsidRPr="005E478B">
              <w:rPr>
                <w:rFonts w:ascii="Verdana" w:hAnsi="Verdana" w:cs="Arial"/>
                <w:b/>
                <w:sz w:val="22"/>
                <w:szCs w:val="22"/>
                <w:lang w:eastAsia="de-DE"/>
              </w:rPr>
              <w:t>2016</w:t>
            </w:r>
          </w:p>
        </w:tc>
        <w:tc>
          <w:tcPr>
            <w:tcW w:w="4603" w:type="dxa"/>
          </w:tcPr>
          <w:p w:rsidR="00403EA5" w:rsidRPr="005E478B" w:rsidRDefault="00403EA5" w:rsidP="008D0C9C">
            <w:pPr>
              <w:spacing w:line="360" w:lineRule="auto"/>
              <w:jc w:val="center"/>
              <w:rPr>
                <w:rFonts w:ascii="Verdana" w:hAnsi="Verdana" w:cs="Arial"/>
                <w:b/>
                <w:sz w:val="22"/>
                <w:szCs w:val="22"/>
                <w:lang w:eastAsia="de-DE"/>
              </w:rPr>
            </w:pPr>
          </w:p>
        </w:tc>
      </w:tr>
      <w:tr w:rsidR="00403EA5" w:rsidTr="008D0C9C">
        <w:tc>
          <w:tcPr>
            <w:tcW w:w="4603" w:type="dxa"/>
          </w:tcPr>
          <w:p w:rsidR="00403EA5" w:rsidRPr="005E478B" w:rsidRDefault="00403EA5" w:rsidP="008D0C9C">
            <w:pPr>
              <w:spacing w:line="360" w:lineRule="auto"/>
              <w:jc w:val="center"/>
              <w:rPr>
                <w:rFonts w:ascii="Verdana" w:hAnsi="Verdana" w:cs="Arial"/>
                <w:b/>
                <w:sz w:val="22"/>
                <w:szCs w:val="22"/>
                <w:lang w:eastAsia="de-DE"/>
              </w:rPr>
            </w:pPr>
            <w:r w:rsidRPr="005E478B">
              <w:rPr>
                <w:rFonts w:ascii="Verdana" w:hAnsi="Verdana" w:cs="Arial"/>
                <w:b/>
                <w:sz w:val="22"/>
                <w:szCs w:val="22"/>
                <w:lang w:eastAsia="de-DE"/>
              </w:rPr>
              <w:t>2017</w:t>
            </w:r>
          </w:p>
        </w:tc>
        <w:tc>
          <w:tcPr>
            <w:tcW w:w="4603" w:type="dxa"/>
          </w:tcPr>
          <w:p w:rsidR="00403EA5" w:rsidRPr="005E478B" w:rsidRDefault="00403EA5" w:rsidP="008D0C9C">
            <w:pPr>
              <w:spacing w:line="360" w:lineRule="auto"/>
              <w:jc w:val="center"/>
              <w:rPr>
                <w:rFonts w:ascii="Verdana" w:hAnsi="Verdana" w:cs="Arial"/>
                <w:b/>
                <w:sz w:val="22"/>
                <w:szCs w:val="22"/>
                <w:lang w:eastAsia="de-DE"/>
              </w:rPr>
            </w:pPr>
          </w:p>
        </w:tc>
      </w:tr>
      <w:tr w:rsidR="00403EA5" w:rsidTr="008D0C9C">
        <w:tc>
          <w:tcPr>
            <w:tcW w:w="4603" w:type="dxa"/>
          </w:tcPr>
          <w:p w:rsidR="00403EA5" w:rsidRPr="005E478B" w:rsidRDefault="00403EA5" w:rsidP="008D0C9C">
            <w:pPr>
              <w:spacing w:line="360" w:lineRule="auto"/>
              <w:jc w:val="center"/>
              <w:rPr>
                <w:rFonts w:ascii="Verdana" w:hAnsi="Verdana" w:cs="Arial"/>
                <w:b/>
                <w:sz w:val="22"/>
                <w:szCs w:val="22"/>
                <w:lang w:eastAsia="de-DE"/>
              </w:rPr>
            </w:pPr>
            <w:r w:rsidRPr="005E478B">
              <w:rPr>
                <w:rFonts w:ascii="Verdana" w:hAnsi="Verdana" w:cs="Arial"/>
                <w:b/>
                <w:sz w:val="22"/>
                <w:szCs w:val="22"/>
                <w:lang w:eastAsia="de-DE"/>
              </w:rPr>
              <w:t>2018</w:t>
            </w:r>
          </w:p>
        </w:tc>
        <w:tc>
          <w:tcPr>
            <w:tcW w:w="4603" w:type="dxa"/>
          </w:tcPr>
          <w:p w:rsidR="00403EA5" w:rsidRPr="005E478B" w:rsidRDefault="00403EA5" w:rsidP="008D0C9C">
            <w:pPr>
              <w:spacing w:line="360" w:lineRule="auto"/>
              <w:jc w:val="center"/>
              <w:rPr>
                <w:rFonts w:ascii="Verdana" w:hAnsi="Verdana" w:cs="Arial"/>
                <w:b/>
                <w:sz w:val="22"/>
                <w:szCs w:val="22"/>
                <w:lang w:eastAsia="de-DE"/>
              </w:rPr>
            </w:pPr>
          </w:p>
        </w:tc>
      </w:tr>
      <w:tr w:rsidR="00403EA5" w:rsidTr="008D0C9C">
        <w:tc>
          <w:tcPr>
            <w:tcW w:w="4603" w:type="dxa"/>
          </w:tcPr>
          <w:p w:rsidR="00403EA5" w:rsidRPr="005E478B" w:rsidRDefault="00403EA5" w:rsidP="008D0C9C">
            <w:pPr>
              <w:spacing w:line="360" w:lineRule="auto"/>
              <w:jc w:val="center"/>
              <w:rPr>
                <w:rFonts w:ascii="Verdana" w:hAnsi="Verdana" w:cs="Arial"/>
                <w:b/>
                <w:sz w:val="22"/>
                <w:szCs w:val="22"/>
                <w:lang w:eastAsia="de-DE"/>
              </w:rPr>
            </w:pPr>
            <w:r w:rsidRPr="005E478B">
              <w:rPr>
                <w:rFonts w:ascii="Verdana" w:hAnsi="Verdana" w:cs="Arial"/>
                <w:b/>
                <w:sz w:val="22"/>
                <w:szCs w:val="22"/>
                <w:lang w:eastAsia="de-DE"/>
              </w:rPr>
              <w:t>2019</w:t>
            </w:r>
          </w:p>
        </w:tc>
        <w:tc>
          <w:tcPr>
            <w:tcW w:w="4603" w:type="dxa"/>
          </w:tcPr>
          <w:p w:rsidR="00403EA5" w:rsidRPr="005E478B" w:rsidRDefault="00403EA5" w:rsidP="008D0C9C">
            <w:pPr>
              <w:spacing w:line="360" w:lineRule="auto"/>
              <w:jc w:val="center"/>
              <w:rPr>
                <w:rFonts w:ascii="Verdana" w:hAnsi="Verdana" w:cs="Arial"/>
                <w:b/>
                <w:sz w:val="22"/>
                <w:szCs w:val="22"/>
                <w:lang w:eastAsia="de-DE"/>
              </w:rPr>
            </w:pPr>
          </w:p>
        </w:tc>
      </w:tr>
      <w:tr w:rsidR="00403EA5" w:rsidTr="008D0C9C">
        <w:tc>
          <w:tcPr>
            <w:tcW w:w="4603" w:type="dxa"/>
          </w:tcPr>
          <w:p w:rsidR="00403EA5" w:rsidRPr="005E478B" w:rsidRDefault="00403EA5" w:rsidP="008D0C9C">
            <w:pPr>
              <w:spacing w:line="360" w:lineRule="auto"/>
              <w:jc w:val="center"/>
              <w:rPr>
                <w:rFonts w:ascii="Verdana" w:hAnsi="Verdana" w:cs="Arial"/>
                <w:b/>
                <w:sz w:val="22"/>
                <w:szCs w:val="22"/>
                <w:lang w:eastAsia="de-DE"/>
              </w:rPr>
            </w:pPr>
            <w:r w:rsidRPr="005E478B">
              <w:rPr>
                <w:rFonts w:ascii="Verdana" w:hAnsi="Verdana" w:cs="Arial"/>
                <w:b/>
                <w:sz w:val="22"/>
                <w:szCs w:val="22"/>
                <w:lang w:eastAsia="de-DE"/>
              </w:rPr>
              <w:t>2020</w:t>
            </w:r>
          </w:p>
        </w:tc>
        <w:tc>
          <w:tcPr>
            <w:tcW w:w="4603" w:type="dxa"/>
          </w:tcPr>
          <w:p w:rsidR="00403EA5" w:rsidRPr="005E478B" w:rsidRDefault="00403EA5" w:rsidP="008D0C9C">
            <w:pPr>
              <w:spacing w:line="360" w:lineRule="auto"/>
              <w:jc w:val="center"/>
              <w:rPr>
                <w:rFonts w:ascii="Verdana" w:hAnsi="Verdana" w:cs="Arial"/>
                <w:b/>
                <w:sz w:val="22"/>
                <w:szCs w:val="22"/>
                <w:lang w:eastAsia="de-DE"/>
              </w:rPr>
            </w:pPr>
          </w:p>
        </w:tc>
      </w:tr>
    </w:tbl>
    <w:p w:rsidR="00403EA5" w:rsidRPr="00A344CC" w:rsidRDefault="00403EA5" w:rsidP="00403EA5">
      <w:pPr>
        <w:spacing w:line="360" w:lineRule="auto"/>
        <w:jc w:val="both"/>
        <w:rPr>
          <w:rFonts w:ascii="Verdana" w:hAnsi="Verdana" w:cs="Arial"/>
          <w:i/>
          <w:sz w:val="22"/>
          <w:szCs w:val="22"/>
          <w:lang w:eastAsia="de-DE"/>
        </w:rPr>
      </w:pPr>
    </w:p>
    <w:p w:rsidR="00A720B1" w:rsidRPr="00A97643" w:rsidRDefault="00A720B1" w:rsidP="00A720B1">
      <w:pPr>
        <w:spacing w:line="360" w:lineRule="auto"/>
        <w:jc w:val="both"/>
      </w:pPr>
    </w:p>
    <w:p w:rsidR="00A720B1" w:rsidRPr="004F5F2B" w:rsidRDefault="00A720B1">
      <w:pPr>
        <w:spacing w:after="200" w:line="276" w:lineRule="auto"/>
        <w:rPr>
          <w:rFonts w:ascii="Verdana" w:hAnsi="Verdana" w:cs="Arial"/>
          <w:lang w:eastAsia="de-DE"/>
        </w:rPr>
      </w:pPr>
      <w:r w:rsidRPr="004F5F2B">
        <w:rPr>
          <w:rFonts w:ascii="Verdana" w:hAnsi="Verdana" w:cs="Arial"/>
          <w:lang w:eastAsia="de-DE"/>
        </w:rPr>
        <w:br w:type="page"/>
      </w:r>
    </w:p>
    <w:p w:rsidR="00A720B1" w:rsidRPr="00A97643" w:rsidRDefault="00A720B1" w:rsidP="004C4BB9">
      <w:pPr>
        <w:pStyle w:val="Nagwek2"/>
        <w:spacing w:after="180" w:line="276" w:lineRule="auto"/>
      </w:pPr>
      <w:bookmarkStart w:id="72" w:name="_Toc401325834"/>
      <w:r w:rsidRPr="00A97643">
        <w:t xml:space="preserve">ANNEX </w:t>
      </w:r>
      <w:r w:rsidR="009854EC">
        <w:t>3</w:t>
      </w:r>
      <w:r w:rsidRPr="00A97643">
        <w:t xml:space="preserve"> Strategic Environmental Assessment</w:t>
      </w:r>
      <w:bookmarkEnd w:id="72"/>
    </w:p>
    <w:p w:rsidR="004C4BB9" w:rsidRPr="00A97643" w:rsidRDefault="004C4BB9" w:rsidP="004C4BB9"/>
    <w:p w:rsidR="00A720B1" w:rsidRPr="00A97643" w:rsidRDefault="00A720B1" w:rsidP="008166DD">
      <w:pPr>
        <w:numPr>
          <w:ilvl w:val="0"/>
          <w:numId w:val="14"/>
        </w:numPr>
        <w:spacing w:after="180" w:line="276" w:lineRule="auto"/>
        <w:ind w:left="0"/>
        <w:jc w:val="both"/>
      </w:pPr>
      <w:r w:rsidRPr="00A97643">
        <w:t>Introduction</w:t>
      </w:r>
    </w:p>
    <w:p w:rsidR="00A720B1" w:rsidRPr="00A97643" w:rsidRDefault="00A720B1" w:rsidP="00D67ECF">
      <w:pPr>
        <w:tabs>
          <w:tab w:val="num" w:pos="360"/>
        </w:tabs>
        <w:spacing w:after="180" w:line="276" w:lineRule="auto"/>
        <w:jc w:val="both"/>
      </w:pPr>
      <w:r w:rsidRPr="00A97643">
        <w:t>This exercise is carried out in accordance with the criteria defined by Art 3 (5) of the Strategic Environmental Assessment (SEA) Directive 2001/42/EC and its Annex II. Its objective is to determine if the URBACT III Draft Operational programme requires a strategic environmental assessment.</w:t>
      </w:r>
    </w:p>
    <w:p w:rsidR="00A720B1" w:rsidRPr="00A97643" w:rsidRDefault="00A720B1" w:rsidP="00D67ECF">
      <w:pPr>
        <w:tabs>
          <w:tab w:val="num" w:pos="360"/>
        </w:tabs>
        <w:spacing w:after="180" w:line="276" w:lineRule="auto"/>
        <w:jc w:val="both"/>
      </w:pPr>
    </w:p>
    <w:p w:rsidR="00A720B1" w:rsidRPr="00A97643" w:rsidRDefault="00A720B1" w:rsidP="008166DD">
      <w:pPr>
        <w:numPr>
          <w:ilvl w:val="0"/>
          <w:numId w:val="14"/>
        </w:numPr>
        <w:spacing w:after="180" w:line="276" w:lineRule="auto"/>
        <w:ind w:left="0"/>
        <w:jc w:val="both"/>
      </w:pPr>
      <w:r w:rsidRPr="00A97643">
        <w:t>Reference Points</w:t>
      </w:r>
    </w:p>
    <w:p w:rsidR="00A720B1" w:rsidRPr="00A97643" w:rsidRDefault="00A720B1" w:rsidP="008166DD">
      <w:pPr>
        <w:numPr>
          <w:ilvl w:val="1"/>
          <w:numId w:val="14"/>
        </w:numPr>
        <w:spacing w:after="180" w:line="276" w:lineRule="auto"/>
        <w:ind w:left="0"/>
        <w:jc w:val="both"/>
      </w:pPr>
      <w:r w:rsidRPr="00A97643">
        <w:t>Legal basis, core mission and objective</w:t>
      </w:r>
    </w:p>
    <w:p w:rsidR="00A720B1" w:rsidRPr="00A97643" w:rsidRDefault="00A720B1" w:rsidP="00D67ECF">
      <w:pPr>
        <w:tabs>
          <w:tab w:val="num" w:pos="360"/>
        </w:tabs>
        <w:spacing w:after="180" w:line="276" w:lineRule="auto"/>
        <w:jc w:val="both"/>
      </w:pPr>
      <w:r w:rsidRPr="00A97643">
        <w:t>The regulatory framework for URBACT III is provided by the regulations for Cohesion policy</w:t>
      </w:r>
      <w:r w:rsidRPr="00A97643">
        <w:footnoteReference w:id="38"/>
      </w:r>
      <w:r w:rsidRPr="00A97643">
        <w:t>. The regulations</w:t>
      </w:r>
      <w:r w:rsidRPr="00A97643">
        <w:footnoteReference w:id="39"/>
      </w:r>
      <w:r w:rsidRPr="00A97643">
        <w:t xml:space="preserve"> which governs URBACT III is EU 1299/2013 which states in Article 2 (3) b that "ERDF supports interregional cooperation to strengthen the effectiveness of cohesion policy in promoting the exchange of experience concerning the identification, transfer and dissemination of good practices on sustainable urban development, including urban-rural linkages."</w:t>
      </w:r>
    </w:p>
    <w:p w:rsidR="00A720B1" w:rsidRPr="00A97643" w:rsidRDefault="00A720B1" w:rsidP="00D67ECF">
      <w:pPr>
        <w:pStyle w:val="Tekstpodstawowywcity"/>
        <w:autoSpaceDE w:val="0"/>
        <w:autoSpaceDN w:val="0"/>
        <w:adjustRightInd w:val="0"/>
        <w:spacing w:after="180" w:line="276" w:lineRule="auto"/>
        <w:ind w:left="0"/>
        <w:jc w:val="both"/>
      </w:pPr>
      <w:r w:rsidRPr="00A97643">
        <w:t>Target groups of URBACT III are the city policy makers and practitioners, regional and national authorities in charge of urban issues.</w:t>
      </w:r>
    </w:p>
    <w:p w:rsidR="00A720B1" w:rsidRPr="00A97643" w:rsidRDefault="00A720B1" w:rsidP="00D67ECF">
      <w:pPr>
        <w:pStyle w:val="Tekstpodstawowywcity"/>
        <w:autoSpaceDE w:val="0"/>
        <w:autoSpaceDN w:val="0"/>
        <w:adjustRightInd w:val="0"/>
        <w:spacing w:after="180" w:line="276" w:lineRule="auto"/>
        <w:ind w:left="0"/>
        <w:jc w:val="both"/>
      </w:pPr>
      <w:r w:rsidRPr="00A97643">
        <w:t xml:space="preserve">A specific investment priority has been created for URBACT under thematic objective 11 ‘Enhancing institutional capacity and efficient public administration’ as outlined in Regulation EU 1299/2013 (ETC) Article 7 (1) (c) (ii): </w:t>
      </w:r>
    </w:p>
    <w:p w:rsidR="00A720B1" w:rsidRPr="00A97643" w:rsidRDefault="00A720B1" w:rsidP="00D67ECF">
      <w:pPr>
        <w:pStyle w:val="Tekstpodstawowywcity"/>
        <w:autoSpaceDE w:val="0"/>
        <w:autoSpaceDN w:val="0"/>
        <w:adjustRightInd w:val="0"/>
        <w:spacing w:after="180" w:line="276" w:lineRule="auto"/>
        <w:ind w:left="0"/>
      </w:pPr>
      <w:r w:rsidRPr="00A97643">
        <w:t>‘Disseminating good practice and expertise and capitalising on the results of the exchange of experience in relation to sustainable urban development, including urban-rural linkages’</w:t>
      </w:r>
    </w:p>
    <w:p w:rsidR="00A720B1" w:rsidRPr="00A97643" w:rsidRDefault="00A720B1" w:rsidP="00D67ECF">
      <w:pPr>
        <w:tabs>
          <w:tab w:val="num" w:pos="360"/>
        </w:tabs>
        <w:spacing w:after="180" w:line="276" w:lineRule="auto"/>
        <w:jc w:val="both"/>
      </w:pPr>
    </w:p>
    <w:p w:rsidR="00A720B1" w:rsidRPr="00A97643" w:rsidRDefault="00A720B1" w:rsidP="008166DD">
      <w:pPr>
        <w:numPr>
          <w:ilvl w:val="1"/>
          <w:numId w:val="14"/>
        </w:numPr>
        <w:spacing w:after="180" w:line="276" w:lineRule="auto"/>
        <w:ind w:left="0"/>
        <w:jc w:val="both"/>
      </w:pPr>
      <w:r w:rsidRPr="00A97643">
        <w:t>Aspects of examination in relation to the SEA Directive</w:t>
      </w:r>
    </w:p>
    <w:p w:rsidR="00A720B1" w:rsidRPr="00A97643" w:rsidRDefault="00A720B1" w:rsidP="00D67ECF">
      <w:pPr>
        <w:pStyle w:val="Tekstpodstawowywcity"/>
        <w:autoSpaceDE w:val="0"/>
        <w:autoSpaceDN w:val="0"/>
        <w:adjustRightInd w:val="0"/>
        <w:spacing w:after="180" w:line="276" w:lineRule="auto"/>
        <w:ind w:left="0"/>
        <w:jc w:val="both"/>
      </w:pPr>
      <w:r w:rsidRPr="00A97643">
        <w:t>According to Directive 2001/42/EC certain programmes and plans that are likely to have significant environmental effects shall be subject of an environmental assessment. Article 3 provides for the scope of the SEA Directive, defining the type of plans and programmes that require such an environmental assessment.</w:t>
      </w:r>
    </w:p>
    <w:p w:rsidR="00A720B1" w:rsidRPr="00A97643" w:rsidRDefault="00A720B1" w:rsidP="00D67ECF">
      <w:pPr>
        <w:pStyle w:val="Tekstpodstawowywcity"/>
        <w:autoSpaceDE w:val="0"/>
        <w:autoSpaceDN w:val="0"/>
        <w:adjustRightInd w:val="0"/>
        <w:spacing w:after="180" w:line="276" w:lineRule="auto"/>
        <w:ind w:left="0"/>
      </w:pPr>
      <w:r w:rsidRPr="00A97643">
        <w:t xml:space="preserve">Article 3 (2) provides a list of specific plans and programmes for which an SEA is obligatory, with the exception of cases in which Articles 3 (3), 3 (8), or 3 (9) are applicable. </w:t>
      </w:r>
    </w:p>
    <w:p w:rsidR="00A720B1" w:rsidRPr="00A97643" w:rsidRDefault="00A720B1" w:rsidP="00D67ECF">
      <w:pPr>
        <w:pStyle w:val="Tekstpodstawowywcity"/>
        <w:autoSpaceDE w:val="0"/>
        <w:autoSpaceDN w:val="0"/>
        <w:adjustRightInd w:val="0"/>
        <w:spacing w:after="180" w:line="276" w:lineRule="auto"/>
        <w:ind w:left="0"/>
        <w:jc w:val="both"/>
      </w:pPr>
      <w:r w:rsidRPr="00A97643">
        <w:t xml:space="preserve">For programmes setting the framework for development consent of projects other than those referred in Article 3(2) of the SEA Directive, the competent authority of the MS where the Managing Authority of the programme is set up has to determine through a screening if they are likely to have significant environmental effects and if a full SEA is necessary or not. To perform the screening, the criteria laid down in Annex II of the Directive have to be taken into account. </w:t>
      </w:r>
    </w:p>
    <w:p w:rsidR="00A720B1" w:rsidRPr="00A97643" w:rsidRDefault="00A720B1" w:rsidP="00D67ECF">
      <w:pPr>
        <w:pStyle w:val="Tekstpodstawowywcity"/>
        <w:autoSpaceDE w:val="0"/>
        <w:autoSpaceDN w:val="0"/>
        <w:adjustRightInd w:val="0"/>
        <w:spacing w:after="180" w:line="276" w:lineRule="auto"/>
        <w:ind w:left="0"/>
        <w:jc w:val="both"/>
      </w:pPr>
      <w:r w:rsidRPr="00A97643">
        <w:t>If the conclusion of the screening is that the programme is not likely to have significant environmental effects and that no SEA is needed, this decision, including the reasons for not requiring an environmental assessment, should be made available to the public, according to Article 3(7) of the SEA Directive and the national legislation transposing this Directive.</w:t>
      </w:r>
    </w:p>
    <w:p w:rsidR="00A720B1" w:rsidRPr="00A97643" w:rsidRDefault="00A720B1" w:rsidP="00D67ECF">
      <w:pPr>
        <w:pStyle w:val="Tekstpodstawowywcity"/>
        <w:autoSpaceDE w:val="0"/>
        <w:autoSpaceDN w:val="0"/>
        <w:adjustRightInd w:val="0"/>
        <w:spacing w:after="180" w:line="276" w:lineRule="auto"/>
        <w:ind w:left="0"/>
        <w:jc w:val="both"/>
      </w:pPr>
      <w:r w:rsidRPr="00A97643">
        <w:t>The screening-out decision, as well as elements demonstrating that it has been made available to the public, should be transmitted to the Commission.</w:t>
      </w:r>
    </w:p>
    <w:p w:rsidR="00A720B1" w:rsidRPr="00A97643" w:rsidRDefault="00A720B1" w:rsidP="00D67ECF">
      <w:pPr>
        <w:tabs>
          <w:tab w:val="num" w:pos="360"/>
        </w:tabs>
        <w:spacing w:after="180" w:line="276" w:lineRule="auto"/>
        <w:jc w:val="both"/>
      </w:pPr>
    </w:p>
    <w:p w:rsidR="00A720B1" w:rsidRPr="00A97643" w:rsidRDefault="00A720B1" w:rsidP="008166DD">
      <w:pPr>
        <w:numPr>
          <w:ilvl w:val="0"/>
          <w:numId w:val="14"/>
        </w:numPr>
        <w:spacing w:after="180" w:line="276" w:lineRule="auto"/>
        <w:ind w:left="0"/>
        <w:jc w:val="both"/>
      </w:pPr>
      <w:r w:rsidRPr="00A97643">
        <w:t>Examination of the likely significant environmental effects of URBACT III in accordance with Article 3 (5) Directive 2001/42/EC</w:t>
      </w:r>
    </w:p>
    <w:p w:rsidR="00A720B1" w:rsidRPr="00A97643" w:rsidRDefault="00A720B1" w:rsidP="00D67ECF">
      <w:pPr>
        <w:tabs>
          <w:tab w:val="num" w:pos="360"/>
        </w:tabs>
        <w:spacing w:after="180" w:line="276" w:lineRule="auto"/>
        <w:jc w:val="both"/>
      </w:pPr>
    </w:p>
    <w:p w:rsidR="00A720B1" w:rsidRPr="00A97643" w:rsidRDefault="00A720B1" w:rsidP="008166DD">
      <w:pPr>
        <w:numPr>
          <w:ilvl w:val="1"/>
          <w:numId w:val="14"/>
        </w:numPr>
        <w:spacing w:after="180" w:line="276" w:lineRule="auto"/>
        <w:ind w:left="0"/>
        <w:jc w:val="both"/>
      </w:pPr>
      <w:r w:rsidRPr="00A97643">
        <w:t>Does URBACT III represent a plan or programme as per definition of Article 2 of Directive 2001/42/</w:t>
      </w:r>
      <w:r w:rsidR="0029014E" w:rsidRPr="00A97643">
        <w:t>EC?</w:t>
      </w:r>
    </w:p>
    <w:p w:rsidR="00A720B1" w:rsidRPr="00A97643" w:rsidRDefault="00A720B1" w:rsidP="00D67ECF">
      <w:pPr>
        <w:tabs>
          <w:tab w:val="num" w:pos="360"/>
        </w:tabs>
        <w:spacing w:after="180" w:line="276" w:lineRule="auto"/>
        <w:jc w:val="both"/>
      </w:pPr>
      <w:r w:rsidRPr="00A97643">
        <w:t>Questions:</w:t>
      </w:r>
    </w:p>
    <w:p w:rsidR="00A720B1" w:rsidRPr="00A97643" w:rsidRDefault="00A720B1" w:rsidP="00D67ECF">
      <w:pPr>
        <w:tabs>
          <w:tab w:val="num" w:pos="360"/>
        </w:tabs>
        <w:spacing w:after="180" w:line="276" w:lineRule="auto"/>
        <w:jc w:val="both"/>
      </w:pPr>
      <w:r w:rsidRPr="00A97643">
        <w:t>Does URBACT III represent a plan or programme:</w:t>
      </w:r>
    </w:p>
    <w:p w:rsidR="00A720B1" w:rsidRPr="00A97643" w:rsidRDefault="00A720B1" w:rsidP="008166DD">
      <w:pPr>
        <w:numPr>
          <w:ilvl w:val="0"/>
          <w:numId w:val="56"/>
        </w:numPr>
        <w:spacing w:after="180" w:line="276" w:lineRule="auto"/>
        <w:ind w:left="0" w:hanging="357"/>
        <w:jc w:val="both"/>
      </w:pPr>
      <w:r w:rsidRPr="00A97643">
        <w:t>Which is subject to preparation and/or adoption by an authority at national, regional, or local level or which is prepared by an authority for adoption, through a legislative procedure by Parliament or Government?</w:t>
      </w:r>
    </w:p>
    <w:p w:rsidR="00A720B1" w:rsidRPr="00A97643" w:rsidRDefault="00A720B1" w:rsidP="008166DD">
      <w:pPr>
        <w:numPr>
          <w:ilvl w:val="0"/>
          <w:numId w:val="56"/>
        </w:numPr>
        <w:spacing w:after="180" w:line="276" w:lineRule="auto"/>
        <w:ind w:left="0" w:hanging="357"/>
        <w:jc w:val="both"/>
      </w:pPr>
      <w:r w:rsidRPr="00A97643">
        <w:t>Which is required by legislative, regulatory or administrative provisions?</w:t>
      </w:r>
    </w:p>
    <w:p w:rsidR="00A720B1" w:rsidRPr="00A97643" w:rsidRDefault="00A720B1" w:rsidP="00D67ECF">
      <w:pPr>
        <w:tabs>
          <w:tab w:val="num" w:pos="360"/>
        </w:tabs>
        <w:spacing w:after="180" w:line="276" w:lineRule="auto"/>
        <w:jc w:val="both"/>
      </w:pPr>
      <w:r w:rsidRPr="00A97643">
        <w:t xml:space="preserve">  </w:t>
      </w:r>
    </w:p>
    <w:p w:rsidR="00A720B1" w:rsidRPr="00A97643" w:rsidRDefault="00A720B1" w:rsidP="00D67ECF">
      <w:pPr>
        <w:tabs>
          <w:tab w:val="num" w:pos="360"/>
        </w:tabs>
        <w:spacing w:after="180" w:line="276" w:lineRule="auto"/>
        <w:jc w:val="both"/>
      </w:pPr>
      <w:r w:rsidRPr="00A97643">
        <w:t xml:space="preserve">      Answer</w:t>
      </w:r>
    </w:p>
    <w:p w:rsidR="00A720B1" w:rsidRPr="00A97643" w:rsidRDefault="00A720B1" w:rsidP="00D67ECF">
      <w:pPr>
        <w:tabs>
          <w:tab w:val="num" w:pos="360"/>
        </w:tabs>
        <w:spacing w:after="180" w:line="276" w:lineRule="auto"/>
        <w:jc w:val="both"/>
      </w:pPr>
      <w:r w:rsidRPr="00A97643">
        <w:t xml:space="preserve">URBACT III represents a “plan or programme” as per definition of Article 2 of </w:t>
      </w:r>
      <w:r w:rsidR="0029014E" w:rsidRPr="00A97643">
        <w:t>Directive 2001</w:t>
      </w:r>
      <w:r w:rsidRPr="00A97643">
        <w:t>/42/</w:t>
      </w:r>
      <w:r w:rsidR="0029014E" w:rsidRPr="00A97643">
        <w:t>EC.</w:t>
      </w:r>
    </w:p>
    <w:p w:rsidR="00A720B1" w:rsidRPr="00A97643" w:rsidRDefault="00A720B1" w:rsidP="00D67ECF">
      <w:pPr>
        <w:tabs>
          <w:tab w:val="num" w:pos="360"/>
        </w:tabs>
        <w:spacing w:after="180" w:line="276" w:lineRule="auto"/>
        <w:jc w:val="both"/>
      </w:pPr>
    </w:p>
    <w:p w:rsidR="00A720B1" w:rsidRPr="00A97643" w:rsidRDefault="00A720B1" w:rsidP="004C4BB9">
      <w:pPr>
        <w:tabs>
          <w:tab w:val="num" w:pos="360"/>
        </w:tabs>
        <w:spacing w:after="180" w:line="276" w:lineRule="auto"/>
        <w:jc w:val="both"/>
      </w:pPr>
      <w:r w:rsidRPr="00A97643">
        <w:t>Comments:</w:t>
      </w:r>
    </w:p>
    <w:p w:rsidR="00A720B1" w:rsidRPr="00A97643" w:rsidRDefault="00A720B1" w:rsidP="008166DD">
      <w:pPr>
        <w:numPr>
          <w:ilvl w:val="0"/>
          <w:numId w:val="58"/>
        </w:numPr>
        <w:spacing w:after="180" w:line="276" w:lineRule="auto"/>
        <w:ind w:left="714" w:hanging="357"/>
        <w:jc w:val="both"/>
      </w:pPr>
      <w:r w:rsidRPr="00A97643">
        <w:t xml:space="preserve">Regulation n° 1303/2013 laying down common provision for ERDF, ESF, CF, EAFRD, EMFF, regulation n° 1301/2013 </w:t>
      </w:r>
      <w:r w:rsidR="0029014E" w:rsidRPr="00A97643">
        <w:t>for ERDF</w:t>
      </w:r>
      <w:r w:rsidRPr="00A97643">
        <w:t>, regulation 1299/2013 on specific provisions for the support from ERDF to the European territorial cooperation goal, requires submission by Member States and adoption by the Commission of Operational Programmes as part of the strategic reference framework setting out a development strategy using a coherent set of priorities.</w:t>
      </w:r>
    </w:p>
    <w:p w:rsidR="00A720B1" w:rsidRPr="00A97643" w:rsidRDefault="00A720B1" w:rsidP="008166DD">
      <w:pPr>
        <w:numPr>
          <w:ilvl w:val="0"/>
          <w:numId w:val="58"/>
        </w:numPr>
        <w:spacing w:after="180" w:line="276" w:lineRule="auto"/>
        <w:ind w:left="714" w:hanging="357"/>
        <w:jc w:val="both"/>
      </w:pPr>
      <w:r w:rsidRPr="00A97643">
        <w:t xml:space="preserve">The operational programme of URBACT III complies with this requirement. The need for the operational programme has been stated in Regulation (EC) 1080/06 on 1299/2013 on specific provisions for the support from ERDF to the European territorial cooperation goal as part of the European territorial cooperation objective. </w:t>
      </w:r>
    </w:p>
    <w:p w:rsidR="00A720B1" w:rsidRPr="00A97643" w:rsidRDefault="00A720B1" w:rsidP="004C4BB9">
      <w:pPr>
        <w:tabs>
          <w:tab w:val="num" w:pos="360"/>
        </w:tabs>
        <w:spacing w:after="180" w:line="276" w:lineRule="auto"/>
        <w:jc w:val="both"/>
      </w:pPr>
    </w:p>
    <w:p w:rsidR="00A720B1" w:rsidRPr="00A97643" w:rsidRDefault="00A720B1" w:rsidP="008166DD">
      <w:pPr>
        <w:numPr>
          <w:ilvl w:val="1"/>
          <w:numId w:val="14"/>
        </w:numPr>
        <w:spacing w:after="180" w:line="276" w:lineRule="auto"/>
        <w:jc w:val="both"/>
      </w:pPr>
      <w:r w:rsidRPr="00A97643">
        <w:t xml:space="preserve">Does URBACT III set the framework for future development consent of </w:t>
      </w:r>
      <w:r w:rsidR="0029014E" w:rsidRPr="00A97643">
        <w:t>projects?</w:t>
      </w:r>
    </w:p>
    <w:p w:rsidR="00A720B1" w:rsidRPr="00A97643" w:rsidRDefault="00A720B1" w:rsidP="004C4BB9">
      <w:pPr>
        <w:tabs>
          <w:tab w:val="num" w:pos="360"/>
        </w:tabs>
        <w:spacing w:after="180" w:line="276" w:lineRule="auto"/>
        <w:jc w:val="both"/>
      </w:pPr>
    </w:p>
    <w:p w:rsidR="00A720B1" w:rsidRPr="00A97643" w:rsidRDefault="00A720B1" w:rsidP="004C4BB9">
      <w:pPr>
        <w:tabs>
          <w:tab w:val="num" w:pos="360"/>
        </w:tabs>
        <w:spacing w:after="180" w:line="276" w:lineRule="auto"/>
        <w:jc w:val="both"/>
      </w:pPr>
      <w:r w:rsidRPr="00A97643">
        <w:t>Questions:</w:t>
      </w:r>
    </w:p>
    <w:p w:rsidR="00A720B1" w:rsidRPr="00A97643" w:rsidRDefault="00A720B1" w:rsidP="008166DD">
      <w:pPr>
        <w:numPr>
          <w:ilvl w:val="0"/>
          <w:numId w:val="57"/>
        </w:numPr>
        <w:tabs>
          <w:tab w:val="num" w:pos="765"/>
        </w:tabs>
        <w:spacing w:after="180" w:line="276" w:lineRule="auto"/>
        <w:ind w:left="714" w:hanging="357"/>
        <w:jc w:val="both"/>
      </w:pPr>
      <w:r w:rsidRPr="00A97643">
        <w:t>Has the present Operational programme been prepared for agriculture, forestry, fisheries, energy, industry, transport, waste management, water management, telecommunications, tourism, town and country planning or land use;</w:t>
      </w:r>
    </w:p>
    <w:p w:rsidR="00A720B1" w:rsidRPr="00A97643" w:rsidRDefault="00A720B1" w:rsidP="008166DD">
      <w:pPr>
        <w:numPr>
          <w:ilvl w:val="0"/>
          <w:numId w:val="57"/>
        </w:numPr>
        <w:tabs>
          <w:tab w:val="num" w:pos="765"/>
        </w:tabs>
        <w:spacing w:after="180" w:line="276" w:lineRule="auto"/>
        <w:ind w:left="714" w:hanging="357"/>
        <w:jc w:val="both"/>
      </w:pPr>
      <w:r w:rsidRPr="00A97643">
        <w:t>Does the present Operational programme set the framework for future development consent of projects as listed in Annex I and II of Directive 85/337/EEC on Environmental Impact Assessment EIA?</w:t>
      </w:r>
    </w:p>
    <w:p w:rsidR="00A720B1" w:rsidRPr="00A97643" w:rsidRDefault="00A720B1" w:rsidP="004C4BB9">
      <w:pPr>
        <w:tabs>
          <w:tab w:val="num" w:pos="360"/>
        </w:tabs>
        <w:spacing w:after="180" w:line="276" w:lineRule="auto"/>
        <w:jc w:val="both"/>
      </w:pPr>
    </w:p>
    <w:p w:rsidR="00A720B1" w:rsidRPr="00A97643" w:rsidRDefault="00A720B1" w:rsidP="004C4BB9">
      <w:pPr>
        <w:spacing w:after="180" w:line="276" w:lineRule="auto"/>
      </w:pPr>
      <w:bookmarkStart w:id="73" w:name="_Toc381007284"/>
      <w:bookmarkStart w:id="74" w:name="_Toc381008704"/>
      <w:r w:rsidRPr="00A97643">
        <w:t>Answer</w:t>
      </w:r>
      <w:bookmarkEnd w:id="73"/>
      <w:bookmarkEnd w:id="74"/>
      <w:r w:rsidRPr="00A97643">
        <w:t xml:space="preserve"> </w:t>
      </w:r>
    </w:p>
    <w:p w:rsidR="00A720B1" w:rsidRPr="00A97643" w:rsidRDefault="00A720B1" w:rsidP="004C4BB9">
      <w:pPr>
        <w:pStyle w:val="Tekstpodstawowywcity"/>
        <w:autoSpaceDE w:val="0"/>
        <w:autoSpaceDN w:val="0"/>
        <w:adjustRightInd w:val="0"/>
        <w:spacing w:after="180" w:line="276" w:lineRule="auto"/>
        <w:ind w:left="540"/>
      </w:pPr>
      <w:r w:rsidRPr="00A97643">
        <w:t>No.</w:t>
      </w:r>
    </w:p>
    <w:p w:rsidR="00A720B1" w:rsidRPr="00A97643" w:rsidRDefault="00A720B1" w:rsidP="004C4BB9">
      <w:pPr>
        <w:tabs>
          <w:tab w:val="num" w:pos="360"/>
        </w:tabs>
        <w:spacing w:after="180" w:line="276" w:lineRule="auto"/>
        <w:jc w:val="both"/>
      </w:pPr>
    </w:p>
    <w:p w:rsidR="00A720B1" w:rsidRPr="00A97643" w:rsidRDefault="00A720B1" w:rsidP="00627420">
      <w:pPr>
        <w:spacing w:after="180" w:line="276" w:lineRule="auto"/>
      </w:pPr>
      <w:bookmarkStart w:id="75" w:name="_Toc381007285"/>
      <w:bookmarkStart w:id="76" w:name="_Toc381008705"/>
      <w:r w:rsidRPr="00A97643">
        <w:t>Comments</w:t>
      </w:r>
      <w:bookmarkEnd w:id="75"/>
      <w:bookmarkEnd w:id="76"/>
    </w:p>
    <w:p w:rsidR="00A720B1" w:rsidRPr="00A97643" w:rsidRDefault="00A720B1" w:rsidP="00D67ECF">
      <w:pPr>
        <w:pStyle w:val="Tekstpodstawowywcity"/>
        <w:autoSpaceDE w:val="0"/>
        <w:autoSpaceDN w:val="0"/>
        <w:adjustRightInd w:val="0"/>
        <w:spacing w:after="180" w:line="276" w:lineRule="auto"/>
        <w:ind w:left="0"/>
        <w:jc w:val="both"/>
      </w:pPr>
      <w:r w:rsidRPr="00A97643">
        <w:t xml:space="preserve">URBACT does not directly invest in urban development (such as road building or science park construction). It does not directly set the framework for future development consent of projects. </w:t>
      </w:r>
    </w:p>
    <w:p w:rsidR="00A720B1" w:rsidRPr="00A97643" w:rsidRDefault="00A720B1" w:rsidP="00D67ECF">
      <w:pPr>
        <w:pStyle w:val="Tekstpodstawowywcity"/>
        <w:autoSpaceDE w:val="0"/>
        <w:autoSpaceDN w:val="0"/>
        <w:adjustRightInd w:val="0"/>
        <w:spacing w:after="180" w:line="276" w:lineRule="auto"/>
        <w:ind w:left="0"/>
        <w:jc w:val="both"/>
      </w:pPr>
      <w:r w:rsidRPr="00A97643">
        <w:t>Instead the programme enables exchange and learning between elected officials, officers and other city stakeholders; it contributes to the improvement of the quality of planning and implementation of integrated urban plans and programmes in cities, through policy learning on sustainable urban development, through the setting up of Local Support Groups and the Local Action Plans that they produce. URBACT will have an indirect effect on the implementation in Operational Programmes</w:t>
      </w:r>
    </w:p>
    <w:p w:rsidR="00A720B1" w:rsidRPr="00A97643" w:rsidRDefault="00A720B1" w:rsidP="00D67ECF">
      <w:pPr>
        <w:pStyle w:val="Tekstpodstawowywcity"/>
        <w:autoSpaceDE w:val="0"/>
        <w:autoSpaceDN w:val="0"/>
        <w:adjustRightInd w:val="0"/>
        <w:spacing w:after="180" w:line="276" w:lineRule="auto"/>
        <w:ind w:left="0"/>
      </w:pPr>
      <w:r w:rsidRPr="00A97643">
        <w:t>Projects, in the strict sense of Directive 85/337/EEC on EIA are related to:</w:t>
      </w:r>
    </w:p>
    <w:p w:rsidR="00A720B1" w:rsidRPr="00A97643" w:rsidRDefault="00A720B1" w:rsidP="008166DD">
      <w:pPr>
        <w:numPr>
          <w:ilvl w:val="0"/>
          <w:numId w:val="59"/>
        </w:numPr>
        <w:spacing w:after="180" w:line="276" w:lineRule="auto"/>
        <w:jc w:val="both"/>
      </w:pPr>
      <w:r w:rsidRPr="00A97643">
        <w:t>The execution of construction works or of other installations or schemes</w:t>
      </w:r>
    </w:p>
    <w:p w:rsidR="00A720B1" w:rsidRPr="00A97643" w:rsidRDefault="00A720B1" w:rsidP="008166DD">
      <w:pPr>
        <w:numPr>
          <w:ilvl w:val="0"/>
          <w:numId w:val="59"/>
        </w:numPr>
        <w:spacing w:after="180" w:line="276" w:lineRule="auto"/>
        <w:jc w:val="both"/>
      </w:pPr>
      <w:r w:rsidRPr="00A97643">
        <w:t>Other interventions in the natural surroundings and landscape including those involving the extraction of mineral resources</w:t>
      </w:r>
    </w:p>
    <w:p w:rsidR="00A720B1" w:rsidRPr="00A97643" w:rsidRDefault="00A720B1" w:rsidP="00D67ECF">
      <w:pPr>
        <w:pStyle w:val="Tekstpodstawowywcity"/>
        <w:autoSpaceDE w:val="0"/>
        <w:autoSpaceDN w:val="0"/>
        <w:adjustRightInd w:val="0"/>
        <w:spacing w:after="180" w:line="276" w:lineRule="auto"/>
        <w:ind w:left="0"/>
        <w:jc w:val="both"/>
      </w:pPr>
      <w:r w:rsidRPr="00A97643">
        <w:t>The types of projects involving practical construction works and on-site development activities are listed in Annex I and II of the EIA Directive. URBACT III does neither set the framework for the development consent of such projects, nor does it contain criteria or conditions which might guide the way a consenting authority decides on an application for development consent.</w:t>
      </w:r>
    </w:p>
    <w:p w:rsidR="00A720B1" w:rsidRPr="00A97643" w:rsidRDefault="00A720B1" w:rsidP="00D67ECF">
      <w:pPr>
        <w:pStyle w:val="Tekstpodstawowywcity"/>
        <w:autoSpaceDE w:val="0"/>
        <w:autoSpaceDN w:val="0"/>
        <w:adjustRightInd w:val="0"/>
        <w:spacing w:after="180" w:line="276" w:lineRule="auto"/>
        <w:ind w:left="0"/>
      </w:pPr>
    </w:p>
    <w:p w:rsidR="00A720B1" w:rsidRPr="00A97643" w:rsidRDefault="00A720B1" w:rsidP="008166DD">
      <w:pPr>
        <w:numPr>
          <w:ilvl w:val="1"/>
          <w:numId w:val="14"/>
        </w:numPr>
        <w:spacing w:after="180" w:line="276" w:lineRule="auto"/>
        <w:ind w:left="357" w:hanging="357"/>
        <w:jc w:val="both"/>
      </w:pPr>
      <w:r w:rsidRPr="00A97643">
        <w:t>Does URBACT III, in view with a potential effect on sites, require an assessment under Article 6 and 7 of the Directive 92/43/</w:t>
      </w:r>
      <w:r w:rsidR="0029014E" w:rsidRPr="00A97643">
        <w:t>EEC?</w:t>
      </w:r>
    </w:p>
    <w:p w:rsidR="00A720B1" w:rsidRPr="00A97643" w:rsidRDefault="00A720B1" w:rsidP="00D67ECF">
      <w:pPr>
        <w:tabs>
          <w:tab w:val="num" w:pos="360"/>
        </w:tabs>
        <w:spacing w:after="180" w:line="276" w:lineRule="auto"/>
        <w:jc w:val="both"/>
      </w:pPr>
    </w:p>
    <w:p w:rsidR="00A720B1" w:rsidRPr="00A97643" w:rsidRDefault="00A720B1" w:rsidP="005433CE">
      <w:pPr>
        <w:spacing w:after="180" w:line="276" w:lineRule="auto"/>
      </w:pPr>
      <w:bookmarkStart w:id="77" w:name="_Toc381007286"/>
      <w:bookmarkStart w:id="78" w:name="_Toc381008706"/>
      <w:r w:rsidRPr="00A97643">
        <w:t>Answer</w:t>
      </w:r>
      <w:bookmarkEnd w:id="77"/>
      <w:bookmarkEnd w:id="78"/>
    </w:p>
    <w:p w:rsidR="00627420" w:rsidRPr="00A97643" w:rsidRDefault="00627420" w:rsidP="00627420"/>
    <w:p w:rsidR="00A720B1" w:rsidRPr="00A97643" w:rsidRDefault="00A720B1" w:rsidP="00D67ECF">
      <w:pPr>
        <w:tabs>
          <w:tab w:val="num" w:pos="360"/>
        </w:tabs>
        <w:spacing w:after="180" w:line="276" w:lineRule="auto"/>
        <w:jc w:val="both"/>
      </w:pPr>
      <w:r w:rsidRPr="00A97643">
        <w:t>No</w:t>
      </w:r>
    </w:p>
    <w:p w:rsidR="00D67ECF" w:rsidRPr="00A97643" w:rsidRDefault="00D67ECF" w:rsidP="00627420">
      <w:bookmarkStart w:id="79" w:name="_Toc381007287"/>
      <w:bookmarkStart w:id="80" w:name="_Toc381008707"/>
    </w:p>
    <w:p w:rsidR="00A720B1" w:rsidRPr="00A97643" w:rsidRDefault="00A720B1" w:rsidP="005433CE">
      <w:pPr>
        <w:spacing w:after="180" w:line="276" w:lineRule="auto"/>
      </w:pPr>
      <w:r w:rsidRPr="00A97643">
        <w:t>Comments</w:t>
      </w:r>
      <w:bookmarkEnd w:id="79"/>
      <w:bookmarkEnd w:id="80"/>
    </w:p>
    <w:p w:rsidR="00A720B1" w:rsidRPr="00A97643" w:rsidRDefault="00A720B1" w:rsidP="00D67ECF">
      <w:pPr>
        <w:tabs>
          <w:tab w:val="num" w:pos="360"/>
        </w:tabs>
        <w:spacing w:after="180" w:line="276" w:lineRule="auto"/>
        <w:jc w:val="both"/>
      </w:pPr>
      <w:r w:rsidRPr="00A97643">
        <w:t>According to the Habitat Directive 92/43/EEC Member States are to establish special areas of conservation (as part of a coherent European ecological network of protected sites, Natura 2000) for rare and vulnerable habitat types and species which occur in their territory.</w:t>
      </w:r>
    </w:p>
    <w:p w:rsidR="00A720B1" w:rsidRPr="00A97643" w:rsidRDefault="00A720B1" w:rsidP="00D67ECF">
      <w:pPr>
        <w:pStyle w:val="Tekstpodstawowywcity"/>
        <w:autoSpaceDE w:val="0"/>
        <w:autoSpaceDN w:val="0"/>
        <w:adjustRightInd w:val="0"/>
        <w:spacing w:after="180" w:line="276" w:lineRule="auto"/>
        <w:ind w:left="0"/>
        <w:jc w:val="both"/>
      </w:pPr>
      <w:r w:rsidRPr="00A97643">
        <w:t>According to Article 6 (3) any plan or project not directly connected with or necessary to the management of the site but likely to have a significant effect thereon, either individually or in combination with other plans or projects, shall be subject to appropriate assessment of its implication for the site in view of the site’s conservation objectives.</w:t>
      </w:r>
    </w:p>
    <w:p w:rsidR="00A720B1" w:rsidRPr="00A97643" w:rsidRDefault="00A720B1" w:rsidP="00D67ECF">
      <w:pPr>
        <w:pStyle w:val="Tekstpodstawowywcity"/>
        <w:autoSpaceDE w:val="0"/>
        <w:autoSpaceDN w:val="0"/>
        <w:adjustRightInd w:val="0"/>
        <w:spacing w:after="180" w:line="276" w:lineRule="auto"/>
        <w:ind w:left="0"/>
        <w:jc w:val="both"/>
      </w:pPr>
      <w:r w:rsidRPr="00A97643">
        <w:t xml:space="preserve">URBACT III does not support projects or actions that are likely to affect sites in the Natura 2000 Network. It spreads systematic and standardized description of working practices mainly through </w:t>
      </w:r>
      <w:r w:rsidR="0029014E" w:rsidRPr="00A97643">
        <w:t>exchanges,</w:t>
      </w:r>
      <w:r w:rsidRPr="00A97643">
        <w:t xml:space="preserve"> studies and dissemination of information.</w:t>
      </w:r>
    </w:p>
    <w:p w:rsidR="00A720B1" w:rsidRPr="00A97643" w:rsidRDefault="00A720B1" w:rsidP="00D67ECF">
      <w:pPr>
        <w:tabs>
          <w:tab w:val="num" w:pos="360"/>
        </w:tabs>
        <w:spacing w:after="180" w:line="276" w:lineRule="auto"/>
        <w:jc w:val="both"/>
      </w:pPr>
    </w:p>
    <w:p w:rsidR="00A720B1" w:rsidRPr="00A97643" w:rsidRDefault="00A720B1" w:rsidP="008166DD">
      <w:pPr>
        <w:numPr>
          <w:ilvl w:val="1"/>
          <w:numId w:val="14"/>
        </w:numPr>
        <w:spacing w:after="180" w:line="276" w:lineRule="auto"/>
        <w:ind w:left="357" w:hanging="357"/>
        <w:jc w:val="both"/>
      </w:pPr>
      <w:r w:rsidRPr="00A97643">
        <w:t xml:space="preserve">Is URBACT III likely to have significant environmental </w:t>
      </w:r>
      <w:r w:rsidR="0029014E" w:rsidRPr="00A97643">
        <w:t>effects?</w:t>
      </w:r>
    </w:p>
    <w:p w:rsidR="00A720B1" w:rsidRPr="00A97643" w:rsidRDefault="00A720B1" w:rsidP="00D67ECF">
      <w:pPr>
        <w:tabs>
          <w:tab w:val="num" w:pos="360"/>
        </w:tabs>
        <w:spacing w:after="180" w:line="276" w:lineRule="auto"/>
        <w:jc w:val="both"/>
      </w:pPr>
    </w:p>
    <w:p w:rsidR="00A720B1" w:rsidRPr="00A97643" w:rsidRDefault="00A720B1" w:rsidP="00D67ECF">
      <w:pPr>
        <w:pStyle w:val="Tekstpodstawowywcity"/>
        <w:autoSpaceDE w:val="0"/>
        <w:autoSpaceDN w:val="0"/>
        <w:adjustRightInd w:val="0"/>
        <w:spacing w:after="180" w:line="276" w:lineRule="auto"/>
        <w:ind w:left="0"/>
        <w:jc w:val="both"/>
      </w:pPr>
      <w:r w:rsidRPr="00A97643">
        <w:t>The “testing” of URBACT III against questions 3.1 to 3.3 above proves that the present programme does not represent one of the standard cases explicitly listed in Directive 2001/42/EC, which require a full environmental assessment. In such a situation, the SEA Directive foresees that it has to be verified if the programme is still likely to have significant environmental effects (Article 3 (4°)).</w:t>
      </w:r>
    </w:p>
    <w:p w:rsidR="00A720B1" w:rsidRPr="00A97643" w:rsidRDefault="00A720B1" w:rsidP="00D67ECF">
      <w:pPr>
        <w:pStyle w:val="Tekstpodstawowywcity"/>
        <w:autoSpaceDE w:val="0"/>
        <w:autoSpaceDN w:val="0"/>
        <w:adjustRightInd w:val="0"/>
        <w:spacing w:after="180" w:line="276" w:lineRule="auto"/>
        <w:ind w:left="0"/>
        <w:jc w:val="both"/>
      </w:pPr>
      <w:r w:rsidRPr="00A97643">
        <w:t xml:space="preserve">The relevant criteria set out in Annex </w:t>
      </w:r>
      <w:r w:rsidR="0029014E" w:rsidRPr="00A97643">
        <w:t>II of</w:t>
      </w:r>
      <w:r w:rsidRPr="00A97643">
        <w:t xml:space="preserve"> the SEA Directive have to be taken in account in order to assess the nature of the plan or programme and its likely significant </w:t>
      </w:r>
      <w:r w:rsidR="0029014E" w:rsidRPr="00A97643">
        <w:t>effects</w:t>
      </w:r>
      <w:r w:rsidRPr="00A97643">
        <w:t xml:space="preserve"> on the environment. An assessment has been included in the Annex of this examination report, which has been used to establish answers to the questions below.</w:t>
      </w:r>
    </w:p>
    <w:p w:rsidR="00A720B1" w:rsidRPr="00A97643" w:rsidRDefault="00A720B1" w:rsidP="00D67ECF">
      <w:pPr>
        <w:tabs>
          <w:tab w:val="num" w:pos="360"/>
        </w:tabs>
        <w:spacing w:after="180" w:line="276" w:lineRule="auto"/>
        <w:jc w:val="both"/>
      </w:pPr>
    </w:p>
    <w:p w:rsidR="00A720B1" w:rsidRPr="00A97643" w:rsidRDefault="00A720B1" w:rsidP="005433CE">
      <w:pPr>
        <w:spacing w:after="180" w:line="276" w:lineRule="auto"/>
      </w:pPr>
      <w:bookmarkStart w:id="81" w:name="_Toc381007288"/>
      <w:bookmarkStart w:id="82" w:name="_Toc381008708"/>
      <w:r w:rsidRPr="00A97643">
        <w:t>Question</w:t>
      </w:r>
      <w:bookmarkEnd w:id="81"/>
      <w:bookmarkEnd w:id="82"/>
    </w:p>
    <w:p w:rsidR="00627420" w:rsidRPr="00A97643" w:rsidRDefault="00627420" w:rsidP="00D67ECF">
      <w:pPr>
        <w:pStyle w:val="Tekstpodstawowywcity"/>
        <w:autoSpaceDE w:val="0"/>
        <w:autoSpaceDN w:val="0"/>
        <w:adjustRightInd w:val="0"/>
        <w:spacing w:after="180" w:line="276" w:lineRule="auto"/>
        <w:ind w:left="0"/>
      </w:pPr>
    </w:p>
    <w:p w:rsidR="00A720B1" w:rsidRPr="00A97643" w:rsidRDefault="00A720B1" w:rsidP="00D67ECF">
      <w:pPr>
        <w:pStyle w:val="Tekstpodstawowywcity"/>
        <w:autoSpaceDE w:val="0"/>
        <w:autoSpaceDN w:val="0"/>
        <w:adjustRightInd w:val="0"/>
        <w:spacing w:after="180" w:line="276" w:lineRule="auto"/>
        <w:ind w:left="0"/>
      </w:pPr>
      <w:r w:rsidRPr="00A97643">
        <w:t>Does URBACT III set the framework for future development consent of projects other than those under the EIA Directive?</w:t>
      </w:r>
    </w:p>
    <w:p w:rsidR="00A720B1" w:rsidRPr="00A97643" w:rsidRDefault="00A720B1" w:rsidP="00D67ECF">
      <w:pPr>
        <w:tabs>
          <w:tab w:val="num" w:pos="360"/>
        </w:tabs>
        <w:spacing w:after="180" w:line="276" w:lineRule="auto"/>
        <w:jc w:val="both"/>
      </w:pPr>
    </w:p>
    <w:p w:rsidR="00A720B1" w:rsidRPr="00A97643" w:rsidRDefault="00A720B1" w:rsidP="005433CE">
      <w:pPr>
        <w:spacing w:after="180" w:line="276" w:lineRule="auto"/>
      </w:pPr>
      <w:bookmarkStart w:id="83" w:name="_Toc381007289"/>
      <w:bookmarkStart w:id="84" w:name="_Toc381008709"/>
      <w:r w:rsidRPr="00A97643">
        <w:t>Answer</w:t>
      </w:r>
      <w:bookmarkEnd w:id="83"/>
      <w:bookmarkEnd w:id="84"/>
    </w:p>
    <w:p w:rsidR="00A720B1" w:rsidRPr="00A97643" w:rsidRDefault="00A720B1" w:rsidP="00D67ECF">
      <w:pPr>
        <w:tabs>
          <w:tab w:val="num" w:pos="360"/>
        </w:tabs>
        <w:spacing w:after="180" w:line="276" w:lineRule="auto"/>
        <w:jc w:val="both"/>
      </w:pPr>
      <w:r w:rsidRPr="00A97643">
        <w:t>No</w:t>
      </w:r>
    </w:p>
    <w:p w:rsidR="00A720B1" w:rsidRPr="00A97643" w:rsidRDefault="00A720B1" w:rsidP="00D67ECF">
      <w:pPr>
        <w:tabs>
          <w:tab w:val="num" w:pos="360"/>
        </w:tabs>
        <w:spacing w:after="180" w:line="276" w:lineRule="auto"/>
        <w:jc w:val="both"/>
      </w:pPr>
    </w:p>
    <w:p w:rsidR="00A720B1" w:rsidRPr="00A97643" w:rsidRDefault="00A720B1" w:rsidP="005433CE">
      <w:pPr>
        <w:spacing w:after="180" w:line="276" w:lineRule="auto"/>
      </w:pPr>
      <w:bookmarkStart w:id="85" w:name="_Toc381007290"/>
      <w:bookmarkStart w:id="86" w:name="_Toc381008710"/>
      <w:r w:rsidRPr="00A97643">
        <w:t>Comments</w:t>
      </w:r>
      <w:bookmarkEnd w:id="85"/>
      <w:bookmarkEnd w:id="86"/>
    </w:p>
    <w:p w:rsidR="00A720B1" w:rsidRPr="00A97643" w:rsidRDefault="00A720B1" w:rsidP="008166DD">
      <w:pPr>
        <w:numPr>
          <w:ilvl w:val="0"/>
          <w:numId w:val="60"/>
        </w:numPr>
        <w:spacing w:after="180" w:line="276" w:lineRule="auto"/>
        <w:jc w:val="both"/>
      </w:pPr>
      <w:r w:rsidRPr="00A97643">
        <w:t xml:space="preserve">Development consent is not defined in the Directive, but according to the SEA guidance document it normally means that the plan or programme contains criteria or conditions which guide the way the consenting authority decide an application for development consent, for instance in placing limits on the type of activity or development which is to be permitted in a given area </w:t>
      </w:r>
    </w:p>
    <w:p w:rsidR="00A720B1" w:rsidRPr="00A97643" w:rsidRDefault="00A720B1" w:rsidP="008166DD">
      <w:pPr>
        <w:numPr>
          <w:ilvl w:val="0"/>
          <w:numId w:val="60"/>
        </w:numPr>
        <w:spacing w:after="180" w:line="276" w:lineRule="auto"/>
        <w:jc w:val="both"/>
      </w:pPr>
      <w:r w:rsidRPr="00A97643">
        <w:t>The URBACT III Operational programme aims to develop exchanges among city policy makers and practitioners, and disseminate standardized information in order to develop appropriate and integrated solutions for urban policies. It does not set the framework for the development consent of projects</w:t>
      </w:r>
    </w:p>
    <w:p w:rsidR="00A720B1" w:rsidRPr="00A97643" w:rsidRDefault="00A720B1" w:rsidP="00D67ECF">
      <w:pPr>
        <w:tabs>
          <w:tab w:val="num" w:pos="360"/>
        </w:tabs>
        <w:spacing w:after="180" w:line="276" w:lineRule="auto"/>
        <w:jc w:val="both"/>
      </w:pPr>
    </w:p>
    <w:p w:rsidR="00A720B1" w:rsidRPr="00A97643" w:rsidRDefault="00A720B1" w:rsidP="005433CE">
      <w:pPr>
        <w:spacing w:after="180" w:line="276" w:lineRule="auto"/>
      </w:pPr>
      <w:bookmarkStart w:id="87" w:name="_Toc381007291"/>
      <w:bookmarkStart w:id="88" w:name="_Toc381008711"/>
      <w:r w:rsidRPr="00A97643">
        <w:t>Question</w:t>
      </w:r>
      <w:bookmarkEnd w:id="87"/>
      <w:bookmarkEnd w:id="88"/>
    </w:p>
    <w:p w:rsidR="00A720B1" w:rsidRPr="00A97643" w:rsidRDefault="00A720B1" w:rsidP="00D67ECF">
      <w:pPr>
        <w:pStyle w:val="Tekstpodstawowywcity"/>
        <w:autoSpaceDE w:val="0"/>
        <w:autoSpaceDN w:val="0"/>
        <w:adjustRightInd w:val="0"/>
        <w:spacing w:after="180" w:line="276" w:lineRule="auto"/>
        <w:ind w:left="0"/>
      </w:pPr>
      <w:r w:rsidRPr="00A97643">
        <w:t xml:space="preserve">Is URBACT III likely to have a significant environmental </w:t>
      </w:r>
      <w:r w:rsidR="0029014E" w:rsidRPr="00A97643">
        <w:t>effect?</w:t>
      </w:r>
    </w:p>
    <w:p w:rsidR="00A720B1" w:rsidRPr="00A97643" w:rsidRDefault="00A720B1" w:rsidP="00D67ECF">
      <w:pPr>
        <w:tabs>
          <w:tab w:val="num" w:pos="360"/>
        </w:tabs>
        <w:spacing w:after="180" w:line="276" w:lineRule="auto"/>
        <w:jc w:val="both"/>
      </w:pPr>
    </w:p>
    <w:p w:rsidR="00A720B1" w:rsidRPr="00A97643" w:rsidRDefault="00A720B1" w:rsidP="005433CE">
      <w:pPr>
        <w:spacing w:after="180" w:line="276" w:lineRule="auto"/>
      </w:pPr>
      <w:bookmarkStart w:id="89" w:name="_Toc381007292"/>
      <w:bookmarkStart w:id="90" w:name="_Toc381008712"/>
      <w:r w:rsidRPr="00A97643">
        <w:t>Answer</w:t>
      </w:r>
      <w:bookmarkEnd w:id="89"/>
      <w:bookmarkEnd w:id="90"/>
    </w:p>
    <w:p w:rsidR="00A720B1" w:rsidRPr="00CB6B70" w:rsidRDefault="00A720B1" w:rsidP="00D67ECF">
      <w:pPr>
        <w:pStyle w:val="ListBullet1"/>
        <w:tabs>
          <w:tab w:val="clear" w:pos="360"/>
        </w:tabs>
        <w:spacing w:after="180" w:line="276" w:lineRule="auto"/>
        <w:ind w:left="0"/>
        <w:rPr>
          <w:lang w:val="en-US"/>
        </w:rPr>
      </w:pPr>
      <w:r w:rsidRPr="00CB6B70">
        <w:rPr>
          <w:lang w:val="en-US"/>
        </w:rPr>
        <w:t xml:space="preserve">URBACT is primarily a capacity building programme through exchange of experience. It looks for appropriate and integrated solutions for urban policies and is unlikely to have direct significant environmental effects. </w:t>
      </w:r>
    </w:p>
    <w:p w:rsidR="00A720B1" w:rsidRPr="00A97643" w:rsidRDefault="00A720B1" w:rsidP="00D67ECF">
      <w:pPr>
        <w:tabs>
          <w:tab w:val="num" w:pos="360"/>
        </w:tabs>
        <w:spacing w:after="180" w:line="276" w:lineRule="auto"/>
        <w:jc w:val="both"/>
      </w:pPr>
    </w:p>
    <w:p w:rsidR="00A720B1" w:rsidRPr="00A97643" w:rsidRDefault="00A720B1" w:rsidP="005433CE">
      <w:pPr>
        <w:spacing w:after="180" w:line="276" w:lineRule="auto"/>
      </w:pPr>
      <w:bookmarkStart w:id="91" w:name="_Toc381007293"/>
      <w:bookmarkStart w:id="92" w:name="_Toc381008713"/>
      <w:r w:rsidRPr="00A97643">
        <w:t>Comments</w:t>
      </w:r>
      <w:bookmarkEnd w:id="91"/>
      <w:bookmarkEnd w:id="92"/>
    </w:p>
    <w:p w:rsidR="00A720B1" w:rsidRPr="00A97643" w:rsidRDefault="00A720B1" w:rsidP="008166DD">
      <w:pPr>
        <w:numPr>
          <w:ilvl w:val="0"/>
          <w:numId w:val="61"/>
        </w:numPr>
        <w:spacing w:after="180" w:line="276" w:lineRule="auto"/>
        <w:jc w:val="both"/>
      </w:pPr>
      <w:r w:rsidRPr="00A97643">
        <w:t xml:space="preserve">URBACT III does not set a framework for future development consent of projects. Therefore the question if the programme has significant direct environmental impacts does not apply. </w:t>
      </w:r>
    </w:p>
    <w:p w:rsidR="00A720B1" w:rsidRPr="00A97643" w:rsidRDefault="00A720B1" w:rsidP="008166DD">
      <w:pPr>
        <w:numPr>
          <w:ilvl w:val="0"/>
          <w:numId w:val="61"/>
        </w:numPr>
        <w:spacing w:after="180" w:line="276" w:lineRule="auto"/>
        <w:jc w:val="both"/>
      </w:pPr>
      <w:r w:rsidRPr="00A97643">
        <w:t xml:space="preserve">URBACT III is not an action programme, but an exchange programme. So it does not co-finance any investment programme. Eventual co-financing from ERDF will come from the Regional Operational programmes, which are required for full SEA. </w:t>
      </w:r>
    </w:p>
    <w:p w:rsidR="00A720B1" w:rsidRPr="00A97643" w:rsidRDefault="00A720B1" w:rsidP="008166DD">
      <w:pPr>
        <w:numPr>
          <w:ilvl w:val="0"/>
          <w:numId w:val="61"/>
        </w:numPr>
        <w:spacing w:after="180" w:line="276" w:lineRule="auto"/>
        <w:jc w:val="both"/>
      </w:pPr>
      <w:r w:rsidRPr="00A97643">
        <w:t>According to the guidance document for the SEA Directive, the use of the word “likely” suggest that the environmental effects to be considered are those which can be expected with a reasonable degree of probability. Since it is impossible to determine whether there is a reasonable degree in the case of the URBACT III Draft Operational programme, it can be assumed that the programme is unlikely to have significant environmental effects.</w:t>
      </w:r>
    </w:p>
    <w:p w:rsidR="00A720B1" w:rsidRPr="00A97643" w:rsidRDefault="00A720B1" w:rsidP="00D67ECF">
      <w:pPr>
        <w:tabs>
          <w:tab w:val="num" w:pos="360"/>
        </w:tabs>
        <w:spacing w:after="180" w:line="276" w:lineRule="auto"/>
        <w:jc w:val="both"/>
      </w:pPr>
    </w:p>
    <w:p w:rsidR="00A720B1" w:rsidRPr="00A97643" w:rsidRDefault="00A720B1" w:rsidP="008166DD">
      <w:pPr>
        <w:numPr>
          <w:ilvl w:val="1"/>
          <w:numId w:val="14"/>
        </w:numPr>
        <w:spacing w:after="180" w:line="276" w:lineRule="auto"/>
        <w:ind w:left="357" w:hanging="357"/>
        <w:jc w:val="both"/>
      </w:pPr>
      <w:r w:rsidRPr="00A97643">
        <w:t>Conclusion</w:t>
      </w:r>
    </w:p>
    <w:p w:rsidR="00A720B1" w:rsidRPr="00A97643" w:rsidRDefault="00A720B1" w:rsidP="00D67ECF">
      <w:pPr>
        <w:tabs>
          <w:tab w:val="num" w:pos="360"/>
        </w:tabs>
        <w:spacing w:after="180" w:line="276" w:lineRule="auto"/>
        <w:jc w:val="both"/>
      </w:pPr>
    </w:p>
    <w:p w:rsidR="00A720B1" w:rsidRPr="00A97643" w:rsidRDefault="00A720B1" w:rsidP="00D67ECF">
      <w:pPr>
        <w:pStyle w:val="Tekstpodstawowywcity"/>
        <w:autoSpaceDE w:val="0"/>
        <w:autoSpaceDN w:val="0"/>
        <w:adjustRightInd w:val="0"/>
        <w:spacing w:after="180" w:line="276" w:lineRule="auto"/>
        <w:ind w:left="0"/>
        <w:jc w:val="both"/>
      </w:pPr>
      <w:r w:rsidRPr="00A97643">
        <w:t>The below provides an overview of the results of the examination of the URBACT III Operational programme against the likelihood of significant environmental effects in accordance with Article 3 (5) Directive 2001/42/EC.</w:t>
      </w:r>
    </w:p>
    <w:p w:rsidR="00FA3F76" w:rsidRPr="00A97643" w:rsidRDefault="00FA3F76">
      <w:pPr>
        <w:spacing w:after="200" w:line="276" w:lineRule="auto"/>
      </w:pPr>
      <w:r w:rsidRPr="00A97643">
        <w:br w:type="page"/>
      </w:r>
    </w:p>
    <w:p w:rsidR="00A720B1" w:rsidRPr="00A97643" w:rsidRDefault="00A720B1" w:rsidP="00A720B1">
      <w:pPr>
        <w:tabs>
          <w:tab w:val="num" w:pos="360"/>
        </w:tabs>
        <w:spacing w:before="60"/>
        <w:jc w:val="both"/>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47"/>
        <w:gridCol w:w="992"/>
        <w:gridCol w:w="142"/>
      </w:tblGrid>
      <w:tr w:rsidR="00A720B1" w:rsidRPr="00A97643" w:rsidTr="003E696B">
        <w:trPr>
          <w:gridAfter w:val="1"/>
          <w:wAfter w:w="142" w:type="dxa"/>
          <w:trHeight w:val="417"/>
        </w:trPr>
        <w:tc>
          <w:tcPr>
            <w:tcW w:w="8647" w:type="dxa"/>
            <w:tcBorders>
              <w:top w:val="single" w:sz="4" w:space="0" w:color="auto"/>
              <w:left w:val="single" w:sz="4" w:space="0" w:color="auto"/>
              <w:bottom w:val="single" w:sz="4" w:space="0" w:color="auto"/>
              <w:right w:val="single" w:sz="4" w:space="0" w:color="auto"/>
            </w:tcBorders>
          </w:tcPr>
          <w:p w:rsidR="00A720B1" w:rsidRPr="00A97643" w:rsidRDefault="00A720B1" w:rsidP="005433CE">
            <w:pPr>
              <w:tabs>
                <w:tab w:val="left" w:pos="639"/>
              </w:tabs>
              <w:spacing w:before="120"/>
              <w:ind w:right="334" w:firstLine="357"/>
            </w:pPr>
            <w:r w:rsidRPr="00A97643">
              <w:t xml:space="preserve"> </w:t>
            </w:r>
            <w:bookmarkStart w:id="93" w:name="_Toc381007294"/>
            <w:bookmarkStart w:id="94" w:name="_Toc381008714"/>
            <w:r w:rsidRPr="00A97643">
              <w:t>SEA Directive Article and examination question</w:t>
            </w:r>
            <w:bookmarkEnd w:id="93"/>
            <w:bookmarkEnd w:id="94"/>
            <w:r w:rsidRPr="00A97643">
              <w:t xml:space="preserve">  </w:t>
            </w:r>
          </w:p>
          <w:p w:rsidR="00A720B1" w:rsidRPr="00A97643" w:rsidRDefault="00A720B1" w:rsidP="005433CE">
            <w:pPr>
              <w:tabs>
                <w:tab w:val="num" w:pos="360"/>
                <w:tab w:val="left" w:pos="639"/>
              </w:tabs>
              <w:spacing w:before="120"/>
              <w:ind w:left="360" w:right="334" w:firstLine="357"/>
              <w:jc w:val="both"/>
            </w:pPr>
          </w:p>
        </w:tc>
        <w:tc>
          <w:tcPr>
            <w:tcW w:w="992" w:type="dxa"/>
            <w:tcBorders>
              <w:top w:val="single" w:sz="4" w:space="0" w:color="auto"/>
              <w:left w:val="single" w:sz="4" w:space="0" w:color="auto"/>
              <w:bottom w:val="single" w:sz="4" w:space="0" w:color="auto"/>
              <w:right w:val="single" w:sz="4" w:space="0" w:color="auto"/>
            </w:tcBorders>
          </w:tcPr>
          <w:p w:rsidR="00A720B1" w:rsidRPr="00A97643" w:rsidRDefault="00A720B1" w:rsidP="005433CE">
            <w:pPr>
              <w:tabs>
                <w:tab w:val="left" w:pos="639"/>
              </w:tabs>
              <w:spacing w:before="120"/>
              <w:jc w:val="center"/>
            </w:pPr>
            <w:bookmarkStart w:id="95" w:name="_Toc381007295"/>
            <w:bookmarkStart w:id="96" w:name="_Toc381008715"/>
            <w:r w:rsidRPr="00A97643">
              <w:t>Result</w:t>
            </w:r>
            <w:bookmarkEnd w:id="95"/>
            <w:bookmarkEnd w:id="96"/>
          </w:p>
        </w:tc>
      </w:tr>
      <w:tr w:rsidR="00A720B1" w:rsidRPr="00A97643" w:rsidTr="003E696B">
        <w:trPr>
          <w:gridAfter w:val="1"/>
          <w:wAfter w:w="142" w:type="dxa"/>
        </w:trPr>
        <w:tc>
          <w:tcPr>
            <w:tcW w:w="8647" w:type="dxa"/>
            <w:tcBorders>
              <w:top w:val="single" w:sz="4" w:space="0" w:color="auto"/>
              <w:left w:val="single" w:sz="4" w:space="0" w:color="auto"/>
              <w:bottom w:val="single" w:sz="4" w:space="0" w:color="auto"/>
              <w:right w:val="single" w:sz="4" w:space="0" w:color="auto"/>
            </w:tcBorders>
          </w:tcPr>
          <w:p w:rsidR="00A720B1" w:rsidRPr="00A97643" w:rsidRDefault="00A720B1" w:rsidP="005433CE">
            <w:pPr>
              <w:tabs>
                <w:tab w:val="left" w:pos="639"/>
              </w:tabs>
              <w:spacing w:before="120"/>
              <w:ind w:right="334" w:firstLine="357"/>
            </w:pPr>
            <w:bookmarkStart w:id="97" w:name="_Toc381007296"/>
            <w:bookmarkStart w:id="98" w:name="_Toc381008716"/>
            <w:r w:rsidRPr="00A97643">
              <w:t>Article 2</w:t>
            </w:r>
            <w:bookmarkEnd w:id="97"/>
            <w:bookmarkEnd w:id="98"/>
          </w:p>
          <w:p w:rsidR="00A720B1" w:rsidRPr="00A97643" w:rsidRDefault="00A720B1" w:rsidP="005433CE">
            <w:pPr>
              <w:pStyle w:val="Tekstpodstawowywcity"/>
              <w:tabs>
                <w:tab w:val="left" w:pos="639"/>
              </w:tabs>
              <w:autoSpaceDE w:val="0"/>
              <w:autoSpaceDN w:val="0"/>
              <w:adjustRightInd w:val="0"/>
              <w:spacing w:before="120"/>
              <w:ind w:left="540" w:right="334" w:firstLine="357"/>
            </w:pPr>
            <w:r w:rsidRPr="00A97643">
              <w:t>3.1 Does URBACT represent a plan or programme:</w:t>
            </w:r>
          </w:p>
          <w:p w:rsidR="00A720B1" w:rsidRPr="00A97643" w:rsidRDefault="005433CE" w:rsidP="008166DD">
            <w:pPr>
              <w:numPr>
                <w:ilvl w:val="0"/>
                <w:numId w:val="15"/>
              </w:numPr>
              <w:tabs>
                <w:tab w:val="clear" w:pos="720"/>
                <w:tab w:val="left" w:pos="923"/>
              </w:tabs>
              <w:spacing w:before="120"/>
              <w:ind w:left="1348" w:right="334" w:hanging="271"/>
              <w:jc w:val="both"/>
            </w:pPr>
            <w:r w:rsidRPr="00A97643">
              <w:t>Which</w:t>
            </w:r>
            <w:r w:rsidR="00A720B1" w:rsidRPr="00A97643">
              <w:t xml:space="preserve"> is subject to preparation and/or adoption by an authority at national, regional, or local level or which is prepared by an authority</w:t>
            </w:r>
            <w:r w:rsidRPr="00A97643">
              <w:t xml:space="preserve"> </w:t>
            </w:r>
            <w:r w:rsidR="00A720B1" w:rsidRPr="00A97643">
              <w:t>for adoption, through a legislative procedure by Parliament or Government?</w:t>
            </w:r>
          </w:p>
          <w:p w:rsidR="00A720B1" w:rsidRPr="00A97643" w:rsidRDefault="00A720B1" w:rsidP="008166DD">
            <w:pPr>
              <w:numPr>
                <w:ilvl w:val="0"/>
                <w:numId w:val="15"/>
              </w:numPr>
              <w:tabs>
                <w:tab w:val="clear" w:pos="720"/>
                <w:tab w:val="left" w:pos="923"/>
              </w:tabs>
              <w:spacing w:before="120"/>
              <w:ind w:left="1348" w:right="334" w:hanging="271"/>
              <w:jc w:val="both"/>
            </w:pPr>
            <w:r w:rsidRPr="00A97643">
              <w:t>which is required by legislative, regulatory or administrative</w:t>
            </w:r>
            <w:r w:rsidR="003E696B" w:rsidRPr="00A97643">
              <w:t xml:space="preserve"> </w:t>
            </w:r>
            <w:r w:rsidRPr="00A97643">
              <w:t>provisions?</w:t>
            </w:r>
          </w:p>
        </w:tc>
        <w:tc>
          <w:tcPr>
            <w:tcW w:w="992" w:type="dxa"/>
            <w:tcBorders>
              <w:top w:val="single" w:sz="4" w:space="0" w:color="auto"/>
              <w:left w:val="single" w:sz="4" w:space="0" w:color="auto"/>
              <w:bottom w:val="single" w:sz="4" w:space="0" w:color="auto"/>
              <w:right w:val="single" w:sz="4" w:space="0" w:color="auto"/>
            </w:tcBorders>
          </w:tcPr>
          <w:p w:rsidR="00A720B1" w:rsidRPr="00A97643" w:rsidRDefault="00A720B1" w:rsidP="005433CE">
            <w:pPr>
              <w:tabs>
                <w:tab w:val="num" w:pos="360"/>
                <w:tab w:val="left" w:pos="639"/>
              </w:tabs>
              <w:spacing w:before="120"/>
              <w:jc w:val="center"/>
            </w:pPr>
          </w:p>
          <w:p w:rsidR="00A720B1" w:rsidRPr="00A97643" w:rsidRDefault="00A720B1" w:rsidP="005433CE">
            <w:pPr>
              <w:tabs>
                <w:tab w:val="num" w:pos="360"/>
                <w:tab w:val="left" w:pos="639"/>
              </w:tabs>
              <w:spacing w:before="120"/>
              <w:jc w:val="center"/>
            </w:pPr>
          </w:p>
          <w:p w:rsidR="00A720B1" w:rsidRPr="00A97643" w:rsidRDefault="00A720B1" w:rsidP="005433CE">
            <w:pPr>
              <w:tabs>
                <w:tab w:val="num" w:pos="360"/>
                <w:tab w:val="left" w:pos="639"/>
              </w:tabs>
              <w:spacing w:before="120"/>
              <w:jc w:val="center"/>
            </w:pPr>
          </w:p>
          <w:p w:rsidR="00A720B1" w:rsidRPr="00A97643" w:rsidRDefault="00A720B1" w:rsidP="005433CE">
            <w:pPr>
              <w:tabs>
                <w:tab w:val="num" w:pos="360"/>
                <w:tab w:val="left" w:pos="639"/>
              </w:tabs>
              <w:spacing w:before="120"/>
              <w:jc w:val="center"/>
            </w:pPr>
          </w:p>
          <w:p w:rsidR="00A720B1" w:rsidRPr="00A97643" w:rsidRDefault="00A720B1" w:rsidP="005433CE">
            <w:pPr>
              <w:tabs>
                <w:tab w:val="num" w:pos="360"/>
                <w:tab w:val="left" w:pos="639"/>
              </w:tabs>
              <w:spacing w:before="120"/>
              <w:jc w:val="center"/>
            </w:pPr>
          </w:p>
          <w:p w:rsidR="00A720B1" w:rsidRPr="00A97643" w:rsidRDefault="00A720B1" w:rsidP="005433CE">
            <w:pPr>
              <w:tabs>
                <w:tab w:val="num" w:pos="360"/>
                <w:tab w:val="left" w:pos="639"/>
              </w:tabs>
              <w:spacing w:before="120"/>
              <w:jc w:val="center"/>
            </w:pPr>
            <w:r w:rsidRPr="00A97643">
              <w:t>Yes</w:t>
            </w:r>
          </w:p>
          <w:p w:rsidR="00A720B1" w:rsidRPr="00A97643" w:rsidRDefault="00A720B1" w:rsidP="005433CE">
            <w:pPr>
              <w:tabs>
                <w:tab w:val="num" w:pos="360"/>
                <w:tab w:val="left" w:pos="639"/>
              </w:tabs>
              <w:spacing w:before="120"/>
              <w:jc w:val="center"/>
            </w:pPr>
          </w:p>
        </w:tc>
      </w:tr>
      <w:tr w:rsidR="00A720B1" w:rsidRPr="00A97643" w:rsidTr="003E696B">
        <w:trPr>
          <w:gridAfter w:val="1"/>
          <w:wAfter w:w="142" w:type="dxa"/>
        </w:trPr>
        <w:tc>
          <w:tcPr>
            <w:tcW w:w="8647" w:type="dxa"/>
            <w:tcBorders>
              <w:top w:val="single" w:sz="4" w:space="0" w:color="auto"/>
              <w:left w:val="single" w:sz="4" w:space="0" w:color="auto"/>
              <w:bottom w:val="single" w:sz="4" w:space="0" w:color="auto"/>
              <w:right w:val="single" w:sz="4" w:space="0" w:color="auto"/>
            </w:tcBorders>
          </w:tcPr>
          <w:p w:rsidR="00A720B1" w:rsidRPr="00A97643" w:rsidRDefault="00A720B1" w:rsidP="005433CE">
            <w:pPr>
              <w:tabs>
                <w:tab w:val="left" w:pos="639"/>
              </w:tabs>
              <w:spacing w:before="120"/>
              <w:ind w:right="334" w:firstLine="357"/>
            </w:pPr>
          </w:p>
          <w:p w:rsidR="00A720B1" w:rsidRPr="00A97643" w:rsidRDefault="00A720B1" w:rsidP="005433CE">
            <w:pPr>
              <w:tabs>
                <w:tab w:val="left" w:pos="639"/>
              </w:tabs>
              <w:spacing w:before="120"/>
              <w:ind w:right="334" w:firstLine="357"/>
            </w:pPr>
            <w:r w:rsidRPr="00A97643">
              <w:t>Article 3 (2)</w:t>
            </w:r>
          </w:p>
          <w:p w:rsidR="00A720B1" w:rsidRPr="00A97643" w:rsidRDefault="00A720B1" w:rsidP="005433CE">
            <w:pPr>
              <w:tabs>
                <w:tab w:val="left" w:pos="639"/>
              </w:tabs>
              <w:spacing w:before="120"/>
              <w:ind w:right="334" w:firstLine="357"/>
            </w:pPr>
          </w:p>
          <w:p w:rsidR="00A720B1" w:rsidRPr="00A97643" w:rsidRDefault="00A720B1" w:rsidP="005433CE">
            <w:pPr>
              <w:pStyle w:val="Tekstpodstawowywcity"/>
              <w:tabs>
                <w:tab w:val="left" w:pos="1348"/>
              </w:tabs>
              <w:autoSpaceDE w:val="0"/>
              <w:autoSpaceDN w:val="0"/>
              <w:adjustRightInd w:val="0"/>
              <w:spacing w:before="120"/>
              <w:ind w:left="923" w:right="334"/>
            </w:pPr>
            <w:r w:rsidRPr="00A97643">
              <w:t>3.2 Does URBACT III set the framework for future development</w:t>
            </w:r>
            <w:r w:rsidR="005433CE" w:rsidRPr="00A97643">
              <w:t>?</w:t>
            </w:r>
            <w:r w:rsidRPr="00A97643">
              <w:t xml:space="preserve"> </w:t>
            </w:r>
            <w:r w:rsidR="0029014E" w:rsidRPr="00A97643">
              <w:t>Consent</w:t>
            </w:r>
            <w:r w:rsidRPr="00A97643">
              <w:t xml:space="preserve"> of </w:t>
            </w:r>
            <w:r w:rsidR="0029014E" w:rsidRPr="00A97643">
              <w:t>projects?</w:t>
            </w:r>
          </w:p>
          <w:p w:rsidR="00A720B1" w:rsidRPr="00A97643" w:rsidRDefault="00A720B1" w:rsidP="005433CE">
            <w:pPr>
              <w:spacing w:before="120"/>
              <w:ind w:left="923" w:right="334"/>
            </w:pPr>
            <w:r w:rsidRPr="00A97643">
              <w:t>Has the present Operational programme been prepared for agriculture, forestry, fisheries, energy, industry, transport, waste management, water management, telecommunications, tourism, town and country planning or land use; and</w:t>
            </w:r>
          </w:p>
          <w:p w:rsidR="00A720B1" w:rsidRPr="00A97643" w:rsidRDefault="00A720B1" w:rsidP="005433CE">
            <w:pPr>
              <w:spacing w:before="120"/>
              <w:ind w:left="923" w:right="334"/>
            </w:pPr>
            <w:r w:rsidRPr="00A97643">
              <w:t>Does the present Operational programme set the framework for future development consent of projects as listed in Annex I and II of Directive 85/337/EEC on Environmental Impact Assessment EIA?</w:t>
            </w:r>
          </w:p>
          <w:p w:rsidR="00A720B1" w:rsidRPr="00A97643" w:rsidRDefault="00A720B1" w:rsidP="005433CE">
            <w:pPr>
              <w:tabs>
                <w:tab w:val="left" w:pos="639"/>
              </w:tabs>
              <w:spacing w:before="120"/>
              <w:ind w:right="334" w:firstLine="357"/>
            </w:pPr>
          </w:p>
        </w:tc>
        <w:tc>
          <w:tcPr>
            <w:tcW w:w="992" w:type="dxa"/>
            <w:tcBorders>
              <w:top w:val="single" w:sz="4" w:space="0" w:color="auto"/>
              <w:left w:val="single" w:sz="4" w:space="0" w:color="auto"/>
              <w:bottom w:val="single" w:sz="4" w:space="0" w:color="auto"/>
              <w:right w:val="single" w:sz="4" w:space="0" w:color="auto"/>
            </w:tcBorders>
          </w:tcPr>
          <w:p w:rsidR="00A720B1" w:rsidRPr="00A97643" w:rsidRDefault="00A720B1" w:rsidP="005433CE">
            <w:pPr>
              <w:tabs>
                <w:tab w:val="num" w:pos="360"/>
                <w:tab w:val="left" w:pos="639"/>
              </w:tabs>
              <w:spacing w:before="120"/>
              <w:jc w:val="center"/>
            </w:pPr>
          </w:p>
          <w:p w:rsidR="00A720B1" w:rsidRPr="00A97643" w:rsidRDefault="00A720B1" w:rsidP="005433CE">
            <w:pPr>
              <w:tabs>
                <w:tab w:val="num" w:pos="360"/>
                <w:tab w:val="left" w:pos="639"/>
              </w:tabs>
              <w:spacing w:before="120"/>
              <w:jc w:val="center"/>
            </w:pPr>
          </w:p>
          <w:p w:rsidR="00A720B1" w:rsidRPr="00A97643" w:rsidRDefault="00A720B1" w:rsidP="005433CE">
            <w:pPr>
              <w:tabs>
                <w:tab w:val="num" w:pos="360"/>
                <w:tab w:val="left" w:pos="639"/>
              </w:tabs>
              <w:spacing w:before="120"/>
              <w:jc w:val="center"/>
            </w:pPr>
          </w:p>
          <w:p w:rsidR="00A720B1" w:rsidRPr="00A97643" w:rsidRDefault="00A720B1" w:rsidP="005433CE">
            <w:pPr>
              <w:tabs>
                <w:tab w:val="num" w:pos="360"/>
                <w:tab w:val="left" w:pos="639"/>
              </w:tabs>
              <w:spacing w:before="120"/>
              <w:jc w:val="center"/>
            </w:pPr>
          </w:p>
          <w:p w:rsidR="00A720B1" w:rsidRPr="00A97643" w:rsidRDefault="00A720B1" w:rsidP="005433CE">
            <w:pPr>
              <w:tabs>
                <w:tab w:val="num" w:pos="360"/>
                <w:tab w:val="left" w:pos="639"/>
              </w:tabs>
              <w:spacing w:before="120"/>
              <w:jc w:val="center"/>
            </w:pPr>
          </w:p>
          <w:p w:rsidR="00A720B1" w:rsidRPr="00A97643" w:rsidRDefault="00A720B1" w:rsidP="005433CE">
            <w:pPr>
              <w:tabs>
                <w:tab w:val="num" w:pos="360"/>
                <w:tab w:val="left" w:pos="639"/>
              </w:tabs>
              <w:spacing w:before="120"/>
              <w:jc w:val="center"/>
            </w:pPr>
          </w:p>
          <w:p w:rsidR="00A720B1" w:rsidRPr="00A97643" w:rsidRDefault="00A720B1" w:rsidP="005433CE">
            <w:pPr>
              <w:tabs>
                <w:tab w:val="num" w:pos="360"/>
                <w:tab w:val="left" w:pos="639"/>
              </w:tabs>
              <w:spacing w:before="120"/>
              <w:jc w:val="center"/>
            </w:pPr>
            <w:r w:rsidRPr="00A97643">
              <w:t>No</w:t>
            </w:r>
          </w:p>
          <w:p w:rsidR="00A720B1" w:rsidRPr="00A97643" w:rsidRDefault="00A720B1" w:rsidP="005433CE">
            <w:pPr>
              <w:tabs>
                <w:tab w:val="num" w:pos="360"/>
                <w:tab w:val="left" w:pos="639"/>
              </w:tabs>
              <w:spacing w:before="120"/>
              <w:jc w:val="center"/>
            </w:pPr>
          </w:p>
          <w:p w:rsidR="00A720B1" w:rsidRPr="00A97643" w:rsidRDefault="00A720B1" w:rsidP="005433CE">
            <w:pPr>
              <w:tabs>
                <w:tab w:val="num" w:pos="360"/>
                <w:tab w:val="left" w:pos="639"/>
              </w:tabs>
              <w:spacing w:before="120"/>
              <w:jc w:val="center"/>
            </w:pPr>
          </w:p>
          <w:p w:rsidR="00A720B1" w:rsidRPr="00A97643" w:rsidRDefault="00A720B1" w:rsidP="005433CE">
            <w:pPr>
              <w:tabs>
                <w:tab w:val="num" w:pos="360"/>
                <w:tab w:val="left" w:pos="639"/>
              </w:tabs>
              <w:spacing w:before="120"/>
              <w:jc w:val="center"/>
            </w:pPr>
          </w:p>
          <w:p w:rsidR="00A720B1" w:rsidRPr="00A97643" w:rsidRDefault="00A720B1" w:rsidP="005433CE">
            <w:pPr>
              <w:tabs>
                <w:tab w:val="num" w:pos="360"/>
                <w:tab w:val="left" w:pos="639"/>
              </w:tabs>
              <w:spacing w:before="120"/>
              <w:jc w:val="center"/>
            </w:pPr>
            <w:r w:rsidRPr="00A97643">
              <w:t>No</w:t>
            </w:r>
          </w:p>
        </w:tc>
      </w:tr>
      <w:tr w:rsidR="00A720B1" w:rsidRPr="00A97643" w:rsidTr="003E696B">
        <w:tc>
          <w:tcPr>
            <w:tcW w:w="8647" w:type="dxa"/>
            <w:tcBorders>
              <w:top w:val="single" w:sz="4" w:space="0" w:color="auto"/>
              <w:left w:val="single" w:sz="4" w:space="0" w:color="auto"/>
              <w:bottom w:val="single" w:sz="4" w:space="0" w:color="auto"/>
              <w:right w:val="single" w:sz="4" w:space="0" w:color="auto"/>
            </w:tcBorders>
          </w:tcPr>
          <w:p w:rsidR="00A720B1" w:rsidRPr="00A97643" w:rsidRDefault="00A720B1" w:rsidP="005433CE">
            <w:pPr>
              <w:tabs>
                <w:tab w:val="left" w:pos="639"/>
              </w:tabs>
              <w:spacing w:before="120"/>
              <w:ind w:right="334" w:firstLine="357"/>
            </w:pPr>
            <w:bookmarkStart w:id="99" w:name="_Toc381007297"/>
            <w:bookmarkStart w:id="100" w:name="_Toc381008717"/>
            <w:r w:rsidRPr="00A97643">
              <w:t>Article 2</w:t>
            </w:r>
            <w:bookmarkEnd w:id="99"/>
            <w:bookmarkEnd w:id="100"/>
          </w:p>
          <w:p w:rsidR="00A720B1" w:rsidRPr="00A97643" w:rsidRDefault="00A720B1" w:rsidP="005433CE">
            <w:pPr>
              <w:pStyle w:val="Tekstpodstawowywcity"/>
              <w:tabs>
                <w:tab w:val="left" w:pos="1348"/>
              </w:tabs>
              <w:autoSpaceDE w:val="0"/>
              <w:autoSpaceDN w:val="0"/>
              <w:adjustRightInd w:val="0"/>
              <w:spacing w:before="120"/>
              <w:ind w:left="923" w:right="334"/>
            </w:pPr>
            <w:r w:rsidRPr="00A97643">
              <w:t>3.3 Does URBACT III, in view with a potential effect on sites, require an assessment under Article 6 and 7 of the Directive 92/43/</w:t>
            </w:r>
            <w:r w:rsidR="0029014E" w:rsidRPr="00A97643">
              <w:t>EEC?</w:t>
            </w:r>
          </w:p>
          <w:p w:rsidR="00A720B1" w:rsidRPr="00A97643" w:rsidRDefault="00A720B1" w:rsidP="005433CE">
            <w:pPr>
              <w:tabs>
                <w:tab w:val="num" w:pos="360"/>
                <w:tab w:val="left" w:pos="639"/>
              </w:tabs>
              <w:spacing w:before="120"/>
              <w:ind w:right="334" w:firstLine="357"/>
              <w:jc w:val="both"/>
            </w:pPr>
          </w:p>
        </w:tc>
        <w:tc>
          <w:tcPr>
            <w:tcW w:w="1134" w:type="dxa"/>
            <w:gridSpan w:val="2"/>
            <w:tcBorders>
              <w:top w:val="single" w:sz="4" w:space="0" w:color="auto"/>
              <w:left w:val="single" w:sz="4" w:space="0" w:color="auto"/>
              <w:bottom w:val="single" w:sz="4" w:space="0" w:color="auto"/>
              <w:right w:val="single" w:sz="4" w:space="0" w:color="auto"/>
            </w:tcBorders>
          </w:tcPr>
          <w:p w:rsidR="00A720B1" w:rsidRPr="00A97643" w:rsidRDefault="00A720B1" w:rsidP="005433CE">
            <w:pPr>
              <w:tabs>
                <w:tab w:val="num" w:pos="360"/>
                <w:tab w:val="left" w:pos="639"/>
              </w:tabs>
              <w:spacing w:before="120"/>
              <w:jc w:val="center"/>
            </w:pPr>
          </w:p>
          <w:p w:rsidR="00A720B1" w:rsidRPr="00A97643" w:rsidRDefault="00A720B1" w:rsidP="005433CE">
            <w:pPr>
              <w:tabs>
                <w:tab w:val="num" w:pos="360"/>
                <w:tab w:val="left" w:pos="639"/>
              </w:tabs>
              <w:spacing w:before="120"/>
              <w:jc w:val="center"/>
            </w:pPr>
            <w:r w:rsidRPr="00A97643">
              <w:t>No</w:t>
            </w:r>
          </w:p>
        </w:tc>
      </w:tr>
      <w:tr w:rsidR="00A720B1" w:rsidRPr="00A97643" w:rsidTr="003E696B">
        <w:trPr>
          <w:trHeight w:val="2428"/>
        </w:trPr>
        <w:tc>
          <w:tcPr>
            <w:tcW w:w="8647" w:type="dxa"/>
            <w:tcBorders>
              <w:top w:val="single" w:sz="4" w:space="0" w:color="auto"/>
              <w:left w:val="single" w:sz="4" w:space="0" w:color="auto"/>
              <w:bottom w:val="single" w:sz="4" w:space="0" w:color="auto"/>
              <w:right w:val="single" w:sz="4" w:space="0" w:color="auto"/>
            </w:tcBorders>
          </w:tcPr>
          <w:p w:rsidR="00A720B1" w:rsidRPr="00A97643" w:rsidRDefault="00A720B1" w:rsidP="005433CE">
            <w:pPr>
              <w:tabs>
                <w:tab w:val="left" w:pos="639"/>
              </w:tabs>
              <w:spacing w:before="120"/>
              <w:ind w:right="334" w:firstLine="357"/>
            </w:pPr>
            <w:r w:rsidRPr="00A97643">
              <w:t>Article 3 (4)</w:t>
            </w:r>
          </w:p>
          <w:p w:rsidR="00A720B1" w:rsidRPr="00A97643" w:rsidRDefault="00A720B1" w:rsidP="005433CE">
            <w:pPr>
              <w:pStyle w:val="Tekstpodstawowywcity"/>
              <w:tabs>
                <w:tab w:val="left" w:pos="1348"/>
              </w:tabs>
              <w:autoSpaceDE w:val="0"/>
              <w:autoSpaceDN w:val="0"/>
              <w:adjustRightInd w:val="0"/>
              <w:spacing w:before="120"/>
              <w:ind w:left="923" w:right="334"/>
            </w:pPr>
            <w:r w:rsidRPr="00A97643">
              <w:t>3.4 Is URBACT III likely to have significant environmental effects?</w:t>
            </w:r>
          </w:p>
          <w:p w:rsidR="00A720B1" w:rsidRPr="00A97643" w:rsidRDefault="00A720B1" w:rsidP="008166DD">
            <w:pPr>
              <w:numPr>
                <w:ilvl w:val="0"/>
                <w:numId w:val="15"/>
              </w:numPr>
              <w:tabs>
                <w:tab w:val="clear" w:pos="720"/>
                <w:tab w:val="left" w:pos="923"/>
              </w:tabs>
              <w:spacing w:before="120"/>
              <w:ind w:left="1348" w:right="334" w:hanging="271"/>
              <w:jc w:val="both"/>
            </w:pPr>
            <w:r w:rsidRPr="00A97643">
              <w:t>Does URBACT III set the framework for future development consent of projects other than those under the EIA Directive?</w:t>
            </w:r>
          </w:p>
          <w:p w:rsidR="00A720B1" w:rsidRPr="00A97643" w:rsidRDefault="00A720B1" w:rsidP="008166DD">
            <w:pPr>
              <w:numPr>
                <w:ilvl w:val="0"/>
                <w:numId w:val="15"/>
              </w:numPr>
              <w:tabs>
                <w:tab w:val="clear" w:pos="720"/>
                <w:tab w:val="left" w:pos="923"/>
              </w:tabs>
              <w:spacing w:before="120"/>
              <w:ind w:left="1348" w:right="334" w:hanging="271"/>
              <w:jc w:val="both"/>
            </w:pPr>
            <w:r w:rsidRPr="00A97643">
              <w:t>Is URBACT III likely to have a significant environmental effect?</w:t>
            </w:r>
          </w:p>
        </w:tc>
        <w:tc>
          <w:tcPr>
            <w:tcW w:w="1134" w:type="dxa"/>
            <w:gridSpan w:val="2"/>
            <w:tcBorders>
              <w:top w:val="single" w:sz="4" w:space="0" w:color="auto"/>
              <w:left w:val="single" w:sz="4" w:space="0" w:color="auto"/>
              <w:bottom w:val="single" w:sz="4" w:space="0" w:color="auto"/>
              <w:right w:val="single" w:sz="4" w:space="0" w:color="auto"/>
            </w:tcBorders>
          </w:tcPr>
          <w:p w:rsidR="00A720B1" w:rsidRPr="00A97643" w:rsidRDefault="00A720B1" w:rsidP="005433CE">
            <w:pPr>
              <w:tabs>
                <w:tab w:val="num" w:pos="360"/>
                <w:tab w:val="left" w:pos="639"/>
              </w:tabs>
              <w:spacing w:before="120"/>
              <w:jc w:val="center"/>
            </w:pPr>
          </w:p>
          <w:p w:rsidR="00A720B1" w:rsidRPr="00A97643" w:rsidRDefault="00A720B1" w:rsidP="005433CE">
            <w:pPr>
              <w:tabs>
                <w:tab w:val="num" w:pos="360"/>
                <w:tab w:val="left" w:pos="639"/>
              </w:tabs>
              <w:spacing w:before="120"/>
              <w:jc w:val="center"/>
            </w:pPr>
          </w:p>
          <w:p w:rsidR="00A720B1" w:rsidRPr="00A97643" w:rsidRDefault="00A720B1" w:rsidP="005433CE">
            <w:pPr>
              <w:tabs>
                <w:tab w:val="num" w:pos="360"/>
                <w:tab w:val="left" w:pos="639"/>
              </w:tabs>
              <w:spacing w:before="120"/>
              <w:jc w:val="center"/>
            </w:pPr>
          </w:p>
          <w:p w:rsidR="00A720B1" w:rsidRPr="00A97643" w:rsidRDefault="00A720B1" w:rsidP="005433CE">
            <w:pPr>
              <w:tabs>
                <w:tab w:val="num" w:pos="360"/>
                <w:tab w:val="left" w:pos="639"/>
              </w:tabs>
              <w:spacing w:before="120"/>
              <w:jc w:val="center"/>
            </w:pPr>
            <w:r w:rsidRPr="00A97643">
              <w:t>No</w:t>
            </w:r>
          </w:p>
          <w:p w:rsidR="00A720B1" w:rsidRPr="00A97643" w:rsidRDefault="00A720B1" w:rsidP="005433CE">
            <w:pPr>
              <w:tabs>
                <w:tab w:val="num" w:pos="360"/>
                <w:tab w:val="left" w:pos="639"/>
              </w:tabs>
              <w:spacing w:before="120"/>
              <w:jc w:val="center"/>
            </w:pPr>
          </w:p>
          <w:p w:rsidR="00A720B1" w:rsidRPr="00A97643" w:rsidRDefault="00A720B1" w:rsidP="005433CE">
            <w:pPr>
              <w:tabs>
                <w:tab w:val="num" w:pos="360"/>
                <w:tab w:val="left" w:pos="639"/>
              </w:tabs>
              <w:spacing w:before="120"/>
              <w:jc w:val="center"/>
            </w:pPr>
            <w:r w:rsidRPr="00A97643">
              <w:t>Unlikely</w:t>
            </w:r>
          </w:p>
        </w:tc>
      </w:tr>
    </w:tbl>
    <w:p w:rsidR="00A720B1" w:rsidRPr="00A97643" w:rsidRDefault="00A720B1" w:rsidP="00A720B1">
      <w:pPr>
        <w:tabs>
          <w:tab w:val="num" w:pos="360"/>
        </w:tabs>
        <w:spacing w:before="60"/>
        <w:jc w:val="both"/>
      </w:pPr>
      <w:r w:rsidRPr="00A97643">
        <w:t xml:space="preserve"> </w:t>
      </w:r>
    </w:p>
    <w:p w:rsidR="00A720B1" w:rsidRPr="00A97643" w:rsidRDefault="00A720B1" w:rsidP="0012573C">
      <w:pPr>
        <w:pStyle w:val="Tekstpodstawowywcity"/>
        <w:autoSpaceDE w:val="0"/>
        <w:autoSpaceDN w:val="0"/>
        <w:adjustRightInd w:val="0"/>
        <w:spacing w:before="60"/>
        <w:ind w:left="360"/>
        <w:jc w:val="both"/>
      </w:pPr>
      <w:r w:rsidRPr="00A97643">
        <w:t>Consequently, the Managing authority concludes that a detailed strategic environmental assessment in accordance with the SEA Directive is not required.</w:t>
      </w:r>
    </w:p>
    <w:p w:rsidR="003E696B" w:rsidRPr="00A97643" w:rsidRDefault="003E696B">
      <w:r w:rsidRPr="00A97643">
        <w:br w:type="page"/>
      </w:r>
    </w:p>
    <w:p w:rsidR="00A720B1" w:rsidRPr="00A97643" w:rsidRDefault="00A720B1" w:rsidP="00A720B1">
      <w:pPr>
        <w:tabs>
          <w:tab w:val="num" w:pos="360"/>
        </w:tabs>
        <w:spacing w:before="60"/>
        <w:jc w:val="both"/>
      </w:pPr>
    </w:p>
    <w:p w:rsidR="00A720B1" w:rsidRPr="00A97643" w:rsidRDefault="00A720B1" w:rsidP="008166DD">
      <w:pPr>
        <w:numPr>
          <w:ilvl w:val="1"/>
          <w:numId w:val="14"/>
        </w:numPr>
        <w:spacing w:after="180" w:line="276" w:lineRule="auto"/>
        <w:jc w:val="both"/>
      </w:pPr>
      <w:r w:rsidRPr="00A97643">
        <w:t>Next steps</w:t>
      </w:r>
    </w:p>
    <w:p w:rsidR="00A720B1" w:rsidRPr="00A97643" w:rsidRDefault="00A720B1" w:rsidP="00D67ECF">
      <w:pPr>
        <w:tabs>
          <w:tab w:val="num" w:pos="360"/>
        </w:tabs>
        <w:spacing w:after="180" w:line="276" w:lineRule="auto"/>
        <w:ind w:left="360"/>
        <w:jc w:val="both"/>
      </w:pPr>
      <w:r w:rsidRPr="00A97643">
        <w:t>The Managing Authority submits to the Member States (as authorities designated under Article 6(3) of the SEA Directive for comments in accordance with Article 3 (6) of the Directive) the present examination report accompanied by its decision that a detailed strategic environmental assessment in accordance with the SEA Directive is not required.</w:t>
      </w:r>
    </w:p>
    <w:p w:rsidR="000863E6" w:rsidRPr="00A97643" w:rsidRDefault="000863E6" w:rsidP="000863E6">
      <w:bookmarkStart w:id="101" w:name="_Toc381007298"/>
      <w:bookmarkStart w:id="102" w:name="_Toc381008718"/>
    </w:p>
    <w:p w:rsidR="00A720B1" w:rsidRPr="00A97643" w:rsidRDefault="00A720B1" w:rsidP="000863E6">
      <w:r w:rsidRPr="00A97643">
        <w:t>ANNEX</w:t>
      </w:r>
      <w:bookmarkEnd w:id="101"/>
      <w:bookmarkEnd w:id="102"/>
      <w:r w:rsidR="008F345F" w:rsidRPr="00A97643">
        <w:t>E</w:t>
      </w:r>
    </w:p>
    <w:p w:rsidR="00A720B1" w:rsidRPr="00A97643" w:rsidRDefault="00A720B1" w:rsidP="00D67ECF">
      <w:pPr>
        <w:tabs>
          <w:tab w:val="num" w:pos="360"/>
        </w:tabs>
        <w:spacing w:after="180" w:line="276" w:lineRule="auto"/>
        <w:ind w:left="360"/>
        <w:jc w:val="both"/>
      </w:pPr>
      <w:r w:rsidRPr="00A97643">
        <w:t>Detailed assessment of URBACT III against criteria for determining the likely significance of environmental effects referred to in Article 3(5) of the SEA Directive</w:t>
      </w:r>
    </w:p>
    <w:p w:rsidR="00A720B1" w:rsidRPr="00A97643" w:rsidRDefault="00A720B1" w:rsidP="008166DD">
      <w:pPr>
        <w:numPr>
          <w:ilvl w:val="0"/>
          <w:numId w:val="16"/>
        </w:numPr>
        <w:spacing w:after="180" w:line="276" w:lineRule="auto"/>
        <w:jc w:val="both"/>
      </w:pPr>
      <w:r w:rsidRPr="00A97643">
        <w:t>Characteristics of URBACT III, having regard, in particular, to:</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73"/>
        <w:gridCol w:w="4798"/>
        <w:gridCol w:w="1481"/>
      </w:tblGrid>
      <w:tr w:rsidR="00A720B1" w:rsidRPr="00A97643" w:rsidTr="00D136EA">
        <w:tc>
          <w:tcPr>
            <w:tcW w:w="2573" w:type="dxa"/>
            <w:tcBorders>
              <w:top w:val="single" w:sz="4" w:space="0" w:color="auto"/>
              <w:left w:val="single" w:sz="4" w:space="0" w:color="auto"/>
              <w:bottom w:val="single" w:sz="4" w:space="0" w:color="auto"/>
              <w:right w:val="single" w:sz="4" w:space="0" w:color="auto"/>
            </w:tcBorders>
          </w:tcPr>
          <w:p w:rsidR="00A720B1" w:rsidRPr="00A97643" w:rsidRDefault="00A720B1" w:rsidP="00A720B1">
            <w:pPr>
              <w:pStyle w:val="Nagwek4"/>
              <w:ind w:left="633" w:hanging="567"/>
              <w:jc w:val="left"/>
            </w:pPr>
            <w:r w:rsidRPr="00A97643">
              <w:t>Annex II/1 Criteria</w:t>
            </w:r>
          </w:p>
        </w:tc>
        <w:tc>
          <w:tcPr>
            <w:tcW w:w="4798" w:type="dxa"/>
            <w:tcBorders>
              <w:top w:val="single" w:sz="4" w:space="0" w:color="auto"/>
              <w:left w:val="single" w:sz="4" w:space="0" w:color="auto"/>
              <w:bottom w:val="single" w:sz="4" w:space="0" w:color="auto"/>
              <w:right w:val="single" w:sz="4" w:space="0" w:color="auto"/>
            </w:tcBorders>
          </w:tcPr>
          <w:p w:rsidR="00A720B1" w:rsidRPr="00A97643" w:rsidRDefault="00A720B1" w:rsidP="00A720B1">
            <w:pPr>
              <w:spacing w:before="60"/>
              <w:jc w:val="center"/>
            </w:pPr>
            <w:r w:rsidRPr="00A97643">
              <w:t>Comments</w:t>
            </w:r>
          </w:p>
        </w:tc>
        <w:tc>
          <w:tcPr>
            <w:tcW w:w="1481" w:type="dxa"/>
            <w:tcBorders>
              <w:top w:val="single" w:sz="4" w:space="0" w:color="auto"/>
              <w:left w:val="single" w:sz="4" w:space="0" w:color="auto"/>
              <w:bottom w:val="single" w:sz="4" w:space="0" w:color="auto"/>
              <w:right w:val="single" w:sz="4" w:space="0" w:color="auto"/>
            </w:tcBorders>
          </w:tcPr>
          <w:p w:rsidR="00A720B1" w:rsidRPr="00A97643" w:rsidRDefault="00A720B1" w:rsidP="00A720B1">
            <w:pPr>
              <w:spacing w:before="60"/>
              <w:jc w:val="center"/>
            </w:pPr>
            <w:r w:rsidRPr="00A97643">
              <w:t>Assessment</w:t>
            </w:r>
          </w:p>
        </w:tc>
      </w:tr>
      <w:tr w:rsidR="00A720B1" w:rsidRPr="00A97643" w:rsidTr="00D136EA">
        <w:tc>
          <w:tcPr>
            <w:tcW w:w="2573" w:type="dxa"/>
            <w:tcBorders>
              <w:top w:val="single" w:sz="4" w:space="0" w:color="auto"/>
              <w:left w:val="single" w:sz="4" w:space="0" w:color="auto"/>
              <w:bottom w:val="single" w:sz="4" w:space="0" w:color="auto"/>
              <w:right w:val="single" w:sz="4" w:space="0" w:color="auto"/>
            </w:tcBorders>
          </w:tcPr>
          <w:p w:rsidR="00A720B1" w:rsidRPr="00A97643" w:rsidRDefault="00A720B1" w:rsidP="00A720B1">
            <w:pPr>
              <w:spacing w:before="60"/>
              <w:jc w:val="both"/>
            </w:pPr>
            <w:r w:rsidRPr="00A97643">
              <w:t xml:space="preserve">The degree to which </w:t>
            </w:r>
          </w:p>
          <w:p w:rsidR="00A720B1" w:rsidRPr="00A97643" w:rsidRDefault="00A720B1" w:rsidP="00A720B1">
            <w:pPr>
              <w:spacing w:before="60"/>
            </w:pPr>
            <w:r w:rsidRPr="00A97643">
              <w:t xml:space="preserve">URBACT III sets </w:t>
            </w:r>
          </w:p>
          <w:p w:rsidR="00A720B1" w:rsidRPr="00A97643" w:rsidRDefault="00A720B1" w:rsidP="00A720B1">
            <w:pPr>
              <w:spacing w:before="60"/>
            </w:pPr>
            <w:r w:rsidRPr="00A97643">
              <w:t>a framework for projects</w:t>
            </w:r>
          </w:p>
          <w:p w:rsidR="00A720B1" w:rsidRPr="00A97643" w:rsidRDefault="00A720B1" w:rsidP="00A720B1">
            <w:pPr>
              <w:spacing w:before="60"/>
            </w:pPr>
            <w:r w:rsidRPr="00A97643">
              <w:t xml:space="preserve">and other activities, </w:t>
            </w:r>
          </w:p>
          <w:p w:rsidR="00A720B1" w:rsidRPr="00A97643" w:rsidRDefault="00A720B1" w:rsidP="00A720B1">
            <w:pPr>
              <w:spacing w:before="60"/>
            </w:pPr>
            <w:r w:rsidRPr="00A97643">
              <w:t>either with regard to</w:t>
            </w:r>
          </w:p>
          <w:p w:rsidR="00A720B1" w:rsidRPr="00A97643" w:rsidRDefault="00A720B1" w:rsidP="00A720B1">
            <w:pPr>
              <w:spacing w:before="60"/>
            </w:pPr>
            <w:r w:rsidRPr="00A97643">
              <w:t>the location, nature,</w:t>
            </w:r>
          </w:p>
          <w:p w:rsidR="00A720B1" w:rsidRPr="00A97643" w:rsidRDefault="00A720B1" w:rsidP="00A720B1">
            <w:pPr>
              <w:spacing w:before="60"/>
            </w:pPr>
            <w:r w:rsidRPr="00A97643">
              <w:t>size and operating</w:t>
            </w:r>
          </w:p>
          <w:p w:rsidR="00A720B1" w:rsidRPr="00A97643" w:rsidRDefault="00A720B1" w:rsidP="00A720B1">
            <w:pPr>
              <w:spacing w:before="60"/>
            </w:pPr>
            <w:r w:rsidRPr="00A97643">
              <w:t>conditions or by</w:t>
            </w:r>
          </w:p>
          <w:p w:rsidR="00A720B1" w:rsidRPr="00A97643" w:rsidRDefault="00A720B1" w:rsidP="00A720B1">
            <w:pPr>
              <w:spacing w:before="60"/>
            </w:pPr>
            <w:r w:rsidRPr="00A97643">
              <w:t>allocating resources.</w:t>
            </w:r>
          </w:p>
          <w:p w:rsidR="00A720B1" w:rsidRPr="00A97643" w:rsidRDefault="00A720B1" w:rsidP="00A720B1">
            <w:pPr>
              <w:spacing w:before="60"/>
              <w:jc w:val="both"/>
            </w:pPr>
          </w:p>
        </w:tc>
        <w:tc>
          <w:tcPr>
            <w:tcW w:w="4798" w:type="dxa"/>
            <w:tcBorders>
              <w:top w:val="single" w:sz="4" w:space="0" w:color="auto"/>
              <w:left w:val="single" w:sz="4" w:space="0" w:color="auto"/>
              <w:bottom w:val="single" w:sz="4" w:space="0" w:color="auto"/>
              <w:right w:val="single" w:sz="4" w:space="0" w:color="auto"/>
            </w:tcBorders>
          </w:tcPr>
          <w:p w:rsidR="00A720B1" w:rsidRPr="00A97643" w:rsidRDefault="00A720B1" w:rsidP="00A720B1">
            <w:pPr>
              <w:spacing w:before="60"/>
              <w:jc w:val="both"/>
            </w:pPr>
            <w:r w:rsidRPr="00A97643">
              <w:t>The URBACT III Draft Operational programme does not set a framework for exchange operations in the strict sense of the given criteria, as it has no direct impact in relation to location, nature, size and operating conditions and does not allocate natural resources.</w:t>
            </w:r>
          </w:p>
        </w:tc>
        <w:tc>
          <w:tcPr>
            <w:tcW w:w="1481" w:type="dxa"/>
            <w:tcBorders>
              <w:top w:val="single" w:sz="4" w:space="0" w:color="auto"/>
              <w:left w:val="single" w:sz="4" w:space="0" w:color="auto"/>
              <w:bottom w:val="single" w:sz="4" w:space="0" w:color="auto"/>
              <w:right w:val="single" w:sz="4" w:space="0" w:color="auto"/>
            </w:tcBorders>
          </w:tcPr>
          <w:p w:rsidR="00A720B1" w:rsidRPr="00A97643" w:rsidRDefault="00A720B1" w:rsidP="00A720B1">
            <w:pPr>
              <w:spacing w:before="60"/>
            </w:pPr>
            <w:r w:rsidRPr="00A97643">
              <w:t xml:space="preserve">No direct </w:t>
            </w:r>
          </w:p>
          <w:p w:rsidR="00A720B1" w:rsidRPr="00A97643" w:rsidRDefault="00A720B1" w:rsidP="00A720B1">
            <w:pPr>
              <w:spacing w:before="60"/>
            </w:pPr>
            <w:r w:rsidRPr="00A97643">
              <w:t>impact</w:t>
            </w:r>
          </w:p>
        </w:tc>
      </w:tr>
      <w:tr w:rsidR="00A720B1" w:rsidRPr="00A97643" w:rsidTr="00D136EA">
        <w:tc>
          <w:tcPr>
            <w:tcW w:w="2573" w:type="dxa"/>
            <w:tcBorders>
              <w:top w:val="single" w:sz="4" w:space="0" w:color="auto"/>
              <w:left w:val="single" w:sz="4" w:space="0" w:color="auto"/>
              <w:bottom w:val="single" w:sz="4" w:space="0" w:color="auto"/>
              <w:right w:val="single" w:sz="4" w:space="0" w:color="auto"/>
            </w:tcBorders>
          </w:tcPr>
          <w:p w:rsidR="00A720B1" w:rsidRPr="00A97643" w:rsidRDefault="00A720B1" w:rsidP="00A720B1">
            <w:pPr>
              <w:spacing w:before="60"/>
              <w:jc w:val="both"/>
            </w:pPr>
            <w:r w:rsidRPr="00A97643">
              <w:t xml:space="preserve">The degree to which </w:t>
            </w:r>
          </w:p>
          <w:p w:rsidR="00A720B1" w:rsidRPr="00A97643" w:rsidRDefault="00A720B1" w:rsidP="00A720B1">
            <w:pPr>
              <w:spacing w:before="60"/>
              <w:jc w:val="both"/>
            </w:pPr>
            <w:r w:rsidRPr="00A97643">
              <w:t>URBACT III</w:t>
            </w:r>
          </w:p>
          <w:p w:rsidR="00A720B1" w:rsidRPr="00A97643" w:rsidRDefault="00A720B1" w:rsidP="00A720B1">
            <w:pPr>
              <w:spacing w:before="60"/>
              <w:jc w:val="both"/>
            </w:pPr>
            <w:r w:rsidRPr="00A97643">
              <w:t>influences other plans</w:t>
            </w:r>
          </w:p>
          <w:p w:rsidR="00A720B1" w:rsidRPr="00A97643" w:rsidRDefault="00A720B1" w:rsidP="00A720B1">
            <w:pPr>
              <w:spacing w:before="60"/>
              <w:jc w:val="both"/>
            </w:pPr>
            <w:r w:rsidRPr="00A97643">
              <w:t>and programmes</w:t>
            </w:r>
          </w:p>
          <w:p w:rsidR="00A720B1" w:rsidRPr="00A97643" w:rsidRDefault="00A720B1" w:rsidP="00A720B1">
            <w:pPr>
              <w:spacing w:before="60"/>
              <w:jc w:val="both"/>
            </w:pPr>
            <w:r w:rsidRPr="00A97643">
              <w:t xml:space="preserve">including those in a </w:t>
            </w:r>
          </w:p>
          <w:p w:rsidR="00A720B1" w:rsidRPr="00A97643" w:rsidRDefault="00A720B1" w:rsidP="00A720B1">
            <w:pPr>
              <w:spacing w:before="60"/>
              <w:jc w:val="both"/>
            </w:pPr>
            <w:r w:rsidRPr="00A97643">
              <w:t>hierarchy</w:t>
            </w:r>
          </w:p>
        </w:tc>
        <w:tc>
          <w:tcPr>
            <w:tcW w:w="4798" w:type="dxa"/>
            <w:tcBorders>
              <w:top w:val="single" w:sz="4" w:space="0" w:color="auto"/>
              <w:left w:val="single" w:sz="4" w:space="0" w:color="auto"/>
              <w:bottom w:val="single" w:sz="4" w:space="0" w:color="auto"/>
              <w:right w:val="single" w:sz="4" w:space="0" w:color="auto"/>
            </w:tcBorders>
          </w:tcPr>
          <w:p w:rsidR="00A720B1" w:rsidRPr="00A97643" w:rsidRDefault="00A720B1" w:rsidP="00A720B1">
            <w:pPr>
              <w:spacing w:before="60"/>
              <w:jc w:val="both"/>
            </w:pPr>
            <w:r w:rsidRPr="00A97643">
              <w:t>The URBACT III Draft Operational programme aims to develop exchanges among city policy makers and practitioners and disseminate standardized information.</w:t>
            </w:r>
          </w:p>
          <w:p w:rsidR="00A720B1" w:rsidRPr="00A97643" w:rsidRDefault="00A720B1" w:rsidP="00A720B1">
            <w:pPr>
              <w:spacing w:before="60"/>
              <w:jc w:val="both"/>
            </w:pPr>
            <w:r w:rsidRPr="00A97643">
              <w:t xml:space="preserve">It may influence Regional Operational Programmes towards a more sustainable urban development. </w:t>
            </w:r>
          </w:p>
        </w:tc>
        <w:tc>
          <w:tcPr>
            <w:tcW w:w="1481" w:type="dxa"/>
            <w:tcBorders>
              <w:top w:val="single" w:sz="4" w:space="0" w:color="auto"/>
              <w:left w:val="single" w:sz="4" w:space="0" w:color="auto"/>
              <w:bottom w:val="single" w:sz="4" w:space="0" w:color="auto"/>
              <w:right w:val="single" w:sz="4" w:space="0" w:color="auto"/>
            </w:tcBorders>
          </w:tcPr>
          <w:p w:rsidR="00A720B1" w:rsidRPr="00A97643" w:rsidRDefault="00A720B1" w:rsidP="00A720B1">
            <w:pPr>
              <w:spacing w:before="60"/>
            </w:pPr>
            <w:r w:rsidRPr="00A97643">
              <w:t xml:space="preserve">Low direct </w:t>
            </w:r>
          </w:p>
          <w:p w:rsidR="00A720B1" w:rsidRPr="00A97643" w:rsidRDefault="00A720B1" w:rsidP="00A720B1">
            <w:pPr>
              <w:spacing w:before="60"/>
            </w:pPr>
            <w:r w:rsidRPr="00A97643">
              <w:t>impact</w:t>
            </w:r>
          </w:p>
          <w:p w:rsidR="00A720B1" w:rsidRPr="00A97643" w:rsidRDefault="00A720B1" w:rsidP="00A720B1">
            <w:pPr>
              <w:spacing w:before="60"/>
            </w:pPr>
          </w:p>
          <w:p w:rsidR="00A720B1" w:rsidRPr="00A97643" w:rsidRDefault="00A720B1" w:rsidP="00A720B1">
            <w:pPr>
              <w:spacing w:before="60"/>
            </w:pPr>
            <w:r w:rsidRPr="00A97643">
              <w:t xml:space="preserve">Degree of </w:t>
            </w:r>
          </w:p>
          <w:p w:rsidR="00A720B1" w:rsidRPr="00A97643" w:rsidRDefault="00A720B1" w:rsidP="00A720B1">
            <w:pPr>
              <w:spacing w:before="60"/>
            </w:pPr>
            <w:r w:rsidRPr="00A97643">
              <w:t>influence</w:t>
            </w:r>
          </w:p>
          <w:p w:rsidR="00A720B1" w:rsidRPr="00A97643" w:rsidRDefault="00A720B1" w:rsidP="00A720B1">
            <w:pPr>
              <w:spacing w:before="60"/>
            </w:pPr>
            <w:r w:rsidRPr="00A97643">
              <w:t>cannot be</w:t>
            </w:r>
          </w:p>
          <w:p w:rsidR="00A720B1" w:rsidRPr="00A97643" w:rsidRDefault="00A720B1" w:rsidP="00A720B1">
            <w:pPr>
              <w:spacing w:before="60"/>
            </w:pPr>
            <w:r w:rsidRPr="00A97643">
              <w:t>determined at this stage</w:t>
            </w:r>
          </w:p>
        </w:tc>
      </w:tr>
      <w:tr w:rsidR="00A720B1" w:rsidRPr="00A97643" w:rsidTr="00D136EA">
        <w:tc>
          <w:tcPr>
            <w:tcW w:w="2573" w:type="dxa"/>
            <w:tcBorders>
              <w:top w:val="single" w:sz="4" w:space="0" w:color="auto"/>
              <w:left w:val="single" w:sz="4" w:space="0" w:color="auto"/>
              <w:bottom w:val="single" w:sz="4" w:space="0" w:color="auto"/>
              <w:right w:val="single" w:sz="4" w:space="0" w:color="auto"/>
            </w:tcBorders>
          </w:tcPr>
          <w:p w:rsidR="00A720B1" w:rsidRPr="00A97643" w:rsidRDefault="00A720B1" w:rsidP="00A720B1">
            <w:pPr>
              <w:spacing w:before="60"/>
              <w:jc w:val="both"/>
            </w:pPr>
            <w:r w:rsidRPr="00A97643">
              <w:t xml:space="preserve">The relevance of </w:t>
            </w:r>
          </w:p>
          <w:p w:rsidR="00A720B1" w:rsidRPr="00A97643" w:rsidRDefault="00A720B1" w:rsidP="00A720B1">
            <w:pPr>
              <w:spacing w:before="60"/>
            </w:pPr>
            <w:r w:rsidRPr="00A97643">
              <w:t xml:space="preserve">URBACT III </w:t>
            </w:r>
          </w:p>
          <w:p w:rsidR="00A720B1" w:rsidRPr="00A97643" w:rsidRDefault="00A720B1" w:rsidP="00A720B1">
            <w:pPr>
              <w:spacing w:before="60"/>
            </w:pPr>
            <w:r w:rsidRPr="00A97643">
              <w:t xml:space="preserve">for the integration of </w:t>
            </w:r>
          </w:p>
          <w:p w:rsidR="00A720B1" w:rsidRPr="00A97643" w:rsidRDefault="00A720B1" w:rsidP="00A720B1">
            <w:pPr>
              <w:spacing w:before="60"/>
            </w:pPr>
            <w:r w:rsidRPr="00A97643">
              <w:t>environmental</w:t>
            </w:r>
          </w:p>
          <w:p w:rsidR="00A720B1" w:rsidRPr="00A97643" w:rsidRDefault="00A720B1" w:rsidP="00A720B1">
            <w:pPr>
              <w:spacing w:before="60"/>
            </w:pPr>
            <w:r w:rsidRPr="00A97643">
              <w:t>considerations in particular with promoting sustainable</w:t>
            </w:r>
          </w:p>
          <w:p w:rsidR="00A720B1" w:rsidRPr="00A97643" w:rsidRDefault="00A720B1" w:rsidP="00A720B1">
            <w:pPr>
              <w:spacing w:before="60"/>
            </w:pPr>
            <w:r w:rsidRPr="00A97643">
              <w:t>development</w:t>
            </w:r>
          </w:p>
        </w:tc>
        <w:tc>
          <w:tcPr>
            <w:tcW w:w="4798" w:type="dxa"/>
            <w:tcBorders>
              <w:top w:val="single" w:sz="4" w:space="0" w:color="auto"/>
              <w:left w:val="single" w:sz="4" w:space="0" w:color="auto"/>
              <w:bottom w:val="single" w:sz="4" w:space="0" w:color="auto"/>
              <w:right w:val="single" w:sz="4" w:space="0" w:color="auto"/>
            </w:tcBorders>
          </w:tcPr>
          <w:p w:rsidR="00A720B1" w:rsidRPr="00A97643" w:rsidRDefault="00A720B1" w:rsidP="00A720B1">
            <w:pPr>
              <w:spacing w:before="60"/>
              <w:jc w:val="both"/>
            </w:pPr>
            <w:r w:rsidRPr="00A97643">
              <w:t>Promoting urban integrated and sustainable development is a major aim of URBACT III</w:t>
            </w:r>
          </w:p>
          <w:p w:rsidR="00A720B1" w:rsidRPr="00A97643" w:rsidRDefault="00A720B1" w:rsidP="00A720B1">
            <w:pPr>
              <w:spacing w:before="60"/>
              <w:jc w:val="both"/>
            </w:pPr>
            <w:r w:rsidRPr="00A97643">
              <w:t xml:space="preserve"> </w:t>
            </w:r>
          </w:p>
        </w:tc>
        <w:tc>
          <w:tcPr>
            <w:tcW w:w="1481" w:type="dxa"/>
            <w:tcBorders>
              <w:top w:val="single" w:sz="4" w:space="0" w:color="auto"/>
              <w:left w:val="single" w:sz="4" w:space="0" w:color="auto"/>
              <w:bottom w:val="single" w:sz="4" w:space="0" w:color="auto"/>
              <w:right w:val="single" w:sz="4" w:space="0" w:color="auto"/>
            </w:tcBorders>
          </w:tcPr>
          <w:p w:rsidR="00A720B1" w:rsidRPr="00A97643" w:rsidRDefault="00A720B1" w:rsidP="00A720B1">
            <w:pPr>
              <w:spacing w:before="60"/>
            </w:pPr>
            <w:r w:rsidRPr="00A97643">
              <w:t xml:space="preserve">Low direct </w:t>
            </w:r>
          </w:p>
          <w:p w:rsidR="00A720B1" w:rsidRPr="00A97643" w:rsidRDefault="00A720B1" w:rsidP="00A720B1">
            <w:pPr>
              <w:spacing w:before="60"/>
            </w:pPr>
            <w:r w:rsidRPr="00A97643">
              <w:t>impact</w:t>
            </w:r>
          </w:p>
          <w:p w:rsidR="00A720B1" w:rsidRPr="00A97643" w:rsidRDefault="00A720B1" w:rsidP="00A720B1">
            <w:pPr>
              <w:spacing w:before="60"/>
            </w:pPr>
          </w:p>
          <w:p w:rsidR="00A720B1" w:rsidRPr="00A97643" w:rsidRDefault="00A720B1" w:rsidP="00A720B1">
            <w:pPr>
              <w:spacing w:before="60"/>
            </w:pPr>
          </w:p>
          <w:p w:rsidR="00A720B1" w:rsidRPr="00A97643" w:rsidRDefault="00A720B1" w:rsidP="00A720B1">
            <w:pPr>
              <w:spacing w:before="60"/>
            </w:pPr>
            <w:r w:rsidRPr="00A97643">
              <w:t>Relevance</w:t>
            </w:r>
          </w:p>
          <w:p w:rsidR="00A720B1" w:rsidRPr="00A97643" w:rsidRDefault="00A720B1" w:rsidP="00A720B1">
            <w:pPr>
              <w:spacing w:before="60"/>
            </w:pPr>
            <w:r w:rsidRPr="00A97643">
              <w:t>cannot be</w:t>
            </w:r>
          </w:p>
          <w:p w:rsidR="00A720B1" w:rsidRPr="00A97643" w:rsidRDefault="00A720B1" w:rsidP="00A720B1">
            <w:pPr>
              <w:spacing w:before="60"/>
            </w:pPr>
            <w:r w:rsidRPr="00A97643">
              <w:t>determined at this stage</w:t>
            </w:r>
          </w:p>
        </w:tc>
      </w:tr>
    </w:tbl>
    <w:p w:rsidR="00D136EA" w:rsidRPr="00A97643" w:rsidRDefault="00D136EA">
      <w:r w:rsidRPr="00A97643">
        <w:br w:type="page"/>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73"/>
        <w:gridCol w:w="4798"/>
        <w:gridCol w:w="1481"/>
      </w:tblGrid>
      <w:tr w:rsidR="00A720B1" w:rsidRPr="00A97643" w:rsidTr="00D136EA">
        <w:tc>
          <w:tcPr>
            <w:tcW w:w="2573" w:type="dxa"/>
            <w:tcBorders>
              <w:top w:val="single" w:sz="4" w:space="0" w:color="auto"/>
              <w:left w:val="single" w:sz="4" w:space="0" w:color="auto"/>
              <w:bottom w:val="single" w:sz="4" w:space="0" w:color="auto"/>
              <w:right w:val="single" w:sz="4" w:space="0" w:color="auto"/>
            </w:tcBorders>
          </w:tcPr>
          <w:p w:rsidR="00A720B1" w:rsidRPr="00A97643" w:rsidRDefault="00A720B1" w:rsidP="00A720B1">
            <w:pPr>
              <w:spacing w:before="60"/>
              <w:jc w:val="both"/>
            </w:pPr>
            <w:r w:rsidRPr="00A97643">
              <w:t>Environmental problems</w:t>
            </w:r>
          </w:p>
          <w:p w:rsidR="00A720B1" w:rsidRPr="00A97643" w:rsidRDefault="00A720B1" w:rsidP="00A720B1">
            <w:pPr>
              <w:spacing w:before="60"/>
              <w:jc w:val="both"/>
            </w:pPr>
            <w:r w:rsidRPr="00A97643">
              <w:t>relevant to the plan or</w:t>
            </w:r>
          </w:p>
          <w:p w:rsidR="00A720B1" w:rsidRPr="00A97643" w:rsidRDefault="00A720B1" w:rsidP="00A720B1">
            <w:pPr>
              <w:spacing w:before="60"/>
              <w:jc w:val="both"/>
            </w:pPr>
            <w:r w:rsidRPr="00A97643">
              <w:t>programme</w:t>
            </w:r>
          </w:p>
        </w:tc>
        <w:tc>
          <w:tcPr>
            <w:tcW w:w="4798" w:type="dxa"/>
            <w:tcBorders>
              <w:top w:val="single" w:sz="4" w:space="0" w:color="auto"/>
              <w:left w:val="single" w:sz="4" w:space="0" w:color="auto"/>
              <w:bottom w:val="single" w:sz="4" w:space="0" w:color="auto"/>
              <w:right w:val="single" w:sz="4" w:space="0" w:color="auto"/>
            </w:tcBorders>
          </w:tcPr>
          <w:p w:rsidR="00A720B1" w:rsidRPr="00A97643" w:rsidRDefault="00A720B1" w:rsidP="00A720B1">
            <w:pPr>
              <w:spacing w:before="60"/>
              <w:jc w:val="both"/>
            </w:pPr>
            <w:r w:rsidRPr="00A97643">
              <w:t>As stated above, it is impossible to determine at this stage if the programme itself will directly encourage the integration of environmental considerations.</w:t>
            </w:r>
          </w:p>
        </w:tc>
        <w:tc>
          <w:tcPr>
            <w:tcW w:w="1481" w:type="dxa"/>
            <w:tcBorders>
              <w:top w:val="single" w:sz="4" w:space="0" w:color="auto"/>
              <w:left w:val="single" w:sz="4" w:space="0" w:color="auto"/>
              <w:bottom w:val="single" w:sz="4" w:space="0" w:color="auto"/>
              <w:right w:val="single" w:sz="4" w:space="0" w:color="auto"/>
            </w:tcBorders>
          </w:tcPr>
          <w:p w:rsidR="00A720B1" w:rsidRPr="00A97643" w:rsidRDefault="00A720B1" w:rsidP="00A720B1">
            <w:pPr>
              <w:spacing w:before="60"/>
            </w:pPr>
            <w:r w:rsidRPr="00A97643">
              <w:t xml:space="preserve">Low direct </w:t>
            </w:r>
          </w:p>
          <w:p w:rsidR="00A720B1" w:rsidRPr="00A97643" w:rsidRDefault="00A720B1" w:rsidP="00A720B1">
            <w:pPr>
              <w:spacing w:before="60"/>
            </w:pPr>
            <w:r w:rsidRPr="00A97643">
              <w:t>impact</w:t>
            </w:r>
          </w:p>
          <w:p w:rsidR="00A720B1" w:rsidRPr="00A97643" w:rsidRDefault="00A720B1" w:rsidP="00A720B1">
            <w:pPr>
              <w:spacing w:before="60"/>
            </w:pPr>
          </w:p>
          <w:p w:rsidR="00A720B1" w:rsidRPr="00A97643" w:rsidRDefault="00A720B1" w:rsidP="00A720B1">
            <w:pPr>
              <w:spacing w:before="60"/>
            </w:pPr>
            <w:r w:rsidRPr="00A97643">
              <w:t>Relevance</w:t>
            </w:r>
          </w:p>
          <w:p w:rsidR="00A720B1" w:rsidRPr="00A97643" w:rsidRDefault="00A720B1" w:rsidP="00A720B1">
            <w:pPr>
              <w:spacing w:before="60"/>
            </w:pPr>
            <w:r w:rsidRPr="00A97643">
              <w:t>cannot be</w:t>
            </w:r>
          </w:p>
          <w:p w:rsidR="00A720B1" w:rsidRPr="00A97643" w:rsidRDefault="00A720B1" w:rsidP="00A720B1">
            <w:pPr>
              <w:spacing w:before="60"/>
            </w:pPr>
            <w:r w:rsidRPr="00A97643">
              <w:t>determined at this stage</w:t>
            </w:r>
          </w:p>
        </w:tc>
      </w:tr>
      <w:tr w:rsidR="00A720B1" w:rsidRPr="00A97643" w:rsidTr="00D136EA">
        <w:tc>
          <w:tcPr>
            <w:tcW w:w="2573" w:type="dxa"/>
            <w:tcBorders>
              <w:top w:val="single" w:sz="4" w:space="0" w:color="auto"/>
              <w:left w:val="single" w:sz="4" w:space="0" w:color="auto"/>
              <w:bottom w:val="single" w:sz="4" w:space="0" w:color="auto"/>
              <w:right w:val="single" w:sz="4" w:space="0" w:color="auto"/>
            </w:tcBorders>
          </w:tcPr>
          <w:p w:rsidR="00A720B1" w:rsidRPr="00A97643" w:rsidRDefault="00A720B1" w:rsidP="00A720B1">
            <w:pPr>
              <w:spacing w:before="60"/>
              <w:jc w:val="both"/>
            </w:pPr>
            <w:r w:rsidRPr="00A97643">
              <w:t>The relevance of the plan</w:t>
            </w:r>
          </w:p>
          <w:p w:rsidR="00A720B1" w:rsidRPr="00A97643" w:rsidRDefault="00A720B1" w:rsidP="00A720B1">
            <w:pPr>
              <w:spacing w:before="60"/>
              <w:jc w:val="both"/>
            </w:pPr>
            <w:r w:rsidRPr="00A97643">
              <w:t>or programme for the</w:t>
            </w:r>
          </w:p>
          <w:p w:rsidR="00A720B1" w:rsidRPr="00A97643" w:rsidRDefault="00A720B1" w:rsidP="00A720B1">
            <w:pPr>
              <w:spacing w:before="60"/>
              <w:jc w:val="both"/>
            </w:pPr>
            <w:r w:rsidRPr="00A97643">
              <w:t>implementation of</w:t>
            </w:r>
          </w:p>
          <w:p w:rsidR="00A720B1" w:rsidRPr="00A97643" w:rsidRDefault="00A720B1" w:rsidP="00A720B1">
            <w:pPr>
              <w:spacing w:before="60"/>
              <w:jc w:val="both"/>
            </w:pPr>
            <w:r w:rsidRPr="00A97643">
              <w:t>community legislation</w:t>
            </w:r>
          </w:p>
          <w:p w:rsidR="00A720B1" w:rsidRPr="00A97643" w:rsidRDefault="00A720B1" w:rsidP="00A720B1">
            <w:pPr>
              <w:spacing w:before="60"/>
              <w:jc w:val="both"/>
            </w:pPr>
            <w:r w:rsidRPr="00A97643">
              <w:t>on the Environment</w:t>
            </w:r>
          </w:p>
        </w:tc>
        <w:tc>
          <w:tcPr>
            <w:tcW w:w="4798" w:type="dxa"/>
            <w:tcBorders>
              <w:top w:val="single" w:sz="4" w:space="0" w:color="auto"/>
              <w:left w:val="single" w:sz="4" w:space="0" w:color="auto"/>
              <w:bottom w:val="single" w:sz="4" w:space="0" w:color="auto"/>
              <w:right w:val="single" w:sz="4" w:space="0" w:color="auto"/>
            </w:tcBorders>
          </w:tcPr>
          <w:p w:rsidR="00A720B1" w:rsidRPr="00A97643" w:rsidRDefault="00A720B1" w:rsidP="00A720B1">
            <w:pPr>
              <w:spacing w:before="60"/>
              <w:jc w:val="both"/>
            </w:pPr>
            <w:r w:rsidRPr="00A97643">
              <w:t>Some of the projects of URBACT III may be relevant to activities related to environmental themes, but it cannot be determined whether such activity will be of relevance to the implementation of Community legislation on the environment.</w:t>
            </w:r>
          </w:p>
        </w:tc>
        <w:tc>
          <w:tcPr>
            <w:tcW w:w="1481" w:type="dxa"/>
            <w:tcBorders>
              <w:top w:val="single" w:sz="4" w:space="0" w:color="auto"/>
              <w:left w:val="single" w:sz="4" w:space="0" w:color="auto"/>
              <w:bottom w:val="single" w:sz="4" w:space="0" w:color="auto"/>
              <w:right w:val="single" w:sz="4" w:space="0" w:color="auto"/>
            </w:tcBorders>
          </w:tcPr>
          <w:p w:rsidR="00A720B1" w:rsidRPr="00A97643" w:rsidRDefault="00A720B1" w:rsidP="00A720B1">
            <w:pPr>
              <w:spacing w:before="60"/>
              <w:jc w:val="both"/>
            </w:pPr>
            <w:r w:rsidRPr="00A97643">
              <w:t xml:space="preserve">Low direct </w:t>
            </w:r>
          </w:p>
          <w:p w:rsidR="00A720B1" w:rsidRPr="00A97643" w:rsidRDefault="00A720B1" w:rsidP="00A720B1">
            <w:pPr>
              <w:spacing w:before="60"/>
              <w:jc w:val="both"/>
            </w:pPr>
            <w:r w:rsidRPr="00A97643">
              <w:t>impact</w:t>
            </w:r>
          </w:p>
          <w:p w:rsidR="00A720B1" w:rsidRPr="00A97643" w:rsidRDefault="00A720B1" w:rsidP="00A720B1">
            <w:pPr>
              <w:spacing w:before="60"/>
              <w:jc w:val="both"/>
            </w:pPr>
          </w:p>
          <w:p w:rsidR="00A720B1" w:rsidRPr="00A97643" w:rsidRDefault="00A720B1" w:rsidP="00A720B1">
            <w:pPr>
              <w:spacing w:before="60"/>
              <w:jc w:val="both"/>
            </w:pPr>
            <w:r w:rsidRPr="00A97643">
              <w:t>Relevance</w:t>
            </w:r>
          </w:p>
          <w:p w:rsidR="00A720B1" w:rsidRPr="00A97643" w:rsidRDefault="00A720B1" w:rsidP="00A720B1">
            <w:pPr>
              <w:spacing w:before="60"/>
              <w:jc w:val="both"/>
            </w:pPr>
            <w:r w:rsidRPr="00A97643">
              <w:t>cannot be</w:t>
            </w:r>
          </w:p>
          <w:p w:rsidR="00A720B1" w:rsidRPr="00A97643" w:rsidRDefault="00A720B1" w:rsidP="00A720B1">
            <w:pPr>
              <w:spacing w:before="60"/>
              <w:jc w:val="both"/>
            </w:pPr>
            <w:r w:rsidRPr="00A97643">
              <w:t>determined at this stage</w:t>
            </w:r>
          </w:p>
        </w:tc>
      </w:tr>
    </w:tbl>
    <w:p w:rsidR="00A720B1" w:rsidRPr="00A97643" w:rsidRDefault="00A720B1" w:rsidP="00A720B1">
      <w:pPr>
        <w:spacing w:before="60"/>
        <w:jc w:val="both"/>
      </w:pPr>
    </w:p>
    <w:p w:rsidR="00D136EA" w:rsidRPr="00A97643" w:rsidRDefault="00D136EA" w:rsidP="00A720B1">
      <w:pPr>
        <w:spacing w:before="60"/>
        <w:jc w:val="both"/>
      </w:pPr>
    </w:p>
    <w:p w:rsidR="00A720B1" w:rsidRPr="00A97643" w:rsidRDefault="00A720B1" w:rsidP="008166DD">
      <w:pPr>
        <w:numPr>
          <w:ilvl w:val="0"/>
          <w:numId w:val="16"/>
        </w:numPr>
        <w:spacing w:before="60"/>
        <w:jc w:val="both"/>
      </w:pPr>
      <w:r w:rsidRPr="00A97643">
        <w:t>Characteristics of the effects and of the area likely to be affected, having regard, in particular, to:</w:t>
      </w:r>
    </w:p>
    <w:p w:rsidR="00A720B1" w:rsidRPr="00A97643" w:rsidRDefault="00A720B1" w:rsidP="00A720B1">
      <w:pPr>
        <w:spacing w:before="60"/>
        <w:jc w:val="bot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30"/>
        <w:gridCol w:w="3060"/>
        <w:gridCol w:w="1762"/>
      </w:tblGrid>
      <w:tr w:rsidR="00A720B1" w:rsidRPr="00A97643" w:rsidTr="00A720B1">
        <w:tc>
          <w:tcPr>
            <w:tcW w:w="4030" w:type="dxa"/>
            <w:tcBorders>
              <w:top w:val="single" w:sz="4" w:space="0" w:color="auto"/>
              <w:left w:val="single" w:sz="4" w:space="0" w:color="auto"/>
              <w:bottom w:val="single" w:sz="4" w:space="0" w:color="auto"/>
              <w:right w:val="single" w:sz="4" w:space="0" w:color="auto"/>
            </w:tcBorders>
          </w:tcPr>
          <w:p w:rsidR="00A720B1" w:rsidRPr="00A97643" w:rsidRDefault="00A720B1" w:rsidP="00A720B1">
            <w:pPr>
              <w:pStyle w:val="Nagwek4"/>
            </w:pPr>
            <w:r w:rsidRPr="00A97643">
              <w:t>Annex II/2 Criteria</w:t>
            </w:r>
          </w:p>
        </w:tc>
        <w:tc>
          <w:tcPr>
            <w:tcW w:w="3060" w:type="dxa"/>
            <w:tcBorders>
              <w:top w:val="single" w:sz="4" w:space="0" w:color="auto"/>
              <w:left w:val="single" w:sz="4" w:space="0" w:color="auto"/>
              <w:bottom w:val="single" w:sz="4" w:space="0" w:color="auto"/>
              <w:right w:val="single" w:sz="4" w:space="0" w:color="auto"/>
            </w:tcBorders>
          </w:tcPr>
          <w:p w:rsidR="00A720B1" w:rsidRPr="00A97643" w:rsidRDefault="00A720B1" w:rsidP="00A720B1">
            <w:pPr>
              <w:spacing w:before="60"/>
              <w:jc w:val="center"/>
            </w:pPr>
            <w:r w:rsidRPr="00A97643">
              <w:t>Comments</w:t>
            </w:r>
          </w:p>
        </w:tc>
        <w:tc>
          <w:tcPr>
            <w:tcW w:w="1762" w:type="dxa"/>
            <w:tcBorders>
              <w:top w:val="single" w:sz="4" w:space="0" w:color="auto"/>
              <w:left w:val="single" w:sz="4" w:space="0" w:color="auto"/>
              <w:bottom w:val="single" w:sz="4" w:space="0" w:color="auto"/>
              <w:right w:val="single" w:sz="4" w:space="0" w:color="auto"/>
            </w:tcBorders>
          </w:tcPr>
          <w:p w:rsidR="00A720B1" w:rsidRPr="00A97643" w:rsidRDefault="00A720B1" w:rsidP="00A720B1">
            <w:pPr>
              <w:spacing w:before="60"/>
              <w:jc w:val="center"/>
            </w:pPr>
            <w:r w:rsidRPr="00A97643">
              <w:t>Assessment</w:t>
            </w:r>
          </w:p>
        </w:tc>
      </w:tr>
      <w:tr w:rsidR="00A720B1" w:rsidRPr="00A97643" w:rsidTr="00A720B1">
        <w:tc>
          <w:tcPr>
            <w:tcW w:w="4030" w:type="dxa"/>
            <w:tcBorders>
              <w:top w:val="single" w:sz="4" w:space="0" w:color="auto"/>
              <w:left w:val="single" w:sz="4" w:space="0" w:color="auto"/>
              <w:bottom w:val="single" w:sz="4" w:space="0" w:color="auto"/>
              <w:right w:val="single" w:sz="4" w:space="0" w:color="auto"/>
            </w:tcBorders>
          </w:tcPr>
          <w:p w:rsidR="00A720B1" w:rsidRPr="00A97643" w:rsidRDefault="00A720B1" w:rsidP="00A720B1">
            <w:pPr>
              <w:spacing w:before="60"/>
            </w:pPr>
            <w:r w:rsidRPr="00A97643">
              <w:t>- the probability, duration, frequency and reversibility of the effects</w:t>
            </w:r>
          </w:p>
          <w:p w:rsidR="00A720B1" w:rsidRPr="00A97643" w:rsidRDefault="00A720B1" w:rsidP="00A720B1">
            <w:pPr>
              <w:spacing w:before="60"/>
              <w:jc w:val="both"/>
            </w:pPr>
            <w:r w:rsidRPr="00A97643">
              <w:t>- the cumulative nature of the effects</w:t>
            </w:r>
          </w:p>
          <w:p w:rsidR="00A720B1" w:rsidRPr="00A97643" w:rsidRDefault="00A720B1" w:rsidP="00A720B1">
            <w:pPr>
              <w:spacing w:before="60"/>
              <w:jc w:val="both"/>
            </w:pPr>
            <w:r w:rsidRPr="00A97643">
              <w:t>- the trans</w:t>
            </w:r>
            <w:r w:rsidR="0029014E" w:rsidRPr="00A97643">
              <w:t>-</w:t>
            </w:r>
            <w:r w:rsidRPr="00A97643">
              <w:t>boundary nature of the effects</w:t>
            </w:r>
          </w:p>
          <w:p w:rsidR="00A720B1" w:rsidRPr="00A97643" w:rsidRDefault="00A720B1" w:rsidP="00A720B1">
            <w:pPr>
              <w:spacing w:before="60"/>
              <w:jc w:val="both"/>
            </w:pPr>
            <w:r w:rsidRPr="00A97643">
              <w:t>- the risks to human health or the environment (e.g. due to accidents)</w:t>
            </w:r>
          </w:p>
          <w:p w:rsidR="00A720B1" w:rsidRPr="00A97643" w:rsidRDefault="00A720B1" w:rsidP="00A720B1">
            <w:pPr>
              <w:spacing w:before="60"/>
              <w:jc w:val="both"/>
            </w:pPr>
            <w:r w:rsidRPr="00A97643">
              <w:t>- the magnitude and spatial extent of the effect</w:t>
            </w:r>
          </w:p>
          <w:p w:rsidR="00A720B1" w:rsidRPr="00A97643" w:rsidRDefault="00A720B1" w:rsidP="00A720B1">
            <w:pPr>
              <w:spacing w:before="60"/>
              <w:jc w:val="both"/>
            </w:pPr>
            <w:r w:rsidRPr="00A97643">
              <w:t>- the value and vulnerability of the area likely to be affected due to special natural characteristics or cultural heritage, exceeded environmental quality standards or limit values, intensive land-use</w:t>
            </w:r>
          </w:p>
          <w:p w:rsidR="00A720B1" w:rsidRPr="00A97643" w:rsidRDefault="00A720B1" w:rsidP="00A720B1">
            <w:pPr>
              <w:spacing w:before="60"/>
              <w:jc w:val="both"/>
            </w:pPr>
            <w:r w:rsidRPr="00A97643">
              <w:t>- the effects on areas or landscapes which have a recognized national, Community or international protection status</w:t>
            </w:r>
          </w:p>
        </w:tc>
        <w:tc>
          <w:tcPr>
            <w:tcW w:w="3060" w:type="dxa"/>
            <w:tcBorders>
              <w:top w:val="single" w:sz="4" w:space="0" w:color="auto"/>
              <w:left w:val="single" w:sz="4" w:space="0" w:color="auto"/>
              <w:bottom w:val="single" w:sz="4" w:space="0" w:color="auto"/>
              <w:right w:val="single" w:sz="4" w:space="0" w:color="auto"/>
            </w:tcBorders>
          </w:tcPr>
          <w:p w:rsidR="00A720B1" w:rsidRPr="00A97643" w:rsidRDefault="00A720B1" w:rsidP="00A720B1">
            <w:pPr>
              <w:spacing w:before="60"/>
              <w:jc w:val="both"/>
            </w:pPr>
            <w:r w:rsidRPr="00A97643">
              <w:t>Given the above assessment and taking into account that URBACT is an exchange programme on urban issues, it is expected that the environmental effects resulting directly from the programme will not be significant.</w:t>
            </w:r>
          </w:p>
        </w:tc>
        <w:tc>
          <w:tcPr>
            <w:tcW w:w="1762" w:type="dxa"/>
            <w:tcBorders>
              <w:top w:val="single" w:sz="4" w:space="0" w:color="auto"/>
              <w:left w:val="single" w:sz="4" w:space="0" w:color="auto"/>
              <w:bottom w:val="single" w:sz="4" w:space="0" w:color="auto"/>
              <w:right w:val="single" w:sz="4" w:space="0" w:color="auto"/>
            </w:tcBorders>
          </w:tcPr>
          <w:p w:rsidR="00A720B1" w:rsidRPr="00A97643" w:rsidRDefault="00A720B1" w:rsidP="00A720B1">
            <w:pPr>
              <w:spacing w:before="60"/>
              <w:jc w:val="both"/>
            </w:pPr>
            <w:r w:rsidRPr="00A97643">
              <w:t>Not significant</w:t>
            </w:r>
          </w:p>
        </w:tc>
      </w:tr>
    </w:tbl>
    <w:p w:rsidR="00A720B1" w:rsidRPr="00A97643" w:rsidRDefault="00A720B1" w:rsidP="00A720B1">
      <w:pPr>
        <w:autoSpaceDE w:val="0"/>
        <w:autoSpaceDN w:val="0"/>
        <w:adjustRightInd w:val="0"/>
      </w:pPr>
    </w:p>
    <w:p w:rsidR="00A720B1" w:rsidRPr="00A97643" w:rsidRDefault="00A720B1" w:rsidP="00A720B1"/>
    <w:p w:rsidR="001D79FC" w:rsidRDefault="001D79FC">
      <w:r>
        <w:br w:type="page"/>
      </w:r>
    </w:p>
    <w:p w:rsidR="00FF7D9A" w:rsidRPr="00A97643" w:rsidRDefault="00FF7D9A" w:rsidP="00FF7D9A">
      <w:pPr>
        <w:pStyle w:val="Nagwek2"/>
        <w:spacing w:after="180" w:line="276" w:lineRule="auto"/>
      </w:pPr>
      <w:bookmarkStart w:id="103" w:name="_Toc401325835"/>
      <w:r w:rsidRPr="00A97643">
        <w:t xml:space="preserve">ANNEX </w:t>
      </w:r>
      <w:r w:rsidR="009854EC">
        <w:t>4</w:t>
      </w:r>
      <w:r w:rsidRPr="00A97643">
        <w:t xml:space="preserve"> </w:t>
      </w:r>
      <w:r>
        <w:t>Member and Partner State Contributions</w:t>
      </w:r>
      <w:bookmarkEnd w:id="103"/>
    </w:p>
    <w:tbl>
      <w:tblPr>
        <w:tblW w:w="9000" w:type="dxa"/>
        <w:tblInd w:w="55" w:type="dxa"/>
        <w:tblCellMar>
          <w:left w:w="70" w:type="dxa"/>
          <w:right w:w="70" w:type="dxa"/>
        </w:tblCellMar>
        <w:tblLook w:val="04A0" w:firstRow="1" w:lastRow="0" w:firstColumn="1" w:lastColumn="0" w:noHBand="0" w:noVBand="1"/>
      </w:tblPr>
      <w:tblGrid>
        <w:gridCol w:w="2180"/>
        <w:gridCol w:w="1804"/>
        <w:gridCol w:w="156"/>
        <w:gridCol w:w="1404"/>
        <w:gridCol w:w="276"/>
        <w:gridCol w:w="1425"/>
        <w:gridCol w:w="155"/>
        <w:gridCol w:w="1600"/>
      </w:tblGrid>
      <w:tr w:rsidR="00D30F38" w:rsidRPr="00FF7D9A" w:rsidTr="00D30F38">
        <w:trPr>
          <w:trHeight w:val="300"/>
        </w:trPr>
        <w:tc>
          <w:tcPr>
            <w:tcW w:w="2180" w:type="dxa"/>
            <w:tcBorders>
              <w:top w:val="nil"/>
              <w:left w:val="nil"/>
              <w:bottom w:val="nil"/>
              <w:right w:val="nil"/>
            </w:tcBorders>
            <w:shd w:val="clear" w:color="auto" w:fill="auto"/>
            <w:noWrap/>
            <w:vAlign w:val="bottom"/>
            <w:hideMark/>
          </w:tcPr>
          <w:p w:rsidR="00D30F38" w:rsidRPr="00FF7D9A" w:rsidRDefault="00D30F38" w:rsidP="00D30F38">
            <w:pPr>
              <w:rPr>
                <w:rFonts w:ascii="Verdana" w:hAnsi="Verdana"/>
                <w:color w:val="000000"/>
                <w:sz w:val="16"/>
                <w:szCs w:val="16"/>
              </w:rPr>
            </w:pPr>
          </w:p>
        </w:tc>
        <w:tc>
          <w:tcPr>
            <w:tcW w:w="1960" w:type="dxa"/>
            <w:gridSpan w:val="2"/>
            <w:tcBorders>
              <w:top w:val="nil"/>
              <w:left w:val="nil"/>
              <w:bottom w:val="nil"/>
              <w:right w:val="nil"/>
            </w:tcBorders>
            <w:shd w:val="clear" w:color="auto" w:fill="auto"/>
            <w:noWrap/>
            <w:vAlign w:val="bottom"/>
            <w:hideMark/>
          </w:tcPr>
          <w:p w:rsidR="00D30F38" w:rsidRPr="00FF7D9A" w:rsidRDefault="00D30F38" w:rsidP="00D30F38">
            <w:pPr>
              <w:rPr>
                <w:rFonts w:ascii="Verdana" w:hAnsi="Verdana"/>
                <w:color w:val="000000"/>
                <w:sz w:val="16"/>
                <w:szCs w:val="16"/>
              </w:rPr>
            </w:pPr>
          </w:p>
        </w:tc>
        <w:tc>
          <w:tcPr>
            <w:tcW w:w="1680" w:type="dxa"/>
            <w:gridSpan w:val="2"/>
            <w:tcBorders>
              <w:top w:val="nil"/>
              <w:left w:val="nil"/>
              <w:bottom w:val="nil"/>
              <w:right w:val="nil"/>
            </w:tcBorders>
            <w:shd w:val="clear" w:color="auto" w:fill="auto"/>
            <w:noWrap/>
            <w:vAlign w:val="bottom"/>
            <w:hideMark/>
          </w:tcPr>
          <w:p w:rsidR="00D30F38" w:rsidRPr="00FF7D9A" w:rsidRDefault="00D30F38" w:rsidP="00D30F38">
            <w:pPr>
              <w:rPr>
                <w:rFonts w:ascii="Verdana" w:hAnsi="Verdana"/>
                <w:color w:val="000000"/>
                <w:sz w:val="16"/>
                <w:szCs w:val="16"/>
              </w:rPr>
            </w:pPr>
          </w:p>
        </w:tc>
        <w:tc>
          <w:tcPr>
            <w:tcW w:w="1580" w:type="dxa"/>
            <w:gridSpan w:val="2"/>
            <w:tcBorders>
              <w:top w:val="nil"/>
              <w:left w:val="nil"/>
              <w:bottom w:val="nil"/>
              <w:right w:val="nil"/>
            </w:tcBorders>
            <w:shd w:val="clear" w:color="auto" w:fill="auto"/>
            <w:noWrap/>
            <w:vAlign w:val="bottom"/>
            <w:hideMark/>
          </w:tcPr>
          <w:p w:rsidR="00D30F38" w:rsidRPr="00FF7D9A" w:rsidRDefault="00D30F38" w:rsidP="00D30F38">
            <w:pPr>
              <w:rPr>
                <w:rFonts w:ascii="Verdana" w:hAnsi="Verdana"/>
                <w:color w:val="000000"/>
                <w:sz w:val="16"/>
                <w:szCs w:val="16"/>
              </w:rPr>
            </w:pPr>
          </w:p>
        </w:tc>
        <w:tc>
          <w:tcPr>
            <w:tcW w:w="1600" w:type="dxa"/>
            <w:tcBorders>
              <w:top w:val="nil"/>
              <w:left w:val="nil"/>
              <w:bottom w:val="nil"/>
              <w:right w:val="nil"/>
            </w:tcBorders>
            <w:shd w:val="clear" w:color="auto" w:fill="auto"/>
            <w:noWrap/>
            <w:vAlign w:val="bottom"/>
            <w:hideMark/>
          </w:tcPr>
          <w:p w:rsidR="00D30F38" w:rsidRPr="00FF7D9A" w:rsidRDefault="00D30F38" w:rsidP="00D30F38">
            <w:pPr>
              <w:rPr>
                <w:rFonts w:ascii="Verdana" w:hAnsi="Verdana"/>
                <w:color w:val="000000"/>
                <w:sz w:val="16"/>
                <w:szCs w:val="16"/>
              </w:rPr>
            </w:pPr>
          </w:p>
        </w:tc>
      </w:tr>
      <w:tr w:rsidR="00D30F38" w:rsidRPr="00FF7D9A" w:rsidTr="00D30F38">
        <w:trPr>
          <w:trHeight w:val="300"/>
        </w:trPr>
        <w:tc>
          <w:tcPr>
            <w:tcW w:w="900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Ex Ante National Contributions</w:t>
            </w:r>
          </w:p>
        </w:tc>
      </w:tr>
      <w:tr w:rsidR="00D30F38" w:rsidRPr="00FF7D9A" w:rsidTr="00D30F38">
        <w:trPr>
          <w:trHeight w:val="315"/>
        </w:trPr>
        <w:tc>
          <w:tcPr>
            <w:tcW w:w="9000" w:type="dxa"/>
            <w:gridSpan w:val="8"/>
            <w:tcBorders>
              <w:top w:val="single" w:sz="4" w:space="0" w:color="auto"/>
              <w:left w:val="single" w:sz="4" w:space="0" w:color="auto"/>
              <w:bottom w:val="nil"/>
              <w:right w:val="single" w:sz="4" w:space="0" w:color="000000"/>
            </w:tcBorders>
            <w:shd w:val="clear" w:color="auto" w:fill="auto"/>
            <w:vAlign w:val="center"/>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URBACT III Figures</w:t>
            </w:r>
          </w:p>
        </w:tc>
      </w:tr>
      <w:tr w:rsidR="00D30F38" w:rsidRPr="00FF7D9A" w:rsidTr="00FF7D9A">
        <w:trPr>
          <w:trHeight w:val="1087"/>
        </w:trPr>
        <w:tc>
          <w:tcPr>
            <w:tcW w:w="218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Member States (EU 28)</w:t>
            </w:r>
          </w:p>
        </w:tc>
        <w:tc>
          <w:tcPr>
            <w:tcW w:w="1804" w:type="dxa"/>
            <w:tcBorders>
              <w:top w:val="single" w:sz="8" w:space="0" w:color="auto"/>
              <w:left w:val="nil"/>
              <w:bottom w:val="single" w:sz="8" w:space="0" w:color="auto"/>
              <w:right w:val="single" w:sz="8" w:space="0" w:color="auto"/>
            </w:tcBorders>
            <w:shd w:val="clear" w:color="000000" w:fill="FFFFFF"/>
            <w:vAlign w:val="center"/>
            <w:hideMark/>
          </w:tcPr>
          <w:p w:rsidR="00D30F38" w:rsidRPr="00FF7D9A" w:rsidRDefault="00185F6E" w:rsidP="00D30F38">
            <w:pPr>
              <w:jc w:val="center"/>
              <w:rPr>
                <w:rFonts w:ascii="Verdana" w:hAnsi="Verdana"/>
                <w:b/>
                <w:bCs/>
                <w:color w:val="000000"/>
                <w:sz w:val="16"/>
                <w:szCs w:val="16"/>
              </w:rPr>
            </w:pPr>
            <w:r w:rsidRPr="00FF7D9A">
              <w:rPr>
                <w:rFonts w:ascii="Verdana" w:hAnsi="Verdana"/>
                <w:b/>
                <w:bCs/>
                <w:color w:val="000000"/>
                <w:sz w:val="16"/>
                <w:szCs w:val="16"/>
              </w:rPr>
              <w:t>Population in 2012* (in thousands of inhabitants)</w:t>
            </w:r>
          </w:p>
        </w:tc>
        <w:tc>
          <w:tcPr>
            <w:tcW w:w="1560" w:type="dxa"/>
            <w:gridSpan w:val="2"/>
            <w:tcBorders>
              <w:top w:val="single" w:sz="8" w:space="0" w:color="auto"/>
              <w:left w:val="nil"/>
              <w:bottom w:val="single" w:sz="8" w:space="0" w:color="auto"/>
              <w:right w:val="single" w:sz="8" w:space="0" w:color="auto"/>
            </w:tcBorders>
            <w:shd w:val="clear" w:color="000000" w:fill="FFFFFF"/>
            <w:vAlign w:val="center"/>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 population</w:t>
            </w:r>
          </w:p>
        </w:tc>
        <w:tc>
          <w:tcPr>
            <w:tcW w:w="1701" w:type="dxa"/>
            <w:gridSpan w:val="2"/>
            <w:tcBorders>
              <w:top w:val="single" w:sz="8" w:space="0" w:color="auto"/>
              <w:left w:val="nil"/>
              <w:bottom w:val="single" w:sz="8" w:space="0" w:color="auto"/>
              <w:right w:val="single" w:sz="8" w:space="0" w:color="auto"/>
            </w:tcBorders>
            <w:shd w:val="clear" w:color="000000" w:fill="FFFFFF"/>
            <w:vAlign w:val="center"/>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Ex-ante contribution UIII (in €)</w:t>
            </w:r>
          </w:p>
        </w:tc>
        <w:tc>
          <w:tcPr>
            <w:tcW w:w="1755" w:type="dxa"/>
            <w:gridSpan w:val="2"/>
            <w:tcBorders>
              <w:top w:val="single" w:sz="8" w:space="0" w:color="auto"/>
              <w:left w:val="nil"/>
              <w:bottom w:val="single" w:sz="8" w:space="0" w:color="auto"/>
              <w:right w:val="single" w:sz="8" w:space="0" w:color="auto"/>
            </w:tcBorders>
            <w:shd w:val="clear" w:color="000000" w:fill="FFFFFF"/>
            <w:vAlign w:val="center"/>
            <w:hideMark/>
          </w:tcPr>
          <w:p w:rsidR="00D30F38" w:rsidRPr="00FF7D9A" w:rsidRDefault="00185F6E" w:rsidP="00D30F38">
            <w:pPr>
              <w:jc w:val="center"/>
              <w:rPr>
                <w:rFonts w:ascii="Verdana" w:hAnsi="Verdana"/>
                <w:b/>
                <w:bCs/>
                <w:color w:val="000000"/>
                <w:sz w:val="16"/>
                <w:szCs w:val="16"/>
              </w:rPr>
            </w:pPr>
            <w:r w:rsidRPr="00FF7D9A">
              <w:rPr>
                <w:rFonts w:ascii="Verdana" w:hAnsi="Verdana"/>
                <w:b/>
                <w:bCs/>
                <w:color w:val="000000"/>
                <w:sz w:val="16"/>
                <w:szCs w:val="16"/>
              </w:rPr>
              <w:t>Average annual contribution  (in €) - to be finalized on the MoU</w:t>
            </w:r>
          </w:p>
        </w:tc>
      </w:tr>
      <w:tr w:rsidR="00D30F38" w:rsidRPr="00FF7D9A" w:rsidTr="00FF7D9A">
        <w:trPr>
          <w:trHeight w:val="315"/>
        </w:trPr>
        <w:tc>
          <w:tcPr>
            <w:tcW w:w="2180" w:type="dxa"/>
            <w:tcBorders>
              <w:top w:val="nil"/>
              <w:left w:val="single" w:sz="8" w:space="0" w:color="auto"/>
              <w:bottom w:val="single" w:sz="8" w:space="0" w:color="auto"/>
              <w:right w:val="single" w:sz="8" w:space="0" w:color="auto"/>
            </w:tcBorders>
            <w:shd w:val="clear" w:color="000000" w:fill="FFFFFF"/>
            <w:noWrap/>
            <w:vAlign w:val="bottom"/>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Austria</w:t>
            </w:r>
          </w:p>
        </w:tc>
        <w:tc>
          <w:tcPr>
            <w:tcW w:w="1804" w:type="dxa"/>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8 443</w:t>
            </w:r>
          </w:p>
        </w:tc>
        <w:tc>
          <w:tcPr>
            <w:tcW w:w="1560"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1"/>
              <w:jc w:val="right"/>
              <w:rPr>
                <w:rFonts w:ascii="Verdana" w:hAnsi="Verdana"/>
                <w:b/>
                <w:bCs/>
                <w:color w:val="000000"/>
                <w:sz w:val="16"/>
                <w:szCs w:val="16"/>
                <w:lang w:val="fr-FR"/>
              </w:rPr>
            </w:pPr>
            <w:r w:rsidRPr="00FF7D9A">
              <w:rPr>
                <w:rFonts w:ascii="Verdana" w:hAnsi="Verdana"/>
                <w:b/>
                <w:bCs/>
                <w:color w:val="000000"/>
                <w:sz w:val="16"/>
                <w:szCs w:val="16"/>
                <w:lang w:val="fr-FR"/>
              </w:rPr>
              <w:t>1,91%</w:t>
            </w:r>
          </w:p>
        </w:tc>
        <w:tc>
          <w:tcPr>
            <w:tcW w:w="1701"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64 300 €</w:t>
            </w:r>
          </w:p>
        </w:tc>
        <w:tc>
          <w:tcPr>
            <w:tcW w:w="1755"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9 185,75</w:t>
            </w:r>
          </w:p>
        </w:tc>
      </w:tr>
      <w:tr w:rsidR="00D30F38" w:rsidRPr="00FF7D9A" w:rsidTr="00FF7D9A">
        <w:trPr>
          <w:trHeight w:val="315"/>
        </w:trPr>
        <w:tc>
          <w:tcPr>
            <w:tcW w:w="2180" w:type="dxa"/>
            <w:tcBorders>
              <w:top w:val="nil"/>
              <w:left w:val="single" w:sz="8" w:space="0" w:color="auto"/>
              <w:bottom w:val="single" w:sz="8" w:space="0" w:color="auto"/>
              <w:right w:val="single" w:sz="8" w:space="0" w:color="auto"/>
            </w:tcBorders>
            <w:shd w:val="clear" w:color="000000" w:fill="FFFFFF"/>
            <w:noWrap/>
            <w:vAlign w:val="bottom"/>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Belgium</w:t>
            </w:r>
          </w:p>
        </w:tc>
        <w:tc>
          <w:tcPr>
            <w:tcW w:w="1804" w:type="dxa"/>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11 095</w:t>
            </w:r>
          </w:p>
        </w:tc>
        <w:tc>
          <w:tcPr>
            <w:tcW w:w="1560"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1"/>
              <w:jc w:val="right"/>
              <w:rPr>
                <w:rFonts w:ascii="Verdana" w:hAnsi="Verdana"/>
                <w:b/>
                <w:bCs/>
                <w:color w:val="000000"/>
                <w:sz w:val="16"/>
                <w:szCs w:val="16"/>
                <w:lang w:val="fr-FR"/>
              </w:rPr>
            </w:pPr>
            <w:r w:rsidRPr="00FF7D9A">
              <w:rPr>
                <w:rFonts w:ascii="Verdana" w:hAnsi="Verdana"/>
                <w:b/>
                <w:bCs/>
                <w:color w:val="000000"/>
                <w:sz w:val="16"/>
                <w:szCs w:val="16"/>
                <w:lang w:val="fr-FR"/>
              </w:rPr>
              <w:t>2,51%</w:t>
            </w:r>
          </w:p>
        </w:tc>
        <w:tc>
          <w:tcPr>
            <w:tcW w:w="1701"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84 497 €</w:t>
            </w:r>
          </w:p>
        </w:tc>
        <w:tc>
          <w:tcPr>
            <w:tcW w:w="1755"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12 071,05</w:t>
            </w:r>
          </w:p>
        </w:tc>
      </w:tr>
      <w:tr w:rsidR="00D30F38" w:rsidRPr="00FF7D9A" w:rsidTr="00FF7D9A">
        <w:trPr>
          <w:trHeight w:val="315"/>
        </w:trPr>
        <w:tc>
          <w:tcPr>
            <w:tcW w:w="2180" w:type="dxa"/>
            <w:tcBorders>
              <w:top w:val="nil"/>
              <w:left w:val="single" w:sz="8" w:space="0" w:color="auto"/>
              <w:bottom w:val="single" w:sz="8" w:space="0" w:color="auto"/>
              <w:right w:val="single" w:sz="8" w:space="0" w:color="auto"/>
            </w:tcBorders>
            <w:shd w:val="clear" w:color="000000" w:fill="FFFFFF"/>
            <w:noWrap/>
            <w:vAlign w:val="bottom"/>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Bulgaria</w:t>
            </w:r>
          </w:p>
        </w:tc>
        <w:tc>
          <w:tcPr>
            <w:tcW w:w="1804" w:type="dxa"/>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7 327</w:t>
            </w:r>
          </w:p>
        </w:tc>
        <w:tc>
          <w:tcPr>
            <w:tcW w:w="1560"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1"/>
              <w:jc w:val="right"/>
              <w:rPr>
                <w:rFonts w:ascii="Verdana" w:hAnsi="Verdana"/>
                <w:b/>
                <w:bCs/>
                <w:color w:val="000000"/>
                <w:sz w:val="16"/>
                <w:szCs w:val="16"/>
                <w:lang w:val="fr-FR"/>
              </w:rPr>
            </w:pPr>
            <w:r w:rsidRPr="00FF7D9A">
              <w:rPr>
                <w:rFonts w:ascii="Verdana" w:hAnsi="Verdana"/>
                <w:b/>
                <w:bCs/>
                <w:color w:val="000000"/>
                <w:sz w:val="16"/>
                <w:szCs w:val="16"/>
                <w:lang w:val="fr-FR"/>
              </w:rPr>
              <w:t>1,66%</w:t>
            </w:r>
          </w:p>
        </w:tc>
        <w:tc>
          <w:tcPr>
            <w:tcW w:w="1701"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55 801 €</w:t>
            </w:r>
          </w:p>
        </w:tc>
        <w:tc>
          <w:tcPr>
            <w:tcW w:w="1755"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7 971,57</w:t>
            </w:r>
          </w:p>
        </w:tc>
      </w:tr>
      <w:tr w:rsidR="00D30F38" w:rsidRPr="00FF7D9A" w:rsidTr="00FF7D9A">
        <w:trPr>
          <w:trHeight w:val="315"/>
        </w:trPr>
        <w:tc>
          <w:tcPr>
            <w:tcW w:w="2180" w:type="dxa"/>
            <w:tcBorders>
              <w:top w:val="nil"/>
              <w:left w:val="single" w:sz="8" w:space="0" w:color="auto"/>
              <w:bottom w:val="single" w:sz="8" w:space="0" w:color="auto"/>
              <w:right w:val="single" w:sz="8" w:space="0" w:color="auto"/>
            </w:tcBorders>
            <w:shd w:val="clear" w:color="000000" w:fill="FFFFFF"/>
            <w:noWrap/>
            <w:vAlign w:val="bottom"/>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Croatia</w:t>
            </w:r>
          </w:p>
        </w:tc>
        <w:tc>
          <w:tcPr>
            <w:tcW w:w="1804" w:type="dxa"/>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4 398</w:t>
            </w:r>
          </w:p>
        </w:tc>
        <w:tc>
          <w:tcPr>
            <w:tcW w:w="1560"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1"/>
              <w:jc w:val="right"/>
              <w:rPr>
                <w:rFonts w:ascii="Verdana" w:hAnsi="Verdana"/>
                <w:b/>
                <w:bCs/>
                <w:color w:val="000000"/>
                <w:sz w:val="16"/>
                <w:szCs w:val="16"/>
                <w:lang w:val="fr-FR"/>
              </w:rPr>
            </w:pPr>
            <w:r w:rsidRPr="00FF7D9A">
              <w:rPr>
                <w:rFonts w:ascii="Verdana" w:hAnsi="Verdana"/>
                <w:b/>
                <w:bCs/>
                <w:color w:val="000000"/>
                <w:sz w:val="16"/>
                <w:szCs w:val="16"/>
                <w:lang w:val="fr-FR"/>
              </w:rPr>
              <w:t>1,00%</w:t>
            </w:r>
          </w:p>
        </w:tc>
        <w:tc>
          <w:tcPr>
            <w:tcW w:w="1701"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33 494 €</w:t>
            </w:r>
          </w:p>
        </w:tc>
        <w:tc>
          <w:tcPr>
            <w:tcW w:w="1755"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4 784,90</w:t>
            </w:r>
          </w:p>
        </w:tc>
      </w:tr>
      <w:tr w:rsidR="00D30F38" w:rsidRPr="00FF7D9A" w:rsidTr="00FF7D9A">
        <w:trPr>
          <w:trHeight w:val="315"/>
        </w:trPr>
        <w:tc>
          <w:tcPr>
            <w:tcW w:w="2180" w:type="dxa"/>
            <w:tcBorders>
              <w:top w:val="nil"/>
              <w:left w:val="single" w:sz="8" w:space="0" w:color="auto"/>
              <w:bottom w:val="single" w:sz="8" w:space="0" w:color="auto"/>
              <w:right w:val="single" w:sz="8" w:space="0" w:color="auto"/>
            </w:tcBorders>
            <w:shd w:val="clear" w:color="000000" w:fill="FFFFFF"/>
            <w:noWrap/>
            <w:vAlign w:val="bottom"/>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Cyprus</w:t>
            </w:r>
          </w:p>
        </w:tc>
        <w:tc>
          <w:tcPr>
            <w:tcW w:w="1804" w:type="dxa"/>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862</w:t>
            </w:r>
          </w:p>
        </w:tc>
        <w:tc>
          <w:tcPr>
            <w:tcW w:w="1560"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1"/>
              <w:jc w:val="right"/>
              <w:rPr>
                <w:rFonts w:ascii="Verdana" w:hAnsi="Verdana"/>
                <w:b/>
                <w:bCs/>
                <w:color w:val="000000"/>
                <w:sz w:val="16"/>
                <w:szCs w:val="16"/>
                <w:lang w:val="fr-FR"/>
              </w:rPr>
            </w:pPr>
            <w:r w:rsidRPr="00FF7D9A">
              <w:rPr>
                <w:rFonts w:ascii="Verdana" w:hAnsi="Verdana"/>
                <w:b/>
                <w:bCs/>
                <w:color w:val="000000"/>
                <w:sz w:val="16"/>
                <w:szCs w:val="16"/>
                <w:lang w:val="fr-FR"/>
              </w:rPr>
              <w:t>0,20%</w:t>
            </w:r>
          </w:p>
        </w:tc>
        <w:tc>
          <w:tcPr>
            <w:tcW w:w="1701"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6 565 €</w:t>
            </w:r>
          </w:p>
        </w:tc>
        <w:tc>
          <w:tcPr>
            <w:tcW w:w="1755"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937,83</w:t>
            </w:r>
          </w:p>
        </w:tc>
      </w:tr>
      <w:tr w:rsidR="00D30F38" w:rsidRPr="00FF7D9A" w:rsidTr="00FF7D9A">
        <w:trPr>
          <w:trHeight w:val="315"/>
        </w:trPr>
        <w:tc>
          <w:tcPr>
            <w:tcW w:w="2180" w:type="dxa"/>
            <w:tcBorders>
              <w:top w:val="nil"/>
              <w:left w:val="single" w:sz="8" w:space="0" w:color="auto"/>
              <w:bottom w:val="single" w:sz="8" w:space="0" w:color="auto"/>
              <w:right w:val="single" w:sz="8" w:space="0" w:color="auto"/>
            </w:tcBorders>
            <w:shd w:val="clear" w:color="000000" w:fill="FFFFFF"/>
            <w:noWrap/>
            <w:vAlign w:val="bottom"/>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Czech Republic</w:t>
            </w:r>
          </w:p>
        </w:tc>
        <w:tc>
          <w:tcPr>
            <w:tcW w:w="1804" w:type="dxa"/>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10 505</w:t>
            </w:r>
          </w:p>
        </w:tc>
        <w:tc>
          <w:tcPr>
            <w:tcW w:w="1560"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1"/>
              <w:jc w:val="right"/>
              <w:rPr>
                <w:rFonts w:ascii="Verdana" w:hAnsi="Verdana"/>
                <w:b/>
                <w:bCs/>
                <w:color w:val="000000"/>
                <w:sz w:val="16"/>
                <w:szCs w:val="16"/>
                <w:lang w:val="fr-FR"/>
              </w:rPr>
            </w:pPr>
            <w:r w:rsidRPr="00FF7D9A">
              <w:rPr>
                <w:rFonts w:ascii="Verdana" w:hAnsi="Verdana"/>
                <w:b/>
                <w:bCs/>
                <w:color w:val="000000"/>
                <w:sz w:val="16"/>
                <w:szCs w:val="16"/>
                <w:lang w:val="fr-FR"/>
              </w:rPr>
              <w:t>2,38%</w:t>
            </w:r>
          </w:p>
        </w:tc>
        <w:tc>
          <w:tcPr>
            <w:tcW w:w="1701"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80 004 €</w:t>
            </w:r>
          </w:p>
        </w:tc>
        <w:tc>
          <w:tcPr>
            <w:tcW w:w="1755"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11 429,14</w:t>
            </w:r>
          </w:p>
        </w:tc>
      </w:tr>
      <w:tr w:rsidR="00D30F38" w:rsidRPr="00FF7D9A" w:rsidTr="00FF7D9A">
        <w:trPr>
          <w:trHeight w:val="315"/>
        </w:trPr>
        <w:tc>
          <w:tcPr>
            <w:tcW w:w="2180" w:type="dxa"/>
            <w:tcBorders>
              <w:top w:val="nil"/>
              <w:left w:val="single" w:sz="8" w:space="0" w:color="auto"/>
              <w:bottom w:val="single" w:sz="8" w:space="0" w:color="auto"/>
              <w:right w:val="single" w:sz="8" w:space="0" w:color="auto"/>
            </w:tcBorders>
            <w:shd w:val="clear" w:color="000000" w:fill="FFFFFF"/>
            <w:noWrap/>
            <w:vAlign w:val="bottom"/>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Denmark</w:t>
            </w:r>
          </w:p>
        </w:tc>
        <w:tc>
          <w:tcPr>
            <w:tcW w:w="1804" w:type="dxa"/>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5 574</w:t>
            </w:r>
          </w:p>
        </w:tc>
        <w:tc>
          <w:tcPr>
            <w:tcW w:w="1560"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1"/>
              <w:jc w:val="right"/>
              <w:rPr>
                <w:rFonts w:ascii="Verdana" w:hAnsi="Verdana"/>
                <w:b/>
                <w:bCs/>
                <w:color w:val="000000"/>
                <w:sz w:val="16"/>
                <w:szCs w:val="16"/>
                <w:lang w:val="fr-FR"/>
              </w:rPr>
            </w:pPr>
            <w:r w:rsidRPr="00FF7D9A">
              <w:rPr>
                <w:rFonts w:ascii="Verdana" w:hAnsi="Verdana"/>
                <w:b/>
                <w:bCs/>
                <w:color w:val="000000"/>
                <w:sz w:val="16"/>
                <w:szCs w:val="16"/>
                <w:lang w:val="fr-FR"/>
              </w:rPr>
              <w:t>1,26%</w:t>
            </w:r>
          </w:p>
        </w:tc>
        <w:tc>
          <w:tcPr>
            <w:tcW w:w="1701"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42 450 €</w:t>
            </w:r>
          </w:p>
        </w:tc>
        <w:tc>
          <w:tcPr>
            <w:tcW w:w="1755"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6 064,36</w:t>
            </w:r>
          </w:p>
        </w:tc>
      </w:tr>
      <w:tr w:rsidR="00D30F38" w:rsidRPr="00FF7D9A" w:rsidTr="00FF7D9A">
        <w:trPr>
          <w:trHeight w:val="315"/>
        </w:trPr>
        <w:tc>
          <w:tcPr>
            <w:tcW w:w="2180" w:type="dxa"/>
            <w:tcBorders>
              <w:top w:val="nil"/>
              <w:left w:val="single" w:sz="8" w:space="0" w:color="auto"/>
              <w:bottom w:val="single" w:sz="8" w:space="0" w:color="auto"/>
              <w:right w:val="single" w:sz="8" w:space="0" w:color="auto"/>
            </w:tcBorders>
            <w:shd w:val="clear" w:color="000000" w:fill="FFFFFF"/>
            <w:noWrap/>
            <w:vAlign w:val="bottom"/>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Estonia</w:t>
            </w:r>
          </w:p>
        </w:tc>
        <w:tc>
          <w:tcPr>
            <w:tcW w:w="1804" w:type="dxa"/>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1 294</w:t>
            </w:r>
          </w:p>
        </w:tc>
        <w:tc>
          <w:tcPr>
            <w:tcW w:w="1560"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1"/>
              <w:jc w:val="right"/>
              <w:rPr>
                <w:rFonts w:ascii="Verdana" w:hAnsi="Verdana"/>
                <w:b/>
                <w:bCs/>
                <w:color w:val="000000"/>
                <w:sz w:val="16"/>
                <w:szCs w:val="16"/>
                <w:lang w:val="fr-FR"/>
              </w:rPr>
            </w:pPr>
            <w:r w:rsidRPr="00FF7D9A">
              <w:rPr>
                <w:rFonts w:ascii="Verdana" w:hAnsi="Verdana"/>
                <w:b/>
                <w:bCs/>
                <w:color w:val="000000"/>
                <w:sz w:val="16"/>
                <w:szCs w:val="16"/>
                <w:lang w:val="fr-FR"/>
              </w:rPr>
              <w:t>0,29%</w:t>
            </w:r>
          </w:p>
        </w:tc>
        <w:tc>
          <w:tcPr>
            <w:tcW w:w="1701"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9 855 €</w:t>
            </w:r>
          </w:p>
        </w:tc>
        <w:tc>
          <w:tcPr>
            <w:tcW w:w="1755"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1 407,84</w:t>
            </w:r>
          </w:p>
        </w:tc>
      </w:tr>
      <w:tr w:rsidR="00D30F38" w:rsidRPr="00FF7D9A" w:rsidTr="00FF7D9A">
        <w:trPr>
          <w:trHeight w:val="315"/>
        </w:trPr>
        <w:tc>
          <w:tcPr>
            <w:tcW w:w="2180" w:type="dxa"/>
            <w:tcBorders>
              <w:top w:val="nil"/>
              <w:left w:val="single" w:sz="8" w:space="0" w:color="auto"/>
              <w:bottom w:val="single" w:sz="8" w:space="0" w:color="auto"/>
              <w:right w:val="single" w:sz="8" w:space="0" w:color="auto"/>
            </w:tcBorders>
            <w:shd w:val="clear" w:color="000000" w:fill="FFFFFF"/>
            <w:noWrap/>
            <w:vAlign w:val="bottom"/>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Finland</w:t>
            </w:r>
          </w:p>
        </w:tc>
        <w:tc>
          <w:tcPr>
            <w:tcW w:w="1804" w:type="dxa"/>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5 401</w:t>
            </w:r>
          </w:p>
        </w:tc>
        <w:tc>
          <w:tcPr>
            <w:tcW w:w="1560"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1"/>
              <w:jc w:val="right"/>
              <w:rPr>
                <w:rFonts w:ascii="Verdana" w:hAnsi="Verdana"/>
                <w:b/>
                <w:bCs/>
                <w:color w:val="000000"/>
                <w:sz w:val="16"/>
                <w:szCs w:val="16"/>
                <w:lang w:val="fr-FR"/>
              </w:rPr>
            </w:pPr>
            <w:r w:rsidRPr="00FF7D9A">
              <w:rPr>
                <w:rFonts w:ascii="Verdana" w:hAnsi="Verdana"/>
                <w:b/>
                <w:bCs/>
                <w:color w:val="000000"/>
                <w:sz w:val="16"/>
                <w:szCs w:val="16"/>
                <w:lang w:val="fr-FR"/>
              </w:rPr>
              <w:t>1,22%</w:t>
            </w:r>
          </w:p>
        </w:tc>
        <w:tc>
          <w:tcPr>
            <w:tcW w:w="1701"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41 133 €</w:t>
            </w:r>
          </w:p>
        </w:tc>
        <w:tc>
          <w:tcPr>
            <w:tcW w:w="1755"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5 876,14</w:t>
            </w:r>
          </w:p>
        </w:tc>
      </w:tr>
      <w:tr w:rsidR="00D30F38" w:rsidRPr="00FF7D9A" w:rsidTr="00FF7D9A">
        <w:trPr>
          <w:trHeight w:val="315"/>
        </w:trPr>
        <w:tc>
          <w:tcPr>
            <w:tcW w:w="2180" w:type="dxa"/>
            <w:tcBorders>
              <w:top w:val="nil"/>
              <w:left w:val="single" w:sz="8" w:space="0" w:color="auto"/>
              <w:bottom w:val="single" w:sz="8" w:space="0" w:color="auto"/>
              <w:right w:val="single" w:sz="8" w:space="0" w:color="auto"/>
            </w:tcBorders>
            <w:shd w:val="clear" w:color="000000" w:fill="FFFFFF"/>
            <w:noWrap/>
            <w:vAlign w:val="bottom"/>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Germany</w:t>
            </w:r>
          </w:p>
        </w:tc>
        <w:tc>
          <w:tcPr>
            <w:tcW w:w="1804" w:type="dxa"/>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81 843</w:t>
            </w:r>
          </w:p>
        </w:tc>
        <w:tc>
          <w:tcPr>
            <w:tcW w:w="1560"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1"/>
              <w:jc w:val="right"/>
              <w:rPr>
                <w:rFonts w:ascii="Verdana" w:hAnsi="Verdana"/>
                <w:b/>
                <w:bCs/>
                <w:color w:val="000000"/>
                <w:sz w:val="16"/>
                <w:szCs w:val="16"/>
                <w:lang w:val="fr-FR"/>
              </w:rPr>
            </w:pPr>
            <w:r w:rsidRPr="00FF7D9A">
              <w:rPr>
                <w:rFonts w:ascii="Verdana" w:hAnsi="Verdana"/>
                <w:b/>
                <w:bCs/>
                <w:color w:val="000000"/>
                <w:sz w:val="16"/>
                <w:szCs w:val="16"/>
                <w:lang w:val="fr-FR"/>
              </w:rPr>
              <w:t>18,53%</w:t>
            </w:r>
          </w:p>
        </w:tc>
        <w:tc>
          <w:tcPr>
            <w:tcW w:w="1701"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623 300 €</w:t>
            </w:r>
          </w:p>
        </w:tc>
        <w:tc>
          <w:tcPr>
            <w:tcW w:w="1755"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89 042,88</w:t>
            </w:r>
          </w:p>
        </w:tc>
      </w:tr>
      <w:tr w:rsidR="00D30F38" w:rsidRPr="00FF7D9A" w:rsidTr="00FF7D9A">
        <w:trPr>
          <w:trHeight w:val="315"/>
        </w:trPr>
        <w:tc>
          <w:tcPr>
            <w:tcW w:w="2180" w:type="dxa"/>
            <w:tcBorders>
              <w:top w:val="nil"/>
              <w:left w:val="single" w:sz="8" w:space="0" w:color="auto"/>
              <w:bottom w:val="single" w:sz="8" w:space="0" w:color="auto"/>
              <w:right w:val="single" w:sz="8" w:space="0" w:color="auto"/>
            </w:tcBorders>
            <w:shd w:val="clear" w:color="000000" w:fill="FFFFFF"/>
            <w:noWrap/>
            <w:vAlign w:val="bottom"/>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Greece</w:t>
            </w:r>
          </w:p>
        </w:tc>
        <w:tc>
          <w:tcPr>
            <w:tcW w:w="1804" w:type="dxa"/>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11 290</w:t>
            </w:r>
          </w:p>
        </w:tc>
        <w:tc>
          <w:tcPr>
            <w:tcW w:w="1560"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1"/>
              <w:jc w:val="right"/>
              <w:rPr>
                <w:rFonts w:ascii="Verdana" w:hAnsi="Verdana"/>
                <w:b/>
                <w:bCs/>
                <w:color w:val="000000"/>
                <w:sz w:val="16"/>
                <w:szCs w:val="16"/>
                <w:lang w:val="fr-FR"/>
              </w:rPr>
            </w:pPr>
            <w:r w:rsidRPr="00FF7D9A">
              <w:rPr>
                <w:rFonts w:ascii="Verdana" w:hAnsi="Verdana"/>
                <w:b/>
                <w:bCs/>
                <w:color w:val="000000"/>
                <w:sz w:val="16"/>
                <w:szCs w:val="16"/>
                <w:lang w:val="fr-FR"/>
              </w:rPr>
              <w:t>2,56%</w:t>
            </w:r>
          </w:p>
        </w:tc>
        <w:tc>
          <w:tcPr>
            <w:tcW w:w="1701"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85 982 €</w:t>
            </w:r>
          </w:p>
        </w:tc>
        <w:tc>
          <w:tcPr>
            <w:tcW w:w="1755"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12 283,20</w:t>
            </w:r>
          </w:p>
        </w:tc>
      </w:tr>
      <w:tr w:rsidR="00D30F38" w:rsidRPr="00FF7D9A" w:rsidTr="00FF7D9A">
        <w:trPr>
          <w:trHeight w:val="315"/>
        </w:trPr>
        <w:tc>
          <w:tcPr>
            <w:tcW w:w="2180" w:type="dxa"/>
            <w:tcBorders>
              <w:top w:val="nil"/>
              <w:left w:val="single" w:sz="8" w:space="0" w:color="auto"/>
              <w:bottom w:val="single" w:sz="8" w:space="0" w:color="auto"/>
              <w:right w:val="single" w:sz="8" w:space="0" w:color="auto"/>
            </w:tcBorders>
            <w:shd w:val="clear" w:color="000000" w:fill="FFFFFF"/>
            <w:noWrap/>
            <w:vAlign w:val="bottom"/>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Hungary</w:t>
            </w:r>
          </w:p>
        </w:tc>
        <w:tc>
          <w:tcPr>
            <w:tcW w:w="1804" w:type="dxa"/>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9 932</w:t>
            </w:r>
          </w:p>
        </w:tc>
        <w:tc>
          <w:tcPr>
            <w:tcW w:w="1560"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1"/>
              <w:jc w:val="right"/>
              <w:rPr>
                <w:rFonts w:ascii="Verdana" w:hAnsi="Verdana"/>
                <w:b/>
                <w:bCs/>
                <w:color w:val="000000"/>
                <w:sz w:val="16"/>
                <w:szCs w:val="16"/>
                <w:lang w:val="fr-FR"/>
              </w:rPr>
            </w:pPr>
            <w:r w:rsidRPr="00FF7D9A">
              <w:rPr>
                <w:rFonts w:ascii="Verdana" w:hAnsi="Verdana"/>
                <w:b/>
                <w:bCs/>
                <w:color w:val="000000"/>
                <w:sz w:val="16"/>
                <w:szCs w:val="16"/>
                <w:lang w:val="fr-FR"/>
              </w:rPr>
              <w:t>2,25%</w:t>
            </w:r>
          </w:p>
        </w:tc>
        <w:tc>
          <w:tcPr>
            <w:tcW w:w="1701"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75 640 €</w:t>
            </w:r>
          </w:p>
        </w:tc>
        <w:tc>
          <w:tcPr>
            <w:tcW w:w="1755"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10 805,74</w:t>
            </w:r>
          </w:p>
        </w:tc>
      </w:tr>
      <w:tr w:rsidR="00D30F38" w:rsidRPr="00FF7D9A" w:rsidTr="00FF7D9A">
        <w:trPr>
          <w:trHeight w:val="315"/>
        </w:trPr>
        <w:tc>
          <w:tcPr>
            <w:tcW w:w="2180" w:type="dxa"/>
            <w:tcBorders>
              <w:top w:val="nil"/>
              <w:left w:val="single" w:sz="8" w:space="0" w:color="auto"/>
              <w:bottom w:val="single" w:sz="8" w:space="0" w:color="auto"/>
              <w:right w:val="single" w:sz="8" w:space="0" w:color="auto"/>
            </w:tcBorders>
            <w:shd w:val="clear" w:color="000000" w:fill="FFFFFF"/>
            <w:noWrap/>
            <w:vAlign w:val="bottom"/>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Ireland</w:t>
            </w:r>
          </w:p>
        </w:tc>
        <w:tc>
          <w:tcPr>
            <w:tcW w:w="1804" w:type="dxa"/>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4 583</w:t>
            </w:r>
          </w:p>
        </w:tc>
        <w:tc>
          <w:tcPr>
            <w:tcW w:w="1560"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1"/>
              <w:jc w:val="right"/>
              <w:rPr>
                <w:rFonts w:ascii="Verdana" w:hAnsi="Verdana"/>
                <w:b/>
                <w:bCs/>
                <w:color w:val="000000"/>
                <w:sz w:val="16"/>
                <w:szCs w:val="16"/>
                <w:lang w:val="fr-FR"/>
              </w:rPr>
            </w:pPr>
            <w:r w:rsidRPr="00FF7D9A">
              <w:rPr>
                <w:rFonts w:ascii="Verdana" w:hAnsi="Verdana"/>
                <w:b/>
                <w:bCs/>
                <w:color w:val="000000"/>
                <w:sz w:val="16"/>
                <w:szCs w:val="16"/>
                <w:lang w:val="fr-FR"/>
              </w:rPr>
              <w:t>1,04%</w:t>
            </w:r>
          </w:p>
        </w:tc>
        <w:tc>
          <w:tcPr>
            <w:tcW w:w="1701"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34 903 €</w:t>
            </w:r>
          </w:p>
        </w:tc>
        <w:tc>
          <w:tcPr>
            <w:tcW w:w="1755"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4 986,17</w:t>
            </w:r>
          </w:p>
        </w:tc>
      </w:tr>
      <w:tr w:rsidR="00D30F38" w:rsidRPr="00FF7D9A" w:rsidTr="00FF7D9A">
        <w:trPr>
          <w:trHeight w:val="315"/>
        </w:trPr>
        <w:tc>
          <w:tcPr>
            <w:tcW w:w="2180" w:type="dxa"/>
            <w:tcBorders>
              <w:top w:val="nil"/>
              <w:left w:val="single" w:sz="8" w:space="0" w:color="auto"/>
              <w:bottom w:val="single" w:sz="8" w:space="0" w:color="auto"/>
              <w:right w:val="single" w:sz="8" w:space="0" w:color="auto"/>
            </w:tcBorders>
            <w:shd w:val="clear" w:color="000000" w:fill="FFFFFF"/>
            <w:noWrap/>
            <w:vAlign w:val="bottom"/>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Italy</w:t>
            </w:r>
          </w:p>
        </w:tc>
        <w:tc>
          <w:tcPr>
            <w:tcW w:w="1804" w:type="dxa"/>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59 394</w:t>
            </w:r>
          </w:p>
        </w:tc>
        <w:tc>
          <w:tcPr>
            <w:tcW w:w="1560"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1"/>
              <w:jc w:val="right"/>
              <w:rPr>
                <w:rFonts w:ascii="Verdana" w:hAnsi="Verdana"/>
                <w:b/>
                <w:bCs/>
                <w:color w:val="000000"/>
                <w:sz w:val="16"/>
                <w:szCs w:val="16"/>
                <w:lang w:val="fr-FR"/>
              </w:rPr>
            </w:pPr>
            <w:r w:rsidRPr="00FF7D9A">
              <w:rPr>
                <w:rFonts w:ascii="Verdana" w:hAnsi="Verdana"/>
                <w:b/>
                <w:bCs/>
                <w:color w:val="000000"/>
                <w:sz w:val="16"/>
                <w:szCs w:val="16"/>
                <w:lang w:val="fr-FR"/>
              </w:rPr>
              <w:t>13,45%</w:t>
            </w:r>
          </w:p>
        </w:tc>
        <w:tc>
          <w:tcPr>
            <w:tcW w:w="1701"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452 333 €</w:t>
            </w:r>
          </w:p>
        </w:tc>
        <w:tc>
          <w:tcPr>
            <w:tcW w:w="1755"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64 619,00</w:t>
            </w:r>
          </w:p>
        </w:tc>
      </w:tr>
      <w:tr w:rsidR="00D30F38" w:rsidRPr="00FF7D9A" w:rsidTr="00FF7D9A">
        <w:trPr>
          <w:trHeight w:val="315"/>
        </w:trPr>
        <w:tc>
          <w:tcPr>
            <w:tcW w:w="2180" w:type="dxa"/>
            <w:tcBorders>
              <w:top w:val="nil"/>
              <w:left w:val="single" w:sz="8" w:space="0" w:color="auto"/>
              <w:bottom w:val="single" w:sz="8" w:space="0" w:color="auto"/>
              <w:right w:val="single" w:sz="8" w:space="0" w:color="auto"/>
            </w:tcBorders>
            <w:shd w:val="clear" w:color="000000" w:fill="FFFFFF"/>
            <w:noWrap/>
            <w:vAlign w:val="bottom"/>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Latvia</w:t>
            </w:r>
          </w:p>
        </w:tc>
        <w:tc>
          <w:tcPr>
            <w:tcW w:w="1804" w:type="dxa"/>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2 042</w:t>
            </w:r>
          </w:p>
        </w:tc>
        <w:tc>
          <w:tcPr>
            <w:tcW w:w="1560"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1"/>
              <w:jc w:val="right"/>
              <w:rPr>
                <w:rFonts w:ascii="Verdana" w:hAnsi="Verdana"/>
                <w:b/>
                <w:bCs/>
                <w:color w:val="000000"/>
                <w:sz w:val="16"/>
                <w:szCs w:val="16"/>
                <w:lang w:val="fr-FR"/>
              </w:rPr>
            </w:pPr>
            <w:r w:rsidRPr="00FF7D9A">
              <w:rPr>
                <w:rFonts w:ascii="Verdana" w:hAnsi="Verdana"/>
                <w:b/>
                <w:bCs/>
                <w:color w:val="000000"/>
                <w:sz w:val="16"/>
                <w:szCs w:val="16"/>
                <w:lang w:val="fr-FR"/>
              </w:rPr>
              <w:t>0,46%</w:t>
            </w:r>
          </w:p>
        </w:tc>
        <w:tc>
          <w:tcPr>
            <w:tcW w:w="1701"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15 551 €</w:t>
            </w:r>
          </w:p>
        </w:tc>
        <w:tc>
          <w:tcPr>
            <w:tcW w:w="1755"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2 221,64</w:t>
            </w:r>
          </w:p>
        </w:tc>
      </w:tr>
      <w:tr w:rsidR="00D30F38" w:rsidRPr="00FF7D9A" w:rsidTr="00FF7D9A">
        <w:trPr>
          <w:trHeight w:val="315"/>
        </w:trPr>
        <w:tc>
          <w:tcPr>
            <w:tcW w:w="2180" w:type="dxa"/>
            <w:tcBorders>
              <w:top w:val="nil"/>
              <w:left w:val="single" w:sz="8" w:space="0" w:color="auto"/>
              <w:bottom w:val="single" w:sz="8" w:space="0" w:color="auto"/>
              <w:right w:val="single" w:sz="8" w:space="0" w:color="auto"/>
            </w:tcBorders>
            <w:shd w:val="clear" w:color="000000" w:fill="FFFFFF"/>
            <w:noWrap/>
            <w:vAlign w:val="bottom"/>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Lithuania</w:t>
            </w:r>
          </w:p>
        </w:tc>
        <w:tc>
          <w:tcPr>
            <w:tcW w:w="1804" w:type="dxa"/>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3 004</w:t>
            </w:r>
          </w:p>
        </w:tc>
        <w:tc>
          <w:tcPr>
            <w:tcW w:w="1560"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1"/>
              <w:jc w:val="right"/>
              <w:rPr>
                <w:rFonts w:ascii="Verdana" w:hAnsi="Verdana"/>
                <w:b/>
                <w:bCs/>
                <w:color w:val="000000"/>
                <w:sz w:val="16"/>
                <w:szCs w:val="16"/>
                <w:lang w:val="fr-FR"/>
              </w:rPr>
            </w:pPr>
            <w:r w:rsidRPr="00FF7D9A">
              <w:rPr>
                <w:rFonts w:ascii="Verdana" w:hAnsi="Verdana"/>
                <w:b/>
                <w:bCs/>
                <w:color w:val="000000"/>
                <w:sz w:val="16"/>
                <w:szCs w:val="16"/>
                <w:lang w:val="fr-FR"/>
              </w:rPr>
              <w:t>0,68%</w:t>
            </w:r>
          </w:p>
        </w:tc>
        <w:tc>
          <w:tcPr>
            <w:tcW w:w="1701"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22 878 €</w:t>
            </w:r>
          </w:p>
        </w:tc>
        <w:tc>
          <w:tcPr>
            <w:tcW w:w="1755"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3 268,27</w:t>
            </w:r>
          </w:p>
        </w:tc>
      </w:tr>
      <w:tr w:rsidR="00D30F38" w:rsidRPr="00FF7D9A" w:rsidTr="00FF7D9A">
        <w:trPr>
          <w:trHeight w:val="315"/>
        </w:trPr>
        <w:tc>
          <w:tcPr>
            <w:tcW w:w="2180" w:type="dxa"/>
            <w:tcBorders>
              <w:top w:val="nil"/>
              <w:left w:val="single" w:sz="8" w:space="0" w:color="auto"/>
              <w:bottom w:val="single" w:sz="8" w:space="0" w:color="auto"/>
              <w:right w:val="single" w:sz="8" w:space="0" w:color="auto"/>
            </w:tcBorders>
            <w:shd w:val="clear" w:color="000000" w:fill="FFFFFF"/>
            <w:noWrap/>
            <w:vAlign w:val="bottom"/>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Luxembourg</w:t>
            </w:r>
          </w:p>
        </w:tc>
        <w:tc>
          <w:tcPr>
            <w:tcW w:w="1804" w:type="dxa"/>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525</w:t>
            </w:r>
          </w:p>
        </w:tc>
        <w:tc>
          <w:tcPr>
            <w:tcW w:w="1560"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1"/>
              <w:jc w:val="right"/>
              <w:rPr>
                <w:rFonts w:ascii="Verdana" w:hAnsi="Verdana"/>
                <w:b/>
                <w:bCs/>
                <w:color w:val="000000"/>
                <w:sz w:val="16"/>
                <w:szCs w:val="16"/>
                <w:lang w:val="fr-FR"/>
              </w:rPr>
            </w:pPr>
            <w:r w:rsidRPr="00FF7D9A">
              <w:rPr>
                <w:rFonts w:ascii="Verdana" w:hAnsi="Verdana"/>
                <w:b/>
                <w:bCs/>
                <w:color w:val="000000"/>
                <w:sz w:val="16"/>
                <w:szCs w:val="16"/>
                <w:lang w:val="fr-FR"/>
              </w:rPr>
              <w:t>0,12%</w:t>
            </w:r>
          </w:p>
        </w:tc>
        <w:tc>
          <w:tcPr>
            <w:tcW w:w="1701"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3 998 €</w:t>
            </w:r>
          </w:p>
        </w:tc>
        <w:tc>
          <w:tcPr>
            <w:tcW w:w="1755"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571,19</w:t>
            </w:r>
          </w:p>
        </w:tc>
      </w:tr>
      <w:tr w:rsidR="00D30F38" w:rsidRPr="00FF7D9A" w:rsidTr="00FF7D9A">
        <w:trPr>
          <w:trHeight w:val="315"/>
        </w:trPr>
        <w:tc>
          <w:tcPr>
            <w:tcW w:w="2180" w:type="dxa"/>
            <w:tcBorders>
              <w:top w:val="nil"/>
              <w:left w:val="single" w:sz="8" w:space="0" w:color="auto"/>
              <w:bottom w:val="single" w:sz="8" w:space="0" w:color="auto"/>
              <w:right w:val="single" w:sz="8" w:space="0" w:color="auto"/>
            </w:tcBorders>
            <w:shd w:val="clear" w:color="000000" w:fill="FFFFFF"/>
            <w:noWrap/>
            <w:vAlign w:val="bottom"/>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Malta</w:t>
            </w:r>
          </w:p>
        </w:tc>
        <w:tc>
          <w:tcPr>
            <w:tcW w:w="1804" w:type="dxa"/>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418</w:t>
            </w:r>
          </w:p>
        </w:tc>
        <w:tc>
          <w:tcPr>
            <w:tcW w:w="1560"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1"/>
              <w:jc w:val="right"/>
              <w:rPr>
                <w:rFonts w:ascii="Verdana" w:hAnsi="Verdana"/>
                <w:b/>
                <w:bCs/>
                <w:color w:val="000000"/>
                <w:sz w:val="16"/>
                <w:szCs w:val="16"/>
                <w:lang w:val="fr-FR"/>
              </w:rPr>
            </w:pPr>
            <w:r w:rsidRPr="00FF7D9A">
              <w:rPr>
                <w:rFonts w:ascii="Verdana" w:hAnsi="Verdana"/>
                <w:b/>
                <w:bCs/>
                <w:color w:val="000000"/>
                <w:sz w:val="16"/>
                <w:szCs w:val="16"/>
                <w:lang w:val="fr-FR"/>
              </w:rPr>
              <w:t>0,09%</w:t>
            </w:r>
          </w:p>
        </w:tc>
        <w:tc>
          <w:tcPr>
            <w:tcW w:w="1701"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3 183 €</w:t>
            </w:r>
          </w:p>
        </w:tc>
        <w:tc>
          <w:tcPr>
            <w:tcW w:w="1755"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454,77</w:t>
            </w:r>
          </w:p>
        </w:tc>
      </w:tr>
      <w:tr w:rsidR="00D30F38" w:rsidRPr="00FF7D9A" w:rsidTr="00FF7D9A">
        <w:trPr>
          <w:trHeight w:val="315"/>
        </w:trPr>
        <w:tc>
          <w:tcPr>
            <w:tcW w:w="2180" w:type="dxa"/>
            <w:tcBorders>
              <w:top w:val="nil"/>
              <w:left w:val="single" w:sz="8" w:space="0" w:color="auto"/>
              <w:bottom w:val="single" w:sz="8" w:space="0" w:color="auto"/>
              <w:right w:val="single" w:sz="8" w:space="0" w:color="auto"/>
            </w:tcBorders>
            <w:shd w:val="clear" w:color="000000" w:fill="FFFFFF"/>
            <w:noWrap/>
            <w:vAlign w:val="bottom"/>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Netherlands</w:t>
            </w:r>
          </w:p>
        </w:tc>
        <w:tc>
          <w:tcPr>
            <w:tcW w:w="1804" w:type="dxa"/>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sz w:val="16"/>
                <w:szCs w:val="16"/>
                <w:lang w:val="fr-FR"/>
              </w:rPr>
            </w:pPr>
            <w:r w:rsidRPr="00FF7D9A">
              <w:rPr>
                <w:rFonts w:ascii="Verdana" w:hAnsi="Verdana"/>
                <w:sz w:val="16"/>
                <w:szCs w:val="16"/>
                <w:lang w:val="fr-FR"/>
              </w:rPr>
              <w:t>16 730</w:t>
            </w:r>
          </w:p>
        </w:tc>
        <w:tc>
          <w:tcPr>
            <w:tcW w:w="1560"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1"/>
              <w:jc w:val="right"/>
              <w:rPr>
                <w:rFonts w:ascii="Verdana" w:hAnsi="Verdana"/>
                <w:b/>
                <w:bCs/>
                <w:color w:val="000000"/>
                <w:sz w:val="16"/>
                <w:szCs w:val="16"/>
                <w:lang w:val="fr-FR"/>
              </w:rPr>
            </w:pPr>
            <w:r w:rsidRPr="00FF7D9A">
              <w:rPr>
                <w:rFonts w:ascii="Verdana" w:hAnsi="Verdana"/>
                <w:b/>
                <w:bCs/>
                <w:color w:val="000000"/>
                <w:sz w:val="16"/>
                <w:szCs w:val="16"/>
                <w:lang w:val="fr-FR"/>
              </w:rPr>
              <w:t>3,79%</w:t>
            </w:r>
          </w:p>
        </w:tc>
        <w:tc>
          <w:tcPr>
            <w:tcW w:w="1701"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127 412 €</w:t>
            </w:r>
          </w:p>
        </w:tc>
        <w:tc>
          <w:tcPr>
            <w:tcW w:w="1755"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18 201,77</w:t>
            </w:r>
          </w:p>
        </w:tc>
      </w:tr>
      <w:tr w:rsidR="00D30F38" w:rsidRPr="00FF7D9A" w:rsidTr="00FF7D9A">
        <w:trPr>
          <w:trHeight w:val="315"/>
        </w:trPr>
        <w:tc>
          <w:tcPr>
            <w:tcW w:w="2180" w:type="dxa"/>
            <w:tcBorders>
              <w:top w:val="nil"/>
              <w:left w:val="single" w:sz="8" w:space="0" w:color="auto"/>
              <w:bottom w:val="single" w:sz="8" w:space="0" w:color="auto"/>
              <w:right w:val="single" w:sz="8" w:space="0" w:color="auto"/>
            </w:tcBorders>
            <w:shd w:val="clear" w:color="000000" w:fill="FFFFFF"/>
            <w:noWrap/>
            <w:vAlign w:val="bottom"/>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Poland</w:t>
            </w:r>
          </w:p>
        </w:tc>
        <w:tc>
          <w:tcPr>
            <w:tcW w:w="1804" w:type="dxa"/>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38 538</w:t>
            </w:r>
          </w:p>
        </w:tc>
        <w:tc>
          <w:tcPr>
            <w:tcW w:w="1560"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1"/>
              <w:jc w:val="right"/>
              <w:rPr>
                <w:rFonts w:ascii="Verdana" w:hAnsi="Verdana"/>
                <w:b/>
                <w:bCs/>
                <w:color w:val="000000"/>
                <w:sz w:val="16"/>
                <w:szCs w:val="16"/>
                <w:lang w:val="fr-FR"/>
              </w:rPr>
            </w:pPr>
            <w:r w:rsidRPr="00FF7D9A">
              <w:rPr>
                <w:rFonts w:ascii="Verdana" w:hAnsi="Verdana"/>
                <w:b/>
                <w:bCs/>
                <w:color w:val="000000"/>
                <w:sz w:val="16"/>
                <w:szCs w:val="16"/>
                <w:lang w:val="fr-FR"/>
              </w:rPr>
              <w:t>8,73%</w:t>
            </w:r>
          </w:p>
        </w:tc>
        <w:tc>
          <w:tcPr>
            <w:tcW w:w="1701"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293 498 €</w:t>
            </w:r>
          </w:p>
        </w:tc>
        <w:tc>
          <w:tcPr>
            <w:tcW w:w="1755"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41 928,26</w:t>
            </w:r>
          </w:p>
        </w:tc>
      </w:tr>
      <w:tr w:rsidR="00D30F38" w:rsidRPr="00FF7D9A" w:rsidTr="00FF7D9A">
        <w:trPr>
          <w:trHeight w:val="315"/>
        </w:trPr>
        <w:tc>
          <w:tcPr>
            <w:tcW w:w="2180" w:type="dxa"/>
            <w:tcBorders>
              <w:top w:val="nil"/>
              <w:left w:val="single" w:sz="8" w:space="0" w:color="auto"/>
              <w:bottom w:val="single" w:sz="8" w:space="0" w:color="auto"/>
              <w:right w:val="single" w:sz="8" w:space="0" w:color="auto"/>
            </w:tcBorders>
            <w:shd w:val="clear" w:color="000000" w:fill="FFFFFF"/>
            <w:noWrap/>
            <w:vAlign w:val="bottom"/>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Portugal</w:t>
            </w:r>
          </w:p>
        </w:tc>
        <w:tc>
          <w:tcPr>
            <w:tcW w:w="1804" w:type="dxa"/>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10 542</w:t>
            </w:r>
          </w:p>
        </w:tc>
        <w:tc>
          <w:tcPr>
            <w:tcW w:w="1560"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1"/>
              <w:jc w:val="right"/>
              <w:rPr>
                <w:rFonts w:ascii="Verdana" w:hAnsi="Verdana"/>
                <w:b/>
                <w:bCs/>
                <w:color w:val="000000"/>
                <w:sz w:val="16"/>
                <w:szCs w:val="16"/>
                <w:lang w:val="fr-FR"/>
              </w:rPr>
            </w:pPr>
            <w:r w:rsidRPr="00FF7D9A">
              <w:rPr>
                <w:rFonts w:ascii="Verdana" w:hAnsi="Verdana"/>
                <w:b/>
                <w:bCs/>
                <w:color w:val="000000"/>
                <w:sz w:val="16"/>
                <w:szCs w:val="16"/>
                <w:lang w:val="fr-FR"/>
              </w:rPr>
              <w:t>2,39%</w:t>
            </w:r>
          </w:p>
        </w:tc>
        <w:tc>
          <w:tcPr>
            <w:tcW w:w="1701"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80 286 €</w:t>
            </w:r>
          </w:p>
        </w:tc>
        <w:tc>
          <w:tcPr>
            <w:tcW w:w="1755"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11 469,40</w:t>
            </w:r>
          </w:p>
        </w:tc>
      </w:tr>
      <w:tr w:rsidR="00D30F38" w:rsidRPr="00FF7D9A" w:rsidTr="00FF7D9A">
        <w:trPr>
          <w:trHeight w:val="315"/>
        </w:trPr>
        <w:tc>
          <w:tcPr>
            <w:tcW w:w="2180" w:type="dxa"/>
            <w:tcBorders>
              <w:top w:val="nil"/>
              <w:left w:val="single" w:sz="8" w:space="0" w:color="auto"/>
              <w:bottom w:val="single" w:sz="8" w:space="0" w:color="auto"/>
              <w:right w:val="single" w:sz="8" w:space="0" w:color="auto"/>
            </w:tcBorders>
            <w:shd w:val="clear" w:color="000000" w:fill="FFFFFF"/>
            <w:noWrap/>
            <w:vAlign w:val="bottom"/>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Romania</w:t>
            </w:r>
          </w:p>
        </w:tc>
        <w:tc>
          <w:tcPr>
            <w:tcW w:w="1804" w:type="dxa"/>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21 356</w:t>
            </w:r>
          </w:p>
        </w:tc>
        <w:tc>
          <w:tcPr>
            <w:tcW w:w="1560"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1"/>
              <w:jc w:val="right"/>
              <w:rPr>
                <w:rFonts w:ascii="Verdana" w:hAnsi="Verdana"/>
                <w:b/>
                <w:bCs/>
                <w:color w:val="000000"/>
                <w:sz w:val="16"/>
                <w:szCs w:val="16"/>
                <w:lang w:val="fr-FR"/>
              </w:rPr>
            </w:pPr>
            <w:r w:rsidRPr="00FF7D9A">
              <w:rPr>
                <w:rFonts w:ascii="Verdana" w:hAnsi="Verdana"/>
                <w:b/>
                <w:bCs/>
                <w:color w:val="000000"/>
                <w:sz w:val="16"/>
                <w:szCs w:val="16"/>
                <w:lang w:val="fr-FR"/>
              </w:rPr>
              <w:t>4,84%</w:t>
            </w:r>
          </w:p>
        </w:tc>
        <w:tc>
          <w:tcPr>
            <w:tcW w:w="1701"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162 643 €</w:t>
            </w:r>
          </w:p>
        </w:tc>
        <w:tc>
          <w:tcPr>
            <w:tcW w:w="1755"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23 234,73</w:t>
            </w:r>
          </w:p>
        </w:tc>
      </w:tr>
      <w:tr w:rsidR="00D30F38" w:rsidRPr="00FF7D9A" w:rsidTr="00FF7D9A">
        <w:trPr>
          <w:trHeight w:val="315"/>
        </w:trPr>
        <w:tc>
          <w:tcPr>
            <w:tcW w:w="2180" w:type="dxa"/>
            <w:tcBorders>
              <w:top w:val="nil"/>
              <w:left w:val="single" w:sz="8" w:space="0" w:color="auto"/>
              <w:bottom w:val="single" w:sz="8" w:space="0" w:color="auto"/>
              <w:right w:val="single" w:sz="8" w:space="0" w:color="auto"/>
            </w:tcBorders>
            <w:shd w:val="clear" w:color="000000" w:fill="FFFFFF"/>
            <w:noWrap/>
            <w:vAlign w:val="bottom"/>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Slovakia</w:t>
            </w:r>
          </w:p>
        </w:tc>
        <w:tc>
          <w:tcPr>
            <w:tcW w:w="1804" w:type="dxa"/>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5 404</w:t>
            </w:r>
          </w:p>
        </w:tc>
        <w:tc>
          <w:tcPr>
            <w:tcW w:w="1560"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1"/>
              <w:jc w:val="right"/>
              <w:rPr>
                <w:rFonts w:ascii="Verdana" w:hAnsi="Verdana"/>
                <w:b/>
                <w:bCs/>
                <w:color w:val="000000"/>
                <w:sz w:val="16"/>
                <w:szCs w:val="16"/>
                <w:lang w:val="fr-FR"/>
              </w:rPr>
            </w:pPr>
            <w:r w:rsidRPr="00FF7D9A">
              <w:rPr>
                <w:rFonts w:ascii="Verdana" w:hAnsi="Verdana"/>
                <w:b/>
                <w:bCs/>
                <w:color w:val="000000"/>
                <w:sz w:val="16"/>
                <w:szCs w:val="16"/>
                <w:lang w:val="fr-FR"/>
              </w:rPr>
              <w:t>1,22%</w:t>
            </w:r>
          </w:p>
        </w:tc>
        <w:tc>
          <w:tcPr>
            <w:tcW w:w="1701"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41 156 €</w:t>
            </w:r>
          </w:p>
        </w:tc>
        <w:tc>
          <w:tcPr>
            <w:tcW w:w="1755"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5 879,40</w:t>
            </w:r>
          </w:p>
        </w:tc>
      </w:tr>
      <w:tr w:rsidR="00D30F38" w:rsidRPr="00FF7D9A" w:rsidTr="00FF7D9A">
        <w:trPr>
          <w:trHeight w:val="315"/>
        </w:trPr>
        <w:tc>
          <w:tcPr>
            <w:tcW w:w="2180" w:type="dxa"/>
            <w:tcBorders>
              <w:top w:val="nil"/>
              <w:left w:val="single" w:sz="8" w:space="0" w:color="auto"/>
              <w:bottom w:val="single" w:sz="8" w:space="0" w:color="auto"/>
              <w:right w:val="single" w:sz="8" w:space="0" w:color="auto"/>
            </w:tcBorders>
            <w:shd w:val="clear" w:color="000000" w:fill="FFFFFF"/>
            <w:noWrap/>
            <w:vAlign w:val="bottom"/>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Slovenia</w:t>
            </w:r>
          </w:p>
        </w:tc>
        <w:tc>
          <w:tcPr>
            <w:tcW w:w="1804" w:type="dxa"/>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2 055</w:t>
            </w:r>
          </w:p>
        </w:tc>
        <w:tc>
          <w:tcPr>
            <w:tcW w:w="1560"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1"/>
              <w:jc w:val="right"/>
              <w:rPr>
                <w:rFonts w:ascii="Verdana" w:hAnsi="Verdana"/>
                <w:b/>
                <w:bCs/>
                <w:color w:val="000000"/>
                <w:sz w:val="16"/>
                <w:szCs w:val="16"/>
                <w:lang w:val="fr-FR"/>
              </w:rPr>
            </w:pPr>
            <w:r w:rsidRPr="00FF7D9A">
              <w:rPr>
                <w:rFonts w:ascii="Verdana" w:hAnsi="Verdana"/>
                <w:b/>
                <w:bCs/>
                <w:color w:val="000000"/>
                <w:sz w:val="16"/>
                <w:szCs w:val="16"/>
                <w:lang w:val="fr-FR"/>
              </w:rPr>
              <w:t>0,47%</w:t>
            </w:r>
          </w:p>
        </w:tc>
        <w:tc>
          <w:tcPr>
            <w:tcW w:w="1701"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15 650 €</w:t>
            </w:r>
          </w:p>
        </w:tc>
        <w:tc>
          <w:tcPr>
            <w:tcW w:w="1755"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2 235,78</w:t>
            </w:r>
          </w:p>
        </w:tc>
      </w:tr>
      <w:tr w:rsidR="00D30F38" w:rsidRPr="00FF7D9A" w:rsidTr="00FF7D9A">
        <w:trPr>
          <w:trHeight w:val="315"/>
        </w:trPr>
        <w:tc>
          <w:tcPr>
            <w:tcW w:w="2180" w:type="dxa"/>
            <w:tcBorders>
              <w:top w:val="nil"/>
              <w:left w:val="single" w:sz="8" w:space="0" w:color="auto"/>
              <w:bottom w:val="single" w:sz="8" w:space="0" w:color="auto"/>
              <w:right w:val="single" w:sz="8" w:space="0" w:color="auto"/>
            </w:tcBorders>
            <w:shd w:val="clear" w:color="000000" w:fill="FFFFFF"/>
            <w:noWrap/>
            <w:vAlign w:val="bottom"/>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Spain</w:t>
            </w:r>
          </w:p>
        </w:tc>
        <w:tc>
          <w:tcPr>
            <w:tcW w:w="1804" w:type="dxa"/>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46 196</w:t>
            </w:r>
          </w:p>
        </w:tc>
        <w:tc>
          <w:tcPr>
            <w:tcW w:w="1560"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1"/>
              <w:jc w:val="right"/>
              <w:rPr>
                <w:rFonts w:ascii="Verdana" w:hAnsi="Verdana"/>
                <w:b/>
                <w:bCs/>
                <w:color w:val="000000"/>
                <w:sz w:val="16"/>
                <w:szCs w:val="16"/>
                <w:lang w:val="fr-FR"/>
              </w:rPr>
            </w:pPr>
            <w:r w:rsidRPr="00FF7D9A">
              <w:rPr>
                <w:rFonts w:ascii="Verdana" w:hAnsi="Verdana"/>
                <w:b/>
                <w:bCs/>
                <w:color w:val="000000"/>
                <w:sz w:val="16"/>
                <w:szCs w:val="16"/>
                <w:lang w:val="fr-FR"/>
              </w:rPr>
              <w:t>10,46%</w:t>
            </w:r>
          </w:p>
        </w:tc>
        <w:tc>
          <w:tcPr>
            <w:tcW w:w="1701"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351 820 €</w:t>
            </w:r>
          </w:p>
        </w:tc>
        <w:tc>
          <w:tcPr>
            <w:tcW w:w="1755"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50 259,95</w:t>
            </w:r>
          </w:p>
        </w:tc>
      </w:tr>
      <w:tr w:rsidR="00D30F38" w:rsidRPr="00FF7D9A" w:rsidTr="00FF7D9A">
        <w:trPr>
          <w:trHeight w:val="315"/>
        </w:trPr>
        <w:tc>
          <w:tcPr>
            <w:tcW w:w="2180" w:type="dxa"/>
            <w:tcBorders>
              <w:top w:val="nil"/>
              <w:left w:val="single" w:sz="8" w:space="0" w:color="auto"/>
              <w:bottom w:val="single" w:sz="8" w:space="0" w:color="auto"/>
              <w:right w:val="single" w:sz="8" w:space="0" w:color="auto"/>
            </w:tcBorders>
            <w:shd w:val="clear" w:color="000000" w:fill="FFFFFF"/>
            <w:noWrap/>
            <w:vAlign w:val="bottom"/>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Sweden</w:t>
            </w:r>
          </w:p>
        </w:tc>
        <w:tc>
          <w:tcPr>
            <w:tcW w:w="1804" w:type="dxa"/>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9 483</w:t>
            </w:r>
          </w:p>
        </w:tc>
        <w:tc>
          <w:tcPr>
            <w:tcW w:w="1560"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1"/>
              <w:jc w:val="right"/>
              <w:rPr>
                <w:rFonts w:ascii="Verdana" w:hAnsi="Verdana"/>
                <w:b/>
                <w:bCs/>
                <w:color w:val="000000"/>
                <w:sz w:val="16"/>
                <w:szCs w:val="16"/>
                <w:lang w:val="fr-FR"/>
              </w:rPr>
            </w:pPr>
            <w:r w:rsidRPr="00FF7D9A">
              <w:rPr>
                <w:rFonts w:ascii="Verdana" w:hAnsi="Verdana"/>
                <w:b/>
                <w:bCs/>
                <w:color w:val="000000"/>
                <w:sz w:val="16"/>
                <w:szCs w:val="16"/>
                <w:lang w:val="fr-FR"/>
              </w:rPr>
              <w:t>2,15%</w:t>
            </w:r>
          </w:p>
        </w:tc>
        <w:tc>
          <w:tcPr>
            <w:tcW w:w="1701"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72 221 €</w:t>
            </w:r>
          </w:p>
        </w:tc>
        <w:tc>
          <w:tcPr>
            <w:tcW w:w="1755"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10 317,24</w:t>
            </w:r>
          </w:p>
        </w:tc>
      </w:tr>
      <w:tr w:rsidR="00D30F38" w:rsidRPr="00FF7D9A" w:rsidTr="00FF7D9A">
        <w:trPr>
          <w:trHeight w:val="315"/>
        </w:trPr>
        <w:tc>
          <w:tcPr>
            <w:tcW w:w="2180" w:type="dxa"/>
            <w:tcBorders>
              <w:top w:val="nil"/>
              <w:left w:val="single" w:sz="8" w:space="0" w:color="auto"/>
              <w:bottom w:val="single" w:sz="8" w:space="0" w:color="auto"/>
              <w:right w:val="single" w:sz="8" w:space="0" w:color="auto"/>
            </w:tcBorders>
            <w:shd w:val="clear" w:color="000000" w:fill="FFFFFF"/>
            <w:noWrap/>
            <w:vAlign w:val="bottom"/>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United Kingdom</w:t>
            </w:r>
          </w:p>
        </w:tc>
        <w:tc>
          <w:tcPr>
            <w:tcW w:w="1804" w:type="dxa"/>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63 456</w:t>
            </w:r>
          </w:p>
        </w:tc>
        <w:tc>
          <w:tcPr>
            <w:tcW w:w="1560"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1"/>
              <w:jc w:val="right"/>
              <w:rPr>
                <w:rFonts w:ascii="Verdana" w:hAnsi="Verdana"/>
                <w:b/>
                <w:bCs/>
                <w:color w:val="000000"/>
                <w:sz w:val="16"/>
                <w:szCs w:val="16"/>
                <w:lang w:val="fr-FR"/>
              </w:rPr>
            </w:pPr>
            <w:r w:rsidRPr="00FF7D9A">
              <w:rPr>
                <w:rFonts w:ascii="Verdana" w:hAnsi="Verdana"/>
                <w:b/>
                <w:bCs/>
                <w:color w:val="000000"/>
                <w:sz w:val="16"/>
                <w:szCs w:val="16"/>
                <w:lang w:val="fr-FR"/>
              </w:rPr>
              <w:t>14,37%</w:t>
            </w:r>
          </w:p>
        </w:tc>
        <w:tc>
          <w:tcPr>
            <w:tcW w:w="1701"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483 268 €</w:t>
            </w:r>
          </w:p>
        </w:tc>
        <w:tc>
          <w:tcPr>
            <w:tcW w:w="1755"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69 038,34</w:t>
            </w:r>
          </w:p>
        </w:tc>
      </w:tr>
      <w:tr w:rsidR="00D30F38" w:rsidRPr="00FF7D9A" w:rsidTr="00FF7D9A">
        <w:trPr>
          <w:trHeight w:val="315"/>
        </w:trPr>
        <w:tc>
          <w:tcPr>
            <w:tcW w:w="2180" w:type="dxa"/>
            <w:tcBorders>
              <w:top w:val="nil"/>
              <w:left w:val="single" w:sz="8" w:space="0" w:color="auto"/>
              <w:bottom w:val="single" w:sz="8" w:space="0" w:color="auto"/>
              <w:right w:val="single" w:sz="8" w:space="0" w:color="auto"/>
            </w:tcBorders>
            <w:shd w:val="clear" w:color="000000" w:fill="FFFFFF"/>
            <w:noWrap/>
            <w:vAlign w:val="bottom"/>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SUB TOTAL</w:t>
            </w:r>
          </w:p>
        </w:tc>
        <w:tc>
          <w:tcPr>
            <w:tcW w:w="1804" w:type="dxa"/>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441 690</w:t>
            </w:r>
          </w:p>
        </w:tc>
        <w:tc>
          <w:tcPr>
            <w:tcW w:w="1560"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1"/>
              <w:jc w:val="right"/>
              <w:rPr>
                <w:rFonts w:ascii="Verdana" w:hAnsi="Verdana"/>
                <w:b/>
                <w:bCs/>
                <w:color w:val="000000"/>
                <w:sz w:val="16"/>
                <w:szCs w:val="16"/>
                <w:lang w:val="fr-FR"/>
              </w:rPr>
            </w:pPr>
            <w:r w:rsidRPr="00FF7D9A">
              <w:rPr>
                <w:rFonts w:ascii="Verdana" w:hAnsi="Verdana"/>
                <w:b/>
                <w:bCs/>
                <w:color w:val="000000"/>
                <w:sz w:val="16"/>
                <w:szCs w:val="16"/>
                <w:lang w:val="fr-FR"/>
              </w:rPr>
              <w:t>100,00%</w:t>
            </w:r>
          </w:p>
        </w:tc>
        <w:tc>
          <w:tcPr>
            <w:tcW w:w="1701"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3 363 824 €</w:t>
            </w:r>
          </w:p>
        </w:tc>
        <w:tc>
          <w:tcPr>
            <w:tcW w:w="1755"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480 546,29</w:t>
            </w:r>
          </w:p>
        </w:tc>
      </w:tr>
      <w:tr w:rsidR="00D30F38" w:rsidRPr="00FF7D9A" w:rsidTr="00FF7D9A">
        <w:trPr>
          <w:trHeight w:val="315"/>
        </w:trPr>
        <w:tc>
          <w:tcPr>
            <w:tcW w:w="2180" w:type="dxa"/>
            <w:tcBorders>
              <w:top w:val="nil"/>
              <w:left w:val="single" w:sz="8" w:space="0" w:color="auto"/>
              <w:bottom w:val="single" w:sz="8" w:space="0" w:color="auto"/>
              <w:right w:val="single" w:sz="8" w:space="0" w:color="auto"/>
            </w:tcBorders>
            <w:shd w:val="clear" w:color="000000" w:fill="FFFFFF"/>
            <w:noWrap/>
            <w:vAlign w:val="bottom"/>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France</w:t>
            </w:r>
          </w:p>
        </w:tc>
        <w:tc>
          <w:tcPr>
            <w:tcW w:w="1804" w:type="dxa"/>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65 328</w:t>
            </w:r>
          </w:p>
        </w:tc>
        <w:tc>
          <w:tcPr>
            <w:tcW w:w="1560"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 </w:t>
            </w:r>
          </w:p>
        </w:tc>
        <w:tc>
          <w:tcPr>
            <w:tcW w:w="1701"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2 100 000 €</w:t>
            </w:r>
          </w:p>
        </w:tc>
        <w:tc>
          <w:tcPr>
            <w:tcW w:w="1755"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300 000,00</w:t>
            </w:r>
          </w:p>
        </w:tc>
      </w:tr>
      <w:tr w:rsidR="00D30F38" w:rsidRPr="00FF7D9A" w:rsidTr="00FF7D9A">
        <w:trPr>
          <w:trHeight w:val="315"/>
        </w:trPr>
        <w:tc>
          <w:tcPr>
            <w:tcW w:w="2180" w:type="dxa"/>
            <w:tcBorders>
              <w:top w:val="nil"/>
              <w:left w:val="single" w:sz="8" w:space="0" w:color="auto"/>
              <w:bottom w:val="single" w:sz="8" w:space="0" w:color="auto"/>
              <w:right w:val="single" w:sz="8" w:space="0" w:color="auto"/>
            </w:tcBorders>
            <w:shd w:val="clear" w:color="000000" w:fill="FFFFFF"/>
            <w:noWrap/>
            <w:vAlign w:val="bottom"/>
            <w:hideMark/>
          </w:tcPr>
          <w:p w:rsidR="00D30F38" w:rsidRPr="00FF7D9A" w:rsidRDefault="00D30F38"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TOTAL</w:t>
            </w:r>
          </w:p>
        </w:tc>
        <w:tc>
          <w:tcPr>
            <w:tcW w:w="1804" w:type="dxa"/>
            <w:tcBorders>
              <w:top w:val="nil"/>
              <w:left w:val="nil"/>
              <w:bottom w:val="single" w:sz="8" w:space="0" w:color="auto"/>
              <w:right w:val="single" w:sz="8" w:space="0" w:color="auto"/>
            </w:tcBorders>
            <w:shd w:val="clear" w:color="auto" w:fill="auto"/>
            <w:noWrap/>
            <w:vAlign w:val="bottom"/>
            <w:hideMark/>
          </w:tcPr>
          <w:p w:rsidR="00D30F38" w:rsidRPr="00FF7D9A" w:rsidRDefault="00D30F38" w:rsidP="00D30F38">
            <w:pPr>
              <w:rPr>
                <w:rFonts w:ascii="Verdana" w:hAnsi="Verdana"/>
                <w:color w:val="000000"/>
                <w:sz w:val="16"/>
                <w:szCs w:val="16"/>
                <w:lang w:val="fr-FR"/>
              </w:rPr>
            </w:pPr>
            <w:r w:rsidRPr="00FF7D9A">
              <w:rPr>
                <w:rFonts w:ascii="Verdana" w:hAnsi="Verdana"/>
                <w:color w:val="000000"/>
                <w:sz w:val="16"/>
                <w:szCs w:val="16"/>
                <w:lang w:val="fr-FR"/>
              </w:rPr>
              <w:t> </w:t>
            </w:r>
          </w:p>
        </w:tc>
        <w:tc>
          <w:tcPr>
            <w:tcW w:w="1560" w:type="dxa"/>
            <w:gridSpan w:val="2"/>
            <w:tcBorders>
              <w:top w:val="nil"/>
              <w:left w:val="nil"/>
              <w:bottom w:val="single" w:sz="8" w:space="0" w:color="auto"/>
              <w:right w:val="single" w:sz="8" w:space="0" w:color="auto"/>
            </w:tcBorders>
            <w:shd w:val="clear" w:color="auto" w:fill="auto"/>
            <w:noWrap/>
            <w:vAlign w:val="bottom"/>
            <w:hideMark/>
          </w:tcPr>
          <w:p w:rsidR="00D30F38" w:rsidRPr="00FF7D9A" w:rsidRDefault="00D30F38"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 </w:t>
            </w:r>
          </w:p>
        </w:tc>
        <w:tc>
          <w:tcPr>
            <w:tcW w:w="1701"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1"/>
              <w:jc w:val="right"/>
              <w:rPr>
                <w:rFonts w:ascii="Verdana" w:hAnsi="Verdana"/>
                <w:b/>
                <w:bCs/>
                <w:color w:val="000000"/>
                <w:sz w:val="16"/>
                <w:szCs w:val="16"/>
                <w:lang w:val="fr-FR"/>
              </w:rPr>
            </w:pPr>
            <w:r w:rsidRPr="00FF7D9A">
              <w:rPr>
                <w:rFonts w:ascii="Verdana" w:hAnsi="Verdana"/>
                <w:b/>
                <w:bCs/>
                <w:color w:val="000000"/>
                <w:sz w:val="16"/>
                <w:szCs w:val="16"/>
                <w:lang w:val="fr-FR"/>
              </w:rPr>
              <w:t>5 463 824 €</w:t>
            </w:r>
          </w:p>
        </w:tc>
        <w:tc>
          <w:tcPr>
            <w:tcW w:w="1755" w:type="dxa"/>
            <w:gridSpan w:val="2"/>
            <w:tcBorders>
              <w:top w:val="nil"/>
              <w:left w:val="nil"/>
              <w:bottom w:val="single" w:sz="8" w:space="0" w:color="auto"/>
              <w:right w:val="single" w:sz="8" w:space="0" w:color="auto"/>
            </w:tcBorders>
            <w:shd w:val="clear" w:color="000000" w:fill="FFFFFF"/>
            <w:noWrap/>
            <w:vAlign w:val="bottom"/>
            <w:hideMark/>
          </w:tcPr>
          <w:p w:rsidR="00D30F38" w:rsidRPr="00FF7D9A" w:rsidRDefault="00D30F38" w:rsidP="00FF7D9A">
            <w:pPr>
              <w:ind w:firstLineChars="100" w:firstLine="161"/>
              <w:jc w:val="right"/>
              <w:rPr>
                <w:rFonts w:ascii="Verdana" w:hAnsi="Verdana"/>
                <w:b/>
                <w:bCs/>
                <w:color w:val="000000"/>
                <w:sz w:val="16"/>
                <w:szCs w:val="16"/>
                <w:lang w:val="fr-FR"/>
              </w:rPr>
            </w:pPr>
            <w:r w:rsidRPr="00FF7D9A">
              <w:rPr>
                <w:rFonts w:ascii="Verdana" w:hAnsi="Verdana"/>
                <w:b/>
                <w:bCs/>
                <w:color w:val="000000"/>
                <w:sz w:val="16"/>
                <w:szCs w:val="16"/>
                <w:lang w:val="fr-FR"/>
              </w:rPr>
              <w:t>780 546,29</w:t>
            </w:r>
          </w:p>
        </w:tc>
      </w:tr>
      <w:tr w:rsidR="00D30F38" w:rsidRPr="00FF7D9A" w:rsidTr="00FF7D9A">
        <w:trPr>
          <w:trHeight w:val="300"/>
        </w:trPr>
        <w:tc>
          <w:tcPr>
            <w:tcW w:w="2180" w:type="dxa"/>
            <w:tcBorders>
              <w:top w:val="nil"/>
              <w:left w:val="nil"/>
              <w:bottom w:val="nil"/>
              <w:right w:val="nil"/>
            </w:tcBorders>
            <w:shd w:val="clear" w:color="auto" w:fill="auto"/>
            <w:noWrap/>
            <w:vAlign w:val="bottom"/>
            <w:hideMark/>
          </w:tcPr>
          <w:p w:rsidR="00D30F38" w:rsidRPr="00FF7D9A" w:rsidRDefault="00D30F38" w:rsidP="00D30F38">
            <w:pPr>
              <w:rPr>
                <w:rFonts w:ascii="Verdana" w:hAnsi="Verdana"/>
                <w:color w:val="000000"/>
                <w:sz w:val="16"/>
                <w:szCs w:val="16"/>
                <w:lang w:val="fr-FR"/>
              </w:rPr>
            </w:pPr>
          </w:p>
        </w:tc>
        <w:tc>
          <w:tcPr>
            <w:tcW w:w="1804" w:type="dxa"/>
            <w:tcBorders>
              <w:top w:val="nil"/>
              <w:left w:val="nil"/>
              <w:bottom w:val="nil"/>
              <w:right w:val="nil"/>
            </w:tcBorders>
            <w:shd w:val="clear" w:color="auto" w:fill="auto"/>
            <w:noWrap/>
            <w:vAlign w:val="bottom"/>
            <w:hideMark/>
          </w:tcPr>
          <w:p w:rsidR="00D30F38" w:rsidRPr="00FF7D9A" w:rsidRDefault="00D30F38" w:rsidP="00D30F38">
            <w:pPr>
              <w:rPr>
                <w:rFonts w:ascii="Verdana" w:hAnsi="Verdana"/>
                <w:color w:val="000000"/>
                <w:sz w:val="16"/>
                <w:szCs w:val="16"/>
                <w:lang w:val="fr-FR"/>
              </w:rPr>
            </w:pPr>
          </w:p>
        </w:tc>
        <w:tc>
          <w:tcPr>
            <w:tcW w:w="1560" w:type="dxa"/>
            <w:gridSpan w:val="2"/>
            <w:tcBorders>
              <w:top w:val="nil"/>
              <w:left w:val="nil"/>
              <w:bottom w:val="nil"/>
              <w:right w:val="nil"/>
            </w:tcBorders>
            <w:shd w:val="clear" w:color="auto" w:fill="auto"/>
            <w:noWrap/>
            <w:vAlign w:val="bottom"/>
            <w:hideMark/>
          </w:tcPr>
          <w:p w:rsidR="00D30F38" w:rsidRPr="00FF7D9A" w:rsidRDefault="00D30F38" w:rsidP="00D30F38">
            <w:pPr>
              <w:rPr>
                <w:rFonts w:ascii="Verdana" w:hAnsi="Verdana"/>
                <w:color w:val="000000"/>
                <w:sz w:val="16"/>
                <w:szCs w:val="16"/>
                <w:lang w:val="fr-FR"/>
              </w:rPr>
            </w:pPr>
          </w:p>
        </w:tc>
        <w:tc>
          <w:tcPr>
            <w:tcW w:w="1701" w:type="dxa"/>
            <w:gridSpan w:val="2"/>
            <w:tcBorders>
              <w:top w:val="nil"/>
              <w:left w:val="nil"/>
              <w:bottom w:val="nil"/>
              <w:right w:val="nil"/>
            </w:tcBorders>
            <w:shd w:val="clear" w:color="auto" w:fill="auto"/>
            <w:noWrap/>
            <w:vAlign w:val="bottom"/>
            <w:hideMark/>
          </w:tcPr>
          <w:p w:rsidR="00D30F38" w:rsidRPr="00FF7D9A" w:rsidRDefault="00D30F38" w:rsidP="00D30F38">
            <w:pPr>
              <w:rPr>
                <w:rFonts w:ascii="Verdana" w:hAnsi="Verdana"/>
                <w:color w:val="000000"/>
                <w:sz w:val="16"/>
                <w:szCs w:val="16"/>
                <w:lang w:val="fr-FR"/>
              </w:rPr>
            </w:pPr>
          </w:p>
        </w:tc>
        <w:tc>
          <w:tcPr>
            <w:tcW w:w="1755" w:type="dxa"/>
            <w:gridSpan w:val="2"/>
            <w:tcBorders>
              <w:top w:val="nil"/>
              <w:left w:val="nil"/>
              <w:bottom w:val="nil"/>
              <w:right w:val="nil"/>
            </w:tcBorders>
            <w:shd w:val="clear" w:color="auto" w:fill="auto"/>
            <w:noWrap/>
            <w:vAlign w:val="bottom"/>
            <w:hideMark/>
          </w:tcPr>
          <w:p w:rsidR="00D30F38" w:rsidRPr="00FF7D9A" w:rsidRDefault="00D30F38" w:rsidP="00D30F38">
            <w:pPr>
              <w:rPr>
                <w:rFonts w:ascii="Verdana" w:hAnsi="Verdana"/>
                <w:color w:val="000000"/>
                <w:sz w:val="16"/>
                <w:szCs w:val="16"/>
                <w:lang w:val="fr-FR"/>
              </w:rPr>
            </w:pPr>
          </w:p>
        </w:tc>
      </w:tr>
      <w:tr w:rsidR="00FF7D9A" w:rsidRPr="00FF7D9A" w:rsidTr="00FF7D9A">
        <w:trPr>
          <w:trHeight w:val="300"/>
        </w:trPr>
        <w:tc>
          <w:tcPr>
            <w:tcW w:w="2180" w:type="dxa"/>
            <w:tcBorders>
              <w:top w:val="nil"/>
              <w:left w:val="nil"/>
              <w:bottom w:val="nil"/>
              <w:right w:val="nil"/>
            </w:tcBorders>
            <w:shd w:val="clear" w:color="auto" w:fill="auto"/>
            <w:noWrap/>
            <w:vAlign w:val="bottom"/>
            <w:hideMark/>
          </w:tcPr>
          <w:p w:rsidR="00FF7D9A" w:rsidRPr="00FF7D9A" w:rsidRDefault="00FF7D9A" w:rsidP="00D30F38">
            <w:pPr>
              <w:rPr>
                <w:rFonts w:ascii="Verdana" w:hAnsi="Verdana"/>
                <w:color w:val="000000"/>
                <w:sz w:val="16"/>
                <w:szCs w:val="16"/>
                <w:lang w:val="fr-FR"/>
              </w:rPr>
            </w:pPr>
          </w:p>
        </w:tc>
        <w:tc>
          <w:tcPr>
            <w:tcW w:w="18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7D9A" w:rsidRPr="00FF7D9A" w:rsidRDefault="00FF7D9A" w:rsidP="00D30F38">
            <w:pPr>
              <w:rPr>
                <w:rFonts w:ascii="Verdana" w:hAnsi="Verdana"/>
                <w:b/>
                <w:bCs/>
                <w:color w:val="000000"/>
                <w:sz w:val="16"/>
                <w:szCs w:val="16"/>
                <w:lang w:val="fr-FR"/>
              </w:rPr>
            </w:pPr>
            <w:r w:rsidRPr="00FF7D9A">
              <w:rPr>
                <w:rFonts w:ascii="Verdana" w:hAnsi="Verdana"/>
                <w:b/>
                <w:bCs/>
                <w:color w:val="000000"/>
                <w:sz w:val="16"/>
                <w:szCs w:val="16"/>
                <w:lang w:val="fr-FR"/>
              </w:rPr>
              <w:t>2012 Population</w:t>
            </w:r>
          </w:p>
        </w:tc>
        <w:tc>
          <w:tcPr>
            <w:tcW w:w="3261" w:type="dxa"/>
            <w:gridSpan w:val="4"/>
            <w:tcBorders>
              <w:top w:val="single" w:sz="4" w:space="0" w:color="auto"/>
              <w:left w:val="nil"/>
              <w:bottom w:val="single" w:sz="4" w:space="0" w:color="auto"/>
              <w:right w:val="single" w:sz="4" w:space="0" w:color="auto"/>
            </w:tcBorders>
            <w:shd w:val="clear" w:color="auto" w:fill="auto"/>
            <w:noWrap/>
            <w:vAlign w:val="bottom"/>
            <w:hideMark/>
          </w:tcPr>
          <w:p w:rsidR="00FF7D9A" w:rsidRPr="00FF7D9A" w:rsidRDefault="00FF7D9A" w:rsidP="00FF7D9A">
            <w:pPr>
              <w:jc w:val="center"/>
              <w:rPr>
                <w:rFonts w:ascii="Verdana" w:hAnsi="Verdana"/>
                <w:color w:val="000000"/>
                <w:sz w:val="16"/>
                <w:szCs w:val="16"/>
                <w:lang w:val="fr-FR"/>
              </w:rPr>
            </w:pPr>
            <w:r w:rsidRPr="00FF7D9A">
              <w:rPr>
                <w:rFonts w:ascii="Verdana" w:hAnsi="Verdana"/>
                <w:b/>
                <w:bCs/>
                <w:color w:val="000000"/>
                <w:sz w:val="16"/>
                <w:szCs w:val="16"/>
                <w:lang w:val="fr-FR"/>
              </w:rPr>
              <w:t>UIII contribution</w:t>
            </w:r>
          </w:p>
        </w:tc>
        <w:tc>
          <w:tcPr>
            <w:tcW w:w="1755" w:type="dxa"/>
            <w:gridSpan w:val="2"/>
            <w:tcBorders>
              <w:top w:val="nil"/>
              <w:left w:val="nil"/>
              <w:bottom w:val="nil"/>
              <w:right w:val="nil"/>
            </w:tcBorders>
            <w:shd w:val="clear" w:color="auto" w:fill="auto"/>
            <w:noWrap/>
            <w:vAlign w:val="bottom"/>
            <w:hideMark/>
          </w:tcPr>
          <w:p w:rsidR="00FF7D9A" w:rsidRPr="00FF7D9A" w:rsidRDefault="00FF7D9A" w:rsidP="00D30F38">
            <w:pPr>
              <w:rPr>
                <w:rFonts w:ascii="Verdana" w:hAnsi="Verdana"/>
                <w:color w:val="000000"/>
                <w:sz w:val="16"/>
                <w:szCs w:val="16"/>
                <w:lang w:val="fr-FR"/>
              </w:rPr>
            </w:pPr>
          </w:p>
        </w:tc>
      </w:tr>
      <w:tr w:rsidR="00FF7D9A" w:rsidRPr="00FF7D9A" w:rsidTr="00FF7D9A">
        <w:trPr>
          <w:trHeight w:val="315"/>
        </w:trPr>
        <w:tc>
          <w:tcPr>
            <w:tcW w:w="21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FF7D9A" w:rsidRPr="00FF7D9A" w:rsidRDefault="00FF7D9A"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Switzerland</w:t>
            </w:r>
          </w:p>
        </w:tc>
        <w:tc>
          <w:tcPr>
            <w:tcW w:w="1804" w:type="dxa"/>
            <w:tcBorders>
              <w:top w:val="nil"/>
              <w:left w:val="nil"/>
              <w:bottom w:val="single" w:sz="8" w:space="0" w:color="auto"/>
              <w:right w:val="single" w:sz="8" w:space="0" w:color="auto"/>
            </w:tcBorders>
            <w:shd w:val="clear" w:color="000000" w:fill="FFFFFF"/>
            <w:noWrap/>
            <w:vAlign w:val="bottom"/>
            <w:hideMark/>
          </w:tcPr>
          <w:p w:rsidR="00FF7D9A" w:rsidRPr="00FF7D9A" w:rsidRDefault="00FF7D9A"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7 955</w:t>
            </w:r>
          </w:p>
        </w:tc>
        <w:tc>
          <w:tcPr>
            <w:tcW w:w="3261" w:type="dxa"/>
            <w:gridSpan w:val="4"/>
            <w:tcBorders>
              <w:top w:val="nil"/>
              <w:left w:val="nil"/>
              <w:bottom w:val="single" w:sz="8" w:space="0" w:color="auto"/>
              <w:right w:val="single" w:sz="8" w:space="0" w:color="auto"/>
            </w:tcBorders>
            <w:shd w:val="clear" w:color="000000" w:fill="FFFFFF"/>
            <w:noWrap/>
            <w:vAlign w:val="bottom"/>
            <w:hideMark/>
          </w:tcPr>
          <w:p w:rsidR="00FF7D9A" w:rsidRPr="00FF7D9A" w:rsidRDefault="00FF7D9A" w:rsidP="00FF7D9A">
            <w:pPr>
              <w:jc w:val="right"/>
              <w:rPr>
                <w:rFonts w:ascii="Verdana" w:hAnsi="Verdana"/>
                <w:color w:val="000000"/>
                <w:sz w:val="16"/>
                <w:szCs w:val="16"/>
                <w:lang w:val="fr-FR"/>
              </w:rPr>
            </w:pPr>
            <w:r w:rsidRPr="00FF7D9A">
              <w:rPr>
                <w:rFonts w:ascii="Verdana" w:hAnsi="Verdana"/>
                <w:color w:val="000000"/>
                <w:sz w:val="16"/>
                <w:szCs w:val="16"/>
                <w:lang w:val="fr-FR"/>
              </w:rPr>
              <w:t>59 037 €</w:t>
            </w:r>
          </w:p>
        </w:tc>
        <w:tc>
          <w:tcPr>
            <w:tcW w:w="1755" w:type="dxa"/>
            <w:gridSpan w:val="2"/>
            <w:tcBorders>
              <w:top w:val="nil"/>
              <w:left w:val="nil"/>
              <w:bottom w:val="nil"/>
              <w:right w:val="nil"/>
            </w:tcBorders>
            <w:shd w:val="clear" w:color="auto" w:fill="auto"/>
            <w:noWrap/>
            <w:vAlign w:val="bottom"/>
            <w:hideMark/>
          </w:tcPr>
          <w:p w:rsidR="00FF7D9A" w:rsidRPr="00FF7D9A" w:rsidRDefault="00FF7D9A" w:rsidP="00D30F38">
            <w:pPr>
              <w:rPr>
                <w:rFonts w:ascii="Verdana" w:hAnsi="Verdana"/>
                <w:color w:val="000000"/>
                <w:sz w:val="16"/>
                <w:szCs w:val="16"/>
                <w:lang w:val="fr-FR"/>
              </w:rPr>
            </w:pPr>
          </w:p>
        </w:tc>
      </w:tr>
      <w:tr w:rsidR="00FF7D9A" w:rsidRPr="00FF7D9A" w:rsidTr="00FF7D9A">
        <w:trPr>
          <w:trHeight w:val="315"/>
        </w:trPr>
        <w:tc>
          <w:tcPr>
            <w:tcW w:w="2180" w:type="dxa"/>
            <w:tcBorders>
              <w:top w:val="nil"/>
              <w:left w:val="single" w:sz="4" w:space="0" w:color="auto"/>
              <w:bottom w:val="single" w:sz="4" w:space="0" w:color="auto"/>
              <w:right w:val="single" w:sz="4" w:space="0" w:color="auto"/>
            </w:tcBorders>
            <w:shd w:val="clear" w:color="000000" w:fill="FFFFFF"/>
            <w:noWrap/>
            <w:vAlign w:val="bottom"/>
            <w:hideMark/>
          </w:tcPr>
          <w:p w:rsidR="00FF7D9A" w:rsidRPr="00FF7D9A" w:rsidRDefault="00FF7D9A" w:rsidP="00D30F38">
            <w:pPr>
              <w:jc w:val="center"/>
              <w:rPr>
                <w:rFonts w:ascii="Verdana" w:hAnsi="Verdana"/>
                <w:b/>
                <w:bCs/>
                <w:color w:val="000000"/>
                <w:sz w:val="16"/>
                <w:szCs w:val="16"/>
                <w:lang w:val="fr-FR"/>
              </w:rPr>
            </w:pPr>
            <w:r w:rsidRPr="00FF7D9A">
              <w:rPr>
                <w:rFonts w:ascii="Verdana" w:hAnsi="Verdana"/>
                <w:b/>
                <w:bCs/>
                <w:color w:val="000000"/>
                <w:sz w:val="16"/>
                <w:szCs w:val="16"/>
                <w:lang w:val="fr-FR"/>
              </w:rPr>
              <w:t>Norway</w:t>
            </w:r>
          </w:p>
        </w:tc>
        <w:tc>
          <w:tcPr>
            <w:tcW w:w="1804" w:type="dxa"/>
            <w:tcBorders>
              <w:top w:val="nil"/>
              <w:left w:val="nil"/>
              <w:bottom w:val="single" w:sz="8" w:space="0" w:color="auto"/>
              <w:right w:val="single" w:sz="8" w:space="0" w:color="auto"/>
            </w:tcBorders>
            <w:shd w:val="clear" w:color="000000" w:fill="FFFFFF"/>
            <w:noWrap/>
            <w:vAlign w:val="bottom"/>
            <w:hideMark/>
          </w:tcPr>
          <w:p w:rsidR="00FF7D9A" w:rsidRPr="00FF7D9A" w:rsidRDefault="00FF7D9A" w:rsidP="00FF7D9A">
            <w:pPr>
              <w:ind w:firstLineChars="100" w:firstLine="160"/>
              <w:jc w:val="right"/>
              <w:rPr>
                <w:rFonts w:ascii="Verdana" w:hAnsi="Verdana"/>
                <w:color w:val="000000"/>
                <w:sz w:val="16"/>
                <w:szCs w:val="16"/>
                <w:lang w:val="fr-FR"/>
              </w:rPr>
            </w:pPr>
            <w:r w:rsidRPr="00FF7D9A">
              <w:rPr>
                <w:rFonts w:ascii="Verdana" w:hAnsi="Verdana"/>
                <w:color w:val="000000"/>
                <w:sz w:val="16"/>
                <w:szCs w:val="16"/>
                <w:lang w:val="fr-FR"/>
              </w:rPr>
              <w:t>4 986</w:t>
            </w:r>
          </w:p>
        </w:tc>
        <w:tc>
          <w:tcPr>
            <w:tcW w:w="3261" w:type="dxa"/>
            <w:gridSpan w:val="4"/>
            <w:tcBorders>
              <w:top w:val="nil"/>
              <w:left w:val="nil"/>
              <w:bottom w:val="single" w:sz="8" w:space="0" w:color="auto"/>
              <w:right w:val="single" w:sz="8" w:space="0" w:color="auto"/>
            </w:tcBorders>
            <w:shd w:val="clear" w:color="000000" w:fill="FFFFFF"/>
            <w:noWrap/>
            <w:vAlign w:val="bottom"/>
            <w:hideMark/>
          </w:tcPr>
          <w:p w:rsidR="00FF7D9A" w:rsidRPr="00FF7D9A" w:rsidRDefault="00FF7D9A" w:rsidP="00FF7D9A">
            <w:pPr>
              <w:jc w:val="right"/>
              <w:rPr>
                <w:rFonts w:ascii="Verdana" w:hAnsi="Verdana"/>
                <w:color w:val="000000"/>
                <w:sz w:val="16"/>
                <w:szCs w:val="16"/>
                <w:lang w:val="fr-FR"/>
              </w:rPr>
            </w:pPr>
            <w:r w:rsidRPr="00FF7D9A">
              <w:rPr>
                <w:rFonts w:ascii="Verdana" w:hAnsi="Verdana"/>
                <w:color w:val="000000"/>
                <w:sz w:val="16"/>
                <w:szCs w:val="16"/>
                <w:lang w:val="fr-FR"/>
              </w:rPr>
              <w:t>36 813 €</w:t>
            </w:r>
          </w:p>
        </w:tc>
        <w:tc>
          <w:tcPr>
            <w:tcW w:w="1755" w:type="dxa"/>
            <w:gridSpan w:val="2"/>
            <w:tcBorders>
              <w:top w:val="nil"/>
              <w:left w:val="nil"/>
              <w:bottom w:val="nil"/>
              <w:right w:val="nil"/>
            </w:tcBorders>
            <w:shd w:val="clear" w:color="auto" w:fill="auto"/>
            <w:noWrap/>
            <w:vAlign w:val="bottom"/>
            <w:hideMark/>
          </w:tcPr>
          <w:p w:rsidR="00FF7D9A" w:rsidRPr="00FF7D9A" w:rsidRDefault="00FF7D9A" w:rsidP="00D30F38">
            <w:pPr>
              <w:rPr>
                <w:rFonts w:ascii="Verdana" w:hAnsi="Verdana"/>
                <w:color w:val="000000"/>
                <w:sz w:val="16"/>
                <w:szCs w:val="16"/>
                <w:lang w:val="fr-FR"/>
              </w:rPr>
            </w:pPr>
          </w:p>
        </w:tc>
      </w:tr>
    </w:tbl>
    <w:p w:rsidR="00291F43" w:rsidRPr="00A97643" w:rsidRDefault="00291F43" w:rsidP="00291F43">
      <w:pPr>
        <w:pStyle w:val="Nagwek2"/>
        <w:spacing w:after="180" w:line="276" w:lineRule="auto"/>
      </w:pPr>
      <w:bookmarkStart w:id="104" w:name="_Toc401325836"/>
      <w:r w:rsidRPr="00A97643">
        <w:t xml:space="preserve">ANNEX </w:t>
      </w:r>
      <w:r>
        <w:t>5</w:t>
      </w:r>
      <w:r w:rsidRPr="00A97643">
        <w:t xml:space="preserve"> </w:t>
      </w:r>
      <w:r>
        <w:t>Map of the Programme Area</w:t>
      </w:r>
      <w:bookmarkEnd w:id="104"/>
    </w:p>
    <w:p w:rsidR="00D30F38" w:rsidRDefault="00D30F38" w:rsidP="00FF7D9A">
      <w:pPr>
        <w:spacing w:line="360" w:lineRule="auto"/>
        <w:jc w:val="both"/>
      </w:pPr>
    </w:p>
    <w:p w:rsidR="00291F43" w:rsidRPr="00A97643" w:rsidRDefault="00E5202D" w:rsidP="00FF7D9A">
      <w:pPr>
        <w:spacing w:line="360" w:lineRule="auto"/>
        <w:jc w:val="both"/>
      </w:pPr>
      <w:r>
        <w:rPr>
          <w:noProof/>
          <w:lang w:val="pl-PL" w:eastAsia="pl-PL"/>
        </w:rPr>
        <w:drawing>
          <wp:inline distT="0" distB="0" distL="0" distR="0">
            <wp:extent cx="5760720" cy="8027380"/>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srcRect/>
                    <a:stretch>
                      <a:fillRect/>
                    </a:stretch>
                  </pic:blipFill>
                  <pic:spPr bwMode="auto">
                    <a:xfrm>
                      <a:off x="0" y="0"/>
                      <a:ext cx="5760720" cy="8027380"/>
                    </a:xfrm>
                    <a:prstGeom prst="rect">
                      <a:avLst/>
                    </a:prstGeom>
                    <a:noFill/>
                    <a:ln w="9525">
                      <a:noFill/>
                      <a:miter lim="800000"/>
                      <a:headEnd/>
                      <a:tailEnd/>
                    </a:ln>
                  </pic:spPr>
                </pic:pic>
              </a:graphicData>
            </a:graphic>
          </wp:inline>
        </w:drawing>
      </w:r>
    </w:p>
    <w:sectPr w:rsidR="00291F43" w:rsidRPr="00A97643" w:rsidSect="00FF01A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7B95" w:rsidRDefault="006F7B95" w:rsidP="007552F3">
      <w:r>
        <w:separator/>
      </w:r>
    </w:p>
    <w:p w:rsidR="006F7B95" w:rsidRDefault="006F7B95"/>
    <w:p w:rsidR="006F7B95" w:rsidRDefault="006F7B95" w:rsidP="00721521"/>
  </w:endnote>
  <w:endnote w:type="continuationSeparator" w:id="0">
    <w:p w:rsidR="006F7B95" w:rsidRDefault="006F7B95" w:rsidP="007552F3">
      <w:r>
        <w:continuationSeparator/>
      </w:r>
    </w:p>
    <w:p w:rsidR="006F7B95" w:rsidRDefault="006F7B95"/>
    <w:p w:rsidR="006F7B95" w:rsidRDefault="006F7B95" w:rsidP="007215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Leelawadee">
    <w:panose1 w:val="020B0502040204020203"/>
    <w:charset w:val="00"/>
    <w:family w:val="swiss"/>
    <w:pitch w:val="variable"/>
    <w:sig w:usb0="810000AF" w:usb1="4000204B" w:usb2="00000000" w:usb3="00000000" w:csb0="00010001" w:csb1="00000000"/>
  </w:font>
  <w:font w:name="Verdana">
    <w:panose1 w:val="020B0604030504040204"/>
    <w:charset w:val="EE"/>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rocoli">
    <w:altName w:val="Courier New"/>
    <w:charset w:val="59"/>
    <w:family w:val="auto"/>
    <w:pitch w:val="variable"/>
    <w:sig w:usb0="01020000" w:usb1="00000000" w:usb2="00000000" w:usb3="00000000" w:csb0="00000004" w:csb1="00000000"/>
  </w:font>
  <w:font w:name="HelveticaNeue-Roman">
    <w:altName w:val="55 Helvetica Roman"/>
    <w:panose1 w:val="00000000000000000000"/>
    <w:charset w:val="4D"/>
    <w:family w:val="auto"/>
    <w:notTrueType/>
    <w:pitch w:val="default"/>
    <w:sig w:usb0="03000000"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yriadPro-Bold">
    <w:altName w:val="Arial"/>
    <w:panose1 w:val="00000000000000000000"/>
    <w:charset w:val="00"/>
    <w:family w:val="swiss"/>
    <w:notTrueType/>
    <w:pitch w:val="default"/>
    <w:sig w:usb0="00000003" w:usb1="00000000" w:usb2="00000000" w:usb3="00000000" w:csb0="00000001" w:csb1="00000000"/>
  </w:font>
  <w:font w:name="MyriadPro-Regular">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
    <w:altName w:val="MS Mincho"/>
    <w:panose1 w:val="00000000000000000000"/>
    <w:charset w:val="80"/>
    <w:family w:val="auto"/>
    <w:notTrueType/>
    <w:pitch w:val="variable"/>
    <w:sig w:usb0="00000001" w:usb1="08070000" w:usb2="00000010" w:usb3="00000000" w:csb0="00020000" w:csb1="00000000"/>
  </w:font>
  <w:font w:name="Vijaya">
    <w:panose1 w:val="020B0604020202020204"/>
    <w:charset w:val="00"/>
    <w:family w:val="swiss"/>
    <w:pitch w:val="variable"/>
    <w:sig w:usb0="001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TT6Ao00">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368" w:rsidRDefault="00214368">
    <w:pPr>
      <w:pStyle w:val="Stopka"/>
      <w:jc w:val="right"/>
    </w:pPr>
    <w:r>
      <w:fldChar w:fldCharType="begin"/>
    </w:r>
    <w:r>
      <w:instrText xml:space="preserve"> PAGE   \* MERGEFORMAT </w:instrText>
    </w:r>
    <w:r>
      <w:fldChar w:fldCharType="separate"/>
    </w:r>
    <w:r w:rsidR="00762F13">
      <w:rPr>
        <w:noProof/>
      </w:rPr>
      <w:t>2</w:t>
    </w:r>
    <w:r>
      <w:rPr>
        <w:noProof/>
      </w:rPr>
      <w:fldChar w:fldCharType="end"/>
    </w:r>
  </w:p>
  <w:p w:rsidR="00214368" w:rsidRDefault="0021436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368" w:rsidRDefault="00214368">
    <w:pPr>
      <w:pStyle w:val="Stopka"/>
      <w:jc w:val="right"/>
    </w:pPr>
    <w:r>
      <w:fldChar w:fldCharType="begin"/>
    </w:r>
    <w:r>
      <w:instrText xml:space="preserve"> PAGE   \* MERGEFORMAT </w:instrText>
    </w:r>
    <w:r>
      <w:fldChar w:fldCharType="separate"/>
    </w:r>
    <w:r w:rsidR="00DB0EB4">
      <w:rPr>
        <w:noProof/>
      </w:rPr>
      <w:t>26</w:t>
    </w:r>
    <w:r>
      <w:rPr>
        <w:noProof/>
      </w:rPr>
      <w:fldChar w:fldCharType="end"/>
    </w:r>
  </w:p>
  <w:p w:rsidR="00214368" w:rsidRDefault="0021436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368" w:rsidRDefault="00214368">
    <w:pPr>
      <w:pStyle w:val="Stopka"/>
      <w:jc w:val="right"/>
    </w:pPr>
    <w:r>
      <w:fldChar w:fldCharType="begin"/>
    </w:r>
    <w:r>
      <w:instrText>PAGE   \* MERGEFORMAT</w:instrText>
    </w:r>
    <w:r>
      <w:fldChar w:fldCharType="separate"/>
    </w:r>
    <w:r w:rsidR="00DB0EB4" w:rsidRPr="00DB0EB4">
      <w:rPr>
        <w:noProof/>
        <w:lang w:val="fr-FR"/>
      </w:rPr>
      <w:t>31</w:t>
    </w:r>
    <w:r>
      <w:rPr>
        <w:noProof/>
        <w:lang w:val="fr-FR"/>
      </w:rPr>
      <w:fldChar w:fldCharType="end"/>
    </w:r>
  </w:p>
  <w:p w:rsidR="00214368" w:rsidRDefault="00214368">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368" w:rsidRDefault="00214368">
    <w:pPr>
      <w:pStyle w:val="Stopka"/>
      <w:jc w:val="right"/>
    </w:pPr>
    <w:r>
      <w:fldChar w:fldCharType="begin"/>
    </w:r>
    <w:r>
      <w:instrText>PAGE   \* MERGEFORMAT</w:instrText>
    </w:r>
    <w:r>
      <w:fldChar w:fldCharType="separate"/>
    </w:r>
    <w:r w:rsidR="00DB0EB4" w:rsidRPr="00DB0EB4">
      <w:rPr>
        <w:noProof/>
        <w:lang w:val="fr-FR"/>
      </w:rPr>
      <w:t>70</w:t>
    </w:r>
    <w:r>
      <w:rPr>
        <w:noProof/>
        <w:lang w:val="fr-FR"/>
      </w:rPr>
      <w:fldChar w:fldCharType="end"/>
    </w:r>
  </w:p>
  <w:p w:rsidR="00214368" w:rsidRDefault="0021436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7B95" w:rsidRDefault="006F7B95" w:rsidP="007552F3">
      <w:r>
        <w:separator/>
      </w:r>
    </w:p>
    <w:p w:rsidR="006F7B95" w:rsidRDefault="006F7B95"/>
    <w:p w:rsidR="006F7B95" w:rsidRDefault="006F7B95" w:rsidP="00721521"/>
  </w:footnote>
  <w:footnote w:type="continuationSeparator" w:id="0">
    <w:p w:rsidR="006F7B95" w:rsidRDefault="006F7B95" w:rsidP="007552F3">
      <w:r>
        <w:continuationSeparator/>
      </w:r>
    </w:p>
    <w:p w:rsidR="006F7B95" w:rsidRDefault="006F7B95"/>
    <w:p w:rsidR="006F7B95" w:rsidRDefault="006F7B95" w:rsidP="00721521"/>
  </w:footnote>
  <w:footnote w:id="1">
    <w:p w:rsidR="00214368" w:rsidRPr="00717C94" w:rsidRDefault="00214368" w:rsidP="00717C94">
      <w:pPr>
        <w:pStyle w:val="Tekstprzypisudolnego"/>
      </w:pPr>
      <w:r>
        <w:rPr>
          <w:rStyle w:val="Odwoanieprzypisudolnego"/>
        </w:rPr>
        <w:footnoteRef/>
      </w:r>
      <w:r>
        <w:t xml:space="preserve"> </w:t>
      </w:r>
      <w:r w:rsidRPr="00717C94">
        <w:t>The five overarching targets h</w:t>
      </w:r>
      <w:r>
        <w:t>ave been set are the following:</w:t>
      </w:r>
    </w:p>
    <w:p w:rsidR="00214368" w:rsidRDefault="00214368">
      <w:pPr>
        <w:pStyle w:val="Tekstprzypisudolnego"/>
      </w:pPr>
      <w:r>
        <w:t xml:space="preserve">a/ </w:t>
      </w:r>
      <w:r w:rsidRPr="00717C94">
        <w:t>Employment: 75% of the 20-64 year-olds to be employed</w:t>
      </w:r>
    </w:p>
    <w:p w:rsidR="00214368" w:rsidRDefault="00214368">
      <w:pPr>
        <w:pStyle w:val="Tekstprzypisudolnego"/>
      </w:pPr>
      <w:r>
        <w:t xml:space="preserve">b/ </w:t>
      </w:r>
      <w:r w:rsidRPr="00717C94">
        <w:t>R&amp;D / innovation: 3% of the EU's GDP (public and private combined) to be invested in R&amp;D/innovation</w:t>
      </w:r>
    </w:p>
    <w:p w:rsidR="00214368" w:rsidRDefault="00214368">
      <w:pPr>
        <w:pStyle w:val="Tekstprzypisudolnego"/>
      </w:pPr>
      <w:r>
        <w:t xml:space="preserve">c/ </w:t>
      </w:r>
      <w:r w:rsidRPr="00717C94">
        <w:t xml:space="preserve">The 20/20/20 Climate change / energy target: greenhouse gas emissions 20% (or even 30%, if the conditions are right) lower than 1990; 20% of energy from renewable sources; 20% increase in energy efficiency  </w:t>
      </w:r>
    </w:p>
    <w:p w:rsidR="00214368" w:rsidRDefault="00214368">
      <w:pPr>
        <w:pStyle w:val="Tekstprzypisudolnego"/>
      </w:pPr>
      <w:r>
        <w:t xml:space="preserve">d/ </w:t>
      </w:r>
      <w:r w:rsidRPr="00717C94">
        <w:t>Education: Reducing school drop-out rates below 10% and at least 40% of 30-34–year-olds completing third level education</w:t>
      </w:r>
    </w:p>
    <w:p w:rsidR="00214368" w:rsidRDefault="00214368">
      <w:pPr>
        <w:pStyle w:val="Tekstprzypisudolnego"/>
      </w:pPr>
      <w:r>
        <w:t xml:space="preserve">e/ </w:t>
      </w:r>
      <w:r w:rsidRPr="00717C94">
        <w:t>Poverty / social exclusion at least 20 million fewer people in or at risk of poverty and social exclusion</w:t>
      </w:r>
    </w:p>
    <w:p w:rsidR="00214368" w:rsidRPr="00717C94" w:rsidRDefault="00214368" w:rsidP="00717C94">
      <w:pPr>
        <w:pStyle w:val="Tekstprzypisudolnego"/>
        <w:ind w:left="284" w:hanging="284"/>
      </w:pPr>
    </w:p>
  </w:footnote>
  <w:footnote w:id="2">
    <w:p w:rsidR="00214368" w:rsidRDefault="00214368" w:rsidP="00C17DB5">
      <w:pPr>
        <w:pStyle w:val="Tekstprzypisudolnego"/>
        <w:spacing w:after="100"/>
      </w:pPr>
      <w:r w:rsidRPr="000B5167">
        <w:rPr>
          <w:rStyle w:val="Odwoanieprzypisudolnego"/>
        </w:rPr>
        <w:footnoteRef/>
      </w:r>
      <w:r>
        <w:t xml:space="preserve"> </w:t>
      </w:r>
      <w:r w:rsidRPr="00CF6F3D">
        <w:t>The Territorial Agenda of the European Union</w:t>
      </w:r>
      <w:r>
        <w:t xml:space="preserve"> </w:t>
      </w:r>
      <w:r w:rsidRPr="00CF6F3D">
        <w:t>(http://www.eu-territorial-agenda.eu/Reference%20Documents/Final%20TA2020.pdf) defines six territorial priorities: promote polycentric and balanced territorial development; encouraging integrated development in cities, rural and specific areas; territorial integration in cross-border and transnational functional regions; ensuring global competiveness of the regions based on strong local economies; improving territorial connectivity for individuals, communities and enterprises; and managing and connecting ecological, landscape and cultural values of regions</w:t>
      </w:r>
      <w:r>
        <w:t>;</w:t>
      </w:r>
    </w:p>
    <w:p w:rsidR="00214368" w:rsidRPr="000B5167" w:rsidRDefault="00214368" w:rsidP="00C17DB5">
      <w:pPr>
        <w:pStyle w:val="Tekstprzypisudolnego"/>
        <w:spacing w:after="100"/>
      </w:pPr>
    </w:p>
  </w:footnote>
  <w:footnote w:id="3">
    <w:p w:rsidR="00214368" w:rsidRPr="000B5167" w:rsidRDefault="00214368" w:rsidP="00C17DB5">
      <w:pPr>
        <w:pStyle w:val="Tekstprzypisudolnego"/>
      </w:pPr>
      <w:r w:rsidRPr="000B5167">
        <w:rPr>
          <w:rStyle w:val="Odwoanieprzypisudolnego"/>
        </w:rPr>
        <w:footnoteRef/>
      </w:r>
      <w:r>
        <w:t xml:space="preserve"> Common provision  for ERDF, ESF, CF, EAFRD, EMFF and specific regulations for  ERDF, ESF, European </w:t>
      </w:r>
      <w:r w:rsidRPr="000B5167">
        <w:t>territorial cooperation regulations</w:t>
      </w:r>
      <w:r>
        <w:t>.</w:t>
      </w:r>
      <w:r w:rsidRPr="00210F3D">
        <w:t xml:space="preserve"> </w:t>
      </w:r>
      <w:r w:rsidRPr="000B5167">
        <w:t xml:space="preserve">See </w:t>
      </w:r>
      <w:hyperlink r:id="rId1" w:history="1">
        <w:r w:rsidRPr="000B5167">
          <w:rPr>
            <w:rStyle w:val="Hipercze"/>
          </w:rPr>
          <w:t>http://ec.europa.eu/regional_policy/what/future/index_en.cfm</w:t>
        </w:r>
      </w:hyperlink>
      <w:r>
        <w:t xml:space="preserve"> </w:t>
      </w:r>
    </w:p>
  </w:footnote>
  <w:footnote w:id="4">
    <w:p w:rsidR="00214368" w:rsidRPr="00A760F0" w:rsidRDefault="00214368" w:rsidP="00C17DB5">
      <w:pPr>
        <w:pStyle w:val="Tekstprzypisudolnego"/>
      </w:pPr>
      <w:r>
        <w:rPr>
          <w:rStyle w:val="Odwoanieprzypisudolnego"/>
        </w:rPr>
        <w:footnoteRef/>
      </w:r>
      <w:r>
        <w:t xml:space="preserve">  </w:t>
      </w:r>
      <w:r w:rsidRPr="000B5167">
        <w:t xml:space="preserve">See </w:t>
      </w:r>
      <w:hyperlink r:id="rId2" w:history="1">
        <w:r w:rsidRPr="000B5167">
          <w:rPr>
            <w:rStyle w:val="Hipercze"/>
          </w:rPr>
          <w:t>http://ec.europa.eu/regional_policy/what/future/index_en.cfm</w:t>
        </w:r>
      </w:hyperlink>
      <w:r>
        <w:t xml:space="preserve"> for</w:t>
      </w:r>
      <w:r w:rsidRPr="007057A3">
        <w:t xml:space="preserve"> specific provisions for the support from the European Regional Development Fund to the European territorial cooperation goal</w:t>
      </w:r>
    </w:p>
  </w:footnote>
  <w:footnote w:id="5">
    <w:p w:rsidR="00214368" w:rsidRPr="00C70BDE" w:rsidRDefault="00214368" w:rsidP="00C17DB5">
      <w:pPr>
        <w:pStyle w:val="Tekstprzypisudolnego"/>
        <w:rPr>
          <w:lang w:val="en-US"/>
        </w:rPr>
      </w:pPr>
      <w:r>
        <w:rPr>
          <w:rStyle w:val="Odwoanieprzypisudolnego"/>
        </w:rPr>
        <w:footnoteRef/>
      </w:r>
      <w:r>
        <w:t xml:space="preserve">  </w:t>
      </w:r>
      <w:r w:rsidRPr="00A760F0">
        <w:t xml:space="preserve">Common provision  for ERDF, ESF, CF, EAFRD, EMFF and specific regulations for  ERDF, ESF, European territorial cooperation regulations. See </w:t>
      </w:r>
      <w:hyperlink r:id="rId3" w:history="1">
        <w:r w:rsidRPr="00A760F0">
          <w:rPr>
            <w:rStyle w:val="Hipercze"/>
          </w:rPr>
          <w:t>http://ec.europa.eu/regional_policy/what/future/index_en.cfm</w:t>
        </w:r>
      </w:hyperlink>
    </w:p>
  </w:footnote>
  <w:footnote w:id="6">
    <w:p w:rsidR="00214368" w:rsidRPr="000B5167" w:rsidRDefault="00214368" w:rsidP="00C17DB5">
      <w:pPr>
        <w:pStyle w:val="Tekstprzypisudolnego"/>
        <w:spacing w:before="2" w:after="2"/>
      </w:pPr>
      <w:r w:rsidRPr="000B5167">
        <w:rPr>
          <w:rStyle w:val="Odwoanieprzypisudolnego"/>
        </w:rPr>
        <w:footnoteRef/>
      </w:r>
      <w:r w:rsidRPr="000B5167">
        <w:t xml:space="preserve"> Europ</w:t>
      </w:r>
      <w:r>
        <w:t>ean Union Regional Policy October 2011 “</w:t>
      </w:r>
      <w:r w:rsidRPr="000B5167">
        <w:t>Cities of Tomorrow: challenges, visions, ways forward</w:t>
      </w:r>
      <w:r>
        <w:t>”</w:t>
      </w:r>
      <w:r w:rsidRPr="000B5167">
        <w:t xml:space="preserve">  </w:t>
      </w:r>
      <w:hyperlink r:id="rId4" w:history="1">
        <w:r w:rsidRPr="00FA277C">
          <w:rPr>
            <w:rStyle w:val="Hipercze"/>
          </w:rPr>
          <w:t>http://ec.europa.eu/regional_policy/sources/docgener/studies/pdf/citiesoftomorrow/citiesoftomorrow_final</w:t>
        </w:r>
      </w:hyperlink>
      <w:r w:rsidRPr="00952C97">
        <w:rPr>
          <w:rStyle w:val="Hipercze"/>
        </w:rPr>
        <w:t>.pdf</w:t>
      </w:r>
    </w:p>
  </w:footnote>
  <w:footnote w:id="7">
    <w:p w:rsidR="00214368" w:rsidRPr="000B5167" w:rsidRDefault="00214368" w:rsidP="00C17DB5">
      <w:pPr>
        <w:pStyle w:val="Tekstprzypisudolnego"/>
      </w:pPr>
      <w:r w:rsidRPr="000B5167">
        <w:rPr>
          <w:rStyle w:val="Odwoanieprzypisudolnego"/>
        </w:rPr>
        <w:footnoteRef/>
      </w:r>
      <w:r w:rsidRPr="000B5167">
        <w:t xml:space="preserve">  </w:t>
      </w:r>
      <w:r>
        <w:t xml:space="preserve">“Cities of tomorrow: </w:t>
      </w:r>
      <w:r w:rsidRPr="000B5167">
        <w:t>challenges, visions, ways forward</w:t>
      </w:r>
      <w:r>
        <w:t>”</w:t>
      </w:r>
      <w:r w:rsidRPr="000B5167">
        <w:t xml:space="preserve">  </w:t>
      </w:r>
      <w:r>
        <w:t xml:space="preserve"> see above</w:t>
      </w:r>
    </w:p>
  </w:footnote>
  <w:footnote w:id="8">
    <w:p w:rsidR="00214368" w:rsidRDefault="00214368" w:rsidP="00C17DB5">
      <w:pPr>
        <w:pStyle w:val="Tekstprzypisudolnego"/>
      </w:pPr>
      <w:r>
        <w:rPr>
          <w:rStyle w:val="Odwoanieprzypisudolnego"/>
        </w:rPr>
        <w:footnoteRef/>
      </w:r>
      <w:r>
        <w:t xml:space="preserve">   </w:t>
      </w:r>
      <w:r w:rsidRPr="000B5167">
        <w:t xml:space="preserve">European Union Regional Policy </w:t>
      </w:r>
      <w:r>
        <w:t>2011 “</w:t>
      </w:r>
      <w:r w:rsidRPr="000B5167">
        <w:t>Cities of Tomorrow: challenges, visions, ways forward</w:t>
      </w:r>
      <w:r>
        <w:t>”, p.3 (</w:t>
      </w:r>
      <w:hyperlink r:id="rId5" w:history="1">
        <w:r w:rsidRPr="00FA277C">
          <w:rPr>
            <w:rStyle w:val="Hipercze"/>
          </w:rPr>
          <w:t>http://ec.europa.eu/regional_policy/sources/docgener/studies/pdf/citiesoftomorrow/citiesoftomorrow_final</w:t>
        </w:r>
      </w:hyperlink>
      <w:r>
        <w:t>.p</w:t>
      </w:r>
      <w:r w:rsidRPr="000B5167">
        <w:t>df</w:t>
      </w:r>
      <w:r>
        <w:t>).  Cities above 50 000 are defined as clusters of grid cells of at least 1500 inhabitants per km2.  Areas outside urban agglomerations are defined as suburbs and towns if they are located in urban clusters of cells with density above 300 inhabitants per km2 and a total cluster population of at least 5000.  Rural areas are the remainder. Data of EU 27 has been extended by estimation for the Croatian cities and rural areas, based on the 2011 Census data, referring to the “Grad” definition of cities.</w:t>
      </w:r>
    </w:p>
  </w:footnote>
  <w:footnote w:id="9">
    <w:p w:rsidR="00214368" w:rsidRPr="006B697E" w:rsidRDefault="00214368">
      <w:pPr>
        <w:pStyle w:val="Tekstprzypisudolnego"/>
      </w:pPr>
      <w:r>
        <w:rPr>
          <w:rStyle w:val="Odwoanieprzypisudolnego"/>
        </w:rPr>
        <w:footnoteRef/>
      </w:r>
      <w:r>
        <w:t xml:space="preserve"> Document created by ESPON for URBACT III – 6</w:t>
      </w:r>
      <w:r w:rsidRPr="00185F6E">
        <w:rPr>
          <w:vertAlign w:val="superscript"/>
        </w:rPr>
        <w:t>th</w:t>
      </w:r>
      <w:r>
        <w:t xml:space="preserve"> February 2014</w:t>
      </w:r>
    </w:p>
  </w:footnote>
  <w:footnote w:id="10">
    <w:p w:rsidR="00214368" w:rsidRDefault="00214368" w:rsidP="00C17DB5">
      <w:pPr>
        <w:pStyle w:val="Tekstprzypisudolnego"/>
      </w:pPr>
      <w:r>
        <w:rPr>
          <w:rStyle w:val="Odwoanieprzypisudolnego"/>
        </w:rPr>
        <w:footnoteRef/>
      </w:r>
      <w:r>
        <w:t xml:space="preserve"> Extract of a table: </w:t>
      </w:r>
      <w:r w:rsidRPr="000B5167">
        <w:t xml:space="preserve">European Union Regional Policy </w:t>
      </w:r>
      <w:r>
        <w:t>2011 “</w:t>
      </w:r>
      <w:r w:rsidRPr="000B5167">
        <w:t>Cities of Tomorrow: challenges, visions, ways forward</w:t>
      </w:r>
      <w:r>
        <w:t>”, p.94 (</w:t>
      </w:r>
      <w:hyperlink r:id="rId6" w:history="1">
        <w:r w:rsidRPr="00FA277C">
          <w:rPr>
            <w:rStyle w:val="Hipercze"/>
          </w:rPr>
          <w:t>http://ec.europa.eu/regional_policy/sources/docgener/studies/pdf/citiesoftomorrow/citiesoftomorrow_final</w:t>
        </w:r>
      </w:hyperlink>
      <w:r>
        <w:t>.p</w:t>
      </w:r>
      <w:r w:rsidRPr="000B5167">
        <w:t>df)</w:t>
      </w:r>
      <w:r>
        <w:t xml:space="preserve">.  </w:t>
      </w:r>
    </w:p>
  </w:footnote>
  <w:footnote w:id="11">
    <w:p w:rsidR="00214368" w:rsidRDefault="00214368" w:rsidP="00C17DB5">
      <w:pPr>
        <w:pStyle w:val="Tekstprzypisudolnego"/>
      </w:pPr>
      <w:r w:rsidRPr="003D7EA1">
        <w:rPr>
          <w:rStyle w:val="Odwoanieprzypisudolnego"/>
        </w:rPr>
        <w:footnoteRef/>
      </w:r>
      <w:r>
        <w:t xml:space="preserve">  </w:t>
      </w:r>
      <w:r w:rsidRPr="003D7EA1">
        <w:t xml:space="preserve"> </w:t>
      </w:r>
      <w:r>
        <w:t>URBACT Nov 2010 “URBACT cities facing the crisis: impact and responses” URBACT</w:t>
      </w:r>
    </w:p>
    <w:p w:rsidR="00214368" w:rsidRPr="003D7EA1" w:rsidRDefault="00214368" w:rsidP="00C17DB5">
      <w:pPr>
        <w:pStyle w:val="Tekstprzypisudolnego"/>
      </w:pPr>
      <w:r w:rsidRPr="003D7EA1">
        <w:t>http://urbact.eu/fileadmin/general_library/Crise_urbact__16-11_web.pdf</w:t>
      </w:r>
    </w:p>
  </w:footnote>
  <w:footnote w:id="12">
    <w:p w:rsidR="00214368" w:rsidRPr="003D7EA1" w:rsidRDefault="00214368" w:rsidP="00C17DB5">
      <w:pPr>
        <w:pStyle w:val="Tekstprzypisudolnego"/>
      </w:pPr>
      <w:r w:rsidRPr="003D7EA1">
        <w:rPr>
          <w:rStyle w:val="Odwoanieprzypisudolnego"/>
        </w:rPr>
        <w:footnoteRef/>
      </w:r>
      <w:r w:rsidRPr="003D7EA1">
        <w:t xml:space="preserve"> Source DG Regio/Eurostat </w:t>
      </w:r>
      <w:r>
        <w:t xml:space="preserve"> </w:t>
      </w:r>
    </w:p>
  </w:footnote>
  <w:footnote w:id="13">
    <w:p w:rsidR="00214368" w:rsidRPr="003D7EA1" w:rsidRDefault="00214368" w:rsidP="00C17DB5">
      <w:pPr>
        <w:pStyle w:val="Tekstprzypisudolnego"/>
      </w:pPr>
      <w:r w:rsidRPr="003D7EA1">
        <w:rPr>
          <w:rStyle w:val="Odwoanieprzypisudolnego"/>
        </w:rPr>
        <w:footnoteRef/>
      </w:r>
      <w:r w:rsidRPr="003D7EA1">
        <w:t xml:space="preserve"> </w:t>
      </w:r>
      <w:r w:rsidRPr="000B5167">
        <w:t xml:space="preserve">European Union Regional Policy </w:t>
      </w:r>
      <w:r>
        <w:t>2011 “</w:t>
      </w:r>
      <w:r w:rsidRPr="000B5167">
        <w:t>Cities of Tomorrow: challenges, visions, ways forward</w:t>
      </w:r>
      <w:r>
        <w:t>”, p. 15 (</w:t>
      </w:r>
      <w:hyperlink r:id="rId7" w:history="1">
        <w:r w:rsidRPr="00FA277C">
          <w:rPr>
            <w:rStyle w:val="Hipercze"/>
          </w:rPr>
          <w:t>http://ec.europa.eu/regional_policy/sources/docgener/studies/pdf/citiesoftomorrow/citiesoftomorrow_final</w:t>
        </w:r>
      </w:hyperlink>
      <w:r>
        <w:t>.p</w:t>
      </w:r>
      <w:r w:rsidRPr="000B5167">
        <w:t xml:space="preserve">df </w:t>
      </w:r>
      <w:r>
        <w:t>)</w:t>
      </w:r>
    </w:p>
  </w:footnote>
  <w:footnote w:id="14">
    <w:p w:rsidR="00214368" w:rsidRPr="003D7EA1" w:rsidRDefault="00214368" w:rsidP="00C17DB5">
      <w:pPr>
        <w:pStyle w:val="Tekstprzypisudolnego"/>
        <w:jc w:val="left"/>
      </w:pPr>
      <w:r w:rsidRPr="003D7EA1">
        <w:rPr>
          <w:rStyle w:val="Odwoanieprzypisudolnego"/>
        </w:rPr>
        <w:footnoteRef/>
      </w:r>
      <w:r>
        <w:t xml:space="preserve"> Hans Schlappa and William Neil, June </w:t>
      </w:r>
      <w:r w:rsidRPr="003D7EA1">
        <w:t>2013</w:t>
      </w:r>
      <w:r>
        <w:t xml:space="preserve"> in Thematic report </w:t>
      </w:r>
      <w:r w:rsidRPr="003D7EA1">
        <w:t xml:space="preserve"> </w:t>
      </w:r>
      <w:r>
        <w:t>‘</w:t>
      </w:r>
      <w:r w:rsidRPr="0009428D">
        <w:t>Cities of Tomorr</w:t>
      </w:r>
      <w:r>
        <w:t xml:space="preserve">ow, Action Today: </w:t>
      </w:r>
      <w:r w:rsidRPr="003D7EA1">
        <w:t>From crisis to choice re-imagining the future in Shrinking Cities</w:t>
      </w:r>
      <w:r>
        <w:t xml:space="preserve">:’’ </w:t>
      </w:r>
      <w:hyperlink r:id="rId8" w:history="1">
        <w:r w:rsidRPr="003D7EA1">
          <w:rPr>
            <w:rStyle w:val="Hipercze"/>
          </w:rPr>
          <w:t>http://urbact.eu/fileadmin/general_library/19765_Urbact_WS1_SHRINKING_low_FINAL.pdf</w:t>
        </w:r>
      </w:hyperlink>
    </w:p>
  </w:footnote>
  <w:footnote w:id="15">
    <w:p w:rsidR="00214368" w:rsidRPr="003D7EA1" w:rsidRDefault="00214368" w:rsidP="00C17DB5">
      <w:pPr>
        <w:pStyle w:val="Tekstprzypisudolnego"/>
      </w:pPr>
      <w:r w:rsidRPr="003D7EA1">
        <w:rPr>
          <w:rStyle w:val="Odwoanieprzypisudolnego"/>
        </w:rPr>
        <w:footnoteRef/>
      </w:r>
      <w:r w:rsidRPr="003D7EA1">
        <w:t xml:space="preserve"> </w:t>
      </w:r>
      <w:r w:rsidRPr="00C3213F">
        <w:rPr>
          <w:lang w:val="en-US"/>
        </w:rPr>
        <w:t xml:space="preserve">In </w:t>
      </w:r>
      <w:r w:rsidRPr="00073BAA">
        <w:t xml:space="preserve">the European Union the size of the working age population (age group 15-64) was 328 million in 2005. This group [according to forecasts] will start to shrink after the year 2015 reaching 314 million in </w:t>
      </w:r>
      <w:r>
        <w:t xml:space="preserve">2025 and 268 million in 2050. </w:t>
      </w:r>
      <w:r w:rsidRPr="00073BAA">
        <w:t xml:space="preserve">At constant labour force participation rates the number of economically active people would shrink from 235 to 188 million in 2050. In the absence of any international migration this decline would be even larger. (Source, </w:t>
      </w:r>
      <w:hyperlink r:id="rId9" w:history="1">
        <w:r w:rsidRPr="00073BAA">
          <w:t xml:space="preserve"> Rainer Munz, 2007 ‘Europe: Population change and its consequences. An overview’</w:t>
        </w:r>
        <w:r w:rsidRPr="00073BAA">
          <w:rPr>
            <w:rStyle w:val="Hipercze"/>
          </w:rPr>
          <w:t xml:space="preserve"> tp://www.berlin-institut.org/online-handbuchdemografie/bevoelkerungsdynamik/regionale-dynamik/europa.html</w:t>
        </w:r>
      </w:hyperlink>
      <w:r>
        <w:t>)</w:t>
      </w:r>
    </w:p>
  </w:footnote>
  <w:footnote w:id="16">
    <w:p w:rsidR="00214368" w:rsidRPr="00C17DB5" w:rsidRDefault="00214368" w:rsidP="00C17DB5">
      <w:pPr>
        <w:rPr>
          <w:sz w:val="20"/>
          <w:szCs w:val="20"/>
        </w:rPr>
      </w:pPr>
      <w:r w:rsidRPr="0009428D">
        <w:rPr>
          <w:rStyle w:val="Odwoanieprzypisudolnego"/>
          <w:rFonts w:eastAsia="SimSun"/>
          <w:sz w:val="20"/>
          <w:szCs w:val="20"/>
        </w:rPr>
        <w:footnoteRef/>
      </w:r>
      <w:r w:rsidRPr="00C17DB5">
        <w:rPr>
          <w:sz w:val="20"/>
          <w:szCs w:val="20"/>
        </w:rPr>
        <w:t xml:space="preserve"> In a number of different types of cities from Northern, Southern and Western Europe, urban employment rates are below the national averages. With regard to social cohesion, an urban paradox is therefore apparent in that the employment rates of the resident population are relatively low in many cities, i.e. in those places where jobs are concentrated” (Source: RWI et al  2010 ‘The Second  State of European Cities’ DG Regio </w:t>
      </w:r>
      <w:hyperlink r:id="rId10" w:history="1">
        <w:r w:rsidRPr="00C17DB5">
          <w:rPr>
            <w:rStyle w:val="Hipercze"/>
            <w:szCs w:val="20"/>
          </w:rPr>
          <w:t>http://ec.europa.eu/regional_policy/sources/docgener/studies/pdf/urban/stateofcities_2010.pdf</w:t>
        </w:r>
      </w:hyperlink>
    </w:p>
  </w:footnote>
  <w:footnote w:id="17">
    <w:p w:rsidR="00214368" w:rsidRPr="0009428D" w:rsidRDefault="00214368" w:rsidP="00DA75CF">
      <w:pPr>
        <w:pStyle w:val="Tekstprzypisudolnego"/>
      </w:pPr>
      <w:r w:rsidRPr="0009428D">
        <w:rPr>
          <w:rStyle w:val="Odwoanieprzypisudolnego"/>
        </w:rPr>
        <w:footnoteRef/>
      </w:r>
      <w:r w:rsidRPr="0009428D">
        <w:t xml:space="preserve"> </w:t>
      </w:r>
      <w:r w:rsidRPr="000B5167">
        <w:t xml:space="preserve">European Union Regional Policy </w:t>
      </w:r>
      <w:r>
        <w:t>2011 “</w:t>
      </w:r>
      <w:r w:rsidRPr="000B5167">
        <w:t>Cities of Tomorrow: challenges, visions, ways forward</w:t>
      </w:r>
      <w:r>
        <w:t>”, p.22-26 (</w:t>
      </w:r>
      <w:hyperlink r:id="rId11" w:history="1">
        <w:r w:rsidRPr="00FA277C">
          <w:rPr>
            <w:rStyle w:val="Hipercze"/>
          </w:rPr>
          <w:t>http://ec.europa.eu/regional_policy/sources/docgener/studies/pdf/citiesoftomorrow/citiesoftomorrow_final</w:t>
        </w:r>
      </w:hyperlink>
      <w:r>
        <w:t>.p</w:t>
      </w:r>
      <w:r w:rsidRPr="000B5167">
        <w:t xml:space="preserve">df </w:t>
      </w:r>
      <w:r>
        <w:t>)</w:t>
      </w:r>
    </w:p>
  </w:footnote>
  <w:footnote w:id="18">
    <w:p w:rsidR="00214368" w:rsidRDefault="00214368" w:rsidP="00DA75CF">
      <w:pPr>
        <w:pStyle w:val="Tekstprzypisudolnego"/>
      </w:pPr>
      <w:r>
        <w:rPr>
          <w:rStyle w:val="Odwoanieprzypisudolnego"/>
        </w:rPr>
        <w:footnoteRef/>
      </w:r>
      <w:r>
        <w:t xml:space="preserve"> Eddy Adams and Robert Arnkil, </w:t>
      </w:r>
      <w:r w:rsidRPr="0009428D">
        <w:t xml:space="preserve">URBACT II June 2013 </w:t>
      </w:r>
      <w:r>
        <w:t xml:space="preserve">in </w:t>
      </w:r>
      <w:r w:rsidRPr="0009428D">
        <w:t>T</w:t>
      </w:r>
      <w:r>
        <w:t>hematic report “</w:t>
      </w:r>
      <w:r w:rsidRPr="0009428D">
        <w:t>Cities of Tomorr</w:t>
      </w:r>
      <w:r>
        <w:t>ow, Action Today: supporting urban youth through social innovation: stronger together”:</w:t>
      </w:r>
    </w:p>
    <w:p w:rsidR="00214368" w:rsidRPr="000955BC" w:rsidRDefault="00214368" w:rsidP="00DA75CF">
      <w:pPr>
        <w:pStyle w:val="Tekstprzypisudolnego"/>
      </w:pPr>
      <w:r>
        <w:t xml:space="preserve"> </w:t>
      </w:r>
      <w:hyperlink r:id="rId12" w:history="1">
        <w:r w:rsidRPr="00777904">
          <w:rPr>
            <w:rStyle w:val="Hipercze"/>
          </w:rPr>
          <w:t>http://urbact.eu/fileadmin/general_library/19765_Urbact_WS3_YOUTH_low_Final.pdf</w:t>
        </w:r>
      </w:hyperlink>
      <w:r>
        <w:t xml:space="preserve">   </w:t>
      </w:r>
    </w:p>
  </w:footnote>
  <w:footnote w:id="19">
    <w:p w:rsidR="00214368" w:rsidRDefault="00214368" w:rsidP="00C17DB5">
      <w:pPr>
        <w:pStyle w:val="Tekstprzypisudolnego"/>
      </w:pPr>
      <w:r w:rsidRPr="0009428D">
        <w:rPr>
          <w:rStyle w:val="Odwoanieprzypisudolnego"/>
        </w:rPr>
        <w:footnoteRef/>
      </w:r>
      <w:r w:rsidRPr="00A27A11">
        <w:t xml:space="preserve"> Laura Colini, Darinka Czischke, Simon Güntner, </w:t>
      </w:r>
      <w:r>
        <w:t xml:space="preserve">Iván Tosics and Peter Ramsden, </w:t>
      </w:r>
      <w:r w:rsidRPr="0009428D">
        <w:t xml:space="preserve">URBACT II June 2013 </w:t>
      </w:r>
      <w:r>
        <w:t xml:space="preserve">in </w:t>
      </w:r>
      <w:r w:rsidRPr="0009428D">
        <w:t>T</w:t>
      </w:r>
      <w:r>
        <w:t>hematic report “</w:t>
      </w:r>
      <w:r w:rsidRPr="0009428D">
        <w:t>Cities of Tomorr</w:t>
      </w:r>
      <w:r>
        <w:t>ow, Action Today: Against divided cities in Europe”</w:t>
      </w:r>
      <w:r w:rsidRPr="0009428D">
        <w:t>:</w:t>
      </w:r>
    </w:p>
    <w:p w:rsidR="00214368" w:rsidRPr="00A27A11" w:rsidRDefault="00214368" w:rsidP="00C17DB5">
      <w:pPr>
        <w:pStyle w:val="Tekstprzypisudolnego"/>
      </w:pPr>
      <w:r w:rsidRPr="00A27A11">
        <w:rPr>
          <w:lang w:val="en-US"/>
        </w:rPr>
        <w:t>http://urbact.eu/fileadmin/general_library/19765_Urbact_WS4_DIVIDED_low_FINAL.pdf</w:t>
      </w:r>
    </w:p>
  </w:footnote>
  <w:footnote w:id="20">
    <w:p w:rsidR="00214368" w:rsidRPr="0009428D" w:rsidRDefault="00214368" w:rsidP="00C17DB5">
      <w:pPr>
        <w:pStyle w:val="Tekstprzypisudolnego"/>
      </w:pPr>
      <w:r w:rsidRPr="0009428D">
        <w:rPr>
          <w:rStyle w:val="Odwoanieprzypisudolnego"/>
        </w:rPr>
        <w:footnoteRef/>
      </w:r>
      <w:r w:rsidRPr="0009428D">
        <w:t xml:space="preserve"> </w:t>
      </w:r>
      <w:r>
        <w:t xml:space="preserve">Fabrizio Barca 2009 An Agenda for a reformed cohesion policy: a place based approach for meeting European Union challenges and expectations, DG REGIO </w:t>
      </w:r>
      <w:hyperlink r:id="rId13" w:history="1">
        <w:r w:rsidRPr="00017FC9">
          <w:rPr>
            <w:color w:val="0000FF"/>
            <w:sz w:val="22"/>
            <w:szCs w:val="22"/>
            <w:u w:val="single"/>
            <w:lang w:eastAsia="en-US"/>
          </w:rPr>
          <w:t>http://ec.europa.eu/regional_policy/archive/policy/future/barca_en.htm</w:t>
        </w:r>
      </w:hyperlink>
    </w:p>
  </w:footnote>
  <w:footnote w:id="21">
    <w:p w:rsidR="00214368" w:rsidRPr="0009428D" w:rsidRDefault="00214368" w:rsidP="00C17DB5">
      <w:pPr>
        <w:pStyle w:val="Tekstprzypisudolnego"/>
        <w:jc w:val="left"/>
      </w:pPr>
      <w:r w:rsidRPr="0009428D">
        <w:rPr>
          <w:rStyle w:val="Odwoanieprzypisudolnego"/>
        </w:rPr>
        <w:footnoteRef/>
      </w:r>
      <w:r w:rsidRPr="0009428D">
        <w:t xml:space="preserve"> Ecorys, 20</w:t>
      </w:r>
      <w:r>
        <w:t>11</w:t>
      </w:r>
      <w:r w:rsidRPr="0009428D">
        <w:t xml:space="preserve"> Mid-term</w:t>
      </w:r>
      <w:r>
        <w:t xml:space="preserve"> evaluation of URBACT II </w:t>
      </w:r>
      <w:hyperlink r:id="rId14" w:history="1">
        <w:r w:rsidRPr="0009428D">
          <w:rPr>
            <w:rStyle w:val="Hipercze"/>
          </w:rPr>
          <w:t>http://urbact.eu/fileadmin/general_library/URBACT_II_Final_Report_3_June.pdf</w:t>
        </w:r>
      </w:hyperlink>
    </w:p>
  </w:footnote>
  <w:footnote w:id="22">
    <w:p w:rsidR="00214368" w:rsidRPr="00AD483C" w:rsidRDefault="00214368" w:rsidP="00C17DB5">
      <w:pPr>
        <w:pStyle w:val="Tekstprzypisudolnego"/>
      </w:pPr>
      <w:r>
        <w:rPr>
          <w:rStyle w:val="Odwoanieprzypisudolnego"/>
        </w:rPr>
        <w:footnoteRef/>
      </w:r>
      <w:r>
        <w:t xml:space="preserve"> Joint Programming Working Group for the preparation of URBACT III. December 2012. Questionnaire for the collection of inputs by Member States: Comments and proposals of cities. (unpublished paper)</w:t>
      </w:r>
    </w:p>
  </w:footnote>
  <w:footnote w:id="23">
    <w:p w:rsidR="00214368" w:rsidRPr="00FB4A24" w:rsidRDefault="00214368">
      <w:pPr>
        <w:pStyle w:val="bodytext"/>
        <w:shd w:val="clear" w:color="auto" w:fill="FFFFFF"/>
        <w:spacing w:before="0" w:beforeAutospacing="0" w:after="75" w:afterAutospacing="0" w:line="210" w:lineRule="atLeast"/>
        <w:jc w:val="both"/>
        <w:rPr>
          <w:rFonts w:asciiTheme="minorHAnsi" w:hAnsiTheme="minorHAnsi" w:cs="Arial"/>
          <w:color w:val="404040"/>
          <w:sz w:val="18"/>
          <w:szCs w:val="18"/>
        </w:rPr>
      </w:pPr>
      <w:r>
        <w:rPr>
          <w:rStyle w:val="Odwoanieprzypisudolnego"/>
        </w:rPr>
        <w:footnoteRef/>
      </w:r>
      <w:r>
        <w:t xml:space="preserve"> </w:t>
      </w:r>
      <w:r w:rsidRPr="00FB4A24">
        <w:rPr>
          <w:rFonts w:asciiTheme="minorHAnsi" w:hAnsiTheme="minorHAnsi" w:cs="Arial"/>
          <w:color w:val="404040"/>
          <w:sz w:val="20"/>
          <w:szCs w:val="20"/>
        </w:rPr>
        <w:t>Every city partner in an URBACT network is required to set up an URBACT Local Support Group (ULSG) that brings together all relevant stakeholders having a stake in the policy challenge addressed by the city (e.g. youth unemployment, regeneration of deprived neighbourhood, energy-efficiency in housing, etc.).</w:t>
      </w:r>
    </w:p>
  </w:footnote>
  <w:footnote w:id="24">
    <w:p w:rsidR="00214368" w:rsidRPr="000B5167" w:rsidRDefault="00214368" w:rsidP="00C17DB5">
      <w:pPr>
        <w:pStyle w:val="Tekstprzypisudolnego"/>
      </w:pPr>
      <w:r w:rsidRPr="000B5167">
        <w:rPr>
          <w:rStyle w:val="Odwoanieprzypisudolnego"/>
        </w:rPr>
        <w:footnoteRef/>
      </w:r>
      <w:r w:rsidRPr="000B5167">
        <w:t xml:space="preserve"> Pilot training activities have been launched by URBACT II </w:t>
      </w:r>
      <w:r>
        <w:t>in national languages</w:t>
      </w:r>
      <w:r w:rsidRPr="000B5167">
        <w:t xml:space="preserve"> for</w:t>
      </w:r>
      <w:r>
        <w:t xml:space="preserve"> members of</w:t>
      </w:r>
      <w:r w:rsidRPr="000B5167">
        <w:t xml:space="preserve"> </w:t>
      </w:r>
      <w:r>
        <w:t>URBACT Local Support Groups</w:t>
      </w:r>
    </w:p>
  </w:footnote>
  <w:footnote w:id="25">
    <w:p w:rsidR="00214368" w:rsidRPr="000B5167" w:rsidRDefault="00214368" w:rsidP="00C17DB5">
      <w:pPr>
        <w:pStyle w:val="Tekstprzypisudolnego"/>
      </w:pPr>
      <w:r w:rsidRPr="000B5167">
        <w:rPr>
          <w:rStyle w:val="Odwoanieprzypisudolnego"/>
        </w:rPr>
        <w:footnoteRef/>
      </w:r>
      <w:r w:rsidRPr="000B5167">
        <w:t xml:space="preserve"> </w:t>
      </w:r>
      <w:r>
        <w:t xml:space="preserve">For example see URBACT </w:t>
      </w:r>
      <w:r w:rsidRPr="00073BAA">
        <w:t>2010</w:t>
      </w:r>
      <w:r>
        <w:t xml:space="preserve"> </w:t>
      </w:r>
      <w:r w:rsidRPr="00073BAA">
        <w:rPr>
          <w:iCs/>
        </w:rPr>
        <w:t>Cities responses to the crisis</w:t>
      </w:r>
      <w:r w:rsidRPr="00073BAA">
        <w:t>,</w:t>
      </w:r>
      <w:r>
        <w:t xml:space="preserve"> URBACT</w:t>
      </w:r>
      <w:r w:rsidRPr="00073BAA">
        <w:t xml:space="preserve"> 2011</w:t>
      </w:r>
      <w:r>
        <w:t xml:space="preserve"> </w:t>
      </w:r>
      <w:r w:rsidRPr="00073BAA">
        <w:rPr>
          <w:iCs/>
        </w:rPr>
        <w:t>URBACT results</w:t>
      </w:r>
      <w:r w:rsidRPr="00073BAA">
        <w:t xml:space="preserve">, </w:t>
      </w:r>
      <w:r>
        <w:t xml:space="preserve">URBACT 2013 </w:t>
      </w:r>
      <w:r w:rsidRPr="00073BAA">
        <w:rPr>
          <w:bCs/>
          <w:iCs/>
        </w:rPr>
        <w:t>Cities of Tomorrow - Action Today</w:t>
      </w:r>
    </w:p>
    <w:p w:rsidR="00214368" w:rsidRPr="000B5167" w:rsidRDefault="00214368" w:rsidP="00C17DB5">
      <w:pPr>
        <w:pStyle w:val="Tekstprzypisudolnego"/>
      </w:pPr>
    </w:p>
  </w:footnote>
  <w:footnote w:id="26">
    <w:p w:rsidR="00214368" w:rsidRPr="001C1E2F" w:rsidRDefault="00214368" w:rsidP="005D55B1">
      <w:pPr>
        <w:pStyle w:val="Tekstprzypisudolnego"/>
      </w:pPr>
      <w:r w:rsidRPr="001C1E2F">
        <w:rPr>
          <w:rStyle w:val="Odwoanieprzypisudolnego"/>
        </w:rPr>
        <w:footnoteRef/>
      </w:r>
      <w:r w:rsidRPr="001C1E2F">
        <w:t xml:space="preserve"> The URBACT method is a multi-stakeholder action planning methodology set out in the URBACT local support group toolkit 2013  http://urbact.eu/fileadmin/general_library/URBACT_Toolkit_online_4.pdf</w:t>
      </w:r>
    </w:p>
  </w:footnote>
  <w:footnote w:id="27">
    <w:p w:rsidR="00214368" w:rsidRPr="001C1E2F" w:rsidRDefault="00214368" w:rsidP="005D55B1">
      <w:pPr>
        <w:pStyle w:val="Tekstprzypisudolnego"/>
        <w:rPr>
          <w:lang w:val="en-US"/>
        </w:rPr>
      </w:pPr>
      <w:r w:rsidRPr="001C1E2F">
        <w:rPr>
          <w:rStyle w:val="Odwoanieprzypisudolnego"/>
        </w:rPr>
        <w:footnoteRef/>
      </w:r>
      <w:r w:rsidRPr="001C1E2F">
        <w:t xml:space="preserve"> </w:t>
      </w:r>
      <w:r w:rsidRPr="001C1E2F">
        <w:rPr>
          <w:shd w:val="clear" w:color="auto" w:fill="FDFDFD"/>
        </w:rPr>
        <w:t>The baseline study is carried out during the development phase of the network by the lead expert working with the partners.  It consists of individual partner profiles. The partner profile will contain common elements to enable the starting position of each city to be ascertained. The final synthesis brings together the topic and the starting position of the cities and will summarise the results that each city will aim to achieve through its action plan</w:t>
      </w:r>
    </w:p>
  </w:footnote>
  <w:footnote w:id="28">
    <w:p w:rsidR="00214368" w:rsidRPr="001C1E2F" w:rsidRDefault="00214368" w:rsidP="005D55B1">
      <w:pPr>
        <w:pStyle w:val="NormalnyWeb"/>
        <w:spacing w:before="0" w:beforeAutospacing="0" w:after="0" w:afterAutospacing="0"/>
        <w:rPr>
          <w:rFonts w:asciiTheme="minorHAnsi" w:hAnsiTheme="minorHAnsi" w:cstheme="minorHAnsi"/>
          <w:lang w:val="en-US"/>
        </w:rPr>
      </w:pPr>
      <w:r w:rsidRPr="001C1E2F">
        <w:rPr>
          <w:rStyle w:val="Odwoanieprzypisudolnego"/>
          <w:rFonts w:asciiTheme="minorHAnsi" w:hAnsiTheme="minorHAnsi" w:cstheme="minorHAnsi"/>
          <w:sz w:val="20"/>
          <w:szCs w:val="20"/>
        </w:rPr>
        <w:footnoteRef/>
      </w:r>
      <w:r w:rsidRPr="001C1E2F">
        <w:rPr>
          <w:rFonts w:asciiTheme="minorHAnsi" w:hAnsiTheme="minorHAnsi" w:cstheme="minorHAnsi"/>
          <w:sz w:val="20"/>
          <w:szCs w:val="20"/>
          <w:lang w:val="en-US"/>
        </w:rPr>
        <w:t xml:space="preserve"> Survey realised in May 2014, among recipients of the URBACT newsletter and social media community. The baseline is based on the following figures: 423 survey respondents out of which 228 non URBACT beneficiaries. Out of the latter, 161 have read at least one URBACT II publication and 100 of them declared that they have used URBACT knowledge in their work after reading. </w:t>
      </w:r>
    </w:p>
    <w:p w:rsidR="00214368" w:rsidRPr="004C6289" w:rsidRDefault="00214368" w:rsidP="005D55B1">
      <w:pPr>
        <w:pStyle w:val="NormalnyWeb"/>
        <w:spacing w:before="0" w:beforeAutospacing="0" w:after="0" w:afterAutospacing="0"/>
        <w:rPr>
          <w:rFonts w:asciiTheme="minorHAnsi" w:hAnsiTheme="minorHAnsi" w:cstheme="minorHAnsi"/>
          <w:lang w:val="en-US"/>
        </w:rPr>
      </w:pPr>
    </w:p>
    <w:p w:rsidR="00214368" w:rsidRPr="004C6289" w:rsidRDefault="00214368" w:rsidP="005D55B1">
      <w:pPr>
        <w:pStyle w:val="Tekstprzypisudolnego"/>
        <w:rPr>
          <w:lang w:val="en-US"/>
        </w:rPr>
      </w:pPr>
    </w:p>
  </w:footnote>
  <w:footnote w:id="29">
    <w:p w:rsidR="00214368" w:rsidRPr="0001288C" w:rsidRDefault="00214368" w:rsidP="00F24251">
      <w:pPr>
        <w:pStyle w:val="Tekstprzypisudolnego"/>
      </w:pPr>
      <w:r w:rsidRPr="0001288C">
        <w:rPr>
          <w:rStyle w:val="Odwoanieprzypisudolnego"/>
        </w:rPr>
        <w:footnoteRef/>
      </w:r>
      <w:r>
        <w:t xml:space="preserve"> </w:t>
      </w:r>
      <w:r w:rsidRPr="0001288C">
        <w:t xml:space="preserve">Based on EU Public Procurement Law, </w:t>
      </w:r>
      <w:r w:rsidRPr="0001288C">
        <w:rPr>
          <w:b/>
        </w:rPr>
        <w:t>public equivalent body</w:t>
      </w:r>
      <w:r w:rsidRPr="0001288C">
        <w:t xml:space="preserve"> refers to any legal body governed by public or private law :</w:t>
      </w:r>
    </w:p>
    <w:p w:rsidR="00214368" w:rsidRPr="0001288C" w:rsidRDefault="00214368" w:rsidP="00192BF2">
      <w:pPr>
        <w:pStyle w:val="Tekstprzypisudolnego"/>
        <w:ind w:left="708"/>
      </w:pPr>
      <w:r w:rsidRPr="0001288C">
        <w:t>1. established for the specific purpose of meeting needs in the general interest, not having an industrial or commercial character (which does not exclude bodies partly having an industrial or commercial character), and</w:t>
      </w:r>
    </w:p>
    <w:p w:rsidR="00214368" w:rsidRPr="0001288C" w:rsidRDefault="00214368" w:rsidP="00192BF2">
      <w:pPr>
        <w:pStyle w:val="Tekstprzypisudolnego"/>
        <w:ind w:left="708"/>
      </w:pPr>
      <w:r w:rsidRPr="0001288C">
        <w:t>2. having legal personality, and</w:t>
      </w:r>
    </w:p>
    <w:p w:rsidR="00214368" w:rsidRPr="0001288C" w:rsidRDefault="00214368" w:rsidP="00192BF2">
      <w:pPr>
        <w:pStyle w:val="Tekstprzypisudolnego"/>
        <w:ind w:left="708"/>
      </w:pPr>
      <w:r w:rsidRPr="0001288C">
        <w:t>3. a) either financed, for the most part, by the State, or regional or local authorities, or other bodies governed by public law,</w:t>
      </w:r>
    </w:p>
    <w:p w:rsidR="00214368" w:rsidRPr="0001288C" w:rsidRDefault="00214368" w:rsidP="00192BF2">
      <w:pPr>
        <w:pStyle w:val="Tekstprzypisudolnego"/>
        <w:ind w:left="708"/>
      </w:pPr>
      <w:r w:rsidRPr="0001288C">
        <w:t>b) or subject to management supervision by those bodies,</w:t>
      </w:r>
    </w:p>
    <w:p w:rsidR="00214368" w:rsidRPr="004A19A1" w:rsidRDefault="00214368" w:rsidP="00192BF2">
      <w:pPr>
        <w:pStyle w:val="Tekstprzypisudolnego"/>
        <w:ind w:left="708"/>
        <w:rPr>
          <w:lang w:val="en-US"/>
        </w:rPr>
      </w:pPr>
      <w:r w:rsidRPr="0001288C">
        <w:t>c) or having an administrative, managerial or supervisory board, more than half of whose members are appointed by the State, regional or local authorities or by other bodies governed by public law.”</w:t>
      </w:r>
    </w:p>
  </w:footnote>
  <w:footnote w:id="30">
    <w:p w:rsidR="00214368" w:rsidRPr="003C0C69" w:rsidRDefault="00214368" w:rsidP="00E21452">
      <w:pPr>
        <w:pStyle w:val="Tekstprzypisudolnego"/>
      </w:pPr>
      <w:r>
        <w:rPr>
          <w:rStyle w:val="Odwoanieprzypisudolnego"/>
        </w:rPr>
        <w:footnoteRef/>
      </w:r>
      <w:r>
        <w:t xml:space="preserve"> For a part of the urban Strategy/action plan of the city, a decision of financing has already been taken by a public or private body</w:t>
      </w:r>
    </w:p>
  </w:footnote>
  <w:footnote w:id="31">
    <w:p w:rsidR="00214368" w:rsidRPr="00155DD3" w:rsidRDefault="00214368" w:rsidP="00155DD3">
      <w:pPr>
        <w:pStyle w:val="Tekstprzypisudolnego"/>
      </w:pPr>
      <w:r w:rsidRPr="0001288C">
        <w:rPr>
          <w:rStyle w:val="Odwoanieprzypisudolnego"/>
        </w:rPr>
        <w:footnoteRef/>
      </w:r>
      <w:r>
        <w:t xml:space="preserve"> </w:t>
      </w:r>
      <w:r w:rsidRPr="0001288C">
        <w:t xml:space="preserve">Based on EU Public Procurement </w:t>
      </w:r>
      <w:r w:rsidRPr="00155DD3">
        <w:t>Law, see footnote 35</w:t>
      </w:r>
    </w:p>
    <w:p w:rsidR="00214368" w:rsidRPr="004A19A1" w:rsidRDefault="00214368" w:rsidP="00A22F16">
      <w:pPr>
        <w:pStyle w:val="Tekstprzypisudolnego"/>
        <w:rPr>
          <w:lang w:val="en-US"/>
        </w:rPr>
      </w:pPr>
    </w:p>
  </w:footnote>
  <w:footnote w:id="32">
    <w:p w:rsidR="00214368" w:rsidRPr="00A047A4" w:rsidRDefault="00214368" w:rsidP="00A047A4">
      <w:pPr>
        <w:rPr>
          <w:sz w:val="16"/>
          <w:szCs w:val="16"/>
        </w:rPr>
      </w:pPr>
      <w:r>
        <w:rPr>
          <w:rStyle w:val="Odwoanieprzypisudolnego"/>
        </w:rPr>
        <w:footnoteRef/>
      </w:r>
      <w:r>
        <w:t xml:space="preserve"> </w:t>
      </w:r>
      <w:r w:rsidRPr="00BF5FB8">
        <w:rPr>
          <w:rStyle w:val="Uwydatnienie"/>
          <w:rFonts w:ascii="Arial" w:eastAsia="Calibri" w:hAnsi="Arial" w:cs="Arial"/>
          <w:bCs/>
          <w:i w:val="0"/>
          <w:color w:val="000000"/>
          <w:sz w:val="16"/>
          <w:szCs w:val="16"/>
        </w:rPr>
        <w:t>Each Member/ Partner State shall appoint, in agreement with the Managing Authority, a public or equivalent or not for profit body in their country that shall operate as National URBACT Point.  The conditions of this appointment shall be laid down in a convention between the selected body and the Managing Authority.  Should a Member/ Partner State not be able to appoint such a body or should no such suitable public body exist, an open call for tender will be launched by the Managing Authority.</w:t>
      </w:r>
    </w:p>
    <w:p w:rsidR="00214368" w:rsidRPr="00A047A4" w:rsidRDefault="00214368">
      <w:pPr>
        <w:pStyle w:val="Tekstprzypisudolnego"/>
      </w:pPr>
    </w:p>
  </w:footnote>
  <w:footnote w:id="33">
    <w:p w:rsidR="00214368" w:rsidRDefault="00214368">
      <w:pPr>
        <w:pStyle w:val="Tekstprzypisudolnego"/>
      </w:pPr>
      <w:r>
        <w:rPr>
          <w:rStyle w:val="Odwoanieprzypisudolnego"/>
        </w:rPr>
        <w:footnoteRef/>
      </w:r>
      <w:r>
        <w:t xml:space="preserve"> </w:t>
      </w:r>
      <w:r w:rsidRPr="002174E0">
        <w:rPr>
          <w:bCs/>
          <w:i/>
        </w:rPr>
        <w:t>Regulation (EU) No 1301/2013 on the European Regional Development Fund and</w:t>
      </w:r>
    </w:p>
  </w:footnote>
  <w:footnote w:id="34">
    <w:p w:rsidR="00214368" w:rsidRPr="001323B4" w:rsidRDefault="00214368" w:rsidP="00FF01A8">
      <w:pPr>
        <w:pStyle w:val="Tekstprzypisudolnego"/>
      </w:pPr>
      <w:r w:rsidRPr="009227D7">
        <w:rPr>
          <w:rStyle w:val="Odwoanieprzypisudolnego"/>
        </w:rPr>
        <w:footnoteRef/>
      </w:r>
      <w:r w:rsidRPr="009227D7">
        <w:t xml:space="preserve"> </w:t>
      </w:r>
      <w:r w:rsidRPr="001323B4">
        <w:t xml:space="preserve">Article 32-33-34,  REGULATION (EU) No 1303/2013 OF THE EUROPEAN PARLIAMENT AND OF THE COUNCIL </w:t>
      </w:r>
    </w:p>
    <w:p w:rsidR="00214368" w:rsidRPr="001323B4" w:rsidRDefault="00214368" w:rsidP="00FF01A8">
      <w:pPr>
        <w:pStyle w:val="Tekstprzypisudolnego"/>
      </w:pPr>
      <w:r w:rsidRPr="001323B4">
        <w:t xml:space="preserve">of 17 December 2013 laying down common provisions on the ERDF, ESF, CF, EAFRD and EMFF and laying down general provisions on the ERDF, ESF, CF, EAFRD and EMFF and repealing Council Regulation (EC) No 1083/2006 </w:t>
      </w:r>
      <w:r w:rsidRPr="001323B4">
        <w:cr/>
        <w:t>http://new.eur-lex.europa.eu/legal-content/EN/TXT/PDF/?uri=CELEX:32013R1303&amp;from=EN</w:t>
      </w:r>
    </w:p>
  </w:footnote>
  <w:footnote w:id="35">
    <w:p w:rsidR="00214368" w:rsidRPr="00D145DE" w:rsidRDefault="00214368" w:rsidP="00FF01A8">
      <w:pPr>
        <w:pStyle w:val="Tekstprzypisudolnego"/>
      </w:pPr>
      <w:r>
        <w:rPr>
          <w:rStyle w:val="Odwoanieprzypisudolnego"/>
        </w:rPr>
        <w:footnoteRef/>
      </w:r>
      <w:r w:rsidRPr="00E91380">
        <w:t xml:space="preserve"> </w:t>
      </w:r>
      <w:r w:rsidRPr="00D145DE">
        <w:t xml:space="preserve">Article </w:t>
      </w:r>
      <w:r>
        <w:t xml:space="preserve">36, </w:t>
      </w:r>
      <w:r w:rsidRPr="00D145DE">
        <w:t xml:space="preserve"> REGULATION (EU) No 1303/2013 OF THE EUROPEAN PARLIAMENT AND OF THE COUNCIL </w:t>
      </w:r>
    </w:p>
    <w:p w:rsidR="00214368" w:rsidRPr="00E91380" w:rsidRDefault="00214368" w:rsidP="00FF01A8">
      <w:pPr>
        <w:pStyle w:val="Tekstprzypisudolnego"/>
      </w:pPr>
      <w:r>
        <w:t xml:space="preserve">of 17 December 2013 </w:t>
      </w:r>
      <w:r w:rsidRPr="00D145DE">
        <w:t>laying down co</w:t>
      </w:r>
      <w:r>
        <w:t>mmon provisions on the ERDF, ESF, CF, EAFRD and EMFF</w:t>
      </w:r>
      <w:r w:rsidRPr="00D145DE">
        <w:t xml:space="preserve"> and laying down general provisions on </w:t>
      </w:r>
      <w:r>
        <w:t>the ERDF, ESF, CF, EAFRD and EMFF</w:t>
      </w:r>
      <w:r w:rsidRPr="00D145DE">
        <w:t xml:space="preserve"> and repealing Council Regulation (EC) No 1083/2006 </w:t>
      </w:r>
      <w:r w:rsidRPr="00D145DE">
        <w:cr/>
        <w:t>http://new.eur-lex.europa.eu/legal-content/EN/TXT/PDF/?uri=CELEX:32013R1303&amp;from=EN</w:t>
      </w:r>
    </w:p>
  </w:footnote>
  <w:footnote w:id="36">
    <w:p w:rsidR="00214368" w:rsidRPr="00623AAA" w:rsidRDefault="00214368">
      <w:pPr>
        <w:pStyle w:val="Tekstprzypisudolnego"/>
      </w:pPr>
      <w:r>
        <w:rPr>
          <w:rStyle w:val="Odwoanieprzypisudolnego"/>
        </w:rPr>
        <w:footnoteRef/>
      </w:r>
      <w:r>
        <w:t xml:space="preserve"> The </w:t>
      </w:r>
      <w:r w:rsidRPr="00644A2F">
        <w:t>following partners were involved: Committee of the Regions (CoR), Council of European Municipalities and Regions (CEMR), Eurocities, Energy Cities, Eurotowns, CECODAHS, ICLEI, Association of Architects and urban planners, EUKN, Healthy Cities, Mission Opérationnelle Transfrontalière (MOT), Cities for Mobility, POLIS, ESPON, JPI Urban Europe, European Environmental Agency, European Anti-Poverty Network (EAPN), INTERACT, INTERREG IV C, Cooperation Network of European Mid-Size Towns and Cities, EURA, AESOP  Planning EU,  International Urban Food Network (IUFN).</w:t>
      </w:r>
    </w:p>
  </w:footnote>
  <w:footnote w:id="37">
    <w:p w:rsidR="00214368" w:rsidRPr="009F79FC" w:rsidRDefault="00214368" w:rsidP="00403EA5">
      <w:pPr>
        <w:pStyle w:val="Tekstprzypisudolnego"/>
        <w:rPr>
          <w:lang w:val="en-US"/>
        </w:rPr>
      </w:pPr>
      <w:r>
        <w:rPr>
          <w:rStyle w:val="Odwoanieprzypisudolnego"/>
        </w:rPr>
        <w:footnoteRef/>
      </w:r>
      <w:r>
        <w:t xml:space="preserve"> </w:t>
      </w:r>
      <w:r w:rsidRPr="005E478B">
        <w:rPr>
          <w:rFonts w:ascii="Verdana" w:hAnsi="Verdana"/>
          <w:sz w:val="18"/>
          <w:szCs w:val="18"/>
        </w:rPr>
        <w:t>In the case of Belgium, the duties of Member State authorities in respect of URBACT shall be fulfilled by the relevant public designated authorities. This applies to all references in this document to member-State authorities or national authorities</w:t>
      </w:r>
      <w:r w:rsidRPr="005E478B">
        <w:rPr>
          <w:rFonts w:ascii="Verdana" w:hAnsi="Verdana"/>
        </w:rPr>
        <w:t>.</w:t>
      </w:r>
    </w:p>
  </w:footnote>
  <w:footnote w:id="38">
    <w:p w:rsidR="00214368" w:rsidRPr="0065316E" w:rsidRDefault="00214368" w:rsidP="00A720B1">
      <w:pPr>
        <w:pStyle w:val="Tekstprzypisudolnego"/>
        <w:rPr>
          <w:lang w:val="en-US"/>
        </w:rPr>
      </w:pPr>
      <w:r w:rsidRPr="000B5167">
        <w:rPr>
          <w:rStyle w:val="Odwoanieprzypisudolnego"/>
        </w:rPr>
        <w:footnoteRef/>
      </w:r>
      <w:r w:rsidRPr="0065316E">
        <w:rPr>
          <w:lang w:val="en-US"/>
        </w:rPr>
        <w:t xml:space="preserve"> Common provision  for ERDF, ESF, CF, EAFRD, EMFF and specific regulations for  ERDF, ESF, European territorial cooperation regulations. See </w:t>
      </w:r>
      <w:hyperlink r:id="rId15" w:history="1">
        <w:r w:rsidRPr="0065316E">
          <w:rPr>
            <w:rStyle w:val="Hipercze"/>
            <w:lang w:val="en-US"/>
          </w:rPr>
          <w:t>http://ec.europa.eu/regional_policy/what/future/index_en.cfm</w:t>
        </w:r>
      </w:hyperlink>
      <w:r w:rsidRPr="0065316E">
        <w:rPr>
          <w:lang w:val="en-US"/>
        </w:rPr>
        <w:t xml:space="preserve"> </w:t>
      </w:r>
    </w:p>
  </w:footnote>
  <w:footnote w:id="39">
    <w:p w:rsidR="00214368" w:rsidRPr="0065316E" w:rsidRDefault="00214368" w:rsidP="00A720B1">
      <w:pPr>
        <w:pStyle w:val="Tekstprzypisudolnego"/>
        <w:rPr>
          <w:lang w:val="en-US"/>
        </w:rPr>
      </w:pPr>
      <w:r>
        <w:rPr>
          <w:rStyle w:val="Odwoanieprzypisudolnego"/>
        </w:rPr>
        <w:footnoteRef/>
      </w:r>
      <w:r w:rsidRPr="0065316E">
        <w:rPr>
          <w:lang w:val="en-US"/>
        </w:rPr>
        <w:t xml:space="preserve">  See </w:t>
      </w:r>
      <w:hyperlink r:id="rId16" w:history="1">
        <w:r w:rsidRPr="0065316E">
          <w:rPr>
            <w:rStyle w:val="Hipercze"/>
            <w:lang w:val="en-US"/>
          </w:rPr>
          <w:t>http://ec.europa.eu/regional_policy/what/future/index_en.cfm</w:t>
        </w:r>
      </w:hyperlink>
      <w:r w:rsidRPr="0065316E">
        <w:rPr>
          <w:lang w:val="en-US"/>
        </w:rPr>
        <w:t xml:space="preserve"> for specific provisions for the support from the European Regional Development Fund to the European territorial cooperation goal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A4D17"/>
    <w:multiLevelType w:val="hybridMultilevel"/>
    <w:tmpl w:val="905CC276"/>
    <w:lvl w:ilvl="0" w:tplc="00000008">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721E08"/>
    <w:multiLevelType w:val="hybridMultilevel"/>
    <w:tmpl w:val="B1E88CCE"/>
    <w:lvl w:ilvl="0" w:tplc="5E80DAB6">
      <w:numFmt w:val="bullet"/>
      <w:lvlText w:val="•"/>
      <w:lvlJc w:val="left"/>
      <w:pPr>
        <w:ind w:left="1300" w:hanging="360"/>
      </w:pPr>
      <w:rPr>
        <w:rFonts w:ascii="Arial" w:eastAsia="SimSun" w:hAnsi="Arial" w:hint="default"/>
      </w:rPr>
    </w:lvl>
    <w:lvl w:ilvl="1" w:tplc="040C0003" w:tentative="1">
      <w:start w:val="1"/>
      <w:numFmt w:val="bullet"/>
      <w:lvlText w:val="o"/>
      <w:lvlJc w:val="left"/>
      <w:pPr>
        <w:ind w:left="2020" w:hanging="360"/>
      </w:pPr>
      <w:rPr>
        <w:rFonts w:ascii="Courier New" w:hAnsi="Courier New" w:hint="default"/>
      </w:rPr>
    </w:lvl>
    <w:lvl w:ilvl="2" w:tplc="040C0005" w:tentative="1">
      <w:start w:val="1"/>
      <w:numFmt w:val="bullet"/>
      <w:lvlText w:val=""/>
      <w:lvlJc w:val="left"/>
      <w:pPr>
        <w:ind w:left="2740" w:hanging="360"/>
      </w:pPr>
      <w:rPr>
        <w:rFonts w:ascii="Wingdings" w:hAnsi="Wingdings" w:hint="default"/>
      </w:rPr>
    </w:lvl>
    <w:lvl w:ilvl="3" w:tplc="040C0001">
      <w:start w:val="1"/>
      <w:numFmt w:val="bullet"/>
      <w:lvlText w:val=""/>
      <w:lvlJc w:val="left"/>
      <w:pPr>
        <w:ind w:left="3460" w:hanging="360"/>
      </w:pPr>
      <w:rPr>
        <w:rFonts w:ascii="Symbol" w:hAnsi="Symbol" w:hint="default"/>
      </w:rPr>
    </w:lvl>
    <w:lvl w:ilvl="4" w:tplc="040C0003" w:tentative="1">
      <w:start w:val="1"/>
      <w:numFmt w:val="bullet"/>
      <w:lvlText w:val="o"/>
      <w:lvlJc w:val="left"/>
      <w:pPr>
        <w:ind w:left="4180" w:hanging="360"/>
      </w:pPr>
      <w:rPr>
        <w:rFonts w:ascii="Courier New" w:hAnsi="Courier New" w:hint="default"/>
      </w:rPr>
    </w:lvl>
    <w:lvl w:ilvl="5" w:tplc="040C0005" w:tentative="1">
      <w:start w:val="1"/>
      <w:numFmt w:val="bullet"/>
      <w:lvlText w:val=""/>
      <w:lvlJc w:val="left"/>
      <w:pPr>
        <w:ind w:left="4900" w:hanging="360"/>
      </w:pPr>
      <w:rPr>
        <w:rFonts w:ascii="Wingdings" w:hAnsi="Wingdings" w:hint="default"/>
      </w:rPr>
    </w:lvl>
    <w:lvl w:ilvl="6" w:tplc="040C0001" w:tentative="1">
      <w:start w:val="1"/>
      <w:numFmt w:val="bullet"/>
      <w:lvlText w:val=""/>
      <w:lvlJc w:val="left"/>
      <w:pPr>
        <w:ind w:left="5620" w:hanging="360"/>
      </w:pPr>
      <w:rPr>
        <w:rFonts w:ascii="Symbol" w:hAnsi="Symbol" w:hint="default"/>
      </w:rPr>
    </w:lvl>
    <w:lvl w:ilvl="7" w:tplc="040C0003" w:tentative="1">
      <w:start w:val="1"/>
      <w:numFmt w:val="bullet"/>
      <w:lvlText w:val="o"/>
      <w:lvlJc w:val="left"/>
      <w:pPr>
        <w:ind w:left="6340" w:hanging="360"/>
      </w:pPr>
      <w:rPr>
        <w:rFonts w:ascii="Courier New" w:hAnsi="Courier New" w:hint="default"/>
      </w:rPr>
    </w:lvl>
    <w:lvl w:ilvl="8" w:tplc="040C0005" w:tentative="1">
      <w:start w:val="1"/>
      <w:numFmt w:val="bullet"/>
      <w:lvlText w:val=""/>
      <w:lvlJc w:val="left"/>
      <w:pPr>
        <w:ind w:left="7060" w:hanging="360"/>
      </w:pPr>
      <w:rPr>
        <w:rFonts w:ascii="Wingdings" w:hAnsi="Wingdings" w:hint="default"/>
      </w:rPr>
    </w:lvl>
  </w:abstractNum>
  <w:abstractNum w:abstractNumId="2">
    <w:nsid w:val="08C22B5E"/>
    <w:multiLevelType w:val="hybridMultilevel"/>
    <w:tmpl w:val="D1B0C36A"/>
    <w:lvl w:ilvl="0" w:tplc="5E80DAB6">
      <w:numFmt w:val="bullet"/>
      <w:lvlText w:val="•"/>
      <w:lvlJc w:val="left"/>
      <w:pPr>
        <w:ind w:left="720" w:hanging="360"/>
      </w:pPr>
      <w:rPr>
        <w:rFonts w:ascii="Arial" w:eastAsia="SimSu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135F08"/>
    <w:multiLevelType w:val="hybridMultilevel"/>
    <w:tmpl w:val="FB00D6BE"/>
    <w:lvl w:ilvl="0" w:tplc="5E80DAB6">
      <w:numFmt w:val="bullet"/>
      <w:lvlText w:val="•"/>
      <w:lvlJc w:val="left"/>
      <w:pPr>
        <w:ind w:left="1077" w:hanging="360"/>
      </w:pPr>
      <w:rPr>
        <w:rFonts w:ascii="Arial" w:eastAsia="SimSun" w:hAnsi="Aria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4">
    <w:nsid w:val="098D13E8"/>
    <w:multiLevelType w:val="hybridMultilevel"/>
    <w:tmpl w:val="E34A4D6A"/>
    <w:lvl w:ilvl="0" w:tplc="5E80DAB6">
      <w:numFmt w:val="bullet"/>
      <w:lvlText w:val="•"/>
      <w:lvlJc w:val="left"/>
      <w:pPr>
        <w:ind w:left="360" w:hanging="360"/>
      </w:pPr>
      <w:rPr>
        <w:rFonts w:ascii="Arial" w:eastAsia="SimSun" w:hAnsi="Arial"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abstractNum w:abstractNumId="5">
    <w:nsid w:val="0B917D0E"/>
    <w:multiLevelType w:val="hybridMultilevel"/>
    <w:tmpl w:val="99582EBE"/>
    <w:lvl w:ilvl="0" w:tplc="5E80DAB6">
      <w:numFmt w:val="bullet"/>
      <w:lvlText w:val="•"/>
      <w:lvlJc w:val="left"/>
      <w:pPr>
        <w:tabs>
          <w:tab w:val="num" w:pos="720"/>
        </w:tabs>
        <w:ind w:left="720" w:hanging="360"/>
      </w:pPr>
      <w:rPr>
        <w:rFonts w:ascii="Arial" w:eastAsia="SimSun" w:hAnsi="Arial" w:hint="default"/>
      </w:rPr>
    </w:lvl>
    <w:lvl w:ilvl="1" w:tplc="0003040C">
      <w:start w:val="1"/>
      <w:numFmt w:val="bullet"/>
      <w:lvlText w:val="o"/>
      <w:lvlJc w:val="left"/>
      <w:pPr>
        <w:tabs>
          <w:tab w:val="num" w:pos="1440"/>
        </w:tabs>
        <w:ind w:left="1440" w:hanging="360"/>
      </w:pPr>
      <w:rPr>
        <w:rFonts w:ascii="Courier New" w:hAnsi="Courier New" w:cs="Courier New" w:hint="default"/>
      </w:rPr>
    </w:lvl>
    <w:lvl w:ilvl="2" w:tplc="0005040C">
      <w:start w:val="1"/>
      <w:numFmt w:val="bullet"/>
      <w:lvlText w:val=""/>
      <w:lvlJc w:val="left"/>
      <w:pPr>
        <w:tabs>
          <w:tab w:val="num" w:pos="2160"/>
        </w:tabs>
        <w:ind w:left="2160" w:hanging="360"/>
      </w:pPr>
      <w:rPr>
        <w:rFonts w:ascii="Wingdings" w:hAnsi="Wingdings" w:cs="Times New Roman" w:hint="default"/>
      </w:rPr>
    </w:lvl>
    <w:lvl w:ilvl="3" w:tplc="0001040C">
      <w:start w:val="1"/>
      <w:numFmt w:val="bullet"/>
      <w:lvlText w:val=""/>
      <w:lvlJc w:val="left"/>
      <w:pPr>
        <w:tabs>
          <w:tab w:val="num" w:pos="2880"/>
        </w:tabs>
        <w:ind w:left="2880" w:hanging="360"/>
      </w:pPr>
      <w:rPr>
        <w:rFonts w:ascii="Symbol" w:eastAsia="Times New Roman" w:hAnsi="Symbol" w:hint="default"/>
      </w:rPr>
    </w:lvl>
    <w:lvl w:ilvl="4" w:tplc="0003040C">
      <w:start w:val="1"/>
      <w:numFmt w:val="bullet"/>
      <w:lvlText w:val="o"/>
      <w:lvlJc w:val="left"/>
      <w:pPr>
        <w:tabs>
          <w:tab w:val="num" w:pos="3600"/>
        </w:tabs>
        <w:ind w:left="3600" w:hanging="360"/>
      </w:pPr>
      <w:rPr>
        <w:rFonts w:ascii="Courier New" w:hAnsi="Courier New" w:cs="Courier New" w:hint="default"/>
      </w:rPr>
    </w:lvl>
    <w:lvl w:ilvl="5" w:tplc="0005040C">
      <w:start w:val="1"/>
      <w:numFmt w:val="bullet"/>
      <w:lvlText w:val=""/>
      <w:lvlJc w:val="left"/>
      <w:pPr>
        <w:tabs>
          <w:tab w:val="num" w:pos="4320"/>
        </w:tabs>
        <w:ind w:left="4320" w:hanging="360"/>
      </w:pPr>
      <w:rPr>
        <w:rFonts w:ascii="Wingdings" w:hAnsi="Wingdings" w:cs="Times New Roman" w:hint="default"/>
      </w:rPr>
    </w:lvl>
    <w:lvl w:ilvl="6" w:tplc="0001040C">
      <w:start w:val="1"/>
      <w:numFmt w:val="bullet"/>
      <w:lvlText w:val=""/>
      <w:lvlJc w:val="left"/>
      <w:pPr>
        <w:tabs>
          <w:tab w:val="num" w:pos="5040"/>
        </w:tabs>
        <w:ind w:left="5040" w:hanging="360"/>
      </w:pPr>
      <w:rPr>
        <w:rFonts w:ascii="Symbol" w:eastAsia="Times New Roman" w:hAnsi="Symbol" w:hint="default"/>
      </w:rPr>
    </w:lvl>
    <w:lvl w:ilvl="7" w:tplc="0003040C">
      <w:start w:val="1"/>
      <w:numFmt w:val="bullet"/>
      <w:lvlText w:val="o"/>
      <w:lvlJc w:val="left"/>
      <w:pPr>
        <w:tabs>
          <w:tab w:val="num" w:pos="5760"/>
        </w:tabs>
        <w:ind w:left="5760" w:hanging="360"/>
      </w:pPr>
      <w:rPr>
        <w:rFonts w:ascii="Courier New" w:hAnsi="Courier New" w:cs="Courier New" w:hint="default"/>
      </w:rPr>
    </w:lvl>
    <w:lvl w:ilvl="8" w:tplc="0005040C">
      <w:start w:val="1"/>
      <w:numFmt w:val="bullet"/>
      <w:lvlText w:val=""/>
      <w:lvlJc w:val="left"/>
      <w:pPr>
        <w:tabs>
          <w:tab w:val="num" w:pos="6480"/>
        </w:tabs>
        <w:ind w:left="6480" w:hanging="360"/>
      </w:pPr>
      <w:rPr>
        <w:rFonts w:ascii="Wingdings" w:hAnsi="Wingdings" w:cs="Times New Roman" w:hint="default"/>
      </w:rPr>
    </w:lvl>
  </w:abstractNum>
  <w:abstractNum w:abstractNumId="6">
    <w:nsid w:val="0E4525E1"/>
    <w:multiLevelType w:val="hybridMultilevel"/>
    <w:tmpl w:val="CD00EDD6"/>
    <w:lvl w:ilvl="0" w:tplc="5E80DAB6">
      <w:numFmt w:val="bullet"/>
      <w:lvlText w:val="•"/>
      <w:lvlJc w:val="left"/>
      <w:pPr>
        <w:tabs>
          <w:tab w:val="num" w:pos="680"/>
        </w:tabs>
        <w:ind w:left="680" w:hanging="340"/>
      </w:pPr>
      <w:rPr>
        <w:rFonts w:ascii="Arial" w:eastAsia="SimSun" w:hAnsi="Arial"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7">
    <w:nsid w:val="0F9D26A0"/>
    <w:multiLevelType w:val="hybridMultilevel"/>
    <w:tmpl w:val="1F30EC88"/>
    <w:lvl w:ilvl="0" w:tplc="5E80DAB6">
      <w:numFmt w:val="bullet"/>
      <w:lvlText w:val="•"/>
      <w:lvlJc w:val="left"/>
      <w:pPr>
        <w:ind w:left="1440" w:hanging="360"/>
      </w:pPr>
      <w:rPr>
        <w:rFonts w:ascii="Arial" w:eastAsia="SimSun" w:hAnsi="Aria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10F23F85"/>
    <w:multiLevelType w:val="hybridMultilevel"/>
    <w:tmpl w:val="008EA9B6"/>
    <w:lvl w:ilvl="0" w:tplc="5E80DAB6">
      <w:numFmt w:val="bullet"/>
      <w:lvlText w:val="•"/>
      <w:lvlJc w:val="left"/>
      <w:pPr>
        <w:tabs>
          <w:tab w:val="num" w:pos="720"/>
        </w:tabs>
        <w:ind w:left="720" w:hanging="360"/>
      </w:pPr>
      <w:rPr>
        <w:rFonts w:ascii="Arial" w:eastAsia="SimSun" w:hAnsi="Arial" w:hint="default"/>
      </w:rPr>
    </w:lvl>
    <w:lvl w:ilvl="1" w:tplc="0003040C">
      <w:start w:val="1"/>
      <w:numFmt w:val="bullet"/>
      <w:lvlText w:val="o"/>
      <w:lvlJc w:val="left"/>
      <w:pPr>
        <w:tabs>
          <w:tab w:val="num" w:pos="1440"/>
        </w:tabs>
        <w:ind w:left="1440" w:hanging="360"/>
      </w:pPr>
      <w:rPr>
        <w:rFonts w:ascii="Courier New" w:hAnsi="Courier New" w:cs="Courier New" w:hint="default"/>
      </w:rPr>
    </w:lvl>
    <w:lvl w:ilvl="2" w:tplc="0005040C">
      <w:start w:val="1"/>
      <w:numFmt w:val="bullet"/>
      <w:lvlText w:val=""/>
      <w:lvlJc w:val="left"/>
      <w:pPr>
        <w:tabs>
          <w:tab w:val="num" w:pos="2160"/>
        </w:tabs>
        <w:ind w:left="2160" w:hanging="360"/>
      </w:pPr>
      <w:rPr>
        <w:rFonts w:ascii="Wingdings" w:hAnsi="Wingdings" w:cs="Times New Roman" w:hint="default"/>
      </w:rPr>
    </w:lvl>
    <w:lvl w:ilvl="3" w:tplc="0001040C">
      <w:start w:val="1"/>
      <w:numFmt w:val="bullet"/>
      <w:lvlText w:val=""/>
      <w:lvlJc w:val="left"/>
      <w:pPr>
        <w:tabs>
          <w:tab w:val="num" w:pos="2880"/>
        </w:tabs>
        <w:ind w:left="2880" w:hanging="360"/>
      </w:pPr>
      <w:rPr>
        <w:rFonts w:ascii="Symbol" w:eastAsia="Times New Roman" w:hAnsi="Symbol" w:hint="default"/>
      </w:rPr>
    </w:lvl>
    <w:lvl w:ilvl="4" w:tplc="0003040C">
      <w:start w:val="1"/>
      <w:numFmt w:val="bullet"/>
      <w:lvlText w:val="o"/>
      <w:lvlJc w:val="left"/>
      <w:pPr>
        <w:tabs>
          <w:tab w:val="num" w:pos="3600"/>
        </w:tabs>
        <w:ind w:left="3600" w:hanging="360"/>
      </w:pPr>
      <w:rPr>
        <w:rFonts w:ascii="Courier New" w:hAnsi="Courier New" w:cs="Courier New" w:hint="default"/>
      </w:rPr>
    </w:lvl>
    <w:lvl w:ilvl="5" w:tplc="0005040C">
      <w:start w:val="1"/>
      <w:numFmt w:val="bullet"/>
      <w:lvlText w:val=""/>
      <w:lvlJc w:val="left"/>
      <w:pPr>
        <w:tabs>
          <w:tab w:val="num" w:pos="4320"/>
        </w:tabs>
        <w:ind w:left="4320" w:hanging="360"/>
      </w:pPr>
      <w:rPr>
        <w:rFonts w:ascii="Wingdings" w:hAnsi="Wingdings" w:cs="Times New Roman" w:hint="default"/>
      </w:rPr>
    </w:lvl>
    <w:lvl w:ilvl="6" w:tplc="0001040C">
      <w:start w:val="1"/>
      <w:numFmt w:val="bullet"/>
      <w:lvlText w:val=""/>
      <w:lvlJc w:val="left"/>
      <w:pPr>
        <w:tabs>
          <w:tab w:val="num" w:pos="5040"/>
        </w:tabs>
        <w:ind w:left="5040" w:hanging="360"/>
      </w:pPr>
      <w:rPr>
        <w:rFonts w:ascii="Symbol" w:eastAsia="Times New Roman" w:hAnsi="Symbol" w:hint="default"/>
      </w:rPr>
    </w:lvl>
    <w:lvl w:ilvl="7" w:tplc="0003040C">
      <w:start w:val="1"/>
      <w:numFmt w:val="bullet"/>
      <w:lvlText w:val="o"/>
      <w:lvlJc w:val="left"/>
      <w:pPr>
        <w:tabs>
          <w:tab w:val="num" w:pos="5760"/>
        </w:tabs>
        <w:ind w:left="5760" w:hanging="360"/>
      </w:pPr>
      <w:rPr>
        <w:rFonts w:ascii="Courier New" w:hAnsi="Courier New" w:cs="Courier New" w:hint="default"/>
      </w:rPr>
    </w:lvl>
    <w:lvl w:ilvl="8" w:tplc="0005040C">
      <w:start w:val="1"/>
      <w:numFmt w:val="bullet"/>
      <w:lvlText w:val=""/>
      <w:lvlJc w:val="left"/>
      <w:pPr>
        <w:tabs>
          <w:tab w:val="num" w:pos="6480"/>
        </w:tabs>
        <w:ind w:left="6480" w:hanging="360"/>
      </w:pPr>
      <w:rPr>
        <w:rFonts w:ascii="Wingdings" w:hAnsi="Wingdings" w:cs="Times New Roman" w:hint="default"/>
      </w:rPr>
    </w:lvl>
  </w:abstractNum>
  <w:abstractNum w:abstractNumId="9">
    <w:nsid w:val="114F36D4"/>
    <w:multiLevelType w:val="hybridMultilevel"/>
    <w:tmpl w:val="45F2C7CA"/>
    <w:lvl w:ilvl="0" w:tplc="5E80DAB6">
      <w:numFmt w:val="bullet"/>
      <w:lvlText w:val="•"/>
      <w:lvlJc w:val="left"/>
      <w:pPr>
        <w:tabs>
          <w:tab w:val="num" w:pos="1260"/>
        </w:tabs>
        <w:ind w:left="1260" w:hanging="360"/>
      </w:pPr>
      <w:rPr>
        <w:rFonts w:ascii="Arial" w:eastAsia="SimSun" w:hAnsi="Arial" w:hint="default"/>
      </w:rPr>
    </w:lvl>
    <w:lvl w:ilvl="1" w:tplc="0003040C">
      <w:start w:val="1"/>
      <w:numFmt w:val="bullet"/>
      <w:lvlText w:val="o"/>
      <w:lvlJc w:val="left"/>
      <w:pPr>
        <w:tabs>
          <w:tab w:val="num" w:pos="1980"/>
        </w:tabs>
        <w:ind w:left="1980" w:hanging="360"/>
      </w:pPr>
      <w:rPr>
        <w:rFonts w:ascii="Courier New" w:hAnsi="Courier New" w:cs="Courier New" w:hint="default"/>
      </w:rPr>
    </w:lvl>
    <w:lvl w:ilvl="2" w:tplc="0005040C">
      <w:start w:val="1"/>
      <w:numFmt w:val="bullet"/>
      <w:lvlText w:val=""/>
      <w:lvlJc w:val="left"/>
      <w:pPr>
        <w:tabs>
          <w:tab w:val="num" w:pos="2700"/>
        </w:tabs>
        <w:ind w:left="2700" w:hanging="360"/>
      </w:pPr>
      <w:rPr>
        <w:rFonts w:ascii="Wingdings" w:hAnsi="Wingdings" w:cs="Times New Roman" w:hint="default"/>
      </w:rPr>
    </w:lvl>
    <w:lvl w:ilvl="3" w:tplc="0001040C">
      <w:start w:val="1"/>
      <w:numFmt w:val="bullet"/>
      <w:lvlText w:val=""/>
      <w:lvlJc w:val="left"/>
      <w:pPr>
        <w:tabs>
          <w:tab w:val="num" w:pos="3420"/>
        </w:tabs>
        <w:ind w:left="3420" w:hanging="360"/>
      </w:pPr>
      <w:rPr>
        <w:rFonts w:ascii="Symbol" w:eastAsia="Times New Roman" w:hAnsi="Symbol" w:hint="default"/>
      </w:rPr>
    </w:lvl>
    <w:lvl w:ilvl="4" w:tplc="0003040C">
      <w:start w:val="1"/>
      <w:numFmt w:val="bullet"/>
      <w:lvlText w:val="o"/>
      <w:lvlJc w:val="left"/>
      <w:pPr>
        <w:tabs>
          <w:tab w:val="num" w:pos="4140"/>
        </w:tabs>
        <w:ind w:left="4140" w:hanging="360"/>
      </w:pPr>
      <w:rPr>
        <w:rFonts w:ascii="Courier New" w:hAnsi="Courier New" w:cs="Courier New" w:hint="default"/>
      </w:rPr>
    </w:lvl>
    <w:lvl w:ilvl="5" w:tplc="0005040C">
      <w:start w:val="1"/>
      <w:numFmt w:val="bullet"/>
      <w:lvlText w:val=""/>
      <w:lvlJc w:val="left"/>
      <w:pPr>
        <w:tabs>
          <w:tab w:val="num" w:pos="4860"/>
        </w:tabs>
        <w:ind w:left="4860" w:hanging="360"/>
      </w:pPr>
      <w:rPr>
        <w:rFonts w:ascii="Wingdings" w:hAnsi="Wingdings" w:cs="Times New Roman" w:hint="default"/>
      </w:rPr>
    </w:lvl>
    <w:lvl w:ilvl="6" w:tplc="0001040C">
      <w:start w:val="1"/>
      <w:numFmt w:val="bullet"/>
      <w:lvlText w:val=""/>
      <w:lvlJc w:val="left"/>
      <w:pPr>
        <w:tabs>
          <w:tab w:val="num" w:pos="5580"/>
        </w:tabs>
        <w:ind w:left="5580" w:hanging="360"/>
      </w:pPr>
      <w:rPr>
        <w:rFonts w:ascii="Symbol" w:eastAsia="Times New Roman" w:hAnsi="Symbol" w:hint="default"/>
      </w:rPr>
    </w:lvl>
    <w:lvl w:ilvl="7" w:tplc="0003040C">
      <w:start w:val="1"/>
      <w:numFmt w:val="bullet"/>
      <w:lvlText w:val="o"/>
      <w:lvlJc w:val="left"/>
      <w:pPr>
        <w:tabs>
          <w:tab w:val="num" w:pos="6300"/>
        </w:tabs>
        <w:ind w:left="6300" w:hanging="360"/>
      </w:pPr>
      <w:rPr>
        <w:rFonts w:ascii="Courier New" w:hAnsi="Courier New" w:cs="Courier New" w:hint="default"/>
      </w:rPr>
    </w:lvl>
    <w:lvl w:ilvl="8" w:tplc="0005040C">
      <w:start w:val="1"/>
      <w:numFmt w:val="bullet"/>
      <w:lvlText w:val=""/>
      <w:lvlJc w:val="left"/>
      <w:pPr>
        <w:tabs>
          <w:tab w:val="num" w:pos="7020"/>
        </w:tabs>
        <w:ind w:left="7020" w:hanging="360"/>
      </w:pPr>
      <w:rPr>
        <w:rFonts w:ascii="Wingdings" w:hAnsi="Wingdings" w:cs="Times New Roman" w:hint="default"/>
      </w:rPr>
    </w:lvl>
  </w:abstractNum>
  <w:abstractNum w:abstractNumId="10">
    <w:nsid w:val="11AA5E2E"/>
    <w:multiLevelType w:val="hybridMultilevel"/>
    <w:tmpl w:val="88221414"/>
    <w:lvl w:ilvl="0" w:tplc="5E80DAB6">
      <w:numFmt w:val="bullet"/>
      <w:lvlText w:val="•"/>
      <w:lvlJc w:val="left"/>
      <w:pPr>
        <w:tabs>
          <w:tab w:val="num" w:pos="720"/>
        </w:tabs>
        <w:ind w:left="720" w:hanging="360"/>
      </w:pPr>
      <w:rPr>
        <w:rFonts w:ascii="Arial" w:eastAsia="SimSun" w:hAnsi="Arial" w:hint="default"/>
      </w:rPr>
    </w:lvl>
    <w:lvl w:ilvl="1" w:tplc="A55692A0">
      <w:start w:val="2"/>
      <w:numFmt w:val="bullet"/>
      <w:lvlText w:val="-"/>
      <w:lvlJc w:val="left"/>
      <w:pPr>
        <w:tabs>
          <w:tab w:val="num" w:pos="1440"/>
        </w:tabs>
        <w:ind w:left="1440" w:hanging="360"/>
      </w:pPr>
      <w:rPr>
        <w:rFonts w:ascii="Times New Roman" w:eastAsia="Times New Roman" w:hAnsi="Times New Roman" w:hint="default"/>
      </w:rPr>
    </w:lvl>
    <w:lvl w:ilvl="2" w:tplc="0005040C">
      <w:start w:val="1"/>
      <w:numFmt w:val="bullet"/>
      <w:lvlText w:val=""/>
      <w:lvlJc w:val="left"/>
      <w:pPr>
        <w:tabs>
          <w:tab w:val="num" w:pos="2160"/>
        </w:tabs>
        <w:ind w:left="2160" w:hanging="360"/>
      </w:pPr>
      <w:rPr>
        <w:rFonts w:ascii="Wingdings" w:hAnsi="Wingdings" w:cs="Times New Roman" w:hint="default"/>
      </w:rPr>
    </w:lvl>
    <w:lvl w:ilvl="3" w:tplc="0001040C">
      <w:start w:val="1"/>
      <w:numFmt w:val="bullet"/>
      <w:lvlText w:val=""/>
      <w:lvlJc w:val="left"/>
      <w:pPr>
        <w:tabs>
          <w:tab w:val="num" w:pos="2880"/>
        </w:tabs>
        <w:ind w:left="2880" w:hanging="360"/>
      </w:pPr>
      <w:rPr>
        <w:rFonts w:ascii="Symbol" w:eastAsia="Times New Roman" w:hAnsi="Symbol" w:hint="default"/>
      </w:rPr>
    </w:lvl>
    <w:lvl w:ilvl="4" w:tplc="0003040C">
      <w:start w:val="1"/>
      <w:numFmt w:val="bullet"/>
      <w:lvlText w:val="o"/>
      <w:lvlJc w:val="left"/>
      <w:pPr>
        <w:tabs>
          <w:tab w:val="num" w:pos="3600"/>
        </w:tabs>
        <w:ind w:left="3600" w:hanging="360"/>
      </w:pPr>
      <w:rPr>
        <w:rFonts w:ascii="Courier New" w:hAnsi="Courier New" w:cs="Courier New" w:hint="default"/>
      </w:rPr>
    </w:lvl>
    <w:lvl w:ilvl="5" w:tplc="0005040C">
      <w:start w:val="1"/>
      <w:numFmt w:val="bullet"/>
      <w:lvlText w:val=""/>
      <w:lvlJc w:val="left"/>
      <w:pPr>
        <w:tabs>
          <w:tab w:val="num" w:pos="4320"/>
        </w:tabs>
        <w:ind w:left="4320" w:hanging="360"/>
      </w:pPr>
      <w:rPr>
        <w:rFonts w:ascii="Wingdings" w:hAnsi="Wingdings" w:cs="Times New Roman" w:hint="default"/>
      </w:rPr>
    </w:lvl>
    <w:lvl w:ilvl="6" w:tplc="0001040C">
      <w:start w:val="1"/>
      <w:numFmt w:val="bullet"/>
      <w:lvlText w:val=""/>
      <w:lvlJc w:val="left"/>
      <w:pPr>
        <w:tabs>
          <w:tab w:val="num" w:pos="5040"/>
        </w:tabs>
        <w:ind w:left="5040" w:hanging="360"/>
      </w:pPr>
      <w:rPr>
        <w:rFonts w:ascii="Symbol" w:eastAsia="Times New Roman" w:hAnsi="Symbol" w:hint="default"/>
      </w:rPr>
    </w:lvl>
    <w:lvl w:ilvl="7" w:tplc="0003040C">
      <w:start w:val="1"/>
      <w:numFmt w:val="bullet"/>
      <w:lvlText w:val="o"/>
      <w:lvlJc w:val="left"/>
      <w:pPr>
        <w:tabs>
          <w:tab w:val="num" w:pos="5760"/>
        </w:tabs>
        <w:ind w:left="5760" w:hanging="360"/>
      </w:pPr>
      <w:rPr>
        <w:rFonts w:ascii="Courier New" w:hAnsi="Courier New" w:cs="Courier New" w:hint="default"/>
      </w:rPr>
    </w:lvl>
    <w:lvl w:ilvl="8" w:tplc="0005040C">
      <w:start w:val="1"/>
      <w:numFmt w:val="bullet"/>
      <w:lvlText w:val=""/>
      <w:lvlJc w:val="left"/>
      <w:pPr>
        <w:tabs>
          <w:tab w:val="num" w:pos="6480"/>
        </w:tabs>
        <w:ind w:left="6480" w:hanging="360"/>
      </w:pPr>
      <w:rPr>
        <w:rFonts w:ascii="Wingdings" w:hAnsi="Wingdings" w:cs="Times New Roman" w:hint="default"/>
      </w:rPr>
    </w:lvl>
  </w:abstractNum>
  <w:abstractNum w:abstractNumId="11">
    <w:nsid w:val="147D2332"/>
    <w:multiLevelType w:val="hybridMultilevel"/>
    <w:tmpl w:val="FC46B064"/>
    <w:lvl w:ilvl="0" w:tplc="5E80DAB6">
      <w:numFmt w:val="bullet"/>
      <w:lvlText w:val="•"/>
      <w:lvlJc w:val="left"/>
      <w:pPr>
        <w:ind w:left="720" w:hanging="360"/>
      </w:pPr>
      <w:rPr>
        <w:rFonts w:ascii="Arial" w:eastAsia="SimSu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4C16243"/>
    <w:multiLevelType w:val="hybridMultilevel"/>
    <w:tmpl w:val="E4066546"/>
    <w:lvl w:ilvl="0" w:tplc="5E80DAB6">
      <w:numFmt w:val="bullet"/>
      <w:lvlText w:val="•"/>
      <w:lvlJc w:val="left"/>
      <w:pPr>
        <w:ind w:left="1060" w:hanging="360"/>
      </w:pPr>
      <w:rPr>
        <w:rFonts w:ascii="Arial" w:eastAsia="SimSun" w:hAnsi="Aria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3">
    <w:nsid w:val="18732348"/>
    <w:multiLevelType w:val="hybridMultilevel"/>
    <w:tmpl w:val="8D5EC98A"/>
    <w:lvl w:ilvl="0" w:tplc="5E80DAB6">
      <w:numFmt w:val="bullet"/>
      <w:lvlText w:val="•"/>
      <w:lvlJc w:val="left"/>
      <w:pPr>
        <w:ind w:left="360" w:hanging="360"/>
      </w:pPr>
      <w:rPr>
        <w:rFonts w:ascii="Arial" w:eastAsia="SimSun" w:hAnsi="Arial"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abstractNum w:abstractNumId="14">
    <w:nsid w:val="1AB13F6E"/>
    <w:multiLevelType w:val="hybridMultilevel"/>
    <w:tmpl w:val="1F521032"/>
    <w:lvl w:ilvl="0" w:tplc="AD228508">
      <w:start w:val="1"/>
      <w:numFmt w:val="bullet"/>
      <w:pStyle w:val="--"/>
      <w:lvlText w:val="-"/>
      <w:lvlJc w:val="left"/>
      <w:pPr>
        <w:tabs>
          <w:tab w:val="num" w:pos="-351"/>
        </w:tabs>
        <w:ind w:left="-351" w:hanging="360"/>
      </w:pPr>
      <w:rPr>
        <w:sz w:val="16"/>
      </w:rPr>
    </w:lvl>
    <w:lvl w:ilvl="1" w:tplc="04090003" w:tentative="1">
      <w:start w:val="1"/>
      <w:numFmt w:val="bullet"/>
      <w:lvlText w:val="o"/>
      <w:lvlJc w:val="left"/>
      <w:pPr>
        <w:tabs>
          <w:tab w:val="num" w:pos="369"/>
        </w:tabs>
        <w:ind w:left="369" w:hanging="360"/>
      </w:pPr>
      <w:rPr>
        <w:rFonts w:ascii="Courier New" w:hAnsi="Courier New" w:hint="default"/>
      </w:rPr>
    </w:lvl>
    <w:lvl w:ilvl="2" w:tplc="04090005" w:tentative="1">
      <w:start w:val="1"/>
      <w:numFmt w:val="bullet"/>
      <w:lvlText w:val=""/>
      <w:lvlJc w:val="left"/>
      <w:pPr>
        <w:tabs>
          <w:tab w:val="num" w:pos="1089"/>
        </w:tabs>
        <w:ind w:left="1089" w:hanging="360"/>
      </w:pPr>
      <w:rPr>
        <w:rFonts w:ascii="Wingdings" w:hAnsi="Wingdings" w:hint="default"/>
      </w:rPr>
    </w:lvl>
    <w:lvl w:ilvl="3" w:tplc="04090001" w:tentative="1">
      <w:start w:val="1"/>
      <w:numFmt w:val="bullet"/>
      <w:lvlText w:val=""/>
      <w:lvlJc w:val="left"/>
      <w:pPr>
        <w:tabs>
          <w:tab w:val="num" w:pos="1809"/>
        </w:tabs>
        <w:ind w:left="1809" w:hanging="360"/>
      </w:pPr>
      <w:rPr>
        <w:rFonts w:ascii="Symbol" w:hAnsi="Symbol" w:hint="default"/>
      </w:rPr>
    </w:lvl>
    <w:lvl w:ilvl="4" w:tplc="04090003" w:tentative="1">
      <w:start w:val="1"/>
      <w:numFmt w:val="bullet"/>
      <w:lvlText w:val="o"/>
      <w:lvlJc w:val="left"/>
      <w:pPr>
        <w:tabs>
          <w:tab w:val="num" w:pos="2529"/>
        </w:tabs>
        <w:ind w:left="2529" w:hanging="360"/>
      </w:pPr>
      <w:rPr>
        <w:rFonts w:ascii="Courier New" w:hAnsi="Courier New" w:hint="default"/>
      </w:rPr>
    </w:lvl>
    <w:lvl w:ilvl="5" w:tplc="04090005" w:tentative="1">
      <w:start w:val="1"/>
      <w:numFmt w:val="bullet"/>
      <w:lvlText w:val=""/>
      <w:lvlJc w:val="left"/>
      <w:pPr>
        <w:tabs>
          <w:tab w:val="num" w:pos="3249"/>
        </w:tabs>
        <w:ind w:left="3249" w:hanging="360"/>
      </w:pPr>
      <w:rPr>
        <w:rFonts w:ascii="Wingdings" w:hAnsi="Wingdings" w:hint="default"/>
      </w:rPr>
    </w:lvl>
    <w:lvl w:ilvl="6" w:tplc="04090001" w:tentative="1">
      <w:start w:val="1"/>
      <w:numFmt w:val="bullet"/>
      <w:lvlText w:val=""/>
      <w:lvlJc w:val="left"/>
      <w:pPr>
        <w:tabs>
          <w:tab w:val="num" w:pos="3969"/>
        </w:tabs>
        <w:ind w:left="3969" w:hanging="360"/>
      </w:pPr>
      <w:rPr>
        <w:rFonts w:ascii="Symbol" w:hAnsi="Symbol" w:hint="default"/>
      </w:rPr>
    </w:lvl>
    <w:lvl w:ilvl="7" w:tplc="04090003" w:tentative="1">
      <w:start w:val="1"/>
      <w:numFmt w:val="bullet"/>
      <w:lvlText w:val="o"/>
      <w:lvlJc w:val="left"/>
      <w:pPr>
        <w:tabs>
          <w:tab w:val="num" w:pos="4689"/>
        </w:tabs>
        <w:ind w:left="4689" w:hanging="360"/>
      </w:pPr>
      <w:rPr>
        <w:rFonts w:ascii="Courier New" w:hAnsi="Courier New" w:hint="default"/>
      </w:rPr>
    </w:lvl>
    <w:lvl w:ilvl="8" w:tplc="04090005" w:tentative="1">
      <w:start w:val="1"/>
      <w:numFmt w:val="bullet"/>
      <w:lvlText w:val=""/>
      <w:lvlJc w:val="left"/>
      <w:pPr>
        <w:tabs>
          <w:tab w:val="num" w:pos="5409"/>
        </w:tabs>
        <w:ind w:left="5409" w:hanging="360"/>
      </w:pPr>
      <w:rPr>
        <w:rFonts w:ascii="Wingdings" w:hAnsi="Wingdings" w:hint="default"/>
      </w:rPr>
    </w:lvl>
  </w:abstractNum>
  <w:abstractNum w:abstractNumId="15">
    <w:nsid w:val="1AB3085E"/>
    <w:multiLevelType w:val="hybridMultilevel"/>
    <w:tmpl w:val="3F2020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1F44726"/>
    <w:multiLevelType w:val="hybridMultilevel"/>
    <w:tmpl w:val="9E0225E8"/>
    <w:lvl w:ilvl="0" w:tplc="5E80DAB6">
      <w:numFmt w:val="bullet"/>
      <w:lvlText w:val="•"/>
      <w:lvlJc w:val="left"/>
      <w:pPr>
        <w:ind w:left="720" w:hanging="360"/>
      </w:pPr>
      <w:rPr>
        <w:rFonts w:ascii="Arial" w:eastAsia="SimSu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3971011"/>
    <w:multiLevelType w:val="hybridMultilevel"/>
    <w:tmpl w:val="34F26F0C"/>
    <w:lvl w:ilvl="0" w:tplc="5E80DAB6">
      <w:numFmt w:val="bullet"/>
      <w:lvlText w:val="•"/>
      <w:lvlJc w:val="left"/>
      <w:pPr>
        <w:ind w:left="720" w:hanging="360"/>
      </w:pPr>
      <w:rPr>
        <w:rFonts w:ascii="Arial" w:eastAsia="SimSu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45216E8"/>
    <w:multiLevelType w:val="hybridMultilevel"/>
    <w:tmpl w:val="12825A12"/>
    <w:lvl w:ilvl="0" w:tplc="0005040C">
      <w:start w:val="1"/>
      <w:numFmt w:val="bullet"/>
      <w:lvlText w:val=""/>
      <w:lvlJc w:val="left"/>
      <w:pPr>
        <w:tabs>
          <w:tab w:val="num" w:pos="720"/>
        </w:tabs>
        <w:ind w:left="720" w:hanging="360"/>
      </w:pPr>
      <w:rPr>
        <w:rFonts w:ascii="Symbol" w:eastAsia="Times New Roman" w:hAnsi="Symbol" w:hint="default"/>
      </w:rPr>
    </w:lvl>
    <w:lvl w:ilvl="1" w:tplc="0005040C">
      <w:start w:val="1"/>
      <w:numFmt w:val="decimal"/>
      <w:lvlText w:val="%2."/>
      <w:lvlJc w:val="left"/>
      <w:pPr>
        <w:tabs>
          <w:tab w:val="num" w:pos="1440"/>
        </w:tabs>
        <w:ind w:left="1440" w:hanging="360"/>
      </w:pPr>
    </w:lvl>
    <w:lvl w:ilvl="2" w:tplc="0005040C">
      <w:start w:val="1"/>
      <w:numFmt w:val="decimal"/>
      <w:lvlText w:val="%3."/>
      <w:lvlJc w:val="left"/>
      <w:pPr>
        <w:tabs>
          <w:tab w:val="num" w:pos="2160"/>
        </w:tabs>
        <w:ind w:left="2160" w:hanging="360"/>
      </w:pPr>
    </w:lvl>
    <w:lvl w:ilvl="3" w:tplc="0005040C">
      <w:start w:val="1"/>
      <w:numFmt w:val="decimal"/>
      <w:lvlText w:val="%4."/>
      <w:lvlJc w:val="left"/>
      <w:pPr>
        <w:tabs>
          <w:tab w:val="num" w:pos="2880"/>
        </w:tabs>
        <w:ind w:left="2880" w:hanging="360"/>
      </w:pPr>
    </w:lvl>
    <w:lvl w:ilvl="4" w:tplc="0005040C">
      <w:start w:val="1"/>
      <w:numFmt w:val="decimal"/>
      <w:lvlText w:val="%5."/>
      <w:lvlJc w:val="left"/>
      <w:pPr>
        <w:tabs>
          <w:tab w:val="num" w:pos="3600"/>
        </w:tabs>
        <w:ind w:left="3600" w:hanging="360"/>
      </w:pPr>
    </w:lvl>
    <w:lvl w:ilvl="5" w:tplc="0005040C">
      <w:start w:val="1"/>
      <w:numFmt w:val="decimal"/>
      <w:lvlText w:val="%6."/>
      <w:lvlJc w:val="left"/>
      <w:pPr>
        <w:tabs>
          <w:tab w:val="num" w:pos="4320"/>
        </w:tabs>
        <w:ind w:left="4320" w:hanging="360"/>
      </w:pPr>
    </w:lvl>
    <w:lvl w:ilvl="6" w:tplc="0005040C">
      <w:start w:val="1"/>
      <w:numFmt w:val="decimal"/>
      <w:lvlText w:val="%7."/>
      <w:lvlJc w:val="left"/>
      <w:pPr>
        <w:tabs>
          <w:tab w:val="num" w:pos="5040"/>
        </w:tabs>
        <w:ind w:left="5040" w:hanging="360"/>
      </w:pPr>
    </w:lvl>
    <w:lvl w:ilvl="7" w:tplc="0005040C">
      <w:start w:val="1"/>
      <w:numFmt w:val="decimal"/>
      <w:lvlText w:val="%8."/>
      <w:lvlJc w:val="left"/>
      <w:pPr>
        <w:tabs>
          <w:tab w:val="num" w:pos="5760"/>
        </w:tabs>
        <w:ind w:left="5760" w:hanging="360"/>
      </w:pPr>
    </w:lvl>
    <w:lvl w:ilvl="8" w:tplc="0005040C">
      <w:start w:val="1"/>
      <w:numFmt w:val="decimal"/>
      <w:lvlText w:val="%9."/>
      <w:lvlJc w:val="left"/>
      <w:pPr>
        <w:tabs>
          <w:tab w:val="num" w:pos="6480"/>
        </w:tabs>
        <w:ind w:left="6480" w:hanging="360"/>
      </w:pPr>
    </w:lvl>
  </w:abstractNum>
  <w:abstractNum w:abstractNumId="19">
    <w:nsid w:val="26BB123D"/>
    <w:multiLevelType w:val="hybridMultilevel"/>
    <w:tmpl w:val="E6FE6280"/>
    <w:lvl w:ilvl="0" w:tplc="5E80DAB6">
      <w:numFmt w:val="bullet"/>
      <w:lvlText w:val="•"/>
      <w:lvlJc w:val="left"/>
      <w:pPr>
        <w:tabs>
          <w:tab w:val="num" w:pos="824"/>
        </w:tabs>
        <w:ind w:left="824" w:hanging="360"/>
      </w:pPr>
      <w:rPr>
        <w:rFonts w:ascii="Arial" w:eastAsia="SimSun" w:hAnsi="Arial" w:hint="default"/>
      </w:rPr>
    </w:lvl>
    <w:lvl w:ilvl="1" w:tplc="040C0003" w:tentative="1">
      <w:start w:val="1"/>
      <w:numFmt w:val="bullet"/>
      <w:lvlText w:val="o"/>
      <w:lvlJc w:val="left"/>
      <w:pPr>
        <w:tabs>
          <w:tab w:val="num" w:pos="1791"/>
        </w:tabs>
        <w:ind w:left="1791" w:hanging="360"/>
      </w:pPr>
      <w:rPr>
        <w:rFonts w:ascii="Courier New" w:hAnsi="Courier New" w:cs="Leelawadee" w:hint="default"/>
      </w:rPr>
    </w:lvl>
    <w:lvl w:ilvl="2" w:tplc="040C0005" w:tentative="1">
      <w:start w:val="1"/>
      <w:numFmt w:val="bullet"/>
      <w:lvlText w:val=""/>
      <w:lvlJc w:val="left"/>
      <w:pPr>
        <w:tabs>
          <w:tab w:val="num" w:pos="2511"/>
        </w:tabs>
        <w:ind w:left="2511" w:hanging="360"/>
      </w:pPr>
      <w:rPr>
        <w:rFonts w:ascii="Wingdings" w:hAnsi="Wingdings" w:hint="default"/>
      </w:rPr>
    </w:lvl>
    <w:lvl w:ilvl="3" w:tplc="040C0001" w:tentative="1">
      <w:start w:val="1"/>
      <w:numFmt w:val="bullet"/>
      <w:lvlText w:val=""/>
      <w:lvlJc w:val="left"/>
      <w:pPr>
        <w:tabs>
          <w:tab w:val="num" w:pos="3231"/>
        </w:tabs>
        <w:ind w:left="3231" w:hanging="360"/>
      </w:pPr>
      <w:rPr>
        <w:rFonts w:ascii="Symbol" w:hAnsi="Symbol" w:hint="default"/>
      </w:rPr>
    </w:lvl>
    <w:lvl w:ilvl="4" w:tplc="040C0003" w:tentative="1">
      <w:start w:val="1"/>
      <w:numFmt w:val="bullet"/>
      <w:lvlText w:val="o"/>
      <w:lvlJc w:val="left"/>
      <w:pPr>
        <w:tabs>
          <w:tab w:val="num" w:pos="3951"/>
        </w:tabs>
        <w:ind w:left="3951" w:hanging="360"/>
      </w:pPr>
      <w:rPr>
        <w:rFonts w:ascii="Courier New" w:hAnsi="Courier New" w:cs="Leelawadee" w:hint="default"/>
      </w:rPr>
    </w:lvl>
    <w:lvl w:ilvl="5" w:tplc="040C0005" w:tentative="1">
      <w:start w:val="1"/>
      <w:numFmt w:val="bullet"/>
      <w:lvlText w:val=""/>
      <w:lvlJc w:val="left"/>
      <w:pPr>
        <w:tabs>
          <w:tab w:val="num" w:pos="4671"/>
        </w:tabs>
        <w:ind w:left="4671" w:hanging="360"/>
      </w:pPr>
      <w:rPr>
        <w:rFonts w:ascii="Wingdings" w:hAnsi="Wingdings" w:hint="default"/>
      </w:rPr>
    </w:lvl>
    <w:lvl w:ilvl="6" w:tplc="040C0001" w:tentative="1">
      <w:start w:val="1"/>
      <w:numFmt w:val="bullet"/>
      <w:lvlText w:val=""/>
      <w:lvlJc w:val="left"/>
      <w:pPr>
        <w:tabs>
          <w:tab w:val="num" w:pos="5391"/>
        </w:tabs>
        <w:ind w:left="5391" w:hanging="360"/>
      </w:pPr>
      <w:rPr>
        <w:rFonts w:ascii="Symbol" w:hAnsi="Symbol" w:hint="default"/>
      </w:rPr>
    </w:lvl>
    <w:lvl w:ilvl="7" w:tplc="040C0003" w:tentative="1">
      <w:start w:val="1"/>
      <w:numFmt w:val="bullet"/>
      <w:lvlText w:val="o"/>
      <w:lvlJc w:val="left"/>
      <w:pPr>
        <w:tabs>
          <w:tab w:val="num" w:pos="6111"/>
        </w:tabs>
        <w:ind w:left="6111" w:hanging="360"/>
      </w:pPr>
      <w:rPr>
        <w:rFonts w:ascii="Courier New" w:hAnsi="Courier New" w:cs="Leelawadee" w:hint="default"/>
      </w:rPr>
    </w:lvl>
    <w:lvl w:ilvl="8" w:tplc="040C0005" w:tentative="1">
      <w:start w:val="1"/>
      <w:numFmt w:val="bullet"/>
      <w:lvlText w:val=""/>
      <w:lvlJc w:val="left"/>
      <w:pPr>
        <w:tabs>
          <w:tab w:val="num" w:pos="6831"/>
        </w:tabs>
        <w:ind w:left="6831" w:hanging="360"/>
      </w:pPr>
      <w:rPr>
        <w:rFonts w:ascii="Wingdings" w:hAnsi="Wingdings" w:hint="default"/>
      </w:rPr>
    </w:lvl>
  </w:abstractNum>
  <w:abstractNum w:abstractNumId="20">
    <w:nsid w:val="2AD67D5D"/>
    <w:multiLevelType w:val="hybridMultilevel"/>
    <w:tmpl w:val="6F78D8BA"/>
    <w:lvl w:ilvl="0" w:tplc="ADF40830">
      <w:start w:val="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C8A7289"/>
    <w:multiLevelType w:val="hybridMultilevel"/>
    <w:tmpl w:val="70C81FBA"/>
    <w:lvl w:ilvl="0" w:tplc="5E80DAB6">
      <w:numFmt w:val="bullet"/>
      <w:lvlText w:val="•"/>
      <w:lvlJc w:val="left"/>
      <w:pPr>
        <w:ind w:left="1068" w:hanging="360"/>
      </w:pPr>
      <w:rPr>
        <w:rFonts w:ascii="Arial" w:eastAsia="SimSun" w:hAnsi="Arial" w:hint="default"/>
      </w:rPr>
    </w:lvl>
    <w:lvl w:ilvl="1" w:tplc="08090003" w:tentative="1">
      <w:start w:val="1"/>
      <w:numFmt w:val="bullet"/>
      <w:lvlText w:val="o"/>
      <w:lvlJc w:val="left"/>
      <w:pPr>
        <w:ind w:left="1068" w:hanging="360"/>
      </w:pPr>
      <w:rPr>
        <w:rFonts w:ascii="Courier New" w:hAnsi="Courier New" w:cs="Courier New" w:hint="default"/>
      </w:rPr>
    </w:lvl>
    <w:lvl w:ilvl="2" w:tplc="08090005" w:tentative="1">
      <w:start w:val="1"/>
      <w:numFmt w:val="bullet"/>
      <w:lvlText w:val=""/>
      <w:lvlJc w:val="left"/>
      <w:pPr>
        <w:ind w:left="1788" w:hanging="360"/>
      </w:pPr>
      <w:rPr>
        <w:rFonts w:ascii="Wingdings" w:hAnsi="Wingdings" w:hint="default"/>
      </w:rPr>
    </w:lvl>
    <w:lvl w:ilvl="3" w:tplc="08090001" w:tentative="1">
      <w:start w:val="1"/>
      <w:numFmt w:val="bullet"/>
      <w:lvlText w:val=""/>
      <w:lvlJc w:val="left"/>
      <w:pPr>
        <w:ind w:left="2508" w:hanging="360"/>
      </w:pPr>
      <w:rPr>
        <w:rFonts w:ascii="Symbol" w:hAnsi="Symbol" w:hint="default"/>
      </w:rPr>
    </w:lvl>
    <w:lvl w:ilvl="4" w:tplc="08090003" w:tentative="1">
      <w:start w:val="1"/>
      <w:numFmt w:val="bullet"/>
      <w:lvlText w:val="o"/>
      <w:lvlJc w:val="left"/>
      <w:pPr>
        <w:ind w:left="3228" w:hanging="360"/>
      </w:pPr>
      <w:rPr>
        <w:rFonts w:ascii="Courier New" w:hAnsi="Courier New" w:cs="Courier New" w:hint="default"/>
      </w:rPr>
    </w:lvl>
    <w:lvl w:ilvl="5" w:tplc="08090005" w:tentative="1">
      <w:start w:val="1"/>
      <w:numFmt w:val="bullet"/>
      <w:lvlText w:val=""/>
      <w:lvlJc w:val="left"/>
      <w:pPr>
        <w:ind w:left="3948" w:hanging="360"/>
      </w:pPr>
      <w:rPr>
        <w:rFonts w:ascii="Wingdings" w:hAnsi="Wingdings" w:hint="default"/>
      </w:rPr>
    </w:lvl>
    <w:lvl w:ilvl="6" w:tplc="08090001" w:tentative="1">
      <w:start w:val="1"/>
      <w:numFmt w:val="bullet"/>
      <w:lvlText w:val=""/>
      <w:lvlJc w:val="left"/>
      <w:pPr>
        <w:ind w:left="4668" w:hanging="360"/>
      </w:pPr>
      <w:rPr>
        <w:rFonts w:ascii="Symbol" w:hAnsi="Symbol" w:hint="default"/>
      </w:rPr>
    </w:lvl>
    <w:lvl w:ilvl="7" w:tplc="08090003" w:tentative="1">
      <w:start w:val="1"/>
      <w:numFmt w:val="bullet"/>
      <w:lvlText w:val="o"/>
      <w:lvlJc w:val="left"/>
      <w:pPr>
        <w:ind w:left="5388" w:hanging="360"/>
      </w:pPr>
      <w:rPr>
        <w:rFonts w:ascii="Courier New" w:hAnsi="Courier New" w:cs="Courier New" w:hint="default"/>
      </w:rPr>
    </w:lvl>
    <w:lvl w:ilvl="8" w:tplc="08090005" w:tentative="1">
      <w:start w:val="1"/>
      <w:numFmt w:val="bullet"/>
      <w:lvlText w:val=""/>
      <w:lvlJc w:val="left"/>
      <w:pPr>
        <w:ind w:left="6108" w:hanging="360"/>
      </w:pPr>
      <w:rPr>
        <w:rFonts w:ascii="Wingdings" w:hAnsi="Wingdings" w:hint="default"/>
      </w:rPr>
    </w:lvl>
  </w:abstractNum>
  <w:abstractNum w:abstractNumId="22">
    <w:nsid w:val="2CA73061"/>
    <w:multiLevelType w:val="multilevel"/>
    <w:tmpl w:val="59521CC0"/>
    <w:lvl w:ilvl="0">
      <w:start w:val="7"/>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3">
    <w:nsid w:val="349574CF"/>
    <w:multiLevelType w:val="hybridMultilevel"/>
    <w:tmpl w:val="155A81DE"/>
    <w:lvl w:ilvl="0" w:tplc="5E80DAB6">
      <w:numFmt w:val="bullet"/>
      <w:lvlText w:val="•"/>
      <w:lvlJc w:val="left"/>
      <w:pPr>
        <w:tabs>
          <w:tab w:val="num" w:pos="824"/>
        </w:tabs>
        <w:ind w:left="824" w:hanging="360"/>
      </w:pPr>
      <w:rPr>
        <w:rFonts w:ascii="Arial" w:eastAsia="SimSun" w:hAnsi="Arial" w:hint="default"/>
      </w:rPr>
    </w:lvl>
    <w:lvl w:ilvl="1" w:tplc="040C0003" w:tentative="1">
      <w:start w:val="1"/>
      <w:numFmt w:val="bullet"/>
      <w:lvlText w:val="o"/>
      <w:lvlJc w:val="left"/>
      <w:pPr>
        <w:tabs>
          <w:tab w:val="num" w:pos="1791"/>
        </w:tabs>
        <w:ind w:left="1791" w:hanging="360"/>
      </w:pPr>
      <w:rPr>
        <w:rFonts w:ascii="Courier New" w:hAnsi="Courier New" w:cs="Leelawadee" w:hint="default"/>
      </w:rPr>
    </w:lvl>
    <w:lvl w:ilvl="2" w:tplc="040C0005" w:tentative="1">
      <w:start w:val="1"/>
      <w:numFmt w:val="bullet"/>
      <w:lvlText w:val=""/>
      <w:lvlJc w:val="left"/>
      <w:pPr>
        <w:tabs>
          <w:tab w:val="num" w:pos="2511"/>
        </w:tabs>
        <w:ind w:left="2511" w:hanging="360"/>
      </w:pPr>
      <w:rPr>
        <w:rFonts w:ascii="Wingdings" w:hAnsi="Wingdings" w:hint="default"/>
      </w:rPr>
    </w:lvl>
    <w:lvl w:ilvl="3" w:tplc="040C0001" w:tentative="1">
      <w:start w:val="1"/>
      <w:numFmt w:val="bullet"/>
      <w:lvlText w:val=""/>
      <w:lvlJc w:val="left"/>
      <w:pPr>
        <w:tabs>
          <w:tab w:val="num" w:pos="3231"/>
        </w:tabs>
        <w:ind w:left="3231" w:hanging="360"/>
      </w:pPr>
      <w:rPr>
        <w:rFonts w:ascii="Symbol" w:hAnsi="Symbol" w:hint="default"/>
      </w:rPr>
    </w:lvl>
    <w:lvl w:ilvl="4" w:tplc="040C0003" w:tentative="1">
      <w:start w:val="1"/>
      <w:numFmt w:val="bullet"/>
      <w:lvlText w:val="o"/>
      <w:lvlJc w:val="left"/>
      <w:pPr>
        <w:tabs>
          <w:tab w:val="num" w:pos="3951"/>
        </w:tabs>
        <w:ind w:left="3951" w:hanging="360"/>
      </w:pPr>
      <w:rPr>
        <w:rFonts w:ascii="Courier New" w:hAnsi="Courier New" w:cs="Leelawadee" w:hint="default"/>
      </w:rPr>
    </w:lvl>
    <w:lvl w:ilvl="5" w:tplc="040C0005" w:tentative="1">
      <w:start w:val="1"/>
      <w:numFmt w:val="bullet"/>
      <w:lvlText w:val=""/>
      <w:lvlJc w:val="left"/>
      <w:pPr>
        <w:tabs>
          <w:tab w:val="num" w:pos="4671"/>
        </w:tabs>
        <w:ind w:left="4671" w:hanging="360"/>
      </w:pPr>
      <w:rPr>
        <w:rFonts w:ascii="Wingdings" w:hAnsi="Wingdings" w:hint="default"/>
      </w:rPr>
    </w:lvl>
    <w:lvl w:ilvl="6" w:tplc="040C0001" w:tentative="1">
      <w:start w:val="1"/>
      <w:numFmt w:val="bullet"/>
      <w:lvlText w:val=""/>
      <w:lvlJc w:val="left"/>
      <w:pPr>
        <w:tabs>
          <w:tab w:val="num" w:pos="5391"/>
        </w:tabs>
        <w:ind w:left="5391" w:hanging="360"/>
      </w:pPr>
      <w:rPr>
        <w:rFonts w:ascii="Symbol" w:hAnsi="Symbol" w:hint="default"/>
      </w:rPr>
    </w:lvl>
    <w:lvl w:ilvl="7" w:tplc="040C0003" w:tentative="1">
      <w:start w:val="1"/>
      <w:numFmt w:val="bullet"/>
      <w:lvlText w:val="o"/>
      <w:lvlJc w:val="left"/>
      <w:pPr>
        <w:tabs>
          <w:tab w:val="num" w:pos="6111"/>
        </w:tabs>
        <w:ind w:left="6111" w:hanging="360"/>
      </w:pPr>
      <w:rPr>
        <w:rFonts w:ascii="Courier New" w:hAnsi="Courier New" w:cs="Leelawadee" w:hint="default"/>
      </w:rPr>
    </w:lvl>
    <w:lvl w:ilvl="8" w:tplc="040C0005" w:tentative="1">
      <w:start w:val="1"/>
      <w:numFmt w:val="bullet"/>
      <w:lvlText w:val=""/>
      <w:lvlJc w:val="left"/>
      <w:pPr>
        <w:tabs>
          <w:tab w:val="num" w:pos="6831"/>
        </w:tabs>
        <w:ind w:left="6831" w:hanging="360"/>
      </w:pPr>
      <w:rPr>
        <w:rFonts w:ascii="Wingdings" w:hAnsi="Wingdings" w:hint="default"/>
      </w:rPr>
    </w:lvl>
  </w:abstractNum>
  <w:abstractNum w:abstractNumId="24">
    <w:nsid w:val="356D45D2"/>
    <w:multiLevelType w:val="hybridMultilevel"/>
    <w:tmpl w:val="A70619CE"/>
    <w:lvl w:ilvl="0" w:tplc="5E80DAB6">
      <w:numFmt w:val="bullet"/>
      <w:lvlText w:val="•"/>
      <w:lvlJc w:val="left"/>
      <w:pPr>
        <w:tabs>
          <w:tab w:val="num" w:pos="824"/>
        </w:tabs>
        <w:ind w:left="824" w:hanging="360"/>
      </w:pPr>
      <w:rPr>
        <w:rFonts w:ascii="Arial" w:eastAsia="SimSun" w:hAnsi="Arial" w:hint="default"/>
      </w:rPr>
    </w:lvl>
    <w:lvl w:ilvl="1" w:tplc="040C0003" w:tentative="1">
      <w:start w:val="1"/>
      <w:numFmt w:val="bullet"/>
      <w:lvlText w:val="o"/>
      <w:lvlJc w:val="left"/>
      <w:pPr>
        <w:tabs>
          <w:tab w:val="num" w:pos="1791"/>
        </w:tabs>
        <w:ind w:left="1791" w:hanging="360"/>
      </w:pPr>
      <w:rPr>
        <w:rFonts w:ascii="Courier New" w:hAnsi="Courier New" w:cs="Leelawadee" w:hint="default"/>
      </w:rPr>
    </w:lvl>
    <w:lvl w:ilvl="2" w:tplc="040C0005" w:tentative="1">
      <w:start w:val="1"/>
      <w:numFmt w:val="bullet"/>
      <w:lvlText w:val=""/>
      <w:lvlJc w:val="left"/>
      <w:pPr>
        <w:tabs>
          <w:tab w:val="num" w:pos="2511"/>
        </w:tabs>
        <w:ind w:left="2511" w:hanging="360"/>
      </w:pPr>
      <w:rPr>
        <w:rFonts w:ascii="Wingdings" w:hAnsi="Wingdings" w:hint="default"/>
      </w:rPr>
    </w:lvl>
    <w:lvl w:ilvl="3" w:tplc="040C0001" w:tentative="1">
      <w:start w:val="1"/>
      <w:numFmt w:val="bullet"/>
      <w:lvlText w:val=""/>
      <w:lvlJc w:val="left"/>
      <w:pPr>
        <w:tabs>
          <w:tab w:val="num" w:pos="3231"/>
        </w:tabs>
        <w:ind w:left="3231" w:hanging="360"/>
      </w:pPr>
      <w:rPr>
        <w:rFonts w:ascii="Symbol" w:hAnsi="Symbol" w:hint="default"/>
      </w:rPr>
    </w:lvl>
    <w:lvl w:ilvl="4" w:tplc="040C0003" w:tentative="1">
      <w:start w:val="1"/>
      <w:numFmt w:val="bullet"/>
      <w:lvlText w:val="o"/>
      <w:lvlJc w:val="left"/>
      <w:pPr>
        <w:tabs>
          <w:tab w:val="num" w:pos="3951"/>
        </w:tabs>
        <w:ind w:left="3951" w:hanging="360"/>
      </w:pPr>
      <w:rPr>
        <w:rFonts w:ascii="Courier New" w:hAnsi="Courier New" w:cs="Leelawadee" w:hint="default"/>
      </w:rPr>
    </w:lvl>
    <w:lvl w:ilvl="5" w:tplc="040C0005" w:tentative="1">
      <w:start w:val="1"/>
      <w:numFmt w:val="bullet"/>
      <w:lvlText w:val=""/>
      <w:lvlJc w:val="left"/>
      <w:pPr>
        <w:tabs>
          <w:tab w:val="num" w:pos="4671"/>
        </w:tabs>
        <w:ind w:left="4671" w:hanging="360"/>
      </w:pPr>
      <w:rPr>
        <w:rFonts w:ascii="Wingdings" w:hAnsi="Wingdings" w:hint="default"/>
      </w:rPr>
    </w:lvl>
    <w:lvl w:ilvl="6" w:tplc="040C0001" w:tentative="1">
      <w:start w:val="1"/>
      <w:numFmt w:val="bullet"/>
      <w:lvlText w:val=""/>
      <w:lvlJc w:val="left"/>
      <w:pPr>
        <w:tabs>
          <w:tab w:val="num" w:pos="5391"/>
        </w:tabs>
        <w:ind w:left="5391" w:hanging="360"/>
      </w:pPr>
      <w:rPr>
        <w:rFonts w:ascii="Symbol" w:hAnsi="Symbol" w:hint="default"/>
      </w:rPr>
    </w:lvl>
    <w:lvl w:ilvl="7" w:tplc="040C0003" w:tentative="1">
      <w:start w:val="1"/>
      <w:numFmt w:val="bullet"/>
      <w:lvlText w:val="o"/>
      <w:lvlJc w:val="left"/>
      <w:pPr>
        <w:tabs>
          <w:tab w:val="num" w:pos="6111"/>
        </w:tabs>
        <w:ind w:left="6111" w:hanging="360"/>
      </w:pPr>
      <w:rPr>
        <w:rFonts w:ascii="Courier New" w:hAnsi="Courier New" w:cs="Leelawadee" w:hint="default"/>
      </w:rPr>
    </w:lvl>
    <w:lvl w:ilvl="8" w:tplc="040C0005" w:tentative="1">
      <w:start w:val="1"/>
      <w:numFmt w:val="bullet"/>
      <w:lvlText w:val=""/>
      <w:lvlJc w:val="left"/>
      <w:pPr>
        <w:tabs>
          <w:tab w:val="num" w:pos="6831"/>
        </w:tabs>
        <w:ind w:left="6831" w:hanging="360"/>
      </w:pPr>
      <w:rPr>
        <w:rFonts w:ascii="Wingdings" w:hAnsi="Wingdings" w:hint="default"/>
      </w:rPr>
    </w:lvl>
  </w:abstractNum>
  <w:abstractNum w:abstractNumId="25">
    <w:nsid w:val="36B87FD5"/>
    <w:multiLevelType w:val="multilevel"/>
    <w:tmpl w:val="B1ACB4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37254FA1"/>
    <w:multiLevelType w:val="hybridMultilevel"/>
    <w:tmpl w:val="0D5ABC0E"/>
    <w:lvl w:ilvl="0" w:tplc="5E80DAB6">
      <w:numFmt w:val="bullet"/>
      <w:lvlText w:val="•"/>
      <w:lvlJc w:val="left"/>
      <w:pPr>
        <w:ind w:left="1080" w:hanging="360"/>
      </w:pPr>
      <w:rPr>
        <w:rFonts w:ascii="Arial" w:eastAsia="SimSun" w:hAnsi="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nsid w:val="37BA2131"/>
    <w:multiLevelType w:val="hybridMultilevel"/>
    <w:tmpl w:val="F828BACA"/>
    <w:lvl w:ilvl="0" w:tplc="0001040C">
      <w:start w:val="1"/>
      <w:numFmt w:val="bullet"/>
      <w:lvlText w:val=""/>
      <w:lvlJc w:val="left"/>
      <w:pPr>
        <w:tabs>
          <w:tab w:val="num" w:pos="720"/>
        </w:tabs>
        <w:ind w:left="720" w:hanging="360"/>
      </w:pPr>
      <w:rPr>
        <w:rFonts w:ascii="Symbol" w:eastAsia="Times New Roman" w:hAnsi="Symbol" w:hint="default"/>
      </w:rPr>
    </w:lvl>
    <w:lvl w:ilvl="1" w:tplc="0003040C">
      <w:start w:val="1"/>
      <w:numFmt w:val="bullet"/>
      <w:lvlText w:val="o"/>
      <w:lvlJc w:val="left"/>
      <w:pPr>
        <w:tabs>
          <w:tab w:val="num" w:pos="1440"/>
        </w:tabs>
        <w:ind w:left="1440" w:hanging="360"/>
      </w:pPr>
      <w:rPr>
        <w:rFonts w:ascii="Courier New" w:hAnsi="Courier New" w:cs="Courier New" w:hint="default"/>
      </w:rPr>
    </w:lvl>
    <w:lvl w:ilvl="2" w:tplc="0005040C">
      <w:start w:val="1"/>
      <w:numFmt w:val="bullet"/>
      <w:lvlText w:val=""/>
      <w:lvlJc w:val="left"/>
      <w:pPr>
        <w:tabs>
          <w:tab w:val="num" w:pos="2160"/>
        </w:tabs>
        <w:ind w:left="2160" w:hanging="360"/>
      </w:pPr>
      <w:rPr>
        <w:rFonts w:ascii="Wingdings" w:hAnsi="Wingdings" w:cs="Times New Roman" w:hint="default"/>
      </w:rPr>
    </w:lvl>
    <w:lvl w:ilvl="3" w:tplc="0001040C">
      <w:start w:val="1"/>
      <w:numFmt w:val="bullet"/>
      <w:lvlText w:val=""/>
      <w:lvlJc w:val="left"/>
      <w:pPr>
        <w:tabs>
          <w:tab w:val="num" w:pos="2880"/>
        </w:tabs>
        <w:ind w:left="2880" w:hanging="360"/>
      </w:pPr>
      <w:rPr>
        <w:rFonts w:ascii="Symbol" w:eastAsia="Times New Roman" w:hAnsi="Symbol" w:hint="default"/>
      </w:rPr>
    </w:lvl>
    <w:lvl w:ilvl="4" w:tplc="0003040C">
      <w:start w:val="1"/>
      <w:numFmt w:val="bullet"/>
      <w:lvlText w:val="o"/>
      <w:lvlJc w:val="left"/>
      <w:pPr>
        <w:tabs>
          <w:tab w:val="num" w:pos="3600"/>
        </w:tabs>
        <w:ind w:left="3600" w:hanging="360"/>
      </w:pPr>
      <w:rPr>
        <w:rFonts w:ascii="Courier New" w:hAnsi="Courier New" w:cs="Courier New" w:hint="default"/>
      </w:rPr>
    </w:lvl>
    <w:lvl w:ilvl="5" w:tplc="0005040C">
      <w:start w:val="1"/>
      <w:numFmt w:val="bullet"/>
      <w:lvlText w:val=""/>
      <w:lvlJc w:val="left"/>
      <w:pPr>
        <w:tabs>
          <w:tab w:val="num" w:pos="4320"/>
        </w:tabs>
        <w:ind w:left="4320" w:hanging="360"/>
      </w:pPr>
      <w:rPr>
        <w:rFonts w:ascii="Wingdings" w:hAnsi="Wingdings" w:cs="Times New Roman" w:hint="default"/>
      </w:rPr>
    </w:lvl>
    <w:lvl w:ilvl="6" w:tplc="0001040C">
      <w:start w:val="1"/>
      <w:numFmt w:val="bullet"/>
      <w:lvlText w:val=""/>
      <w:lvlJc w:val="left"/>
      <w:pPr>
        <w:tabs>
          <w:tab w:val="num" w:pos="5040"/>
        </w:tabs>
        <w:ind w:left="5040" w:hanging="360"/>
      </w:pPr>
      <w:rPr>
        <w:rFonts w:ascii="Symbol" w:eastAsia="Times New Roman" w:hAnsi="Symbol" w:hint="default"/>
      </w:rPr>
    </w:lvl>
    <w:lvl w:ilvl="7" w:tplc="0003040C">
      <w:start w:val="1"/>
      <w:numFmt w:val="bullet"/>
      <w:lvlText w:val="o"/>
      <w:lvlJc w:val="left"/>
      <w:pPr>
        <w:tabs>
          <w:tab w:val="num" w:pos="5760"/>
        </w:tabs>
        <w:ind w:left="5760" w:hanging="360"/>
      </w:pPr>
      <w:rPr>
        <w:rFonts w:ascii="Courier New" w:hAnsi="Courier New" w:cs="Courier New" w:hint="default"/>
      </w:rPr>
    </w:lvl>
    <w:lvl w:ilvl="8" w:tplc="0005040C">
      <w:start w:val="1"/>
      <w:numFmt w:val="bullet"/>
      <w:lvlText w:val=""/>
      <w:lvlJc w:val="left"/>
      <w:pPr>
        <w:tabs>
          <w:tab w:val="num" w:pos="6480"/>
        </w:tabs>
        <w:ind w:left="6480" w:hanging="360"/>
      </w:pPr>
      <w:rPr>
        <w:rFonts w:ascii="Wingdings" w:hAnsi="Wingdings" w:cs="Times New Roman" w:hint="default"/>
      </w:rPr>
    </w:lvl>
  </w:abstractNum>
  <w:abstractNum w:abstractNumId="28">
    <w:nsid w:val="3894456A"/>
    <w:multiLevelType w:val="hybridMultilevel"/>
    <w:tmpl w:val="8B76C632"/>
    <w:lvl w:ilvl="0" w:tplc="5E80DAB6">
      <w:numFmt w:val="bullet"/>
      <w:lvlText w:val="•"/>
      <w:lvlJc w:val="left"/>
      <w:pPr>
        <w:tabs>
          <w:tab w:val="num" w:pos="1080"/>
        </w:tabs>
        <w:ind w:left="1080" w:hanging="360"/>
      </w:pPr>
      <w:rPr>
        <w:rFonts w:ascii="Arial" w:eastAsia="SimSun" w:hAnsi="Arial" w:hint="default"/>
      </w:rPr>
    </w:lvl>
    <w:lvl w:ilvl="1" w:tplc="0003040C">
      <w:start w:val="1"/>
      <w:numFmt w:val="bullet"/>
      <w:lvlText w:val="o"/>
      <w:lvlJc w:val="left"/>
      <w:pPr>
        <w:tabs>
          <w:tab w:val="num" w:pos="1800"/>
        </w:tabs>
        <w:ind w:left="1800" w:hanging="360"/>
      </w:pPr>
      <w:rPr>
        <w:rFonts w:ascii="Courier New" w:hAnsi="Courier New" w:cs="Courier New" w:hint="default"/>
      </w:rPr>
    </w:lvl>
    <w:lvl w:ilvl="2" w:tplc="0005040C">
      <w:start w:val="1"/>
      <w:numFmt w:val="bullet"/>
      <w:lvlText w:val=""/>
      <w:lvlJc w:val="left"/>
      <w:pPr>
        <w:tabs>
          <w:tab w:val="num" w:pos="2520"/>
        </w:tabs>
        <w:ind w:left="2520" w:hanging="360"/>
      </w:pPr>
      <w:rPr>
        <w:rFonts w:ascii="Wingdings" w:hAnsi="Wingdings" w:cs="Times New Roman" w:hint="default"/>
      </w:rPr>
    </w:lvl>
    <w:lvl w:ilvl="3" w:tplc="0001040C">
      <w:start w:val="1"/>
      <w:numFmt w:val="bullet"/>
      <w:lvlText w:val=""/>
      <w:lvlJc w:val="left"/>
      <w:pPr>
        <w:tabs>
          <w:tab w:val="num" w:pos="3240"/>
        </w:tabs>
        <w:ind w:left="3240" w:hanging="360"/>
      </w:pPr>
      <w:rPr>
        <w:rFonts w:ascii="Symbol" w:eastAsia="Times New Roman" w:hAnsi="Symbol" w:hint="default"/>
      </w:rPr>
    </w:lvl>
    <w:lvl w:ilvl="4" w:tplc="0003040C">
      <w:start w:val="1"/>
      <w:numFmt w:val="bullet"/>
      <w:lvlText w:val="o"/>
      <w:lvlJc w:val="left"/>
      <w:pPr>
        <w:tabs>
          <w:tab w:val="num" w:pos="3960"/>
        </w:tabs>
        <w:ind w:left="3960" w:hanging="360"/>
      </w:pPr>
      <w:rPr>
        <w:rFonts w:ascii="Courier New" w:hAnsi="Courier New" w:cs="Courier New" w:hint="default"/>
      </w:rPr>
    </w:lvl>
    <w:lvl w:ilvl="5" w:tplc="0005040C">
      <w:start w:val="1"/>
      <w:numFmt w:val="bullet"/>
      <w:lvlText w:val=""/>
      <w:lvlJc w:val="left"/>
      <w:pPr>
        <w:tabs>
          <w:tab w:val="num" w:pos="4680"/>
        </w:tabs>
        <w:ind w:left="4680" w:hanging="360"/>
      </w:pPr>
      <w:rPr>
        <w:rFonts w:ascii="Wingdings" w:hAnsi="Wingdings" w:cs="Times New Roman" w:hint="default"/>
      </w:rPr>
    </w:lvl>
    <w:lvl w:ilvl="6" w:tplc="0001040C">
      <w:start w:val="1"/>
      <w:numFmt w:val="bullet"/>
      <w:lvlText w:val=""/>
      <w:lvlJc w:val="left"/>
      <w:pPr>
        <w:tabs>
          <w:tab w:val="num" w:pos="5400"/>
        </w:tabs>
        <w:ind w:left="5400" w:hanging="360"/>
      </w:pPr>
      <w:rPr>
        <w:rFonts w:ascii="Symbol" w:eastAsia="Times New Roman" w:hAnsi="Symbol" w:hint="default"/>
      </w:rPr>
    </w:lvl>
    <w:lvl w:ilvl="7" w:tplc="0003040C">
      <w:start w:val="1"/>
      <w:numFmt w:val="bullet"/>
      <w:lvlText w:val="o"/>
      <w:lvlJc w:val="left"/>
      <w:pPr>
        <w:tabs>
          <w:tab w:val="num" w:pos="6120"/>
        </w:tabs>
        <w:ind w:left="6120" w:hanging="360"/>
      </w:pPr>
      <w:rPr>
        <w:rFonts w:ascii="Courier New" w:hAnsi="Courier New" w:cs="Courier New" w:hint="default"/>
      </w:rPr>
    </w:lvl>
    <w:lvl w:ilvl="8" w:tplc="0005040C">
      <w:start w:val="1"/>
      <w:numFmt w:val="bullet"/>
      <w:lvlText w:val=""/>
      <w:lvlJc w:val="left"/>
      <w:pPr>
        <w:tabs>
          <w:tab w:val="num" w:pos="6840"/>
        </w:tabs>
        <w:ind w:left="6840" w:hanging="360"/>
      </w:pPr>
      <w:rPr>
        <w:rFonts w:ascii="Wingdings" w:hAnsi="Wingdings" w:cs="Times New Roman" w:hint="default"/>
      </w:rPr>
    </w:lvl>
  </w:abstractNum>
  <w:abstractNum w:abstractNumId="29">
    <w:nsid w:val="3A2E2C50"/>
    <w:multiLevelType w:val="hybridMultilevel"/>
    <w:tmpl w:val="5C9896F0"/>
    <w:lvl w:ilvl="0" w:tplc="5E80DAB6">
      <w:numFmt w:val="bullet"/>
      <w:lvlText w:val="•"/>
      <w:lvlJc w:val="left"/>
      <w:pPr>
        <w:tabs>
          <w:tab w:val="num" w:pos="720"/>
        </w:tabs>
        <w:ind w:left="720" w:hanging="360"/>
      </w:pPr>
      <w:rPr>
        <w:rFonts w:ascii="Arial" w:eastAsia="SimSun" w:hAnsi="Arial" w:hint="default"/>
      </w:rPr>
    </w:lvl>
    <w:lvl w:ilvl="1" w:tplc="0003040C">
      <w:start w:val="1"/>
      <w:numFmt w:val="bullet"/>
      <w:lvlText w:val="o"/>
      <w:lvlJc w:val="left"/>
      <w:pPr>
        <w:tabs>
          <w:tab w:val="num" w:pos="1440"/>
        </w:tabs>
        <w:ind w:left="1440" w:hanging="360"/>
      </w:pPr>
      <w:rPr>
        <w:rFonts w:ascii="Courier New" w:hAnsi="Courier New" w:cs="Courier New" w:hint="default"/>
      </w:rPr>
    </w:lvl>
    <w:lvl w:ilvl="2" w:tplc="0005040C">
      <w:start w:val="1"/>
      <w:numFmt w:val="bullet"/>
      <w:lvlText w:val=""/>
      <w:lvlJc w:val="left"/>
      <w:pPr>
        <w:tabs>
          <w:tab w:val="num" w:pos="2160"/>
        </w:tabs>
        <w:ind w:left="2160" w:hanging="360"/>
      </w:pPr>
      <w:rPr>
        <w:rFonts w:ascii="Wingdings" w:hAnsi="Wingdings" w:cs="Times New Roman" w:hint="default"/>
      </w:rPr>
    </w:lvl>
    <w:lvl w:ilvl="3" w:tplc="0001040C">
      <w:start w:val="1"/>
      <w:numFmt w:val="bullet"/>
      <w:lvlText w:val=""/>
      <w:lvlJc w:val="left"/>
      <w:pPr>
        <w:tabs>
          <w:tab w:val="num" w:pos="2880"/>
        </w:tabs>
        <w:ind w:left="2880" w:hanging="360"/>
      </w:pPr>
      <w:rPr>
        <w:rFonts w:ascii="Symbol" w:eastAsia="Times New Roman" w:hAnsi="Symbol" w:hint="default"/>
      </w:rPr>
    </w:lvl>
    <w:lvl w:ilvl="4" w:tplc="0003040C">
      <w:start w:val="1"/>
      <w:numFmt w:val="bullet"/>
      <w:lvlText w:val="o"/>
      <w:lvlJc w:val="left"/>
      <w:pPr>
        <w:tabs>
          <w:tab w:val="num" w:pos="3600"/>
        </w:tabs>
        <w:ind w:left="3600" w:hanging="360"/>
      </w:pPr>
      <w:rPr>
        <w:rFonts w:ascii="Courier New" w:hAnsi="Courier New" w:cs="Courier New" w:hint="default"/>
      </w:rPr>
    </w:lvl>
    <w:lvl w:ilvl="5" w:tplc="0005040C">
      <w:start w:val="1"/>
      <w:numFmt w:val="bullet"/>
      <w:lvlText w:val=""/>
      <w:lvlJc w:val="left"/>
      <w:pPr>
        <w:tabs>
          <w:tab w:val="num" w:pos="4320"/>
        </w:tabs>
        <w:ind w:left="4320" w:hanging="360"/>
      </w:pPr>
      <w:rPr>
        <w:rFonts w:ascii="Wingdings" w:hAnsi="Wingdings" w:cs="Times New Roman" w:hint="default"/>
      </w:rPr>
    </w:lvl>
    <w:lvl w:ilvl="6" w:tplc="0001040C">
      <w:start w:val="1"/>
      <w:numFmt w:val="bullet"/>
      <w:lvlText w:val=""/>
      <w:lvlJc w:val="left"/>
      <w:pPr>
        <w:tabs>
          <w:tab w:val="num" w:pos="5040"/>
        </w:tabs>
        <w:ind w:left="5040" w:hanging="360"/>
      </w:pPr>
      <w:rPr>
        <w:rFonts w:ascii="Symbol" w:eastAsia="Times New Roman" w:hAnsi="Symbol" w:hint="default"/>
      </w:rPr>
    </w:lvl>
    <w:lvl w:ilvl="7" w:tplc="0003040C">
      <w:start w:val="1"/>
      <w:numFmt w:val="bullet"/>
      <w:lvlText w:val="o"/>
      <w:lvlJc w:val="left"/>
      <w:pPr>
        <w:tabs>
          <w:tab w:val="num" w:pos="5760"/>
        </w:tabs>
        <w:ind w:left="5760" w:hanging="360"/>
      </w:pPr>
      <w:rPr>
        <w:rFonts w:ascii="Courier New" w:hAnsi="Courier New" w:cs="Courier New" w:hint="default"/>
      </w:rPr>
    </w:lvl>
    <w:lvl w:ilvl="8" w:tplc="0005040C">
      <w:start w:val="1"/>
      <w:numFmt w:val="bullet"/>
      <w:lvlText w:val=""/>
      <w:lvlJc w:val="left"/>
      <w:pPr>
        <w:tabs>
          <w:tab w:val="num" w:pos="6480"/>
        </w:tabs>
        <w:ind w:left="6480" w:hanging="360"/>
      </w:pPr>
      <w:rPr>
        <w:rFonts w:ascii="Wingdings" w:hAnsi="Wingdings" w:cs="Times New Roman" w:hint="default"/>
      </w:rPr>
    </w:lvl>
  </w:abstractNum>
  <w:abstractNum w:abstractNumId="30">
    <w:nsid w:val="3E1D14C6"/>
    <w:multiLevelType w:val="multilevel"/>
    <w:tmpl w:val="56BA8B8E"/>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1">
    <w:nsid w:val="44263176"/>
    <w:multiLevelType w:val="hybridMultilevel"/>
    <w:tmpl w:val="77AEC8BC"/>
    <w:lvl w:ilvl="0" w:tplc="5E80DAB6">
      <w:numFmt w:val="bullet"/>
      <w:lvlText w:val="•"/>
      <w:lvlJc w:val="left"/>
      <w:pPr>
        <w:ind w:left="720" w:hanging="360"/>
      </w:pPr>
      <w:rPr>
        <w:rFonts w:ascii="Arial" w:eastAsia="SimSu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56208F8"/>
    <w:multiLevelType w:val="hybridMultilevel"/>
    <w:tmpl w:val="9F2E2DB4"/>
    <w:lvl w:ilvl="0" w:tplc="5E80DAB6">
      <w:numFmt w:val="bullet"/>
      <w:lvlText w:val="•"/>
      <w:lvlJc w:val="left"/>
      <w:pPr>
        <w:ind w:left="720" w:hanging="360"/>
      </w:pPr>
      <w:rPr>
        <w:rFonts w:ascii="Arial" w:eastAsia="SimSu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45CF6724"/>
    <w:multiLevelType w:val="multilevel"/>
    <w:tmpl w:val="274874CE"/>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4">
    <w:nsid w:val="45F21638"/>
    <w:multiLevelType w:val="hybridMultilevel"/>
    <w:tmpl w:val="0EB8E540"/>
    <w:lvl w:ilvl="0" w:tplc="5E80DAB6">
      <w:numFmt w:val="bullet"/>
      <w:lvlText w:val="•"/>
      <w:lvlJc w:val="left"/>
      <w:pPr>
        <w:ind w:left="720" w:hanging="360"/>
      </w:pPr>
      <w:rPr>
        <w:rFonts w:ascii="Arial" w:eastAsia="SimSu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6D9390C"/>
    <w:multiLevelType w:val="hybridMultilevel"/>
    <w:tmpl w:val="8F10FC30"/>
    <w:lvl w:ilvl="0" w:tplc="5E80DAB6">
      <w:numFmt w:val="bullet"/>
      <w:lvlText w:val="•"/>
      <w:lvlJc w:val="left"/>
      <w:pPr>
        <w:ind w:left="1428" w:hanging="360"/>
      </w:pPr>
      <w:rPr>
        <w:rFonts w:ascii="Arial" w:eastAsia="SimSun" w:hAnsi="Aria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6">
    <w:nsid w:val="475E350E"/>
    <w:multiLevelType w:val="multilevel"/>
    <w:tmpl w:val="1CE03F3E"/>
    <w:lvl w:ilvl="0">
      <w:numFmt w:val="bullet"/>
      <w:lvlText w:val="•"/>
      <w:lvlJc w:val="left"/>
      <w:pPr>
        <w:tabs>
          <w:tab w:val="num" w:pos="720"/>
        </w:tabs>
        <w:ind w:left="720" w:hanging="360"/>
      </w:pPr>
      <w:rPr>
        <w:rFonts w:ascii="Arial" w:eastAsia="SimSun" w:hAnsi="Aria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nsid w:val="49046244"/>
    <w:multiLevelType w:val="multilevel"/>
    <w:tmpl w:val="4BD813FE"/>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8">
    <w:nsid w:val="4C33165E"/>
    <w:multiLevelType w:val="multilevel"/>
    <w:tmpl w:val="A4721D78"/>
    <w:lvl w:ilvl="0">
      <w:numFmt w:val="bullet"/>
      <w:lvlText w:val="•"/>
      <w:lvlJc w:val="left"/>
      <w:pPr>
        <w:tabs>
          <w:tab w:val="num" w:pos="720"/>
        </w:tabs>
        <w:ind w:left="720" w:hanging="360"/>
      </w:pPr>
      <w:rPr>
        <w:rFonts w:ascii="Arial" w:eastAsia="SimSun" w:hAnsi="Aria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nsid w:val="4FBE03A7"/>
    <w:multiLevelType w:val="hybridMultilevel"/>
    <w:tmpl w:val="A522AFCC"/>
    <w:lvl w:ilvl="0" w:tplc="5E80DAB6">
      <w:numFmt w:val="bullet"/>
      <w:lvlText w:val="•"/>
      <w:lvlJc w:val="left"/>
      <w:pPr>
        <w:ind w:left="720" w:hanging="360"/>
      </w:pPr>
      <w:rPr>
        <w:rFonts w:ascii="Arial" w:eastAsia="SimSu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511960E1"/>
    <w:multiLevelType w:val="hybridMultilevel"/>
    <w:tmpl w:val="C2E082F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Leelawadee"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Leelawadee"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Leelawadee" w:hint="default"/>
      </w:rPr>
    </w:lvl>
    <w:lvl w:ilvl="8" w:tplc="040C0005">
      <w:start w:val="1"/>
      <w:numFmt w:val="bullet"/>
      <w:lvlText w:val=""/>
      <w:lvlJc w:val="left"/>
      <w:pPr>
        <w:ind w:left="6480" w:hanging="360"/>
      </w:pPr>
      <w:rPr>
        <w:rFonts w:ascii="Wingdings" w:hAnsi="Wingdings" w:hint="default"/>
      </w:rPr>
    </w:lvl>
  </w:abstractNum>
  <w:abstractNum w:abstractNumId="41">
    <w:nsid w:val="5290267A"/>
    <w:multiLevelType w:val="hybridMultilevel"/>
    <w:tmpl w:val="C4962904"/>
    <w:lvl w:ilvl="0" w:tplc="5E80DAB6">
      <w:numFmt w:val="bullet"/>
      <w:lvlText w:val="•"/>
      <w:lvlJc w:val="left"/>
      <w:pPr>
        <w:ind w:left="720" w:hanging="360"/>
      </w:pPr>
      <w:rPr>
        <w:rFonts w:ascii="Arial" w:eastAsia="SimSu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35A5942"/>
    <w:multiLevelType w:val="hybridMultilevel"/>
    <w:tmpl w:val="EE56FEB2"/>
    <w:lvl w:ilvl="0" w:tplc="5E80DAB6">
      <w:numFmt w:val="bullet"/>
      <w:lvlText w:val="•"/>
      <w:lvlJc w:val="left"/>
      <w:pPr>
        <w:ind w:left="1080" w:hanging="360"/>
      </w:pPr>
      <w:rPr>
        <w:rFonts w:ascii="Arial" w:eastAsia="SimSun" w:hAnsi="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3">
    <w:nsid w:val="53955485"/>
    <w:multiLevelType w:val="multilevel"/>
    <w:tmpl w:val="1166D082"/>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44">
    <w:nsid w:val="542C6187"/>
    <w:multiLevelType w:val="hybridMultilevel"/>
    <w:tmpl w:val="8D2C3A6A"/>
    <w:lvl w:ilvl="0" w:tplc="5E80DAB6">
      <w:numFmt w:val="bullet"/>
      <w:lvlText w:val="•"/>
      <w:lvlJc w:val="left"/>
      <w:pPr>
        <w:ind w:left="1300" w:hanging="360"/>
      </w:pPr>
      <w:rPr>
        <w:rFonts w:ascii="Arial" w:eastAsia="SimSun" w:hAnsi="Arial" w:hint="default"/>
      </w:rPr>
    </w:lvl>
    <w:lvl w:ilvl="1" w:tplc="040C0003" w:tentative="1">
      <w:start w:val="1"/>
      <w:numFmt w:val="bullet"/>
      <w:lvlText w:val="o"/>
      <w:lvlJc w:val="left"/>
      <w:pPr>
        <w:ind w:left="2020" w:hanging="360"/>
      </w:pPr>
      <w:rPr>
        <w:rFonts w:ascii="Courier New" w:hAnsi="Courier New" w:hint="default"/>
      </w:rPr>
    </w:lvl>
    <w:lvl w:ilvl="2" w:tplc="040C0005" w:tentative="1">
      <w:start w:val="1"/>
      <w:numFmt w:val="bullet"/>
      <w:lvlText w:val=""/>
      <w:lvlJc w:val="left"/>
      <w:pPr>
        <w:ind w:left="2740" w:hanging="360"/>
      </w:pPr>
      <w:rPr>
        <w:rFonts w:ascii="Wingdings" w:hAnsi="Wingdings" w:hint="default"/>
      </w:rPr>
    </w:lvl>
    <w:lvl w:ilvl="3" w:tplc="040C0001">
      <w:start w:val="1"/>
      <w:numFmt w:val="bullet"/>
      <w:lvlText w:val=""/>
      <w:lvlJc w:val="left"/>
      <w:pPr>
        <w:ind w:left="3460" w:hanging="360"/>
      </w:pPr>
      <w:rPr>
        <w:rFonts w:ascii="Symbol" w:hAnsi="Symbol" w:hint="default"/>
      </w:rPr>
    </w:lvl>
    <w:lvl w:ilvl="4" w:tplc="040C0003" w:tentative="1">
      <w:start w:val="1"/>
      <w:numFmt w:val="bullet"/>
      <w:lvlText w:val="o"/>
      <w:lvlJc w:val="left"/>
      <w:pPr>
        <w:ind w:left="4180" w:hanging="360"/>
      </w:pPr>
      <w:rPr>
        <w:rFonts w:ascii="Courier New" w:hAnsi="Courier New" w:hint="default"/>
      </w:rPr>
    </w:lvl>
    <w:lvl w:ilvl="5" w:tplc="040C0005" w:tentative="1">
      <w:start w:val="1"/>
      <w:numFmt w:val="bullet"/>
      <w:lvlText w:val=""/>
      <w:lvlJc w:val="left"/>
      <w:pPr>
        <w:ind w:left="4900" w:hanging="360"/>
      </w:pPr>
      <w:rPr>
        <w:rFonts w:ascii="Wingdings" w:hAnsi="Wingdings" w:hint="default"/>
      </w:rPr>
    </w:lvl>
    <w:lvl w:ilvl="6" w:tplc="040C0001" w:tentative="1">
      <w:start w:val="1"/>
      <w:numFmt w:val="bullet"/>
      <w:lvlText w:val=""/>
      <w:lvlJc w:val="left"/>
      <w:pPr>
        <w:ind w:left="5620" w:hanging="360"/>
      </w:pPr>
      <w:rPr>
        <w:rFonts w:ascii="Symbol" w:hAnsi="Symbol" w:hint="default"/>
      </w:rPr>
    </w:lvl>
    <w:lvl w:ilvl="7" w:tplc="040C0003" w:tentative="1">
      <w:start w:val="1"/>
      <w:numFmt w:val="bullet"/>
      <w:lvlText w:val="o"/>
      <w:lvlJc w:val="left"/>
      <w:pPr>
        <w:ind w:left="6340" w:hanging="360"/>
      </w:pPr>
      <w:rPr>
        <w:rFonts w:ascii="Courier New" w:hAnsi="Courier New" w:hint="default"/>
      </w:rPr>
    </w:lvl>
    <w:lvl w:ilvl="8" w:tplc="040C0005" w:tentative="1">
      <w:start w:val="1"/>
      <w:numFmt w:val="bullet"/>
      <w:lvlText w:val=""/>
      <w:lvlJc w:val="left"/>
      <w:pPr>
        <w:ind w:left="7060" w:hanging="360"/>
      </w:pPr>
      <w:rPr>
        <w:rFonts w:ascii="Wingdings" w:hAnsi="Wingdings" w:hint="default"/>
      </w:rPr>
    </w:lvl>
  </w:abstractNum>
  <w:abstractNum w:abstractNumId="45">
    <w:nsid w:val="56AA020A"/>
    <w:multiLevelType w:val="hybridMultilevel"/>
    <w:tmpl w:val="92821B56"/>
    <w:lvl w:ilvl="0" w:tplc="040C0019">
      <w:start w:val="1"/>
      <w:numFmt w:val="lowerLetter"/>
      <w:lvlText w:val="%1."/>
      <w:lvlJc w:val="left"/>
      <w:pPr>
        <w:ind w:left="720" w:hanging="360"/>
      </w:pPr>
      <w:rPr>
        <w:rFonts w:cs="Times New Roman"/>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46">
    <w:nsid w:val="57CD1670"/>
    <w:multiLevelType w:val="multilevel"/>
    <w:tmpl w:val="0E32E41A"/>
    <w:lvl w:ilvl="0">
      <w:start w:val="8"/>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7">
    <w:nsid w:val="584D5CC1"/>
    <w:multiLevelType w:val="hybridMultilevel"/>
    <w:tmpl w:val="41E2C956"/>
    <w:lvl w:ilvl="0" w:tplc="040C0001">
      <w:start w:val="1"/>
      <w:numFmt w:val="bullet"/>
      <w:lvlText w:val=""/>
      <w:lvlJc w:val="left"/>
      <w:pPr>
        <w:ind w:left="841" w:hanging="360"/>
      </w:pPr>
      <w:rPr>
        <w:rFonts w:ascii="Symbol" w:hAnsi="Symbol" w:hint="default"/>
      </w:rPr>
    </w:lvl>
    <w:lvl w:ilvl="1" w:tplc="040C0003" w:tentative="1">
      <w:start w:val="1"/>
      <w:numFmt w:val="bullet"/>
      <w:lvlText w:val="o"/>
      <w:lvlJc w:val="left"/>
      <w:pPr>
        <w:ind w:left="1561" w:hanging="360"/>
      </w:pPr>
      <w:rPr>
        <w:rFonts w:ascii="Courier New" w:hAnsi="Courier New" w:cs="Courier New" w:hint="default"/>
      </w:rPr>
    </w:lvl>
    <w:lvl w:ilvl="2" w:tplc="040C0005" w:tentative="1">
      <w:start w:val="1"/>
      <w:numFmt w:val="bullet"/>
      <w:lvlText w:val=""/>
      <w:lvlJc w:val="left"/>
      <w:pPr>
        <w:ind w:left="2281" w:hanging="360"/>
      </w:pPr>
      <w:rPr>
        <w:rFonts w:ascii="Wingdings" w:hAnsi="Wingdings" w:hint="default"/>
      </w:rPr>
    </w:lvl>
    <w:lvl w:ilvl="3" w:tplc="040C0001" w:tentative="1">
      <w:start w:val="1"/>
      <w:numFmt w:val="bullet"/>
      <w:lvlText w:val=""/>
      <w:lvlJc w:val="left"/>
      <w:pPr>
        <w:ind w:left="3001" w:hanging="360"/>
      </w:pPr>
      <w:rPr>
        <w:rFonts w:ascii="Symbol" w:hAnsi="Symbol" w:hint="default"/>
      </w:rPr>
    </w:lvl>
    <w:lvl w:ilvl="4" w:tplc="040C0003" w:tentative="1">
      <w:start w:val="1"/>
      <w:numFmt w:val="bullet"/>
      <w:lvlText w:val="o"/>
      <w:lvlJc w:val="left"/>
      <w:pPr>
        <w:ind w:left="3721" w:hanging="360"/>
      </w:pPr>
      <w:rPr>
        <w:rFonts w:ascii="Courier New" w:hAnsi="Courier New" w:cs="Courier New" w:hint="default"/>
      </w:rPr>
    </w:lvl>
    <w:lvl w:ilvl="5" w:tplc="040C0005" w:tentative="1">
      <w:start w:val="1"/>
      <w:numFmt w:val="bullet"/>
      <w:lvlText w:val=""/>
      <w:lvlJc w:val="left"/>
      <w:pPr>
        <w:ind w:left="4441" w:hanging="360"/>
      </w:pPr>
      <w:rPr>
        <w:rFonts w:ascii="Wingdings" w:hAnsi="Wingdings" w:hint="default"/>
      </w:rPr>
    </w:lvl>
    <w:lvl w:ilvl="6" w:tplc="040C0001" w:tentative="1">
      <w:start w:val="1"/>
      <w:numFmt w:val="bullet"/>
      <w:lvlText w:val=""/>
      <w:lvlJc w:val="left"/>
      <w:pPr>
        <w:ind w:left="5161" w:hanging="360"/>
      </w:pPr>
      <w:rPr>
        <w:rFonts w:ascii="Symbol" w:hAnsi="Symbol" w:hint="default"/>
      </w:rPr>
    </w:lvl>
    <w:lvl w:ilvl="7" w:tplc="040C0003" w:tentative="1">
      <w:start w:val="1"/>
      <w:numFmt w:val="bullet"/>
      <w:lvlText w:val="o"/>
      <w:lvlJc w:val="left"/>
      <w:pPr>
        <w:ind w:left="5881" w:hanging="360"/>
      </w:pPr>
      <w:rPr>
        <w:rFonts w:ascii="Courier New" w:hAnsi="Courier New" w:cs="Courier New" w:hint="default"/>
      </w:rPr>
    </w:lvl>
    <w:lvl w:ilvl="8" w:tplc="040C0005" w:tentative="1">
      <w:start w:val="1"/>
      <w:numFmt w:val="bullet"/>
      <w:lvlText w:val=""/>
      <w:lvlJc w:val="left"/>
      <w:pPr>
        <w:ind w:left="6601" w:hanging="360"/>
      </w:pPr>
      <w:rPr>
        <w:rFonts w:ascii="Wingdings" w:hAnsi="Wingdings" w:hint="default"/>
      </w:rPr>
    </w:lvl>
  </w:abstractNum>
  <w:abstractNum w:abstractNumId="48">
    <w:nsid w:val="596C4CDF"/>
    <w:multiLevelType w:val="hybridMultilevel"/>
    <w:tmpl w:val="7550F882"/>
    <w:lvl w:ilvl="0" w:tplc="5E80DAB6">
      <w:numFmt w:val="bullet"/>
      <w:lvlText w:val="•"/>
      <w:lvlJc w:val="left"/>
      <w:pPr>
        <w:ind w:left="720" w:hanging="360"/>
      </w:pPr>
      <w:rPr>
        <w:rFonts w:ascii="Arial" w:eastAsia="SimSu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9EC0E07"/>
    <w:multiLevelType w:val="hybridMultilevel"/>
    <w:tmpl w:val="10FA8E16"/>
    <w:lvl w:ilvl="0" w:tplc="A79EF296">
      <w:start w:val="1"/>
      <w:numFmt w:val="bullet"/>
      <w:lvlText w:val="-"/>
      <w:lvlJc w:val="left"/>
      <w:pPr>
        <w:ind w:left="720" w:hanging="360"/>
      </w:pPr>
      <w:rPr>
        <w:rFonts w:ascii="Verdana" w:eastAsia="Times New Roman" w:hAnsi="Verdana"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pStyle w:val="Nagwek3"/>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B7C66F7"/>
    <w:multiLevelType w:val="hybridMultilevel"/>
    <w:tmpl w:val="B3A42366"/>
    <w:lvl w:ilvl="0" w:tplc="5E80DAB6">
      <w:numFmt w:val="bullet"/>
      <w:lvlText w:val="•"/>
      <w:lvlJc w:val="left"/>
      <w:pPr>
        <w:ind w:left="360" w:hanging="360"/>
      </w:pPr>
      <w:rPr>
        <w:rFonts w:ascii="Arial" w:eastAsia="SimSun" w:hAnsi="Arial"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abstractNum w:abstractNumId="51">
    <w:nsid w:val="5D2D4F95"/>
    <w:multiLevelType w:val="hybridMultilevel"/>
    <w:tmpl w:val="9E76845C"/>
    <w:lvl w:ilvl="0" w:tplc="5E80DAB6">
      <w:numFmt w:val="bullet"/>
      <w:lvlText w:val="•"/>
      <w:lvlJc w:val="left"/>
      <w:pPr>
        <w:ind w:left="720" w:hanging="360"/>
      </w:pPr>
      <w:rPr>
        <w:rFonts w:ascii="Arial" w:eastAsia="SimSun" w:hAnsi="Aria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3AA2A8A"/>
    <w:multiLevelType w:val="hybridMultilevel"/>
    <w:tmpl w:val="46C0A2F2"/>
    <w:lvl w:ilvl="0" w:tplc="5E80DAB6">
      <w:numFmt w:val="bullet"/>
      <w:lvlText w:val="•"/>
      <w:lvlJc w:val="left"/>
      <w:pPr>
        <w:ind w:left="360" w:hanging="360"/>
      </w:pPr>
      <w:rPr>
        <w:rFonts w:ascii="Arial" w:eastAsia="SimSun" w:hAnsi="Arial" w:hint="default"/>
      </w:rPr>
    </w:lvl>
    <w:lvl w:ilvl="1" w:tplc="040C0003">
      <w:start w:val="1"/>
      <w:numFmt w:val="bullet"/>
      <w:lvlText w:val="o"/>
      <w:lvlJc w:val="left"/>
      <w:pPr>
        <w:ind w:left="1080" w:hanging="360"/>
      </w:pPr>
      <w:rPr>
        <w:rFonts w:ascii="Courier New" w:hAnsi="Courier New"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Times New Roman"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Times New Roman" w:hint="default"/>
      </w:rPr>
    </w:lvl>
    <w:lvl w:ilvl="8" w:tplc="040C0005">
      <w:start w:val="1"/>
      <w:numFmt w:val="bullet"/>
      <w:lvlText w:val=""/>
      <w:lvlJc w:val="left"/>
      <w:pPr>
        <w:ind w:left="6120" w:hanging="360"/>
      </w:pPr>
      <w:rPr>
        <w:rFonts w:ascii="Wingdings" w:hAnsi="Wingdings" w:hint="default"/>
      </w:rPr>
    </w:lvl>
  </w:abstractNum>
  <w:abstractNum w:abstractNumId="53">
    <w:nsid w:val="656816DB"/>
    <w:multiLevelType w:val="hybridMultilevel"/>
    <w:tmpl w:val="0EECB5AC"/>
    <w:lvl w:ilvl="0" w:tplc="5E80DAB6">
      <w:numFmt w:val="bullet"/>
      <w:lvlText w:val="•"/>
      <w:lvlJc w:val="left"/>
      <w:pPr>
        <w:ind w:left="1440" w:hanging="360"/>
      </w:pPr>
      <w:rPr>
        <w:rFonts w:ascii="Arial" w:eastAsia="SimSu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6B03271A"/>
    <w:multiLevelType w:val="multilevel"/>
    <w:tmpl w:val="6680A9B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5">
    <w:nsid w:val="6D0B0987"/>
    <w:multiLevelType w:val="hybridMultilevel"/>
    <w:tmpl w:val="6E786120"/>
    <w:lvl w:ilvl="0" w:tplc="5E80DAB6">
      <w:numFmt w:val="bullet"/>
      <w:lvlText w:val="•"/>
      <w:lvlJc w:val="left"/>
      <w:pPr>
        <w:ind w:left="720" w:hanging="360"/>
      </w:pPr>
      <w:rPr>
        <w:rFonts w:ascii="Arial" w:eastAsia="SimSu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6F056D3C"/>
    <w:multiLevelType w:val="hybridMultilevel"/>
    <w:tmpl w:val="C68A224A"/>
    <w:lvl w:ilvl="0" w:tplc="5E80DAB6">
      <w:numFmt w:val="bullet"/>
      <w:lvlText w:val="•"/>
      <w:lvlJc w:val="left"/>
      <w:pPr>
        <w:ind w:left="720" w:hanging="360"/>
      </w:pPr>
      <w:rPr>
        <w:rFonts w:ascii="Arial" w:eastAsia="SimSu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70B06E73"/>
    <w:multiLevelType w:val="hybridMultilevel"/>
    <w:tmpl w:val="0A04BFE2"/>
    <w:lvl w:ilvl="0" w:tplc="5E80DAB6">
      <w:numFmt w:val="bullet"/>
      <w:lvlText w:val="•"/>
      <w:lvlJc w:val="left"/>
      <w:pPr>
        <w:ind w:left="1300" w:hanging="360"/>
      </w:pPr>
      <w:rPr>
        <w:rFonts w:ascii="Arial" w:eastAsia="SimSun" w:hAnsi="Arial" w:hint="default"/>
      </w:rPr>
    </w:lvl>
    <w:lvl w:ilvl="1" w:tplc="040C0003" w:tentative="1">
      <w:start w:val="1"/>
      <w:numFmt w:val="bullet"/>
      <w:lvlText w:val="o"/>
      <w:lvlJc w:val="left"/>
      <w:pPr>
        <w:ind w:left="2020" w:hanging="360"/>
      </w:pPr>
      <w:rPr>
        <w:rFonts w:ascii="Courier New" w:hAnsi="Courier New" w:hint="default"/>
      </w:rPr>
    </w:lvl>
    <w:lvl w:ilvl="2" w:tplc="040C0005" w:tentative="1">
      <w:start w:val="1"/>
      <w:numFmt w:val="bullet"/>
      <w:lvlText w:val=""/>
      <w:lvlJc w:val="left"/>
      <w:pPr>
        <w:ind w:left="2740" w:hanging="360"/>
      </w:pPr>
      <w:rPr>
        <w:rFonts w:ascii="Wingdings" w:hAnsi="Wingdings" w:hint="default"/>
      </w:rPr>
    </w:lvl>
    <w:lvl w:ilvl="3" w:tplc="040C0001">
      <w:start w:val="1"/>
      <w:numFmt w:val="bullet"/>
      <w:lvlText w:val=""/>
      <w:lvlJc w:val="left"/>
      <w:pPr>
        <w:ind w:left="3460" w:hanging="360"/>
      </w:pPr>
      <w:rPr>
        <w:rFonts w:ascii="Symbol" w:hAnsi="Symbol" w:hint="default"/>
      </w:rPr>
    </w:lvl>
    <w:lvl w:ilvl="4" w:tplc="040C0003" w:tentative="1">
      <w:start w:val="1"/>
      <w:numFmt w:val="bullet"/>
      <w:lvlText w:val="o"/>
      <w:lvlJc w:val="left"/>
      <w:pPr>
        <w:ind w:left="4180" w:hanging="360"/>
      </w:pPr>
      <w:rPr>
        <w:rFonts w:ascii="Courier New" w:hAnsi="Courier New" w:hint="default"/>
      </w:rPr>
    </w:lvl>
    <w:lvl w:ilvl="5" w:tplc="040C0005" w:tentative="1">
      <w:start w:val="1"/>
      <w:numFmt w:val="bullet"/>
      <w:lvlText w:val=""/>
      <w:lvlJc w:val="left"/>
      <w:pPr>
        <w:ind w:left="4900" w:hanging="360"/>
      </w:pPr>
      <w:rPr>
        <w:rFonts w:ascii="Wingdings" w:hAnsi="Wingdings" w:hint="default"/>
      </w:rPr>
    </w:lvl>
    <w:lvl w:ilvl="6" w:tplc="040C0001" w:tentative="1">
      <w:start w:val="1"/>
      <w:numFmt w:val="bullet"/>
      <w:lvlText w:val=""/>
      <w:lvlJc w:val="left"/>
      <w:pPr>
        <w:ind w:left="5620" w:hanging="360"/>
      </w:pPr>
      <w:rPr>
        <w:rFonts w:ascii="Symbol" w:hAnsi="Symbol" w:hint="default"/>
      </w:rPr>
    </w:lvl>
    <w:lvl w:ilvl="7" w:tplc="040C0003" w:tentative="1">
      <w:start w:val="1"/>
      <w:numFmt w:val="bullet"/>
      <w:lvlText w:val="o"/>
      <w:lvlJc w:val="left"/>
      <w:pPr>
        <w:ind w:left="6340" w:hanging="360"/>
      </w:pPr>
      <w:rPr>
        <w:rFonts w:ascii="Courier New" w:hAnsi="Courier New" w:hint="default"/>
      </w:rPr>
    </w:lvl>
    <w:lvl w:ilvl="8" w:tplc="040C0005" w:tentative="1">
      <w:start w:val="1"/>
      <w:numFmt w:val="bullet"/>
      <w:lvlText w:val=""/>
      <w:lvlJc w:val="left"/>
      <w:pPr>
        <w:ind w:left="7060" w:hanging="360"/>
      </w:pPr>
      <w:rPr>
        <w:rFonts w:ascii="Wingdings" w:hAnsi="Wingdings" w:hint="default"/>
      </w:rPr>
    </w:lvl>
  </w:abstractNum>
  <w:abstractNum w:abstractNumId="58">
    <w:nsid w:val="71AD557C"/>
    <w:multiLevelType w:val="hybridMultilevel"/>
    <w:tmpl w:val="65865B0E"/>
    <w:lvl w:ilvl="0" w:tplc="08090001">
      <w:start w:val="1"/>
      <w:numFmt w:val="bullet"/>
      <w:lvlText w:val=""/>
      <w:lvlJc w:val="left"/>
      <w:pPr>
        <w:ind w:left="841" w:hanging="360"/>
      </w:pPr>
      <w:rPr>
        <w:rFonts w:ascii="Symbol" w:hAnsi="Symbol" w:hint="default"/>
      </w:rPr>
    </w:lvl>
    <w:lvl w:ilvl="1" w:tplc="08090003" w:tentative="1">
      <w:start w:val="1"/>
      <w:numFmt w:val="bullet"/>
      <w:lvlText w:val="o"/>
      <w:lvlJc w:val="left"/>
      <w:pPr>
        <w:ind w:left="1561" w:hanging="360"/>
      </w:pPr>
      <w:rPr>
        <w:rFonts w:ascii="Courier New" w:hAnsi="Courier New" w:cs="Courier New" w:hint="default"/>
      </w:rPr>
    </w:lvl>
    <w:lvl w:ilvl="2" w:tplc="08090005" w:tentative="1">
      <w:start w:val="1"/>
      <w:numFmt w:val="bullet"/>
      <w:lvlText w:val=""/>
      <w:lvlJc w:val="left"/>
      <w:pPr>
        <w:ind w:left="2281" w:hanging="360"/>
      </w:pPr>
      <w:rPr>
        <w:rFonts w:ascii="Wingdings" w:hAnsi="Wingdings" w:hint="default"/>
      </w:rPr>
    </w:lvl>
    <w:lvl w:ilvl="3" w:tplc="08090001" w:tentative="1">
      <w:start w:val="1"/>
      <w:numFmt w:val="bullet"/>
      <w:lvlText w:val=""/>
      <w:lvlJc w:val="left"/>
      <w:pPr>
        <w:ind w:left="3001" w:hanging="360"/>
      </w:pPr>
      <w:rPr>
        <w:rFonts w:ascii="Symbol" w:hAnsi="Symbol" w:hint="default"/>
      </w:rPr>
    </w:lvl>
    <w:lvl w:ilvl="4" w:tplc="08090003" w:tentative="1">
      <w:start w:val="1"/>
      <w:numFmt w:val="bullet"/>
      <w:lvlText w:val="o"/>
      <w:lvlJc w:val="left"/>
      <w:pPr>
        <w:ind w:left="3721" w:hanging="360"/>
      </w:pPr>
      <w:rPr>
        <w:rFonts w:ascii="Courier New" w:hAnsi="Courier New" w:cs="Courier New" w:hint="default"/>
      </w:rPr>
    </w:lvl>
    <w:lvl w:ilvl="5" w:tplc="08090005" w:tentative="1">
      <w:start w:val="1"/>
      <w:numFmt w:val="bullet"/>
      <w:lvlText w:val=""/>
      <w:lvlJc w:val="left"/>
      <w:pPr>
        <w:ind w:left="4441" w:hanging="360"/>
      </w:pPr>
      <w:rPr>
        <w:rFonts w:ascii="Wingdings" w:hAnsi="Wingdings" w:hint="default"/>
      </w:rPr>
    </w:lvl>
    <w:lvl w:ilvl="6" w:tplc="08090001" w:tentative="1">
      <w:start w:val="1"/>
      <w:numFmt w:val="bullet"/>
      <w:lvlText w:val=""/>
      <w:lvlJc w:val="left"/>
      <w:pPr>
        <w:ind w:left="5161" w:hanging="360"/>
      </w:pPr>
      <w:rPr>
        <w:rFonts w:ascii="Symbol" w:hAnsi="Symbol" w:hint="default"/>
      </w:rPr>
    </w:lvl>
    <w:lvl w:ilvl="7" w:tplc="08090003" w:tentative="1">
      <w:start w:val="1"/>
      <w:numFmt w:val="bullet"/>
      <w:lvlText w:val="o"/>
      <w:lvlJc w:val="left"/>
      <w:pPr>
        <w:ind w:left="5881" w:hanging="360"/>
      </w:pPr>
      <w:rPr>
        <w:rFonts w:ascii="Courier New" w:hAnsi="Courier New" w:cs="Courier New" w:hint="default"/>
      </w:rPr>
    </w:lvl>
    <w:lvl w:ilvl="8" w:tplc="08090005" w:tentative="1">
      <w:start w:val="1"/>
      <w:numFmt w:val="bullet"/>
      <w:lvlText w:val=""/>
      <w:lvlJc w:val="left"/>
      <w:pPr>
        <w:ind w:left="6601" w:hanging="360"/>
      </w:pPr>
      <w:rPr>
        <w:rFonts w:ascii="Wingdings" w:hAnsi="Wingdings" w:hint="default"/>
      </w:rPr>
    </w:lvl>
  </w:abstractNum>
  <w:abstractNum w:abstractNumId="59">
    <w:nsid w:val="740A732A"/>
    <w:multiLevelType w:val="hybridMultilevel"/>
    <w:tmpl w:val="D5944938"/>
    <w:lvl w:ilvl="0" w:tplc="5E80DAB6">
      <w:numFmt w:val="bullet"/>
      <w:lvlText w:val="•"/>
      <w:lvlJc w:val="left"/>
      <w:pPr>
        <w:ind w:left="720" w:hanging="360"/>
      </w:pPr>
      <w:rPr>
        <w:rFonts w:ascii="Arial" w:eastAsia="SimSu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75BA2411"/>
    <w:multiLevelType w:val="hybridMultilevel"/>
    <w:tmpl w:val="98766170"/>
    <w:lvl w:ilvl="0" w:tplc="5E80DAB6">
      <w:numFmt w:val="bullet"/>
      <w:lvlText w:val="•"/>
      <w:lvlJc w:val="left"/>
      <w:pPr>
        <w:ind w:left="720" w:hanging="360"/>
      </w:pPr>
      <w:rPr>
        <w:rFonts w:ascii="Arial" w:eastAsia="SimSu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76712EAA"/>
    <w:multiLevelType w:val="hybridMultilevel"/>
    <w:tmpl w:val="E2464150"/>
    <w:lvl w:ilvl="0" w:tplc="5E80DAB6">
      <w:numFmt w:val="bullet"/>
      <w:lvlText w:val="•"/>
      <w:lvlJc w:val="left"/>
      <w:pPr>
        <w:ind w:left="1300" w:hanging="360"/>
      </w:pPr>
      <w:rPr>
        <w:rFonts w:ascii="Arial" w:eastAsia="SimSun" w:hAnsi="Arial" w:hint="default"/>
      </w:rPr>
    </w:lvl>
    <w:lvl w:ilvl="1" w:tplc="040C0003" w:tentative="1">
      <w:start w:val="1"/>
      <w:numFmt w:val="bullet"/>
      <w:lvlText w:val="o"/>
      <w:lvlJc w:val="left"/>
      <w:pPr>
        <w:ind w:left="2020" w:hanging="360"/>
      </w:pPr>
      <w:rPr>
        <w:rFonts w:ascii="Courier New" w:hAnsi="Courier New" w:hint="default"/>
      </w:rPr>
    </w:lvl>
    <w:lvl w:ilvl="2" w:tplc="040C0005" w:tentative="1">
      <w:start w:val="1"/>
      <w:numFmt w:val="bullet"/>
      <w:lvlText w:val=""/>
      <w:lvlJc w:val="left"/>
      <w:pPr>
        <w:ind w:left="2740" w:hanging="360"/>
      </w:pPr>
      <w:rPr>
        <w:rFonts w:ascii="Wingdings" w:hAnsi="Wingdings" w:hint="default"/>
      </w:rPr>
    </w:lvl>
    <w:lvl w:ilvl="3" w:tplc="040C0001">
      <w:start w:val="1"/>
      <w:numFmt w:val="bullet"/>
      <w:lvlText w:val=""/>
      <w:lvlJc w:val="left"/>
      <w:pPr>
        <w:ind w:left="3460" w:hanging="360"/>
      </w:pPr>
      <w:rPr>
        <w:rFonts w:ascii="Symbol" w:hAnsi="Symbol" w:hint="default"/>
      </w:rPr>
    </w:lvl>
    <w:lvl w:ilvl="4" w:tplc="040C0003" w:tentative="1">
      <w:start w:val="1"/>
      <w:numFmt w:val="bullet"/>
      <w:lvlText w:val="o"/>
      <w:lvlJc w:val="left"/>
      <w:pPr>
        <w:ind w:left="4180" w:hanging="360"/>
      </w:pPr>
      <w:rPr>
        <w:rFonts w:ascii="Courier New" w:hAnsi="Courier New" w:hint="default"/>
      </w:rPr>
    </w:lvl>
    <w:lvl w:ilvl="5" w:tplc="040C0005" w:tentative="1">
      <w:start w:val="1"/>
      <w:numFmt w:val="bullet"/>
      <w:lvlText w:val=""/>
      <w:lvlJc w:val="left"/>
      <w:pPr>
        <w:ind w:left="4900" w:hanging="360"/>
      </w:pPr>
      <w:rPr>
        <w:rFonts w:ascii="Wingdings" w:hAnsi="Wingdings" w:hint="default"/>
      </w:rPr>
    </w:lvl>
    <w:lvl w:ilvl="6" w:tplc="040C0001" w:tentative="1">
      <w:start w:val="1"/>
      <w:numFmt w:val="bullet"/>
      <w:lvlText w:val=""/>
      <w:lvlJc w:val="left"/>
      <w:pPr>
        <w:ind w:left="5620" w:hanging="360"/>
      </w:pPr>
      <w:rPr>
        <w:rFonts w:ascii="Symbol" w:hAnsi="Symbol" w:hint="default"/>
      </w:rPr>
    </w:lvl>
    <w:lvl w:ilvl="7" w:tplc="040C0003" w:tentative="1">
      <w:start w:val="1"/>
      <w:numFmt w:val="bullet"/>
      <w:lvlText w:val="o"/>
      <w:lvlJc w:val="left"/>
      <w:pPr>
        <w:ind w:left="6340" w:hanging="360"/>
      </w:pPr>
      <w:rPr>
        <w:rFonts w:ascii="Courier New" w:hAnsi="Courier New" w:hint="default"/>
      </w:rPr>
    </w:lvl>
    <w:lvl w:ilvl="8" w:tplc="040C0005" w:tentative="1">
      <w:start w:val="1"/>
      <w:numFmt w:val="bullet"/>
      <w:lvlText w:val=""/>
      <w:lvlJc w:val="left"/>
      <w:pPr>
        <w:ind w:left="7060" w:hanging="360"/>
      </w:pPr>
      <w:rPr>
        <w:rFonts w:ascii="Wingdings" w:hAnsi="Wingdings" w:hint="default"/>
      </w:rPr>
    </w:lvl>
  </w:abstractNum>
  <w:abstractNum w:abstractNumId="62">
    <w:nsid w:val="76B01EA2"/>
    <w:multiLevelType w:val="hybridMultilevel"/>
    <w:tmpl w:val="AA8072B4"/>
    <w:lvl w:ilvl="0" w:tplc="5E80DAB6">
      <w:numFmt w:val="bullet"/>
      <w:lvlText w:val="•"/>
      <w:lvlJc w:val="left"/>
      <w:pPr>
        <w:ind w:left="720" w:hanging="360"/>
      </w:pPr>
      <w:rPr>
        <w:rFonts w:ascii="Arial" w:eastAsia="SimSu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7D27052A"/>
    <w:multiLevelType w:val="hybridMultilevel"/>
    <w:tmpl w:val="9A0AE186"/>
    <w:lvl w:ilvl="0" w:tplc="5E80DAB6">
      <w:numFmt w:val="bullet"/>
      <w:lvlText w:val="•"/>
      <w:lvlJc w:val="left"/>
      <w:pPr>
        <w:ind w:left="720" w:hanging="360"/>
      </w:pPr>
      <w:rPr>
        <w:rFonts w:ascii="Arial" w:eastAsia="SimSun"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7D9F0F60"/>
    <w:multiLevelType w:val="hybridMultilevel"/>
    <w:tmpl w:val="29BEA2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7E6D6B9B"/>
    <w:multiLevelType w:val="hybridMultilevel"/>
    <w:tmpl w:val="58EAA030"/>
    <w:lvl w:ilvl="0" w:tplc="000F040C">
      <w:start w:val="1"/>
      <w:numFmt w:val="decimal"/>
      <w:lvlText w:val="%1."/>
      <w:lvlJc w:val="left"/>
      <w:pPr>
        <w:tabs>
          <w:tab w:val="num" w:pos="720"/>
        </w:tabs>
        <w:ind w:left="720" w:hanging="360"/>
      </w:pPr>
      <w:rPr>
        <w:rFonts w:hint="default"/>
      </w:rPr>
    </w:lvl>
    <w:lvl w:ilvl="1" w:tplc="0019040C">
      <w:start w:val="1"/>
      <w:numFmt w:val="lowerLetter"/>
      <w:lvlText w:val="%2."/>
      <w:lvlJc w:val="left"/>
      <w:pPr>
        <w:tabs>
          <w:tab w:val="num" w:pos="1440"/>
        </w:tabs>
        <w:ind w:left="1440" w:hanging="360"/>
      </w:pPr>
    </w:lvl>
    <w:lvl w:ilvl="2" w:tplc="001B040C">
      <w:start w:val="1"/>
      <w:numFmt w:val="lowerRoman"/>
      <w:lvlText w:val="%3."/>
      <w:lvlJc w:val="right"/>
      <w:pPr>
        <w:tabs>
          <w:tab w:val="num" w:pos="2160"/>
        </w:tabs>
        <w:ind w:left="2160" w:hanging="180"/>
      </w:pPr>
    </w:lvl>
    <w:lvl w:ilvl="3" w:tplc="000F040C">
      <w:start w:val="1"/>
      <w:numFmt w:val="decimal"/>
      <w:lvlText w:val="%4."/>
      <w:lvlJc w:val="left"/>
      <w:pPr>
        <w:tabs>
          <w:tab w:val="num" w:pos="2880"/>
        </w:tabs>
        <w:ind w:left="2880" w:hanging="360"/>
      </w:pPr>
    </w:lvl>
    <w:lvl w:ilvl="4" w:tplc="0019040C">
      <w:start w:val="1"/>
      <w:numFmt w:val="lowerLetter"/>
      <w:lvlText w:val="%5."/>
      <w:lvlJc w:val="left"/>
      <w:pPr>
        <w:tabs>
          <w:tab w:val="num" w:pos="3600"/>
        </w:tabs>
        <w:ind w:left="3600" w:hanging="360"/>
      </w:pPr>
    </w:lvl>
    <w:lvl w:ilvl="5" w:tplc="001B040C">
      <w:start w:val="1"/>
      <w:numFmt w:val="lowerRoman"/>
      <w:lvlText w:val="%6."/>
      <w:lvlJc w:val="right"/>
      <w:pPr>
        <w:tabs>
          <w:tab w:val="num" w:pos="4320"/>
        </w:tabs>
        <w:ind w:left="4320" w:hanging="180"/>
      </w:pPr>
    </w:lvl>
    <w:lvl w:ilvl="6" w:tplc="000F040C">
      <w:start w:val="1"/>
      <w:numFmt w:val="decimal"/>
      <w:lvlText w:val="%7."/>
      <w:lvlJc w:val="left"/>
      <w:pPr>
        <w:tabs>
          <w:tab w:val="num" w:pos="5040"/>
        </w:tabs>
        <w:ind w:left="5040" w:hanging="360"/>
      </w:pPr>
    </w:lvl>
    <w:lvl w:ilvl="7" w:tplc="0019040C">
      <w:start w:val="1"/>
      <w:numFmt w:val="lowerLetter"/>
      <w:lvlText w:val="%8."/>
      <w:lvlJc w:val="left"/>
      <w:pPr>
        <w:tabs>
          <w:tab w:val="num" w:pos="5760"/>
        </w:tabs>
        <w:ind w:left="5760" w:hanging="360"/>
      </w:pPr>
    </w:lvl>
    <w:lvl w:ilvl="8" w:tplc="001B040C">
      <w:start w:val="1"/>
      <w:numFmt w:val="lowerRoman"/>
      <w:lvlText w:val="%9."/>
      <w:lvlJc w:val="right"/>
      <w:pPr>
        <w:tabs>
          <w:tab w:val="num" w:pos="6480"/>
        </w:tabs>
        <w:ind w:left="6480" w:hanging="180"/>
      </w:pPr>
    </w:lvl>
  </w:abstractNum>
  <w:num w:numId="1">
    <w:abstractNumId w:val="49"/>
  </w:num>
  <w:num w:numId="2">
    <w:abstractNumId w:val="20"/>
  </w:num>
  <w:num w:numId="3">
    <w:abstractNumId w:val="43"/>
  </w:num>
  <w:num w:numId="4">
    <w:abstractNumId w:val="0"/>
  </w:num>
  <w:num w:numId="5">
    <w:abstractNumId w:val="14"/>
  </w:num>
  <w:num w:numId="6">
    <w:abstractNumId w:val="51"/>
  </w:num>
  <w:num w:numId="7">
    <w:abstractNumId w:val="45"/>
  </w:num>
  <w:num w:numId="8">
    <w:abstractNumId w:val="40"/>
  </w:num>
  <w:num w:numId="9">
    <w:abstractNumId w:val="46"/>
  </w:num>
  <w:num w:numId="10">
    <w:abstractNumId w:val="22"/>
  </w:num>
  <w:num w:numId="11">
    <w:abstractNumId w:val="30"/>
  </w:num>
  <w:num w:numId="12">
    <w:abstractNumId w:val="37"/>
  </w:num>
  <w:num w:numId="13">
    <w:abstractNumId w:val="15"/>
  </w:num>
  <w:num w:numId="14">
    <w:abstractNumId w:val="54"/>
  </w:num>
  <w:num w:numId="15">
    <w:abstractNumId w:val="27"/>
  </w:num>
  <w:num w:numId="16">
    <w:abstractNumId w:val="65"/>
  </w:num>
  <w:num w:numId="17">
    <w:abstractNumId w:val="58"/>
  </w:num>
  <w:num w:numId="18">
    <w:abstractNumId w:val="33"/>
  </w:num>
  <w:num w:numId="19">
    <w:abstractNumId w:val="53"/>
  </w:num>
  <w:num w:numId="20">
    <w:abstractNumId w:val="63"/>
  </w:num>
  <w:num w:numId="21">
    <w:abstractNumId w:val="7"/>
  </w:num>
  <w:num w:numId="22">
    <w:abstractNumId w:val="35"/>
  </w:num>
  <w:num w:numId="23">
    <w:abstractNumId w:val="21"/>
  </w:num>
  <w:num w:numId="24">
    <w:abstractNumId w:val="13"/>
  </w:num>
  <w:num w:numId="25">
    <w:abstractNumId w:val="62"/>
  </w:num>
  <w:num w:numId="26">
    <w:abstractNumId w:val="44"/>
  </w:num>
  <w:num w:numId="27">
    <w:abstractNumId w:val="1"/>
  </w:num>
  <w:num w:numId="28">
    <w:abstractNumId w:val="52"/>
  </w:num>
  <w:num w:numId="29">
    <w:abstractNumId w:val="50"/>
  </w:num>
  <w:num w:numId="30">
    <w:abstractNumId w:val="57"/>
  </w:num>
  <w:num w:numId="31">
    <w:abstractNumId w:val="61"/>
  </w:num>
  <w:num w:numId="32">
    <w:abstractNumId w:val="4"/>
  </w:num>
  <w:num w:numId="33">
    <w:abstractNumId w:val="17"/>
  </w:num>
  <w:num w:numId="34">
    <w:abstractNumId w:val="3"/>
  </w:num>
  <w:num w:numId="35">
    <w:abstractNumId w:val="38"/>
  </w:num>
  <w:num w:numId="36">
    <w:abstractNumId w:val="36"/>
  </w:num>
  <w:num w:numId="37">
    <w:abstractNumId w:val="32"/>
  </w:num>
  <w:num w:numId="38">
    <w:abstractNumId w:val="55"/>
  </w:num>
  <w:num w:numId="39">
    <w:abstractNumId w:val="16"/>
  </w:num>
  <w:num w:numId="40">
    <w:abstractNumId w:val="60"/>
  </w:num>
  <w:num w:numId="41">
    <w:abstractNumId w:val="41"/>
  </w:num>
  <w:num w:numId="42">
    <w:abstractNumId w:val="6"/>
  </w:num>
  <w:num w:numId="43">
    <w:abstractNumId w:val="23"/>
  </w:num>
  <w:num w:numId="44">
    <w:abstractNumId w:val="19"/>
  </w:num>
  <w:num w:numId="45">
    <w:abstractNumId w:val="24"/>
  </w:num>
  <w:num w:numId="46">
    <w:abstractNumId w:val="34"/>
  </w:num>
  <w:num w:numId="47">
    <w:abstractNumId w:val="56"/>
  </w:num>
  <w:num w:numId="48">
    <w:abstractNumId w:val="31"/>
  </w:num>
  <w:num w:numId="49">
    <w:abstractNumId w:val="48"/>
  </w:num>
  <w:num w:numId="50">
    <w:abstractNumId w:val="42"/>
  </w:num>
  <w:num w:numId="51">
    <w:abstractNumId w:val="12"/>
  </w:num>
  <w:num w:numId="52">
    <w:abstractNumId w:val="2"/>
  </w:num>
  <w:num w:numId="53">
    <w:abstractNumId w:val="59"/>
  </w:num>
  <w:num w:numId="54">
    <w:abstractNumId w:val="26"/>
  </w:num>
  <w:num w:numId="55">
    <w:abstractNumId w:val="39"/>
  </w:num>
  <w:num w:numId="56">
    <w:abstractNumId w:val="28"/>
  </w:num>
  <w:num w:numId="57">
    <w:abstractNumId w:val="29"/>
  </w:num>
  <w:num w:numId="58">
    <w:abstractNumId w:val="9"/>
  </w:num>
  <w:num w:numId="59">
    <w:abstractNumId w:val="5"/>
  </w:num>
  <w:num w:numId="60">
    <w:abstractNumId w:val="8"/>
  </w:num>
  <w:num w:numId="61">
    <w:abstractNumId w:val="10"/>
  </w:num>
  <w:num w:numId="62">
    <w:abstractNumId w:val="11"/>
  </w:num>
  <w:num w:numId="6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7"/>
  </w:num>
  <w:num w:numId="65">
    <w:abstractNumId w:val="42"/>
  </w:num>
  <w:num w:numId="66">
    <w:abstractNumId w:val="12"/>
  </w:num>
  <w:num w:numId="67">
    <w:abstractNumId w:val="2"/>
  </w:num>
  <w:num w:numId="68">
    <w:abstractNumId w:val="59"/>
  </w:num>
  <w:num w:numId="69">
    <w:abstractNumId w:val="26"/>
  </w:num>
  <w:num w:numId="70">
    <w:abstractNumId w:val="64"/>
  </w:num>
  <w:num w:numId="71">
    <w:abstractNumId w:val="25"/>
  </w:num>
  <w:num w:numId="7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klas">
    <w15:presenceInfo w15:providerId="None" w15:userId="Nikla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2786"/>
    <w:rsid w:val="00014FF4"/>
    <w:rsid w:val="000265F1"/>
    <w:rsid w:val="00026BA8"/>
    <w:rsid w:val="00026F8F"/>
    <w:rsid w:val="00030F50"/>
    <w:rsid w:val="0003459A"/>
    <w:rsid w:val="000346A5"/>
    <w:rsid w:val="00040577"/>
    <w:rsid w:val="00042598"/>
    <w:rsid w:val="00045607"/>
    <w:rsid w:val="00047FF6"/>
    <w:rsid w:val="00050745"/>
    <w:rsid w:val="000565D8"/>
    <w:rsid w:val="00060EF2"/>
    <w:rsid w:val="00062E27"/>
    <w:rsid w:val="00063386"/>
    <w:rsid w:val="000661A2"/>
    <w:rsid w:val="000746D3"/>
    <w:rsid w:val="00076DD6"/>
    <w:rsid w:val="00080F3C"/>
    <w:rsid w:val="000863E6"/>
    <w:rsid w:val="00090C91"/>
    <w:rsid w:val="00095EFB"/>
    <w:rsid w:val="000A6D45"/>
    <w:rsid w:val="000B06AD"/>
    <w:rsid w:val="000B34C0"/>
    <w:rsid w:val="000B7C37"/>
    <w:rsid w:val="000C235B"/>
    <w:rsid w:val="000C4F5A"/>
    <w:rsid w:val="000E22BB"/>
    <w:rsid w:val="000E4076"/>
    <w:rsid w:val="000E6241"/>
    <w:rsid w:val="000F0345"/>
    <w:rsid w:val="000F5065"/>
    <w:rsid w:val="00100D56"/>
    <w:rsid w:val="00101CFD"/>
    <w:rsid w:val="001038E9"/>
    <w:rsid w:val="00107C96"/>
    <w:rsid w:val="00112802"/>
    <w:rsid w:val="00121CCF"/>
    <w:rsid w:val="00123559"/>
    <w:rsid w:val="001250D7"/>
    <w:rsid w:val="0012573C"/>
    <w:rsid w:val="00135F1C"/>
    <w:rsid w:val="00136AC6"/>
    <w:rsid w:val="001421A4"/>
    <w:rsid w:val="00143254"/>
    <w:rsid w:val="00150F58"/>
    <w:rsid w:val="001510A9"/>
    <w:rsid w:val="00153C37"/>
    <w:rsid w:val="00155DD3"/>
    <w:rsid w:val="00161DCB"/>
    <w:rsid w:val="00162EEC"/>
    <w:rsid w:val="001727E4"/>
    <w:rsid w:val="001769A5"/>
    <w:rsid w:val="00176DF0"/>
    <w:rsid w:val="001853C6"/>
    <w:rsid w:val="00185F6E"/>
    <w:rsid w:val="00185FF6"/>
    <w:rsid w:val="00192BF2"/>
    <w:rsid w:val="00194481"/>
    <w:rsid w:val="001B277B"/>
    <w:rsid w:val="001B688B"/>
    <w:rsid w:val="001C6C27"/>
    <w:rsid w:val="001D2B32"/>
    <w:rsid w:val="001D49E3"/>
    <w:rsid w:val="001D6B10"/>
    <w:rsid w:val="001D79FC"/>
    <w:rsid w:val="001E0629"/>
    <w:rsid w:val="001E0E60"/>
    <w:rsid w:val="001E726A"/>
    <w:rsid w:val="001F0EC4"/>
    <w:rsid w:val="001F2159"/>
    <w:rsid w:val="00214368"/>
    <w:rsid w:val="002143B3"/>
    <w:rsid w:val="00214CB5"/>
    <w:rsid w:val="002174E0"/>
    <w:rsid w:val="0022723A"/>
    <w:rsid w:val="00230C42"/>
    <w:rsid w:val="00232071"/>
    <w:rsid w:val="00234456"/>
    <w:rsid w:val="00237417"/>
    <w:rsid w:val="00237C4F"/>
    <w:rsid w:val="00241384"/>
    <w:rsid w:val="00241832"/>
    <w:rsid w:val="00254FD2"/>
    <w:rsid w:val="002618C9"/>
    <w:rsid w:val="002743BC"/>
    <w:rsid w:val="00276D3A"/>
    <w:rsid w:val="00277263"/>
    <w:rsid w:val="00282D17"/>
    <w:rsid w:val="0029014E"/>
    <w:rsid w:val="00290400"/>
    <w:rsid w:val="00291F43"/>
    <w:rsid w:val="00297911"/>
    <w:rsid w:val="002A1E5A"/>
    <w:rsid w:val="002A40E3"/>
    <w:rsid w:val="002C04CA"/>
    <w:rsid w:val="002C2DDD"/>
    <w:rsid w:val="002C4508"/>
    <w:rsid w:val="002D20E1"/>
    <w:rsid w:val="002E0415"/>
    <w:rsid w:val="002E5CA7"/>
    <w:rsid w:val="002E61EC"/>
    <w:rsid w:val="002E71E0"/>
    <w:rsid w:val="003021BD"/>
    <w:rsid w:val="00302A4B"/>
    <w:rsid w:val="00307879"/>
    <w:rsid w:val="003103D1"/>
    <w:rsid w:val="00312A5F"/>
    <w:rsid w:val="0032569E"/>
    <w:rsid w:val="003267B5"/>
    <w:rsid w:val="00330F33"/>
    <w:rsid w:val="00334700"/>
    <w:rsid w:val="00334DA1"/>
    <w:rsid w:val="00346F27"/>
    <w:rsid w:val="00351D4D"/>
    <w:rsid w:val="00360662"/>
    <w:rsid w:val="00361437"/>
    <w:rsid w:val="00364438"/>
    <w:rsid w:val="003740F0"/>
    <w:rsid w:val="003826FF"/>
    <w:rsid w:val="00383400"/>
    <w:rsid w:val="003910DB"/>
    <w:rsid w:val="003917AC"/>
    <w:rsid w:val="003A6934"/>
    <w:rsid w:val="003B229D"/>
    <w:rsid w:val="003B3E3B"/>
    <w:rsid w:val="003B7BFA"/>
    <w:rsid w:val="003C32C9"/>
    <w:rsid w:val="003C5B61"/>
    <w:rsid w:val="003C74C8"/>
    <w:rsid w:val="003D5225"/>
    <w:rsid w:val="003D7919"/>
    <w:rsid w:val="003E5F27"/>
    <w:rsid w:val="003E696B"/>
    <w:rsid w:val="003F234F"/>
    <w:rsid w:val="003F3792"/>
    <w:rsid w:val="00403EA5"/>
    <w:rsid w:val="00405FC4"/>
    <w:rsid w:val="004077C9"/>
    <w:rsid w:val="00412A4C"/>
    <w:rsid w:val="00412D4A"/>
    <w:rsid w:val="00412F23"/>
    <w:rsid w:val="00413A4B"/>
    <w:rsid w:val="00415EDF"/>
    <w:rsid w:val="00416153"/>
    <w:rsid w:val="00422E7F"/>
    <w:rsid w:val="00424325"/>
    <w:rsid w:val="004252A5"/>
    <w:rsid w:val="0043154B"/>
    <w:rsid w:val="00454B64"/>
    <w:rsid w:val="0045684A"/>
    <w:rsid w:val="00466221"/>
    <w:rsid w:val="0047572C"/>
    <w:rsid w:val="004774DC"/>
    <w:rsid w:val="004939ED"/>
    <w:rsid w:val="00495945"/>
    <w:rsid w:val="004A1E0C"/>
    <w:rsid w:val="004A6347"/>
    <w:rsid w:val="004B01BB"/>
    <w:rsid w:val="004B2D93"/>
    <w:rsid w:val="004B4F33"/>
    <w:rsid w:val="004B5EB8"/>
    <w:rsid w:val="004C4BB9"/>
    <w:rsid w:val="004D3C4D"/>
    <w:rsid w:val="004F1177"/>
    <w:rsid w:val="004F5F2B"/>
    <w:rsid w:val="005014E5"/>
    <w:rsid w:val="00506B69"/>
    <w:rsid w:val="0051341E"/>
    <w:rsid w:val="00525E50"/>
    <w:rsid w:val="005352CF"/>
    <w:rsid w:val="0053658E"/>
    <w:rsid w:val="00540CDE"/>
    <w:rsid w:val="00540CF1"/>
    <w:rsid w:val="00542755"/>
    <w:rsid w:val="005433CE"/>
    <w:rsid w:val="00544197"/>
    <w:rsid w:val="0054543D"/>
    <w:rsid w:val="00547D77"/>
    <w:rsid w:val="00565EF9"/>
    <w:rsid w:val="00570C49"/>
    <w:rsid w:val="0057352F"/>
    <w:rsid w:val="005757F3"/>
    <w:rsid w:val="00585266"/>
    <w:rsid w:val="00585630"/>
    <w:rsid w:val="00592786"/>
    <w:rsid w:val="0059703D"/>
    <w:rsid w:val="00597DCD"/>
    <w:rsid w:val="005A2790"/>
    <w:rsid w:val="005A44C7"/>
    <w:rsid w:val="005B0F91"/>
    <w:rsid w:val="005C22F6"/>
    <w:rsid w:val="005C3DAB"/>
    <w:rsid w:val="005C7439"/>
    <w:rsid w:val="005D55B1"/>
    <w:rsid w:val="005E09BF"/>
    <w:rsid w:val="005E7D3F"/>
    <w:rsid w:val="005F04EA"/>
    <w:rsid w:val="006028ED"/>
    <w:rsid w:val="0060384F"/>
    <w:rsid w:val="00623AAA"/>
    <w:rsid w:val="00627420"/>
    <w:rsid w:val="00631259"/>
    <w:rsid w:val="0063174A"/>
    <w:rsid w:val="006340E4"/>
    <w:rsid w:val="00635E18"/>
    <w:rsid w:val="006364B9"/>
    <w:rsid w:val="00637F92"/>
    <w:rsid w:val="00640CD0"/>
    <w:rsid w:val="00661C4D"/>
    <w:rsid w:val="006641E5"/>
    <w:rsid w:val="00671FDF"/>
    <w:rsid w:val="006834D8"/>
    <w:rsid w:val="00683C9B"/>
    <w:rsid w:val="00691DBC"/>
    <w:rsid w:val="00697F59"/>
    <w:rsid w:val="006A3D86"/>
    <w:rsid w:val="006A4DFD"/>
    <w:rsid w:val="006A5BEC"/>
    <w:rsid w:val="006B17A1"/>
    <w:rsid w:val="006B26F7"/>
    <w:rsid w:val="006B3BCD"/>
    <w:rsid w:val="006B5486"/>
    <w:rsid w:val="006B697E"/>
    <w:rsid w:val="006C4436"/>
    <w:rsid w:val="006D18BD"/>
    <w:rsid w:val="006E28E4"/>
    <w:rsid w:val="006F3BB2"/>
    <w:rsid w:val="006F6F7E"/>
    <w:rsid w:val="006F7B95"/>
    <w:rsid w:val="00707965"/>
    <w:rsid w:val="00717C94"/>
    <w:rsid w:val="007210A0"/>
    <w:rsid w:val="00721521"/>
    <w:rsid w:val="00724AF5"/>
    <w:rsid w:val="007270F8"/>
    <w:rsid w:val="0073002B"/>
    <w:rsid w:val="00752222"/>
    <w:rsid w:val="007552F3"/>
    <w:rsid w:val="00762F13"/>
    <w:rsid w:val="00770A46"/>
    <w:rsid w:val="007735F9"/>
    <w:rsid w:val="00773B19"/>
    <w:rsid w:val="00784D5E"/>
    <w:rsid w:val="007A4ED6"/>
    <w:rsid w:val="007B5752"/>
    <w:rsid w:val="007C6A74"/>
    <w:rsid w:val="007D6885"/>
    <w:rsid w:val="007E33E3"/>
    <w:rsid w:val="007E3543"/>
    <w:rsid w:val="007F0F72"/>
    <w:rsid w:val="00812CAA"/>
    <w:rsid w:val="008166DD"/>
    <w:rsid w:val="00817B82"/>
    <w:rsid w:val="00822ED1"/>
    <w:rsid w:val="00826651"/>
    <w:rsid w:val="0083070E"/>
    <w:rsid w:val="00831431"/>
    <w:rsid w:val="00832817"/>
    <w:rsid w:val="00837D11"/>
    <w:rsid w:val="00863912"/>
    <w:rsid w:val="008823AD"/>
    <w:rsid w:val="00884E2A"/>
    <w:rsid w:val="00895F00"/>
    <w:rsid w:val="008B00B7"/>
    <w:rsid w:val="008B7C2C"/>
    <w:rsid w:val="008B7D98"/>
    <w:rsid w:val="008C1876"/>
    <w:rsid w:val="008C5AFC"/>
    <w:rsid w:val="008D0C9C"/>
    <w:rsid w:val="008D4998"/>
    <w:rsid w:val="008D5F4A"/>
    <w:rsid w:val="008F345F"/>
    <w:rsid w:val="008F49F8"/>
    <w:rsid w:val="008F6DFE"/>
    <w:rsid w:val="00903C36"/>
    <w:rsid w:val="009044AB"/>
    <w:rsid w:val="0091541A"/>
    <w:rsid w:val="009167B5"/>
    <w:rsid w:val="0091793E"/>
    <w:rsid w:val="009210ED"/>
    <w:rsid w:val="0092395E"/>
    <w:rsid w:val="00932EEE"/>
    <w:rsid w:val="0093520F"/>
    <w:rsid w:val="009400AD"/>
    <w:rsid w:val="00944A9C"/>
    <w:rsid w:val="00945790"/>
    <w:rsid w:val="00951A07"/>
    <w:rsid w:val="00954473"/>
    <w:rsid w:val="00961869"/>
    <w:rsid w:val="00967EB8"/>
    <w:rsid w:val="00972EB0"/>
    <w:rsid w:val="00975C2C"/>
    <w:rsid w:val="00975CBE"/>
    <w:rsid w:val="0097771C"/>
    <w:rsid w:val="00984137"/>
    <w:rsid w:val="009854EC"/>
    <w:rsid w:val="009921FD"/>
    <w:rsid w:val="00993391"/>
    <w:rsid w:val="0099587B"/>
    <w:rsid w:val="009967D6"/>
    <w:rsid w:val="009A6BFA"/>
    <w:rsid w:val="009B20A7"/>
    <w:rsid w:val="009B694B"/>
    <w:rsid w:val="009B6D3E"/>
    <w:rsid w:val="009C0966"/>
    <w:rsid w:val="009C595E"/>
    <w:rsid w:val="009C5C8F"/>
    <w:rsid w:val="009D6B6B"/>
    <w:rsid w:val="009E0936"/>
    <w:rsid w:val="009E7847"/>
    <w:rsid w:val="009F4C96"/>
    <w:rsid w:val="009F6D02"/>
    <w:rsid w:val="00A01FF0"/>
    <w:rsid w:val="00A047A4"/>
    <w:rsid w:val="00A10A48"/>
    <w:rsid w:val="00A221EA"/>
    <w:rsid w:val="00A22F16"/>
    <w:rsid w:val="00A27C26"/>
    <w:rsid w:val="00A30018"/>
    <w:rsid w:val="00A3517F"/>
    <w:rsid w:val="00A3563F"/>
    <w:rsid w:val="00A35CE3"/>
    <w:rsid w:val="00A40420"/>
    <w:rsid w:val="00A40690"/>
    <w:rsid w:val="00A40CBB"/>
    <w:rsid w:val="00A532C7"/>
    <w:rsid w:val="00A70E15"/>
    <w:rsid w:val="00A720B1"/>
    <w:rsid w:val="00A72D2F"/>
    <w:rsid w:val="00A72D85"/>
    <w:rsid w:val="00A73049"/>
    <w:rsid w:val="00A81302"/>
    <w:rsid w:val="00A90127"/>
    <w:rsid w:val="00A92BC9"/>
    <w:rsid w:val="00A95319"/>
    <w:rsid w:val="00A9560E"/>
    <w:rsid w:val="00A97610"/>
    <w:rsid w:val="00A97643"/>
    <w:rsid w:val="00AA18E4"/>
    <w:rsid w:val="00AB3CE0"/>
    <w:rsid w:val="00AB7CE1"/>
    <w:rsid w:val="00AC3B80"/>
    <w:rsid w:val="00AC759C"/>
    <w:rsid w:val="00AD00BC"/>
    <w:rsid w:val="00AE3FF8"/>
    <w:rsid w:val="00AE6ED6"/>
    <w:rsid w:val="00AF1B09"/>
    <w:rsid w:val="00AF5A00"/>
    <w:rsid w:val="00AF5B4B"/>
    <w:rsid w:val="00B01577"/>
    <w:rsid w:val="00B1266C"/>
    <w:rsid w:val="00B21572"/>
    <w:rsid w:val="00B21FC8"/>
    <w:rsid w:val="00B245EF"/>
    <w:rsid w:val="00B304B9"/>
    <w:rsid w:val="00B32F06"/>
    <w:rsid w:val="00B43782"/>
    <w:rsid w:val="00B438B7"/>
    <w:rsid w:val="00B56141"/>
    <w:rsid w:val="00B60653"/>
    <w:rsid w:val="00B613FE"/>
    <w:rsid w:val="00B71838"/>
    <w:rsid w:val="00B72C2F"/>
    <w:rsid w:val="00B75E13"/>
    <w:rsid w:val="00B81DC2"/>
    <w:rsid w:val="00B90A9F"/>
    <w:rsid w:val="00BA2CDA"/>
    <w:rsid w:val="00BB3E0B"/>
    <w:rsid w:val="00BB44AC"/>
    <w:rsid w:val="00BB522E"/>
    <w:rsid w:val="00BB620A"/>
    <w:rsid w:val="00BC7448"/>
    <w:rsid w:val="00BD09C5"/>
    <w:rsid w:val="00BD20A7"/>
    <w:rsid w:val="00BD238C"/>
    <w:rsid w:val="00BD7C05"/>
    <w:rsid w:val="00BE1911"/>
    <w:rsid w:val="00BE3022"/>
    <w:rsid w:val="00BE5386"/>
    <w:rsid w:val="00BF471A"/>
    <w:rsid w:val="00BF5FB8"/>
    <w:rsid w:val="00C01195"/>
    <w:rsid w:val="00C0267C"/>
    <w:rsid w:val="00C03216"/>
    <w:rsid w:val="00C1659C"/>
    <w:rsid w:val="00C17DB5"/>
    <w:rsid w:val="00C20460"/>
    <w:rsid w:val="00C24FB8"/>
    <w:rsid w:val="00C27FE9"/>
    <w:rsid w:val="00C41E38"/>
    <w:rsid w:val="00C4264F"/>
    <w:rsid w:val="00C44242"/>
    <w:rsid w:val="00C4514D"/>
    <w:rsid w:val="00C5586D"/>
    <w:rsid w:val="00C57447"/>
    <w:rsid w:val="00C57544"/>
    <w:rsid w:val="00C6350B"/>
    <w:rsid w:val="00C65E64"/>
    <w:rsid w:val="00C77F3F"/>
    <w:rsid w:val="00C82E8B"/>
    <w:rsid w:val="00CA0238"/>
    <w:rsid w:val="00CA10F2"/>
    <w:rsid w:val="00CA7505"/>
    <w:rsid w:val="00CB6B70"/>
    <w:rsid w:val="00CC4F92"/>
    <w:rsid w:val="00CC65DB"/>
    <w:rsid w:val="00CD42DD"/>
    <w:rsid w:val="00CE6A52"/>
    <w:rsid w:val="00CF3115"/>
    <w:rsid w:val="00CF4C08"/>
    <w:rsid w:val="00CF6D69"/>
    <w:rsid w:val="00CF71C5"/>
    <w:rsid w:val="00CF73F8"/>
    <w:rsid w:val="00D0632D"/>
    <w:rsid w:val="00D136EA"/>
    <w:rsid w:val="00D13EAC"/>
    <w:rsid w:val="00D1400A"/>
    <w:rsid w:val="00D20D5C"/>
    <w:rsid w:val="00D27C56"/>
    <w:rsid w:val="00D30F38"/>
    <w:rsid w:val="00D370D7"/>
    <w:rsid w:val="00D412CC"/>
    <w:rsid w:val="00D4641C"/>
    <w:rsid w:val="00D466AE"/>
    <w:rsid w:val="00D63D58"/>
    <w:rsid w:val="00D670AA"/>
    <w:rsid w:val="00D67ECF"/>
    <w:rsid w:val="00D7402F"/>
    <w:rsid w:val="00D82164"/>
    <w:rsid w:val="00D90831"/>
    <w:rsid w:val="00DA481A"/>
    <w:rsid w:val="00DA4B46"/>
    <w:rsid w:val="00DA75CF"/>
    <w:rsid w:val="00DB0369"/>
    <w:rsid w:val="00DB0EB4"/>
    <w:rsid w:val="00DB3BD4"/>
    <w:rsid w:val="00DB4E68"/>
    <w:rsid w:val="00DB7DC7"/>
    <w:rsid w:val="00DC282F"/>
    <w:rsid w:val="00DC73D9"/>
    <w:rsid w:val="00DD4034"/>
    <w:rsid w:val="00DE2DB2"/>
    <w:rsid w:val="00DE412E"/>
    <w:rsid w:val="00DF411C"/>
    <w:rsid w:val="00DF602D"/>
    <w:rsid w:val="00E00F86"/>
    <w:rsid w:val="00E109E6"/>
    <w:rsid w:val="00E16C58"/>
    <w:rsid w:val="00E21452"/>
    <w:rsid w:val="00E22BFE"/>
    <w:rsid w:val="00E234E8"/>
    <w:rsid w:val="00E3226F"/>
    <w:rsid w:val="00E33AEB"/>
    <w:rsid w:val="00E36D34"/>
    <w:rsid w:val="00E4216B"/>
    <w:rsid w:val="00E447FC"/>
    <w:rsid w:val="00E44E07"/>
    <w:rsid w:val="00E465D9"/>
    <w:rsid w:val="00E5202D"/>
    <w:rsid w:val="00E60AC2"/>
    <w:rsid w:val="00E611D8"/>
    <w:rsid w:val="00E62C08"/>
    <w:rsid w:val="00E63C1B"/>
    <w:rsid w:val="00E65CCD"/>
    <w:rsid w:val="00E73A82"/>
    <w:rsid w:val="00E825B7"/>
    <w:rsid w:val="00E85D71"/>
    <w:rsid w:val="00E94B3D"/>
    <w:rsid w:val="00EA4B30"/>
    <w:rsid w:val="00EA5943"/>
    <w:rsid w:val="00EB0423"/>
    <w:rsid w:val="00EC08AF"/>
    <w:rsid w:val="00EC71F7"/>
    <w:rsid w:val="00ED1288"/>
    <w:rsid w:val="00ED5792"/>
    <w:rsid w:val="00ED6DCD"/>
    <w:rsid w:val="00EE0B26"/>
    <w:rsid w:val="00EE50A0"/>
    <w:rsid w:val="00EF40E4"/>
    <w:rsid w:val="00EF46BC"/>
    <w:rsid w:val="00EF7A7A"/>
    <w:rsid w:val="00F11811"/>
    <w:rsid w:val="00F201D4"/>
    <w:rsid w:val="00F2023C"/>
    <w:rsid w:val="00F20AAB"/>
    <w:rsid w:val="00F239EE"/>
    <w:rsid w:val="00F24251"/>
    <w:rsid w:val="00F26CF3"/>
    <w:rsid w:val="00F313E5"/>
    <w:rsid w:val="00F345FD"/>
    <w:rsid w:val="00F4006D"/>
    <w:rsid w:val="00F516BB"/>
    <w:rsid w:val="00F54AEA"/>
    <w:rsid w:val="00F65562"/>
    <w:rsid w:val="00F85980"/>
    <w:rsid w:val="00F94191"/>
    <w:rsid w:val="00FA1AE7"/>
    <w:rsid w:val="00FA3F76"/>
    <w:rsid w:val="00FB4A24"/>
    <w:rsid w:val="00FB5B7D"/>
    <w:rsid w:val="00FD10D9"/>
    <w:rsid w:val="00FD2D2C"/>
    <w:rsid w:val="00FE1138"/>
    <w:rsid w:val="00FF01A8"/>
    <w:rsid w:val="00FF4708"/>
    <w:rsid w:val="00FF718D"/>
    <w:rsid w:val="00FF7D9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nhideWhenUsed="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F2159"/>
    <w:rPr>
      <w:rFonts w:ascii="Times New Roman" w:eastAsia="Times New Roman" w:hAnsi="Times New Roman"/>
      <w:sz w:val="24"/>
      <w:szCs w:val="24"/>
      <w:lang w:val="en-GB"/>
    </w:rPr>
  </w:style>
  <w:style w:type="paragraph" w:styleId="Nagwek1">
    <w:name w:val="heading 1"/>
    <w:basedOn w:val="Normalny"/>
    <w:next w:val="Normalny"/>
    <w:link w:val="Nagwek1Znak"/>
    <w:uiPriority w:val="99"/>
    <w:qFormat/>
    <w:rsid w:val="007552F3"/>
    <w:pPr>
      <w:keepNext/>
      <w:tabs>
        <w:tab w:val="num" w:pos="360"/>
      </w:tabs>
      <w:spacing w:before="240" w:after="240"/>
      <w:ind w:left="360" w:hanging="360"/>
      <w:jc w:val="both"/>
      <w:outlineLvl w:val="0"/>
    </w:pPr>
    <w:rPr>
      <w:rFonts w:eastAsia="Calibri"/>
      <w:b/>
      <w:bCs/>
      <w:smallCaps/>
    </w:rPr>
  </w:style>
  <w:style w:type="paragraph" w:styleId="Nagwek2">
    <w:name w:val="heading 2"/>
    <w:basedOn w:val="Normalny"/>
    <w:next w:val="Normalny"/>
    <w:link w:val="Nagwek2Znak"/>
    <w:uiPriority w:val="99"/>
    <w:qFormat/>
    <w:rsid w:val="00570C49"/>
    <w:pPr>
      <w:keepNext/>
      <w:tabs>
        <w:tab w:val="left" w:pos="708"/>
      </w:tabs>
      <w:spacing w:after="240"/>
      <w:jc w:val="both"/>
      <w:outlineLvl w:val="1"/>
    </w:pPr>
    <w:rPr>
      <w:rFonts w:ascii="Verdana" w:eastAsia="Calibri" w:hAnsi="Verdana"/>
      <w:b/>
      <w:bCs/>
    </w:rPr>
  </w:style>
  <w:style w:type="paragraph" w:styleId="Nagwek3">
    <w:name w:val="heading 3"/>
    <w:basedOn w:val="Normalny"/>
    <w:next w:val="Normalny"/>
    <w:link w:val="Nagwek3Znak"/>
    <w:uiPriority w:val="99"/>
    <w:qFormat/>
    <w:rsid w:val="007552F3"/>
    <w:pPr>
      <w:keepNext/>
      <w:numPr>
        <w:ilvl w:val="2"/>
        <w:numId w:val="1"/>
      </w:numPr>
      <w:tabs>
        <w:tab w:val="num" w:pos="1920"/>
      </w:tabs>
      <w:spacing w:after="240"/>
      <w:ind w:left="1920" w:hanging="720"/>
      <w:jc w:val="both"/>
      <w:outlineLvl w:val="2"/>
    </w:pPr>
    <w:rPr>
      <w:rFonts w:eastAsia="Calibri"/>
      <w:i/>
      <w:iCs/>
    </w:rPr>
  </w:style>
  <w:style w:type="paragraph" w:styleId="Nagwek4">
    <w:name w:val="heading 4"/>
    <w:basedOn w:val="Normalny"/>
    <w:next w:val="Normalny"/>
    <w:link w:val="Nagwek4Znak"/>
    <w:uiPriority w:val="99"/>
    <w:qFormat/>
    <w:rsid w:val="007552F3"/>
    <w:pPr>
      <w:spacing w:after="200" w:line="276" w:lineRule="auto"/>
      <w:jc w:val="both"/>
      <w:outlineLvl w:val="3"/>
    </w:pPr>
    <w:rPr>
      <w:rFonts w:ascii="Verdana" w:eastAsia="Calibri" w:hAnsi="Verdana"/>
      <w:b/>
      <w:sz w:val="20"/>
      <w:szCs w:val="20"/>
    </w:rPr>
  </w:style>
  <w:style w:type="paragraph" w:styleId="Nagwek5">
    <w:name w:val="heading 5"/>
    <w:basedOn w:val="Normalny"/>
    <w:next w:val="Normalny"/>
    <w:link w:val="Nagwek5Znak"/>
    <w:uiPriority w:val="99"/>
    <w:qFormat/>
    <w:rsid w:val="007552F3"/>
    <w:pPr>
      <w:spacing w:line="276" w:lineRule="auto"/>
      <w:jc w:val="both"/>
      <w:outlineLvl w:val="4"/>
    </w:pPr>
    <w:rPr>
      <w:rFonts w:ascii="Calibri" w:eastAsia="Calibri" w:hAnsi="Calibri"/>
      <w:i/>
      <w:sz w:val="20"/>
      <w:szCs w:val="20"/>
    </w:rPr>
  </w:style>
  <w:style w:type="paragraph" w:styleId="Nagwek6">
    <w:name w:val="heading 6"/>
    <w:basedOn w:val="Normalny"/>
    <w:next w:val="Normalny"/>
    <w:link w:val="Nagwek6Znak"/>
    <w:qFormat/>
    <w:rsid w:val="0099587B"/>
    <w:pPr>
      <w:keepNext/>
      <w:widowControl w:val="0"/>
      <w:suppressAutoHyphens/>
      <w:spacing w:before="120" w:after="120"/>
      <w:jc w:val="center"/>
      <w:outlineLvl w:val="5"/>
    </w:pPr>
    <w:rPr>
      <w:rFonts w:ascii="Verdana" w:eastAsia="SimSun" w:hAnsi="Verdana" w:cs="Mangal"/>
      <w:b/>
      <w:bCs/>
      <w:kern w:val="1"/>
      <w:lang w:eastAsia="de-DE" w:bidi="hi-IN"/>
    </w:rPr>
  </w:style>
  <w:style w:type="paragraph" w:styleId="Nagwek7">
    <w:name w:val="heading 7"/>
    <w:basedOn w:val="Normalny"/>
    <w:next w:val="Normalny"/>
    <w:link w:val="Nagwek7Znak"/>
    <w:qFormat/>
    <w:rsid w:val="0099587B"/>
    <w:pPr>
      <w:keepNext/>
      <w:widowControl w:val="0"/>
      <w:suppressAutoHyphens/>
      <w:spacing w:before="120" w:after="120"/>
      <w:outlineLvl w:val="6"/>
    </w:pPr>
    <w:rPr>
      <w:rFonts w:ascii="Verdana" w:eastAsia="SimSun" w:hAnsi="Verdana" w:cs="Mangal"/>
      <w:b/>
      <w:bCs/>
      <w:kern w:val="1"/>
      <w:lang w:eastAsia="hi-IN" w:bidi="hi-IN"/>
    </w:rPr>
  </w:style>
  <w:style w:type="paragraph" w:styleId="Nagwek8">
    <w:name w:val="heading 8"/>
    <w:basedOn w:val="Normalny"/>
    <w:next w:val="Normalny"/>
    <w:link w:val="Nagwek8Znak"/>
    <w:qFormat/>
    <w:rsid w:val="0099587B"/>
    <w:pPr>
      <w:keepNext/>
      <w:widowControl w:val="0"/>
      <w:suppressAutoHyphens/>
      <w:outlineLvl w:val="7"/>
    </w:pPr>
    <w:rPr>
      <w:rFonts w:ascii="Verdana" w:eastAsia="SimSun" w:hAnsi="Verdana" w:cs="Mangal"/>
      <w:b/>
      <w:bCs/>
      <w:color w:val="000000"/>
      <w:kern w:val="1"/>
      <w:lang w:eastAsia="hi-IN" w:bidi="hi-IN"/>
    </w:rPr>
  </w:style>
  <w:style w:type="paragraph" w:styleId="Nagwek9">
    <w:name w:val="heading 9"/>
    <w:basedOn w:val="Normalny"/>
    <w:next w:val="Normalny"/>
    <w:link w:val="Nagwek9Znak"/>
    <w:qFormat/>
    <w:rsid w:val="0099587B"/>
    <w:pPr>
      <w:keepNext/>
      <w:widowControl w:val="0"/>
      <w:suppressAutoHyphens/>
      <w:outlineLvl w:val="8"/>
    </w:pPr>
    <w:rPr>
      <w:rFonts w:ascii="Verdana" w:eastAsia="SimSun" w:hAnsi="Verdana" w:cs="Mangal"/>
      <w:b/>
      <w:bCs/>
      <w:kern w:val="1"/>
      <w:sz w:val="18"/>
      <w:lang w:eastAsia="hi-I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rsid w:val="007552F3"/>
    <w:rPr>
      <w:rFonts w:ascii="Times New Roman" w:eastAsia="Calibri" w:hAnsi="Times New Roman" w:cs="Times New Roman"/>
      <w:b/>
      <w:bCs/>
      <w:smallCaps/>
      <w:sz w:val="24"/>
      <w:szCs w:val="24"/>
      <w:lang w:val="en-GB" w:eastAsia="fr-FR"/>
    </w:rPr>
  </w:style>
  <w:style w:type="character" w:customStyle="1" w:styleId="Nagwek2Znak">
    <w:name w:val="Nagłówek 2 Znak"/>
    <w:link w:val="Nagwek2"/>
    <w:uiPriority w:val="99"/>
    <w:rsid w:val="00570C49"/>
    <w:rPr>
      <w:rFonts w:ascii="Verdana" w:hAnsi="Verdana"/>
      <w:b/>
      <w:bCs/>
      <w:sz w:val="24"/>
      <w:szCs w:val="24"/>
      <w:lang w:val="en-GB"/>
    </w:rPr>
  </w:style>
  <w:style w:type="character" w:customStyle="1" w:styleId="Nagwek3Znak">
    <w:name w:val="Nagłówek 3 Znak"/>
    <w:link w:val="Nagwek3"/>
    <w:uiPriority w:val="99"/>
    <w:rsid w:val="007552F3"/>
    <w:rPr>
      <w:rFonts w:ascii="Times New Roman" w:hAnsi="Times New Roman"/>
      <w:i/>
      <w:iCs/>
      <w:sz w:val="24"/>
      <w:szCs w:val="24"/>
      <w:lang w:val="en-GB"/>
    </w:rPr>
  </w:style>
  <w:style w:type="character" w:customStyle="1" w:styleId="Nagwek4Znak">
    <w:name w:val="Nagłówek 4 Znak"/>
    <w:link w:val="Nagwek4"/>
    <w:uiPriority w:val="99"/>
    <w:rsid w:val="007552F3"/>
    <w:rPr>
      <w:rFonts w:ascii="Verdana" w:eastAsia="Calibri" w:hAnsi="Verdana" w:cs="Times New Roman"/>
      <w:b/>
      <w:sz w:val="20"/>
      <w:szCs w:val="20"/>
      <w:lang w:val="en-GB"/>
    </w:rPr>
  </w:style>
  <w:style w:type="character" w:customStyle="1" w:styleId="Nagwek5Znak">
    <w:name w:val="Nagłówek 5 Znak"/>
    <w:link w:val="Nagwek5"/>
    <w:uiPriority w:val="99"/>
    <w:rsid w:val="007552F3"/>
    <w:rPr>
      <w:rFonts w:ascii="Calibri" w:eastAsia="Calibri" w:hAnsi="Calibri" w:cs="Times New Roman"/>
      <w:i/>
      <w:lang w:val="en-GB"/>
    </w:rPr>
  </w:style>
  <w:style w:type="character" w:customStyle="1" w:styleId="Nagwek6Znak">
    <w:name w:val="Nagłówek 6 Znak"/>
    <w:link w:val="Nagwek6"/>
    <w:rsid w:val="0099587B"/>
    <w:rPr>
      <w:rFonts w:ascii="Verdana" w:eastAsia="SimSun" w:hAnsi="Verdana" w:cs="Mangal"/>
      <w:b/>
      <w:bCs/>
      <w:kern w:val="1"/>
      <w:sz w:val="24"/>
      <w:szCs w:val="24"/>
      <w:lang w:val="en-GB" w:eastAsia="de-DE" w:bidi="hi-IN"/>
    </w:rPr>
  </w:style>
  <w:style w:type="character" w:customStyle="1" w:styleId="Nagwek7Znak">
    <w:name w:val="Nagłówek 7 Znak"/>
    <w:link w:val="Nagwek7"/>
    <w:rsid w:val="0099587B"/>
    <w:rPr>
      <w:rFonts w:ascii="Verdana" w:eastAsia="SimSun" w:hAnsi="Verdana" w:cs="Mangal"/>
      <w:b/>
      <w:bCs/>
      <w:kern w:val="1"/>
      <w:sz w:val="24"/>
      <w:szCs w:val="24"/>
      <w:lang w:val="en-GB" w:eastAsia="hi-IN" w:bidi="hi-IN"/>
    </w:rPr>
  </w:style>
  <w:style w:type="character" w:customStyle="1" w:styleId="Nagwek8Znak">
    <w:name w:val="Nagłówek 8 Znak"/>
    <w:link w:val="Nagwek8"/>
    <w:rsid w:val="0099587B"/>
    <w:rPr>
      <w:rFonts w:ascii="Verdana" w:eastAsia="SimSun" w:hAnsi="Verdana" w:cs="Mangal"/>
      <w:b/>
      <w:bCs/>
      <w:color w:val="000000"/>
      <w:kern w:val="1"/>
      <w:sz w:val="24"/>
      <w:szCs w:val="24"/>
      <w:lang w:val="en-GB" w:eastAsia="hi-IN" w:bidi="hi-IN"/>
    </w:rPr>
  </w:style>
  <w:style w:type="character" w:customStyle="1" w:styleId="Nagwek9Znak">
    <w:name w:val="Nagłówek 9 Znak"/>
    <w:link w:val="Nagwek9"/>
    <w:rsid w:val="0099587B"/>
    <w:rPr>
      <w:rFonts w:ascii="Verdana" w:eastAsia="SimSun" w:hAnsi="Verdana" w:cs="Mangal"/>
      <w:b/>
      <w:bCs/>
      <w:kern w:val="1"/>
      <w:sz w:val="18"/>
      <w:szCs w:val="24"/>
      <w:lang w:val="en-GB" w:eastAsia="hi-IN" w:bidi="hi-IN"/>
    </w:rPr>
  </w:style>
  <w:style w:type="paragraph" w:customStyle="1" w:styleId="Standard-IfS">
    <w:name w:val="Standard - IfS"/>
    <w:rsid w:val="00592786"/>
    <w:pPr>
      <w:tabs>
        <w:tab w:val="left" w:pos="227"/>
        <w:tab w:val="left" w:pos="357"/>
        <w:tab w:val="left" w:pos="454"/>
        <w:tab w:val="left" w:pos="709"/>
        <w:tab w:val="left" w:pos="851"/>
        <w:tab w:val="left" w:pos="992"/>
      </w:tabs>
      <w:spacing w:after="312" w:line="312" w:lineRule="auto"/>
      <w:jc w:val="both"/>
    </w:pPr>
    <w:rPr>
      <w:rFonts w:ascii="Arial" w:eastAsia="Times New Roman" w:hAnsi="Arial" w:cs="Arial"/>
      <w:sz w:val="22"/>
      <w:szCs w:val="22"/>
      <w:lang w:val="de-DE" w:eastAsia="en-US"/>
    </w:rPr>
  </w:style>
  <w:style w:type="paragraph" w:styleId="Tekstpodstawowywcity3">
    <w:name w:val="Body Text Indent 3"/>
    <w:basedOn w:val="Normalny"/>
    <w:link w:val="Tekstpodstawowywcity3Znak"/>
    <w:rsid w:val="00592786"/>
    <w:pPr>
      <w:ind w:left="708"/>
      <w:jc w:val="center"/>
    </w:pPr>
    <w:rPr>
      <w:b/>
      <w:bCs/>
      <w:sz w:val="44"/>
      <w:szCs w:val="44"/>
    </w:rPr>
  </w:style>
  <w:style w:type="character" w:customStyle="1" w:styleId="Tekstpodstawowywcity3Znak">
    <w:name w:val="Tekst podstawowy wcięty 3 Znak"/>
    <w:link w:val="Tekstpodstawowywcity3"/>
    <w:rsid w:val="00592786"/>
    <w:rPr>
      <w:rFonts w:ascii="Times New Roman" w:eastAsia="Times New Roman" w:hAnsi="Times New Roman" w:cs="Times New Roman"/>
      <w:b/>
      <w:bCs/>
      <w:sz w:val="44"/>
      <w:szCs w:val="44"/>
      <w:lang w:val="en-GB" w:eastAsia="fr-FR"/>
    </w:rPr>
  </w:style>
  <w:style w:type="paragraph" w:styleId="Tekstdymka">
    <w:name w:val="Balloon Text"/>
    <w:basedOn w:val="Normalny"/>
    <w:link w:val="TekstdymkaZnak"/>
    <w:uiPriority w:val="99"/>
    <w:semiHidden/>
    <w:unhideWhenUsed/>
    <w:rsid w:val="00592786"/>
    <w:rPr>
      <w:rFonts w:ascii="Tahoma" w:hAnsi="Tahoma"/>
      <w:sz w:val="16"/>
      <w:szCs w:val="16"/>
    </w:rPr>
  </w:style>
  <w:style w:type="character" w:customStyle="1" w:styleId="TekstdymkaZnak">
    <w:name w:val="Tekst dymka Znak"/>
    <w:link w:val="Tekstdymka"/>
    <w:uiPriority w:val="99"/>
    <w:semiHidden/>
    <w:rsid w:val="00592786"/>
    <w:rPr>
      <w:rFonts w:ascii="Tahoma" w:eastAsia="Times New Roman" w:hAnsi="Tahoma" w:cs="Tahoma"/>
      <w:sz w:val="16"/>
      <w:szCs w:val="16"/>
      <w:lang w:eastAsia="fr-FR"/>
    </w:rPr>
  </w:style>
  <w:style w:type="paragraph" w:customStyle="1" w:styleId="Paragraphedeliste3">
    <w:name w:val="Paragraphe de liste3"/>
    <w:basedOn w:val="Normalny"/>
    <w:uiPriority w:val="34"/>
    <w:qFormat/>
    <w:rsid w:val="007552F3"/>
    <w:pPr>
      <w:spacing w:after="200" w:line="276" w:lineRule="auto"/>
      <w:ind w:left="720"/>
      <w:contextualSpacing/>
    </w:pPr>
    <w:rPr>
      <w:rFonts w:ascii="Calibri" w:eastAsia="Calibri" w:hAnsi="Calibri"/>
      <w:sz w:val="22"/>
      <w:szCs w:val="22"/>
      <w:lang w:eastAsia="en-US"/>
    </w:rPr>
  </w:style>
  <w:style w:type="paragraph" w:customStyle="1" w:styleId="U2Title1">
    <w:name w:val="U2 Title 1"/>
    <w:basedOn w:val="Normalny"/>
    <w:uiPriority w:val="99"/>
    <w:rsid w:val="007552F3"/>
    <w:pPr>
      <w:pBdr>
        <w:bottom w:val="single" w:sz="6" w:space="1" w:color="auto"/>
      </w:pBdr>
      <w:spacing w:before="60"/>
      <w:jc w:val="both"/>
    </w:pPr>
    <w:rPr>
      <w:rFonts w:ascii="Verdana" w:eastAsia="Calibri" w:hAnsi="Verdana"/>
      <w:b/>
      <w:bCs/>
      <w:smallCaps/>
      <w:sz w:val="32"/>
      <w:szCs w:val="32"/>
    </w:rPr>
  </w:style>
  <w:style w:type="character" w:styleId="Odwoanieprzypisudolnego">
    <w:name w:val="footnote reference"/>
    <w:aliases w:val="stylish,ESPON Footnote No"/>
    <w:rsid w:val="007552F3"/>
    <w:rPr>
      <w:rFonts w:cs="Times New Roman"/>
      <w:vertAlign w:val="superscript"/>
    </w:rPr>
  </w:style>
  <w:style w:type="paragraph" w:styleId="NormalnyWeb">
    <w:name w:val="Normal (Web)"/>
    <w:basedOn w:val="Normalny"/>
    <w:uiPriority w:val="99"/>
    <w:rsid w:val="007552F3"/>
    <w:pPr>
      <w:spacing w:before="100" w:beforeAutospacing="1" w:after="100" w:afterAutospacing="1"/>
    </w:pPr>
    <w:rPr>
      <w:rFonts w:ascii="Arial Unicode MS" w:eastAsia="Arial Unicode MS" w:hAnsi="Arial Unicode MS"/>
    </w:rPr>
  </w:style>
  <w:style w:type="paragraph" w:styleId="Tekstprzypisudolnego">
    <w:name w:val="footnote text"/>
    <w:aliases w:val="ESPON Footnote Text"/>
    <w:basedOn w:val="Normalny"/>
    <w:link w:val="TekstprzypisudolnegoZnak"/>
    <w:rsid w:val="007552F3"/>
    <w:pPr>
      <w:jc w:val="both"/>
    </w:pPr>
    <w:rPr>
      <w:rFonts w:ascii="Calibri" w:eastAsia="Calibri" w:hAnsi="Calibri"/>
      <w:sz w:val="20"/>
      <w:szCs w:val="20"/>
      <w:lang w:eastAsia="zh-CN"/>
    </w:rPr>
  </w:style>
  <w:style w:type="character" w:customStyle="1" w:styleId="TekstprzypisudolnegoZnak">
    <w:name w:val="Tekst przypisu dolnego Znak"/>
    <w:aliases w:val="ESPON Footnote Text Znak"/>
    <w:link w:val="Tekstprzypisudolnego"/>
    <w:rsid w:val="007552F3"/>
    <w:rPr>
      <w:rFonts w:ascii="Calibri" w:eastAsia="Calibri" w:hAnsi="Calibri" w:cs="Times New Roman"/>
      <w:sz w:val="20"/>
      <w:szCs w:val="20"/>
      <w:lang w:val="en-GB" w:eastAsia="zh-CN"/>
    </w:rPr>
  </w:style>
  <w:style w:type="character" w:customStyle="1" w:styleId="FootnoteTextChar">
    <w:name w:val="Footnote Text Char"/>
    <w:aliases w:val="ESPON Footnote Text Char"/>
    <w:uiPriority w:val="99"/>
    <w:semiHidden/>
    <w:locked/>
    <w:rsid w:val="007552F3"/>
    <w:rPr>
      <w:rFonts w:cs="Times New Roman"/>
      <w:sz w:val="20"/>
      <w:szCs w:val="20"/>
      <w:lang w:val="en-GB" w:eastAsia="en-US"/>
    </w:rPr>
  </w:style>
  <w:style w:type="paragraph" w:customStyle="1" w:styleId="StyleHeading1Hanging085cm">
    <w:name w:val="Style Heading 1 + Hanging:  0.85 cm"/>
    <w:basedOn w:val="Nagwek1"/>
    <w:autoRedefine/>
    <w:uiPriority w:val="99"/>
    <w:rsid w:val="00A40420"/>
    <w:pPr>
      <w:tabs>
        <w:tab w:val="clear" w:pos="360"/>
        <w:tab w:val="left" w:pos="1560"/>
      </w:tabs>
      <w:spacing w:before="360" w:after="0"/>
      <w:ind w:left="0" w:firstLine="0"/>
    </w:pPr>
    <w:rPr>
      <w:rFonts w:ascii="Verdana" w:hAnsi="Verdana"/>
      <w:bCs w:val="0"/>
      <w:sz w:val="28"/>
      <w:szCs w:val="28"/>
      <w:lang w:eastAsia="en-US"/>
    </w:rPr>
  </w:style>
  <w:style w:type="paragraph" w:customStyle="1" w:styleId="Paragraphedeliste1">
    <w:name w:val="Paragraphe de liste1"/>
    <w:basedOn w:val="Normalny"/>
    <w:uiPriority w:val="99"/>
    <w:qFormat/>
    <w:rsid w:val="007552F3"/>
    <w:pPr>
      <w:spacing w:after="240"/>
      <w:ind w:left="720"/>
      <w:jc w:val="both"/>
    </w:pPr>
    <w:rPr>
      <w:rFonts w:eastAsia="Calibri"/>
      <w:szCs w:val="20"/>
      <w:lang w:eastAsia="en-US"/>
    </w:rPr>
  </w:style>
  <w:style w:type="character" w:styleId="Pogrubienie">
    <w:name w:val="Strong"/>
    <w:aliases w:val="5C OP Heading 3"/>
    <w:uiPriority w:val="99"/>
    <w:qFormat/>
    <w:rsid w:val="007552F3"/>
    <w:rPr>
      <w:rFonts w:ascii="Arial" w:hAnsi="Arial" w:cs="Times New Roman"/>
      <w:color w:val="auto"/>
      <w:sz w:val="24"/>
      <w:lang w:val="en-GB" w:eastAsia="ar-SA" w:bidi="ar-SA"/>
    </w:rPr>
  </w:style>
  <w:style w:type="character" w:customStyle="1" w:styleId="TableauGrille1Clair1">
    <w:name w:val="Tableau Grille 1 Clair1"/>
    <w:aliases w:val="5C OP Heading 4"/>
    <w:uiPriority w:val="99"/>
    <w:rsid w:val="007552F3"/>
    <w:rPr>
      <w:rFonts w:ascii="Arial" w:hAnsi="Arial"/>
      <w:b/>
      <w:color w:val="auto"/>
      <w:sz w:val="28"/>
      <w:lang w:eastAsia="ar-SA" w:bidi="ar-SA"/>
    </w:rPr>
  </w:style>
  <w:style w:type="character" w:customStyle="1" w:styleId="Rfrenceintense1">
    <w:name w:val="Référence intense1"/>
    <w:uiPriority w:val="99"/>
    <w:rsid w:val="007552F3"/>
    <w:rPr>
      <w:rFonts w:ascii="Verdana" w:hAnsi="Verdana"/>
      <w:b/>
      <w:color w:val="000000"/>
    </w:rPr>
  </w:style>
  <w:style w:type="paragraph" w:customStyle="1" w:styleId="Text1">
    <w:name w:val="Text 1"/>
    <w:basedOn w:val="Normalny"/>
    <w:link w:val="Text1Char"/>
    <w:rsid w:val="007552F3"/>
    <w:pPr>
      <w:tabs>
        <w:tab w:val="left" w:pos="2160"/>
      </w:tabs>
      <w:spacing w:after="240"/>
      <w:ind w:left="1440"/>
      <w:jc w:val="both"/>
    </w:pPr>
    <w:rPr>
      <w:rFonts w:ascii="Calibri" w:eastAsia="Calibri" w:hAnsi="Calibri"/>
      <w:szCs w:val="20"/>
    </w:rPr>
  </w:style>
  <w:style w:type="character" w:customStyle="1" w:styleId="Text1Char">
    <w:name w:val="Text 1 Char"/>
    <w:link w:val="Text1"/>
    <w:uiPriority w:val="99"/>
    <w:locked/>
    <w:rsid w:val="007552F3"/>
    <w:rPr>
      <w:rFonts w:ascii="Calibri" w:eastAsia="Calibri" w:hAnsi="Calibri" w:cs="Times New Roman"/>
      <w:sz w:val="24"/>
      <w:szCs w:val="20"/>
      <w:lang w:val="en-GB"/>
    </w:rPr>
  </w:style>
  <w:style w:type="paragraph" w:customStyle="1" w:styleId="ListBullet1">
    <w:name w:val="List Bullet 1"/>
    <w:basedOn w:val="Text1"/>
    <w:uiPriority w:val="99"/>
    <w:rsid w:val="007552F3"/>
    <w:pPr>
      <w:tabs>
        <w:tab w:val="clear" w:pos="2160"/>
        <w:tab w:val="num" w:pos="360"/>
      </w:tabs>
    </w:pPr>
    <w:rPr>
      <w:rFonts w:ascii="Times New Roman" w:hAnsi="Times New Roman"/>
      <w:szCs w:val="24"/>
      <w:lang w:val="fr-FR"/>
    </w:rPr>
  </w:style>
  <w:style w:type="paragraph" w:customStyle="1" w:styleId="Text3">
    <w:name w:val="Text 3"/>
    <w:basedOn w:val="Normalny"/>
    <w:uiPriority w:val="99"/>
    <w:rsid w:val="007552F3"/>
    <w:pPr>
      <w:tabs>
        <w:tab w:val="left" w:pos="2302"/>
      </w:tabs>
      <w:spacing w:after="240"/>
      <w:ind w:left="1916"/>
      <w:jc w:val="both"/>
    </w:pPr>
    <w:rPr>
      <w:rFonts w:eastAsia="Calibri"/>
      <w:szCs w:val="20"/>
      <w:lang w:eastAsia="en-US"/>
    </w:rPr>
  </w:style>
  <w:style w:type="paragraph" w:styleId="Legenda">
    <w:name w:val="caption"/>
    <w:basedOn w:val="Normalny"/>
    <w:next w:val="Normalny"/>
    <w:uiPriority w:val="99"/>
    <w:qFormat/>
    <w:rsid w:val="007552F3"/>
    <w:pPr>
      <w:spacing w:after="200" w:line="276" w:lineRule="auto"/>
    </w:pPr>
    <w:rPr>
      <w:rFonts w:ascii="Calibri" w:eastAsia="Calibri" w:hAnsi="Calibri"/>
      <w:b/>
      <w:bCs/>
      <w:sz w:val="20"/>
      <w:szCs w:val="20"/>
      <w:lang w:eastAsia="en-US"/>
    </w:rPr>
  </w:style>
  <w:style w:type="character" w:customStyle="1" w:styleId="TekstprzypisukocowegoZnak">
    <w:name w:val="Tekst przypisu końcowego Znak"/>
    <w:link w:val="Tekstprzypisukocowego"/>
    <w:uiPriority w:val="99"/>
    <w:semiHidden/>
    <w:rsid w:val="007552F3"/>
    <w:rPr>
      <w:rFonts w:ascii="Calibri" w:eastAsia="Calibri" w:hAnsi="Calibri" w:cs="Times New Roman"/>
      <w:sz w:val="20"/>
      <w:szCs w:val="20"/>
      <w:lang w:val="en-GB"/>
    </w:rPr>
  </w:style>
  <w:style w:type="paragraph" w:styleId="Tekstprzypisukocowego">
    <w:name w:val="endnote text"/>
    <w:basedOn w:val="Normalny"/>
    <w:link w:val="TekstprzypisukocowegoZnak"/>
    <w:uiPriority w:val="99"/>
    <w:semiHidden/>
    <w:rsid w:val="007552F3"/>
    <w:pPr>
      <w:spacing w:after="200" w:line="276" w:lineRule="auto"/>
    </w:pPr>
    <w:rPr>
      <w:rFonts w:ascii="Calibri" w:eastAsia="Calibri" w:hAnsi="Calibri"/>
      <w:sz w:val="20"/>
      <w:szCs w:val="20"/>
    </w:rPr>
  </w:style>
  <w:style w:type="paragraph" w:customStyle="1" w:styleId="Paragraphedeliste2">
    <w:name w:val="Paragraphe de liste2"/>
    <w:basedOn w:val="Normalny"/>
    <w:qFormat/>
    <w:rsid w:val="007552F3"/>
    <w:pPr>
      <w:spacing w:after="200" w:line="276" w:lineRule="auto"/>
      <w:ind w:left="720"/>
      <w:contextualSpacing/>
      <w:jc w:val="both"/>
    </w:pPr>
    <w:rPr>
      <w:rFonts w:ascii="Calibri" w:hAnsi="Calibri"/>
      <w:color w:val="000000"/>
      <w:sz w:val="22"/>
      <w:szCs w:val="22"/>
      <w:lang w:eastAsia="en-US"/>
    </w:rPr>
  </w:style>
  <w:style w:type="paragraph" w:styleId="Tekstkomentarza">
    <w:name w:val="annotation text"/>
    <w:basedOn w:val="Normalny"/>
    <w:link w:val="TekstkomentarzaZnak"/>
    <w:uiPriority w:val="99"/>
    <w:unhideWhenUsed/>
    <w:rsid w:val="007552F3"/>
    <w:pPr>
      <w:spacing w:after="200"/>
    </w:pPr>
    <w:rPr>
      <w:rFonts w:ascii="Calibri" w:eastAsia="Calibri" w:hAnsi="Calibri"/>
      <w:sz w:val="20"/>
      <w:szCs w:val="20"/>
    </w:rPr>
  </w:style>
  <w:style w:type="character" w:customStyle="1" w:styleId="TekstkomentarzaZnak">
    <w:name w:val="Tekst komentarza Znak"/>
    <w:link w:val="Tekstkomentarza"/>
    <w:uiPriority w:val="99"/>
    <w:rsid w:val="007552F3"/>
    <w:rPr>
      <w:rFonts w:ascii="Calibri" w:eastAsia="Calibri" w:hAnsi="Calibri" w:cs="Times New Roman"/>
      <w:sz w:val="20"/>
      <w:szCs w:val="20"/>
      <w:lang w:val="en-GB"/>
    </w:rPr>
  </w:style>
  <w:style w:type="character" w:customStyle="1" w:styleId="TematkomentarzaZnak">
    <w:name w:val="Temat komentarza Znak"/>
    <w:link w:val="Tematkomentarza"/>
    <w:uiPriority w:val="99"/>
    <w:semiHidden/>
    <w:rsid w:val="007552F3"/>
    <w:rPr>
      <w:rFonts w:ascii="Calibri" w:eastAsia="Calibri" w:hAnsi="Calibri" w:cs="Times New Roman"/>
      <w:b/>
      <w:bCs/>
      <w:sz w:val="20"/>
      <w:szCs w:val="20"/>
      <w:lang w:val="en-GB"/>
    </w:rPr>
  </w:style>
  <w:style w:type="paragraph" w:styleId="Tematkomentarza">
    <w:name w:val="annotation subject"/>
    <w:basedOn w:val="Tekstkomentarza"/>
    <w:next w:val="Tekstkomentarza"/>
    <w:link w:val="TematkomentarzaZnak"/>
    <w:uiPriority w:val="99"/>
    <w:semiHidden/>
    <w:unhideWhenUsed/>
    <w:rsid w:val="007552F3"/>
    <w:rPr>
      <w:b/>
      <w:bCs/>
    </w:rPr>
  </w:style>
  <w:style w:type="paragraph" w:styleId="Nagwek">
    <w:name w:val="header"/>
    <w:basedOn w:val="Normalny"/>
    <w:link w:val="NagwekZnak"/>
    <w:uiPriority w:val="99"/>
    <w:rsid w:val="007552F3"/>
    <w:pPr>
      <w:tabs>
        <w:tab w:val="center" w:pos="4536"/>
        <w:tab w:val="right" w:pos="9072"/>
      </w:tabs>
      <w:spacing w:line="260" w:lineRule="atLeast"/>
    </w:pPr>
    <w:rPr>
      <w:rFonts w:ascii="Arial" w:hAnsi="Arial"/>
      <w:sz w:val="20"/>
    </w:rPr>
  </w:style>
  <w:style w:type="character" w:customStyle="1" w:styleId="NagwekZnak">
    <w:name w:val="Nagłówek Znak"/>
    <w:link w:val="Nagwek"/>
    <w:uiPriority w:val="99"/>
    <w:rsid w:val="007552F3"/>
    <w:rPr>
      <w:rFonts w:ascii="Arial" w:eastAsia="Times New Roman" w:hAnsi="Arial" w:cs="Times New Roman"/>
      <w:sz w:val="20"/>
      <w:szCs w:val="24"/>
      <w:lang w:val="en-GB"/>
    </w:rPr>
  </w:style>
  <w:style w:type="paragraph" w:styleId="Stopka">
    <w:name w:val="footer"/>
    <w:basedOn w:val="Normalny"/>
    <w:link w:val="StopkaZnak"/>
    <w:uiPriority w:val="99"/>
    <w:rsid w:val="007552F3"/>
    <w:pPr>
      <w:tabs>
        <w:tab w:val="center" w:pos="4536"/>
        <w:tab w:val="right" w:pos="9072"/>
      </w:tabs>
      <w:spacing w:line="260" w:lineRule="atLeast"/>
    </w:pPr>
    <w:rPr>
      <w:rFonts w:ascii="Arial" w:hAnsi="Arial"/>
      <w:sz w:val="20"/>
    </w:rPr>
  </w:style>
  <w:style w:type="character" w:customStyle="1" w:styleId="StopkaZnak">
    <w:name w:val="Stopka Znak"/>
    <w:link w:val="Stopka"/>
    <w:uiPriority w:val="99"/>
    <w:rsid w:val="007552F3"/>
    <w:rPr>
      <w:rFonts w:ascii="Arial" w:eastAsia="Times New Roman" w:hAnsi="Arial" w:cs="Times New Roman"/>
      <w:sz w:val="20"/>
      <w:szCs w:val="24"/>
      <w:lang w:val="en-GB"/>
    </w:rPr>
  </w:style>
  <w:style w:type="character" w:customStyle="1" w:styleId="hps">
    <w:name w:val="hps"/>
    <w:basedOn w:val="Domylnaczcionkaakapitu"/>
    <w:rsid w:val="007552F3"/>
  </w:style>
  <w:style w:type="character" w:styleId="Hipercze">
    <w:name w:val="Hyperlink"/>
    <w:uiPriority w:val="99"/>
    <w:unhideWhenUsed/>
    <w:rsid w:val="007552F3"/>
    <w:rPr>
      <w:color w:val="0000FF"/>
      <w:u w:val="single"/>
    </w:rPr>
  </w:style>
  <w:style w:type="table" w:styleId="Tabela-Siatka">
    <w:name w:val="Table Grid"/>
    <w:basedOn w:val="Standardowy"/>
    <w:uiPriority w:val="59"/>
    <w:rsid w:val="007552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
    <w:name w:val="titre"/>
    <w:basedOn w:val="Normalny"/>
    <w:autoRedefine/>
    <w:rsid w:val="0099587B"/>
    <w:pPr>
      <w:widowControl w:val="0"/>
      <w:suppressAutoHyphens/>
    </w:pPr>
    <w:rPr>
      <w:rFonts w:ascii="Brocoli" w:eastAsia="SimSun" w:hAnsi="Brocoli" w:cs="Mangal"/>
      <w:color w:val="FF0000"/>
      <w:kern w:val="1"/>
      <w:sz w:val="32"/>
      <w:lang w:val="ru-RU" w:eastAsia="hi-IN" w:bidi="hi-IN"/>
    </w:rPr>
  </w:style>
  <w:style w:type="paragraph" w:customStyle="1" w:styleId="blocadresseletterhead">
    <w:name w:val="bloc adresse letterhead"/>
    <w:basedOn w:val="Normalny"/>
    <w:rsid w:val="0099587B"/>
    <w:pPr>
      <w:widowControl w:val="0"/>
      <w:tabs>
        <w:tab w:val="left" w:pos="1520"/>
      </w:tabs>
      <w:suppressAutoHyphens/>
      <w:autoSpaceDE w:val="0"/>
      <w:autoSpaceDN w:val="0"/>
      <w:adjustRightInd w:val="0"/>
      <w:spacing w:after="28" w:line="200" w:lineRule="atLeast"/>
      <w:textAlignment w:val="center"/>
    </w:pPr>
    <w:rPr>
      <w:rFonts w:ascii="HelveticaNeue-Roman" w:eastAsia="SimSun" w:hAnsi="HelveticaNeue-Roman" w:cs="Mangal"/>
      <w:color w:val="00009E"/>
      <w:spacing w:val="1"/>
      <w:kern w:val="1"/>
      <w:sz w:val="12"/>
      <w:szCs w:val="12"/>
      <w:lang w:eastAsia="hi-IN" w:bidi="hi-IN"/>
    </w:rPr>
  </w:style>
  <w:style w:type="character" w:customStyle="1" w:styleId="gras">
    <w:name w:val="gras"/>
    <w:rsid w:val="0099587B"/>
    <w:rPr>
      <w:b/>
      <w:color w:val="00009E"/>
    </w:rPr>
  </w:style>
  <w:style w:type="paragraph" w:customStyle="1" w:styleId="--">
    <w:name w:val="--"/>
    <w:basedOn w:val="Normalny"/>
    <w:rsid w:val="0099587B"/>
    <w:pPr>
      <w:widowControl w:val="0"/>
      <w:numPr>
        <w:numId w:val="5"/>
      </w:numPr>
      <w:suppressAutoHyphens/>
      <w:spacing w:before="80" w:after="80"/>
    </w:pPr>
    <w:rPr>
      <w:rFonts w:ascii="Verdana" w:eastAsia="Batang" w:hAnsi="Verdana" w:cs="Mangal"/>
      <w:kern w:val="1"/>
      <w:sz w:val="16"/>
      <w:lang w:eastAsia="de-DE" w:bidi="hi-IN"/>
    </w:rPr>
  </w:style>
  <w:style w:type="paragraph" w:styleId="Tekstpodstawowy3">
    <w:name w:val="Body Text 3"/>
    <w:basedOn w:val="Normalny"/>
    <w:link w:val="Tekstpodstawowy3Znak"/>
    <w:rsid w:val="0099587B"/>
    <w:pPr>
      <w:widowControl w:val="0"/>
      <w:suppressAutoHyphens/>
      <w:jc w:val="center"/>
    </w:pPr>
    <w:rPr>
      <w:rFonts w:ascii="Verdana" w:eastAsia="SimSun" w:hAnsi="Verdana" w:cs="Mangal"/>
      <w:kern w:val="1"/>
      <w:lang w:eastAsia="hi-IN" w:bidi="hi-IN"/>
    </w:rPr>
  </w:style>
  <w:style w:type="character" w:customStyle="1" w:styleId="Tekstpodstawowy3Znak">
    <w:name w:val="Tekst podstawowy 3 Znak"/>
    <w:link w:val="Tekstpodstawowy3"/>
    <w:rsid w:val="0099587B"/>
    <w:rPr>
      <w:rFonts w:ascii="Verdana" w:eastAsia="SimSun" w:hAnsi="Verdana" w:cs="Mangal"/>
      <w:kern w:val="1"/>
      <w:sz w:val="24"/>
      <w:szCs w:val="24"/>
      <w:lang w:val="en-GB" w:eastAsia="hi-IN" w:bidi="hi-IN"/>
    </w:rPr>
  </w:style>
  <w:style w:type="character" w:styleId="Numerstrony">
    <w:name w:val="page number"/>
    <w:basedOn w:val="Domylnaczcionkaakapitu"/>
    <w:rsid w:val="0099587B"/>
  </w:style>
  <w:style w:type="paragraph" w:styleId="Tekstpodstawowy">
    <w:name w:val="Body Text"/>
    <w:basedOn w:val="Normalny"/>
    <w:link w:val="TekstpodstawowyZnak"/>
    <w:rsid w:val="0099587B"/>
    <w:pPr>
      <w:widowControl w:val="0"/>
      <w:suppressAutoHyphens/>
      <w:spacing w:after="120"/>
    </w:pPr>
    <w:rPr>
      <w:rFonts w:eastAsia="SimSun" w:cs="Mangal"/>
      <w:kern w:val="1"/>
      <w:lang w:eastAsia="hi-IN" w:bidi="hi-IN"/>
    </w:rPr>
  </w:style>
  <w:style w:type="character" w:customStyle="1" w:styleId="TekstpodstawowyZnak">
    <w:name w:val="Tekst podstawowy Znak"/>
    <w:link w:val="Tekstpodstawowy"/>
    <w:rsid w:val="0099587B"/>
    <w:rPr>
      <w:rFonts w:ascii="Times New Roman" w:eastAsia="SimSun" w:hAnsi="Times New Roman" w:cs="Mangal"/>
      <w:kern w:val="1"/>
      <w:sz w:val="24"/>
      <w:szCs w:val="24"/>
      <w:lang w:val="en-GB" w:eastAsia="hi-IN" w:bidi="hi-IN"/>
    </w:rPr>
  </w:style>
  <w:style w:type="paragraph" w:customStyle="1" w:styleId="Default">
    <w:name w:val="Default"/>
    <w:uiPriority w:val="99"/>
    <w:rsid w:val="0099587B"/>
    <w:pPr>
      <w:autoSpaceDE w:val="0"/>
      <w:autoSpaceDN w:val="0"/>
      <w:adjustRightInd w:val="0"/>
    </w:pPr>
    <w:rPr>
      <w:rFonts w:ascii="Times New Roman" w:hAnsi="Times New Roman"/>
      <w:color w:val="000000"/>
      <w:sz w:val="24"/>
      <w:szCs w:val="24"/>
      <w:lang w:eastAsia="en-US"/>
    </w:rPr>
  </w:style>
  <w:style w:type="character" w:customStyle="1" w:styleId="ss-text-answer-container">
    <w:name w:val="ss-text-answer-container"/>
    <w:basedOn w:val="Domylnaczcionkaakapitu"/>
    <w:rsid w:val="0099587B"/>
  </w:style>
  <w:style w:type="character" w:styleId="Odwoaniedokomentarza">
    <w:name w:val="annotation reference"/>
    <w:uiPriority w:val="99"/>
    <w:unhideWhenUsed/>
    <w:rsid w:val="0099587B"/>
    <w:rPr>
      <w:sz w:val="16"/>
      <w:szCs w:val="16"/>
    </w:rPr>
  </w:style>
  <w:style w:type="paragraph" w:customStyle="1" w:styleId="CM1">
    <w:name w:val="CM1"/>
    <w:basedOn w:val="Default"/>
    <w:next w:val="Default"/>
    <w:uiPriority w:val="99"/>
    <w:rsid w:val="0099587B"/>
    <w:rPr>
      <w:rFonts w:ascii="EUAlbertina" w:eastAsia="Times New Roman" w:hAnsi="EUAlbertina"/>
      <w:color w:val="auto"/>
      <w:lang w:eastAsia="en-GB"/>
    </w:rPr>
  </w:style>
  <w:style w:type="paragraph" w:customStyle="1" w:styleId="CM3">
    <w:name w:val="CM3"/>
    <w:basedOn w:val="Default"/>
    <w:next w:val="Default"/>
    <w:uiPriority w:val="99"/>
    <w:rsid w:val="0099587B"/>
    <w:rPr>
      <w:rFonts w:ascii="EUAlbertina" w:eastAsia="Times New Roman" w:hAnsi="EUAlbertina"/>
      <w:color w:val="auto"/>
      <w:lang w:eastAsia="en-GB"/>
    </w:rPr>
  </w:style>
  <w:style w:type="paragraph" w:customStyle="1" w:styleId="CM4">
    <w:name w:val="CM4"/>
    <w:basedOn w:val="Default"/>
    <w:next w:val="Default"/>
    <w:uiPriority w:val="99"/>
    <w:rsid w:val="0099587B"/>
    <w:rPr>
      <w:rFonts w:ascii="EUAlbertina" w:eastAsia="Times New Roman" w:hAnsi="EUAlbertina"/>
      <w:color w:val="auto"/>
      <w:lang w:eastAsia="en-GB"/>
    </w:rPr>
  </w:style>
  <w:style w:type="character" w:customStyle="1" w:styleId="stylecourrierlectronique18">
    <w:name w:val="stylecourrierlectronique18"/>
    <w:rsid w:val="00AC759C"/>
    <w:rPr>
      <w:rFonts w:ascii="Arial" w:hAnsi="Arial" w:cs="Arial"/>
      <w:color w:val="000000"/>
      <w:sz w:val="20"/>
      <w:szCs w:val="20"/>
    </w:rPr>
  </w:style>
  <w:style w:type="paragraph" w:styleId="Spistreci1">
    <w:name w:val="toc 1"/>
    <w:basedOn w:val="Normalny"/>
    <w:next w:val="Normalny"/>
    <w:autoRedefine/>
    <w:uiPriority w:val="39"/>
    <w:rsid w:val="00040577"/>
    <w:pPr>
      <w:tabs>
        <w:tab w:val="left" w:pos="1760"/>
        <w:tab w:val="right" w:leader="dot" w:pos="9781"/>
      </w:tabs>
      <w:spacing w:before="240" w:after="120"/>
    </w:pPr>
    <w:rPr>
      <w:rFonts w:ascii="Verdana" w:hAnsi="Verdana"/>
      <w:b/>
      <w:bCs/>
      <w:noProof/>
    </w:rPr>
  </w:style>
  <w:style w:type="paragraph" w:styleId="Spistreci2">
    <w:name w:val="toc 2"/>
    <w:basedOn w:val="Normalny"/>
    <w:next w:val="Normalny"/>
    <w:autoRedefine/>
    <w:uiPriority w:val="39"/>
    <w:rsid w:val="0092395E"/>
    <w:pPr>
      <w:tabs>
        <w:tab w:val="left" w:pos="1540"/>
        <w:tab w:val="right" w:leader="dot" w:pos="9639"/>
      </w:tabs>
      <w:spacing w:after="60"/>
      <w:ind w:left="709" w:right="57"/>
    </w:pPr>
    <w:rPr>
      <w:rFonts w:ascii="Verdana" w:hAnsi="Verdana"/>
      <w:noProof/>
      <w:sz w:val="22"/>
      <w:szCs w:val="22"/>
      <w:lang w:eastAsia="ar-SA"/>
    </w:rPr>
  </w:style>
  <w:style w:type="paragraph" w:styleId="Spistreci3">
    <w:name w:val="toc 3"/>
    <w:basedOn w:val="Normalny"/>
    <w:next w:val="Normalny"/>
    <w:autoRedefine/>
    <w:uiPriority w:val="39"/>
    <w:rsid w:val="00AC759C"/>
    <w:pPr>
      <w:ind w:left="480"/>
    </w:pPr>
    <w:rPr>
      <w:rFonts w:ascii="Verdana" w:hAnsi="Verdana"/>
      <w:sz w:val="22"/>
      <w:szCs w:val="22"/>
    </w:rPr>
  </w:style>
  <w:style w:type="paragraph" w:customStyle="1" w:styleId="Style1">
    <w:name w:val="Style1"/>
    <w:basedOn w:val="Normalny"/>
    <w:uiPriority w:val="99"/>
    <w:rsid w:val="00A720B1"/>
    <w:pPr>
      <w:spacing w:after="240"/>
    </w:pPr>
    <w:rPr>
      <w:szCs w:val="20"/>
      <w:lang w:eastAsia="ko-KR"/>
    </w:rPr>
  </w:style>
  <w:style w:type="paragraph" w:styleId="Tekstpodstawowywcity">
    <w:name w:val="Body Text Indent"/>
    <w:basedOn w:val="Normalny"/>
    <w:link w:val="TekstpodstawowywcityZnak"/>
    <w:uiPriority w:val="99"/>
    <w:unhideWhenUsed/>
    <w:rsid w:val="00A720B1"/>
    <w:pPr>
      <w:spacing w:after="120"/>
      <w:ind w:left="283"/>
    </w:pPr>
  </w:style>
  <w:style w:type="character" w:customStyle="1" w:styleId="TekstpodstawowywcityZnak">
    <w:name w:val="Tekst podstawowy wcięty Znak"/>
    <w:link w:val="Tekstpodstawowywcity"/>
    <w:uiPriority w:val="99"/>
    <w:rsid w:val="00A720B1"/>
    <w:rPr>
      <w:rFonts w:ascii="Times New Roman" w:eastAsia="Times New Roman" w:hAnsi="Times New Roman" w:cs="Times New Roman"/>
      <w:sz w:val="24"/>
      <w:szCs w:val="24"/>
      <w:lang w:eastAsia="fr-FR"/>
    </w:rPr>
  </w:style>
  <w:style w:type="paragraph" w:styleId="Tekstpodstawowywcity2">
    <w:name w:val="Body Text Indent 2"/>
    <w:basedOn w:val="Normalny"/>
    <w:link w:val="Tekstpodstawowywcity2Znak"/>
    <w:uiPriority w:val="99"/>
    <w:semiHidden/>
    <w:unhideWhenUsed/>
    <w:rsid w:val="00A720B1"/>
    <w:pPr>
      <w:spacing w:after="120" w:line="480" w:lineRule="auto"/>
      <w:ind w:left="283"/>
    </w:pPr>
  </w:style>
  <w:style w:type="character" w:customStyle="1" w:styleId="Tekstpodstawowywcity2Znak">
    <w:name w:val="Tekst podstawowy wcięty 2 Znak"/>
    <w:link w:val="Tekstpodstawowywcity2"/>
    <w:uiPriority w:val="99"/>
    <w:semiHidden/>
    <w:rsid w:val="00A720B1"/>
    <w:rPr>
      <w:rFonts w:ascii="Times New Roman" w:eastAsia="Times New Roman" w:hAnsi="Times New Roman" w:cs="Times New Roman"/>
      <w:sz w:val="24"/>
      <w:szCs w:val="24"/>
      <w:lang w:eastAsia="fr-FR"/>
    </w:rPr>
  </w:style>
  <w:style w:type="paragraph" w:customStyle="1" w:styleId="En-ttedetabledesmatires1">
    <w:name w:val="En-tête de table des matières1"/>
    <w:basedOn w:val="Nagwek1"/>
    <w:next w:val="Normalny"/>
    <w:uiPriority w:val="39"/>
    <w:semiHidden/>
    <w:unhideWhenUsed/>
    <w:qFormat/>
    <w:rsid w:val="00A532C7"/>
    <w:pPr>
      <w:keepLines/>
      <w:tabs>
        <w:tab w:val="clear" w:pos="360"/>
      </w:tabs>
      <w:spacing w:before="480" w:after="0" w:line="276" w:lineRule="auto"/>
      <w:ind w:left="0" w:firstLine="0"/>
      <w:jc w:val="left"/>
      <w:outlineLvl w:val="9"/>
    </w:pPr>
    <w:rPr>
      <w:rFonts w:ascii="Cambria" w:eastAsia="Times New Roman" w:hAnsi="Cambria"/>
      <w:smallCaps w:val="0"/>
      <w:color w:val="365F91"/>
      <w:sz w:val="28"/>
      <w:szCs w:val="28"/>
      <w:lang w:val="fr-FR" w:eastAsia="en-US"/>
    </w:rPr>
  </w:style>
  <w:style w:type="paragraph" w:customStyle="1" w:styleId="bodytext">
    <w:name w:val="bodytext"/>
    <w:basedOn w:val="Normalny"/>
    <w:rsid w:val="009210ED"/>
    <w:pPr>
      <w:spacing w:before="100" w:beforeAutospacing="1" w:after="100" w:afterAutospacing="1"/>
    </w:pPr>
    <w:rPr>
      <w:lang w:eastAsia="en-GB"/>
    </w:rPr>
  </w:style>
  <w:style w:type="paragraph" w:styleId="Akapitzlist">
    <w:name w:val="List Paragraph"/>
    <w:basedOn w:val="Normalny"/>
    <w:uiPriority w:val="34"/>
    <w:qFormat/>
    <w:rsid w:val="00A95319"/>
    <w:pPr>
      <w:spacing w:after="200" w:line="276" w:lineRule="auto"/>
      <w:ind w:left="720"/>
      <w:contextualSpacing/>
    </w:pPr>
    <w:rPr>
      <w:rFonts w:ascii="Calibri" w:eastAsia="Calibri" w:hAnsi="Calibri"/>
      <w:sz w:val="22"/>
      <w:szCs w:val="22"/>
      <w:lang w:eastAsia="en-US"/>
    </w:rPr>
  </w:style>
  <w:style w:type="paragraph" w:customStyle="1" w:styleId="StyleTitre211ptAprs9ptInterligneMultiple115li">
    <w:name w:val="Style Titre 2 + 11 pt Après : 9 pt Interligne : Multiple 115 li"/>
    <w:basedOn w:val="Zwykytekst"/>
    <w:rsid w:val="00627420"/>
    <w:pPr>
      <w:spacing w:after="180" w:line="276" w:lineRule="auto"/>
    </w:pPr>
    <w:rPr>
      <w:sz w:val="22"/>
      <w:szCs w:val="20"/>
    </w:rPr>
  </w:style>
  <w:style w:type="paragraph" w:styleId="Zwykytekst">
    <w:name w:val="Plain Text"/>
    <w:basedOn w:val="Normalny"/>
    <w:link w:val="ZwykytekstZnak"/>
    <w:uiPriority w:val="99"/>
    <w:semiHidden/>
    <w:unhideWhenUsed/>
    <w:rsid w:val="00627420"/>
    <w:rPr>
      <w:rFonts w:ascii="Consolas" w:hAnsi="Consolas"/>
      <w:sz w:val="21"/>
      <w:szCs w:val="21"/>
    </w:rPr>
  </w:style>
  <w:style w:type="character" w:customStyle="1" w:styleId="ZwykytekstZnak">
    <w:name w:val="Zwykły tekst Znak"/>
    <w:basedOn w:val="Domylnaczcionkaakapitu"/>
    <w:link w:val="Zwykytekst"/>
    <w:uiPriority w:val="99"/>
    <w:semiHidden/>
    <w:rsid w:val="00627420"/>
    <w:rPr>
      <w:rFonts w:ascii="Consolas" w:eastAsia="Times New Roman" w:hAnsi="Consolas"/>
      <w:sz w:val="21"/>
      <w:szCs w:val="21"/>
      <w:lang w:val="en-GB"/>
    </w:rPr>
  </w:style>
  <w:style w:type="character" w:styleId="UyteHipercze">
    <w:name w:val="FollowedHyperlink"/>
    <w:basedOn w:val="Domylnaczcionkaakapitu"/>
    <w:uiPriority w:val="99"/>
    <w:semiHidden/>
    <w:unhideWhenUsed/>
    <w:rsid w:val="005B0F91"/>
    <w:rPr>
      <w:color w:val="800080" w:themeColor="followedHyperlink"/>
      <w:u w:val="single"/>
    </w:rPr>
  </w:style>
  <w:style w:type="character" w:styleId="Uwydatnienie">
    <w:name w:val="Emphasis"/>
    <w:basedOn w:val="Domylnaczcionkaakapitu"/>
    <w:uiPriority w:val="20"/>
    <w:qFormat/>
    <w:rsid w:val="00A047A4"/>
    <w:rPr>
      <w:i/>
      <w:iCs/>
    </w:rPr>
  </w:style>
  <w:style w:type="paragraph" w:styleId="Nagwekspisutreci">
    <w:name w:val="TOC Heading"/>
    <w:basedOn w:val="Nagwek1"/>
    <w:next w:val="Normalny"/>
    <w:uiPriority w:val="39"/>
    <w:semiHidden/>
    <w:unhideWhenUsed/>
    <w:qFormat/>
    <w:rsid w:val="00291F43"/>
    <w:pPr>
      <w:keepLines/>
      <w:tabs>
        <w:tab w:val="clear" w:pos="360"/>
      </w:tabs>
      <w:spacing w:before="480" w:after="0" w:line="276" w:lineRule="auto"/>
      <w:ind w:left="0" w:firstLine="0"/>
      <w:jc w:val="left"/>
      <w:outlineLvl w:val="9"/>
    </w:pPr>
    <w:rPr>
      <w:rFonts w:asciiTheme="majorHAnsi" w:eastAsiaTheme="majorEastAsia" w:hAnsiTheme="majorHAnsi" w:cstheme="majorBidi"/>
      <w:smallCaps w:val="0"/>
      <w:color w:val="365F91" w:themeColor="accent1" w:themeShade="BF"/>
      <w:sz w:val="28"/>
      <w:szCs w:val="2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nhideWhenUsed="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3" w:uiPriority="0"/>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F2159"/>
    <w:rPr>
      <w:rFonts w:ascii="Times New Roman" w:eastAsia="Times New Roman" w:hAnsi="Times New Roman"/>
      <w:sz w:val="24"/>
      <w:szCs w:val="24"/>
      <w:lang w:val="en-GB"/>
    </w:rPr>
  </w:style>
  <w:style w:type="paragraph" w:styleId="Nagwek1">
    <w:name w:val="heading 1"/>
    <w:basedOn w:val="Normalny"/>
    <w:next w:val="Normalny"/>
    <w:link w:val="Nagwek1Znak"/>
    <w:uiPriority w:val="99"/>
    <w:qFormat/>
    <w:rsid w:val="007552F3"/>
    <w:pPr>
      <w:keepNext/>
      <w:tabs>
        <w:tab w:val="num" w:pos="360"/>
      </w:tabs>
      <w:spacing w:before="240" w:after="240"/>
      <w:ind w:left="360" w:hanging="360"/>
      <w:jc w:val="both"/>
      <w:outlineLvl w:val="0"/>
    </w:pPr>
    <w:rPr>
      <w:rFonts w:eastAsia="Calibri"/>
      <w:b/>
      <w:bCs/>
      <w:smallCaps/>
    </w:rPr>
  </w:style>
  <w:style w:type="paragraph" w:styleId="Nagwek2">
    <w:name w:val="heading 2"/>
    <w:basedOn w:val="Normalny"/>
    <w:next w:val="Normalny"/>
    <w:link w:val="Nagwek2Znak"/>
    <w:uiPriority w:val="99"/>
    <w:qFormat/>
    <w:rsid w:val="00570C49"/>
    <w:pPr>
      <w:keepNext/>
      <w:tabs>
        <w:tab w:val="left" w:pos="708"/>
      </w:tabs>
      <w:spacing w:after="240"/>
      <w:jc w:val="both"/>
      <w:outlineLvl w:val="1"/>
    </w:pPr>
    <w:rPr>
      <w:rFonts w:ascii="Verdana" w:eastAsia="Calibri" w:hAnsi="Verdana"/>
      <w:b/>
      <w:bCs/>
    </w:rPr>
  </w:style>
  <w:style w:type="paragraph" w:styleId="Nagwek3">
    <w:name w:val="heading 3"/>
    <w:basedOn w:val="Normalny"/>
    <w:next w:val="Normalny"/>
    <w:link w:val="Nagwek3Znak"/>
    <w:uiPriority w:val="99"/>
    <w:qFormat/>
    <w:rsid w:val="007552F3"/>
    <w:pPr>
      <w:keepNext/>
      <w:numPr>
        <w:ilvl w:val="2"/>
        <w:numId w:val="1"/>
      </w:numPr>
      <w:tabs>
        <w:tab w:val="num" w:pos="1920"/>
      </w:tabs>
      <w:spacing w:after="240"/>
      <w:ind w:left="1920" w:hanging="720"/>
      <w:jc w:val="both"/>
      <w:outlineLvl w:val="2"/>
    </w:pPr>
    <w:rPr>
      <w:rFonts w:eastAsia="Calibri"/>
      <w:i/>
      <w:iCs/>
    </w:rPr>
  </w:style>
  <w:style w:type="paragraph" w:styleId="Nagwek4">
    <w:name w:val="heading 4"/>
    <w:basedOn w:val="Normalny"/>
    <w:next w:val="Normalny"/>
    <w:link w:val="Nagwek4Znak"/>
    <w:uiPriority w:val="99"/>
    <w:qFormat/>
    <w:rsid w:val="007552F3"/>
    <w:pPr>
      <w:spacing w:after="200" w:line="276" w:lineRule="auto"/>
      <w:jc w:val="both"/>
      <w:outlineLvl w:val="3"/>
    </w:pPr>
    <w:rPr>
      <w:rFonts w:ascii="Verdana" w:eastAsia="Calibri" w:hAnsi="Verdana"/>
      <w:b/>
      <w:sz w:val="20"/>
      <w:szCs w:val="20"/>
    </w:rPr>
  </w:style>
  <w:style w:type="paragraph" w:styleId="Nagwek5">
    <w:name w:val="heading 5"/>
    <w:basedOn w:val="Normalny"/>
    <w:next w:val="Normalny"/>
    <w:link w:val="Nagwek5Znak"/>
    <w:uiPriority w:val="99"/>
    <w:qFormat/>
    <w:rsid w:val="007552F3"/>
    <w:pPr>
      <w:spacing w:line="276" w:lineRule="auto"/>
      <w:jc w:val="both"/>
      <w:outlineLvl w:val="4"/>
    </w:pPr>
    <w:rPr>
      <w:rFonts w:ascii="Calibri" w:eastAsia="Calibri" w:hAnsi="Calibri"/>
      <w:i/>
      <w:sz w:val="20"/>
      <w:szCs w:val="20"/>
    </w:rPr>
  </w:style>
  <w:style w:type="paragraph" w:styleId="Nagwek6">
    <w:name w:val="heading 6"/>
    <w:basedOn w:val="Normalny"/>
    <w:next w:val="Normalny"/>
    <w:link w:val="Nagwek6Znak"/>
    <w:qFormat/>
    <w:rsid w:val="0099587B"/>
    <w:pPr>
      <w:keepNext/>
      <w:widowControl w:val="0"/>
      <w:suppressAutoHyphens/>
      <w:spacing w:before="120" w:after="120"/>
      <w:jc w:val="center"/>
      <w:outlineLvl w:val="5"/>
    </w:pPr>
    <w:rPr>
      <w:rFonts w:ascii="Verdana" w:eastAsia="SimSun" w:hAnsi="Verdana" w:cs="Mangal"/>
      <w:b/>
      <w:bCs/>
      <w:kern w:val="1"/>
      <w:lang w:eastAsia="de-DE" w:bidi="hi-IN"/>
    </w:rPr>
  </w:style>
  <w:style w:type="paragraph" w:styleId="Nagwek7">
    <w:name w:val="heading 7"/>
    <w:basedOn w:val="Normalny"/>
    <w:next w:val="Normalny"/>
    <w:link w:val="Nagwek7Znak"/>
    <w:qFormat/>
    <w:rsid w:val="0099587B"/>
    <w:pPr>
      <w:keepNext/>
      <w:widowControl w:val="0"/>
      <w:suppressAutoHyphens/>
      <w:spacing w:before="120" w:after="120"/>
      <w:outlineLvl w:val="6"/>
    </w:pPr>
    <w:rPr>
      <w:rFonts w:ascii="Verdana" w:eastAsia="SimSun" w:hAnsi="Verdana" w:cs="Mangal"/>
      <w:b/>
      <w:bCs/>
      <w:kern w:val="1"/>
      <w:lang w:eastAsia="hi-IN" w:bidi="hi-IN"/>
    </w:rPr>
  </w:style>
  <w:style w:type="paragraph" w:styleId="Nagwek8">
    <w:name w:val="heading 8"/>
    <w:basedOn w:val="Normalny"/>
    <w:next w:val="Normalny"/>
    <w:link w:val="Nagwek8Znak"/>
    <w:qFormat/>
    <w:rsid w:val="0099587B"/>
    <w:pPr>
      <w:keepNext/>
      <w:widowControl w:val="0"/>
      <w:suppressAutoHyphens/>
      <w:outlineLvl w:val="7"/>
    </w:pPr>
    <w:rPr>
      <w:rFonts w:ascii="Verdana" w:eastAsia="SimSun" w:hAnsi="Verdana" w:cs="Mangal"/>
      <w:b/>
      <w:bCs/>
      <w:color w:val="000000"/>
      <w:kern w:val="1"/>
      <w:lang w:eastAsia="hi-IN" w:bidi="hi-IN"/>
    </w:rPr>
  </w:style>
  <w:style w:type="paragraph" w:styleId="Nagwek9">
    <w:name w:val="heading 9"/>
    <w:basedOn w:val="Normalny"/>
    <w:next w:val="Normalny"/>
    <w:link w:val="Nagwek9Znak"/>
    <w:qFormat/>
    <w:rsid w:val="0099587B"/>
    <w:pPr>
      <w:keepNext/>
      <w:widowControl w:val="0"/>
      <w:suppressAutoHyphens/>
      <w:outlineLvl w:val="8"/>
    </w:pPr>
    <w:rPr>
      <w:rFonts w:ascii="Verdana" w:eastAsia="SimSun" w:hAnsi="Verdana" w:cs="Mangal"/>
      <w:b/>
      <w:bCs/>
      <w:kern w:val="1"/>
      <w:sz w:val="18"/>
      <w:lang w:eastAsia="hi-I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rsid w:val="007552F3"/>
    <w:rPr>
      <w:rFonts w:ascii="Times New Roman" w:eastAsia="Calibri" w:hAnsi="Times New Roman" w:cs="Times New Roman"/>
      <w:b/>
      <w:bCs/>
      <w:smallCaps/>
      <w:sz w:val="24"/>
      <w:szCs w:val="24"/>
      <w:lang w:val="en-GB" w:eastAsia="fr-FR"/>
    </w:rPr>
  </w:style>
  <w:style w:type="character" w:customStyle="1" w:styleId="Nagwek2Znak">
    <w:name w:val="Nagłówek 2 Znak"/>
    <w:link w:val="Nagwek2"/>
    <w:uiPriority w:val="99"/>
    <w:rsid w:val="00570C49"/>
    <w:rPr>
      <w:rFonts w:ascii="Verdana" w:hAnsi="Verdana"/>
      <w:b/>
      <w:bCs/>
      <w:sz w:val="24"/>
      <w:szCs w:val="24"/>
      <w:lang w:val="en-GB"/>
    </w:rPr>
  </w:style>
  <w:style w:type="character" w:customStyle="1" w:styleId="Nagwek3Znak">
    <w:name w:val="Nagłówek 3 Znak"/>
    <w:link w:val="Nagwek3"/>
    <w:uiPriority w:val="99"/>
    <w:rsid w:val="007552F3"/>
    <w:rPr>
      <w:rFonts w:ascii="Times New Roman" w:hAnsi="Times New Roman"/>
      <w:i/>
      <w:iCs/>
      <w:sz w:val="24"/>
      <w:szCs w:val="24"/>
      <w:lang w:val="en-GB"/>
    </w:rPr>
  </w:style>
  <w:style w:type="character" w:customStyle="1" w:styleId="Nagwek4Znak">
    <w:name w:val="Nagłówek 4 Znak"/>
    <w:link w:val="Nagwek4"/>
    <w:uiPriority w:val="99"/>
    <w:rsid w:val="007552F3"/>
    <w:rPr>
      <w:rFonts w:ascii="Verdana" w:eastAsia="Calibri" w:hAnsi="Verdana" w:cs="Times New Roman"/>
      <w:b/>
      <w:sz w:val="20"/>
      <w:szCs w:val="20"/>
      <w:lang w:val="en-GB"/>
    </w:rPr>
  </w:style>
  <w:style w:type="character" w:customStyle="1" w:styleId="Nagwek5Znak">
    <w:name w:val="Nagłówek 5 Znak"/>
    <w:link w:val="Nagwek5"/>
    <w:uiPriority w:val="99"/>
    <w:rsid w:val="007552F3"/>
    <w:rPr>
      <w:rFonts w:ascii="Calibri" w:eastAsia="Calibri" w:hAnsi="Calibri" w:cs="Times New Roman"/>
      <w:i/>
      <w:lang w:val="en-GB"/>
    </w:rPr>
  </w:style>
  <w:style w:type="character" w:customStyle="1" w:styleId="Nagwek6Znak">
    <w:name w:val="Nagłówek 6 Znak"/>
    <w:link w:val="Nagwek6"/>
    <w:rsid w:val="0099587B"/>
    <w:rPr>
      <w:rFonts w:ascii="Verdana" w:eastAsia="SimSun" w:hAnsi="Verdana" w:cs="Mangal"/>
      <w:b/>
      <w:bCs/>
      <w:kern w:val="1"/>
      <w:sz w:val="24"/>
      <w:szCs w:val="24"/>
      <w:lang w:val="en-GB" w:eastAsia="de-DE" w:bidi="hi-IN"/>
    </w:rPr>
  </w:style>
  <w:style w:type="character" w:customStyle="1" w:styleId="Nagwek7Znak">
    <w:name w:val="Nagłówek 7 Znak"/>
    <w:link w:val="Nagwek7"/>
    <w:rsid w:val="0099587B"/>
    <w:rPr>
      <w:rFonts w:ascii="Verdana" w:eastAsia="SimSun" w:hAnsi="Verdana" w:cs="Mangal"/>
      <w:b/>
      <w:bCs/>
      <w:kern w:val="1"/>
      <w:sz w:val="24"/>
      <w:szCs w:val="24"/>
      <w:lang w:val="en-GB" w:eastAsia="hi-IN" w:bidi="hi-IN"/>
    </w:rPr>
  </w:style>
  <w:style w:type="character" w:customStyle="1" w:styleId="Nagwek8Znak">
    <w:name w:val="Nagłówek 8 Znak"/>
    <w:link w:val="Nagwek8"/>
    <w:rsid w:val="0099587B"/>
    <w:rPr>
      <w:rFonts w:ascii="Verdana" w:eastAsia="SimSun" w:hAnsi="Verdana" w:cs="Mangal"/>
      <w:b/>
      <w:bCs/>
      <w:color w:val="000000"/>
      <w:kern w:val="1"/>
      <w:sz w:val="24"/>
      <w:szCs w:val="24"/>
      <w:lang w:val="en-GB" w:eastAsia="hi-IN" w:bidi="hi-IN"/>
    </w:rPr>
  </w:style>
  <w:style w:type="character" w:customStyle="1" w:styleId="Nagwek9Znak">
    <w:name w:val="Nagłówek 9 Znak"/>
    <w:link w:val="Nagwek9"/>
    <w:rsid w:val="0099587B"/>
    <w:rPr>
      <w:rFonts w:ascii="Verdana" w:eastAsia="SimSun" w:hAnsi="Verdana" w:cs="Mangal"/>
      <w:b/>
      <w:bCs/>
      <w:kern w:val="1"/>
      <w:sz w:val="18"/>
      <w:szCs w:val="24"/>
      <w:lang w:val="en-GB" w:eastAsia="hi-IN" w:bidi="hi-IN"/>
    </w:rPr>
  </w:style>
  <w:style w:type="paragraph" w:customStyle="1" w:styleId="Standard-IfS">
    <w:name w:val="Standard - IfS"/>
    <w:rsid w:val="00592786"/>
    <w:pPr>
      <w:tabs>
        <w:tab w:val="left" w:pos="227"/>
        <w:tab w:val="left" w:pos="357"/>
        <w:tab w:val="left" w:pos="454"/>
        <w:tab w:val="left" w:pos="709"/>
        <w:tab w:val="left" w:pos="851"/>
        <w:tab w:val="left" w:pos="992"/>
      </w:tabs>
      <w:spacing w:after="312" w:line="312" w:lineRule="auto"/>
      <w:jc w:val="both"/>
    </w:pPr>
    <w:rPr>
      <w:rFonts w:ascii="Arial" w:eastAsia="Times New Roman" w:hAnsi="Arial" w:cs="Arial"/>
      <w:sz w:val="22"/>
      <w:szCs w:val="22"/>
      <w:lang w:val="de-DE" w:eastAsia="en-US"/>
    </w:rPr>
  </w:style>
  <w:style w:type="paragraph" w:styleId="Tekstpodstawowywcity3">
    <w:name w:val="Body Text Indent 3"/>
    <w:basedOn w:val="Normalny"/>
    <w:link w:val="Tekstpodstawowywcity3Znak"/>
    <w:rsid w:val="00592786"/>
    <w:pPr>
      <w:ind w:left="708"/>
      <w:jc w:val="center"/>
    </w:pPr>
    <w:rPr>
      <w:b/>
      <w:bCs/>
      <w:sz w:val="44"/>
      <w:szCs w:val="44"/>
    </w:rPr>
  </w:style>
  <w:style w:type="character" w:customStyle="1" w:styleId="Tekstpodstawowywcity3Znak">
    <w:name w:val="Tekst podstawowy wcięty 3 Znak"/>
    <w:link w:val="Tekstpodstawowywcity3"/>
    <w:rsid w:val="00592786"/>
    <w:rPr>
      <w:rFonts w:ascii="Times New Roman" w:eastAsia="Times New Roman" w:hAnsi="Times New Roman" w:cs="Times New Roman"/>
      <w:b/>
      <w:bCs/>
      <w:sz w:val="44"/>
      <w:szCs w:val="44"/>
      <w:lang w:val="en-GB" w:eastAsia="fr-FR"/>
    </w:rPr>
  </w:style>
  <w:style w:type="paragraph" w:styleId="Tekstdymka">
    <w:name w:val="Balloon Text"/>
    <w:basedOn w:val="Normalny"/>
    <w:link w:val="TekstdymkaZnak"/>
    <w:uiPriority w:val="99"/>
    <w:semiHidden/>
    <w:unhideWhenUsed/>
    <w:rsid w:val="00592786"/>
    <w:rPr>
      <w:rFonts w:ascii="Tahoma" w:hAnsi="Tahoma"/>
      <w:sz w:val="16"/>
      <w:szCs w:val="16"/>
    </w:rPr>
  </w:style>
  <w:style w:type="character" w:customStyle="1" w:styleId="TekstdymkaZnak">
    <w:name w:val="Tekst dymka Znak"/>
    <w:link w:val="Tekstdymka"/>
    <w:uiPriority w:val="99"/>
    <w:semiHidden/>
    <w:rsid w:val="00592786"/>
    <w:rPr>
      <w:rFonts w:ascii="Tahoma" w:eastAsia="Times New Roman" w:hAnsi="Tahoma" w:cs="Tahoma"/>
      <w:sz w:val="16"/>
      <w:szCs w:val="16"/>
      <w:lang w:eastAsia="fr-FR"/>
    </w:rPr>
  </w:style>
  <w:style w:type="paragraph" w:customStyle="1" w:styleId="Paragraphedeliste3">
    <w:name w:val="Paragraphe de liste3"/>
    <w:basedOn w:val="Normalny"/>
    <w:uiPriority w:val="34"/>
    <w:qFormat/>
    <w:rsid w:val="007552F3"/>
    <w:pPr>
      <w:spacing w:after="200" w:line="276" w:lineRule="auto"/>
      <w:ind w:left="720"/>
      <w:contextualSpacing/>
    </w:pPr>
    <w:rPr>
      <w:rFonts w:ascii="Calibri" w:eastAsia="Calibri" w:hAnsi="Calibri"/>
      <w:sz w:val="22"/>
      <w:szCs w:val="22"/>
      <w:lang w:eastAsia="en-US"/>
    </w:rPr>
  </w:style>
  <w:style w:type="paragraph" w:customStyle="1" w:styleId="U2Title1">
    <w:name w:val="U2 Title 1"/>
    <w:basedOn w:val="Normalny"/>
    <w:uiPriority w:val="99"/>
    <w:rsid w:val="007552F3"/>
    <w:pPr>
      <w:pBdr>
        <w:bottom w:val="single" w:sz="6" w:space="1" w:color="auto"/>
      </w:pBdr>
      <w:spacing w:before="60"/>
      <w:jc w:val="both"/>
    </w:pPr>
    <w:rPr>
      <w:rFonts w:ascii="Verdana" w:eastAsia="Calibri" w:hAnsi="Verdana"/>
      <w:b/>
      <w:bCs/>
      <w:smallCaps/>
      <w:sz w:val="32"/>
      <w:szCs w:val="32"/>
    </w:rPr>
  </w:style>
  <w:style w:type="character" w:styleId="Odwoanieprzypisudolnego">
    <w:name w:val="footnote reference"/>
    <w:aliases w:val="stylish,ESPON Footnote No"/>
    <w:rsid w:val="007552F3"/>
    <w:rPr>
      <w:rFonts w:cs="Times New Roman"/>
      <w:vertAlign w:val="superscript"/>
    </w:rPr>
  </w:style>
  <w:style w:type="paragraph" w:styleId="NormalnyWeb">
    <w:name w:val="Normal (Web)"/>
    <w:basedOn w:val="Normalny"/>
    <w:uiPriority w:val="99"/>
    <w:rsid w:val="007552F3"/>
    <w:pPr>
      <w:spacing w:before="100" w:beforeAutospacing="1" w:after="100" w:afterAutospacing="1"/>
    </w:pPr>
    <w:rPr>
      <w:rFonts w:ascii="Arial Unicode MS" w:eastAsia="Arial Unicode MS" w:hAnsi="Arial Unicode MS"/>
    </w:rPr>
  </w:style>
  <w:style w:type="paragraph" w:styleId="Tekstprzypisudolnego">
    <w:name w:val="footnote text"/>
    <w:aliases w:val="ESPON Footnote Text"/>
    <w:basedOn w:val="Normalny"/>
    <w:link w:val="TekstprzypisudolnegoZnak"/>
    <w:rsid w:val="007552F3"/>
    <w:pPr>
      <w:jc w:val="both"/>
    </w:pPr>
    <w:rPr>
      <w:rFonts w:ascii="Calibri" w:eastAsia="Calibri" w:hAnsi="Calibri"/>
      <w:sz w:val="20"/>
      <w:szCs w:val="20"/>
      <w:lang w:eastAsia="zh-CN"/>
    </w:rPr>
  </w:style>
  <w:style w:type="character" w:customStyle="1" w:styleId="TekstprzypisudolnegoZnak">
    <w:name w:val="Tekst przypisu dolnego Znak"/>
    <w:aliases w:val="ESPON Footnote Text Znak"/>
    <w:link w:val="Tekstprzypisudolnego"/>
    <w:rsid w:val="007552F3"/>
    <w:rPr>
      <w:rFonts w:ascii="Calibri" w:eastAsia="Calibri" w:hAnsi="Calibri" w:cs="Times New Roman"/>
      <w:sz w:val="20"/>
      <w:szCs w:val="20"/>
      <w:lang w:val="en-GB" w:eastAsia="zh-CN"/>
    </w:rPr>
  </w:style>
  <w:style w:type="character" w:customStyle="1" w:styleId="FootnoteTextChar">
    <w:name w:val="Footnote Text Char"/>
    <w:aliases w:val="ESPON Footnote Text Char"/>
    <w:uiPriority w:val="99"/>
    <w:semiHidden/>
    <w:locked/>
    <w:rsid w:val="007552F3"/>
    <w:rPr>
      <w:rFonts w:cs="Times New Roman"/>
      <w:sz w:val="20"/>
      <w:szCs w:val="20"/>
      <w:lang w:val="en-GB" w:eastAsia="en-US"/>
    </w:rPr>
  </w:style>
  <w:style w:type="paragraph" w:customStyle="1" w:styleId="StyleHeading1Hanging085cm">
    <w:name w:val="Style Heading 1 + Hanging:  0.85 cm"/>
    <w:basedOn w:val="Nagwek1"/>
    <w:autoRedefine/>
    <w:uiPriority w:val="99"/>
    <w:rsid w:val="00A40420"/>
    <w:pPr>
      <w:tabs>
        <w:tab w:val="clear" w:pos="360"/>
        <w:tab w:val="left" w:pos="1560"/>
      </w:tabs>
      <w:spacing w:before="360" w:after="0"/>
      <w:ind w:left="0" w:firstLine="0"/>
    </w:pPr>
    <w:rPr>
      <w:rFonts w:ascii="Verdana" w:hAnsi="Verdana"/>
      <w:bCs w:val="0"/>
      <w:sz w:val="28"/>
      <w:szCs w:val="28"/>
      <w:lang w:eastAsia="en-US"/>
    </w:rPr>
  </w:style>
  <w:style w:type="paragraph" w:customStyle="1" w:styleId="Paragraphedeliste1">
    <w:name w:val="Paragraphe de liste1"/>
    <w:basedOn w:val="Normalny"/>
    <w:uiPriority w:val="99"/>
    <w:qFormat/>
    <w:rsid w:val="007552F3"/>
    <w:pPr>
      <w:spacing w:after="240"/>
      <w:ind w:left="720"/>
      <w:jc w:val="both"/>
    </w:pPr>
    <w:rPr>
      <w:rFonts w:eastAsia="Calibri"/>
      <w:szCs w:val="20"/>
      <w:lang w:eastAsia="en-US"/>
    </w:rPr>
  </w:style>
  <w:style w:type="character" w:styleId="Pogrubienie">
    <w:name w:val="Strong"/>
    <w:aliases w:val="5C OP Heading 3"/>
    <w:uiPriority w:val="99"/>
    <w:qFormat/>
    <w:rsid w:val="007552F3"/>
    <w:rPr>
      <w:rFonts w:ascii="Arial" w:hAnsi="Arial" w:cs="Times New Roman"/>
      <w:color w:val="auto"/>
      <w:sz w:val="24"/>
      <w:lang w:val="en-GB" w:eastAsia="ar-SA" w:bidi="ar-SA"/>
    </w:rPr>
  </w:style>
  <w:style w:type="character" w:customStyle="1" w:styleId="TableauGrille1Clair1">
    <w:name w:val="Tableau Grille 1 Clair1"/>
    <w:aliases w:val="5C OP Heading 4"/>
    <w:uiPriority w:val="99"/>
    <w:rsid w:val="007552F3"/>
    <w:rPr>
      <w:rFonts w:ascii="Arial" w:hAnsi="Arial"/>
      <w:b/>
      <w:color w:val="auto"/>
      <w:sz w:val="28"/>
      <w:lang w:eastAsia="ar-SA" w:bidi="ar-SA"/>
    </w:rPr>
  </w:style>
  <w:style w:type="character" w:customStyle="1" w:styleId="Rfrenceintense1">
    <w:name w:val="Référence intense1"/>
    <w:uiPriority w:val="99"/>
    <w:rsid w:val="007552F3"/>
    <w:rPr>
      <w:rFonts w:ascii="Verdana" w:hAnsi="Verdana"/>
      <w:b/>
      <w:color w:val="000000"/>
    </w:rPr>
  </w:style>
  <w:style w:type="paragraph" w:customStyle="1" w:styleId="Text1">
    <w:name w:val="Text 1"/>
    <w:basedOn w:val="Normalny"/>
    <w:link w:val="Text1Char"/>
    <w:rsid w:val="007552F3"/>
    <w:pPr>
      <w:tabs>
        <w:tab w:val="left" w:pos="2160"/>
      </w:tabs>
      <w:spacing w:after="240"/>
      <w:ind w:left="1440"/>
      <w:jc w:val="both"/>
    </w:pPr>
    <w:rPr>
      <w:rFonts w:ascii="Calibri" w:eastAsia="Calibri" w:hAnsi="Calibri"/>
      <w:szCs w:val="20"/>
    </w:rPr>
  </w:style>
  <w:style w:type="character" w:customStyle="1" w:styleId="Text1Char">
    <w:name w:val="Text 1 Char"/>
    <w:link w:val="Text1"/>
    <w:uiPriority w:val="99"/>
    <w:locked/>
    <w:rsid w:val="007552F3"/>
    <w:rPr>
      <w:rFonts w:ascii="Calibri" w:eastAsia="Calibri" w:hAnsi="Calibri" w:cs="Times New Roman"/>
      <w:sz w:val="24"/>
      <w:szCs w:val="20"/>
      <w:lang w:val="en-GB"/>
    </w:rPr>
  </w:style>
  <w:style w:type="paragraph" w:customStyle="1" w:styleId="ListBullet1">
    <w:name w:val="List Bullet 1"/>
    <w:basedOn w:val="Text1"/>
    <w:uiPriority w:val="99"/>
    <w:rsid w:val="007552F3"/>
    <w:pPr>
      <w:tabs>
        <w:tab w:val="clear" w:pos="2160"/>
        <w:tab w:val="num" w:pos="360"/>
      </w:tabs>
    </w:pPr>
    <w:rPr>
      <w:rFonts w:ascii="Times New Roman" w:hAnsi="Times New Roman"/>
      <w:szCs w:val="24"/>
      <w:lang w:val="fr-FR"/>
    </w:rPr>
  </w:style>
  <w:style w:type="paragraph" w:customStyle="1" w:styleId="Text3">
    <w:name w:val="Text 3"/>
    <w:basedOn w:val="Normalny"/>
    <w:uiPriority w:val="99"/>
    <w:rsid w:val="007552F3"/>
    <w:pPr>
      <w:tabs>
        <w:tab w:val="left" w:pos="2302"/>
      </w:tabs>
      <w:spacing w:after="240"/>
      <w:ind w:left="1916"/>
      <w:jc w:val="both"/>
    </w:pPr>
    <w:rPr>
      <w:rFonts w:eastAsia="Calibri"/>
      <w:szCs w:val="20"/>
      <w:lang w:eastAsia="en-US"/>
    </w:rPr>
  </w:style>
  <w:style w:type="paragraph" w:styleId="Legenda">
    <w:name w:val="caption"/>
    <w:basedOn w:val="Normalny"/>
    <w:next w:val="Normalny"/>
    <w:uiPriority w:val="99"/>
    <w:qFormat/>
    <w:rsid w:val="007552F3"/>
    <w:pPr>
      <w:spacing w:after="200" w:line="276" w:lineRule="auto"/>
    </w:pPr>
    <w:rPr>
      <w:rFonts w:ascii="Calibri" w:eastAsia="Calibri" w:hAnsi="Calibri"/>
      <w:b/>
      <w:bCs/>
      <w:sz w:val="20"/>
      <w:szCs w:val="20"/>
      <w:lang w:eastAsia="en-US"/>
    </w:rPr>
  </w:style>
  <w:style w:type="character" w:customStyle="1" w:styleId="TekstprzypisukocowegoZnak">
    <w:name w:val="Tekst przypisu końcowego Znak"/>
    <w:link w:val="Tekstprzypisukocowego"/>
    <w:uiPriority w:val="99"/>
    <w:semiHidden/>
    <w:rsid w:val="007552F3"/>
    <w:rPr>
      <w:rFonts w:ascii="Calibri" w:eastAsia="Calibri" w:hAnsi="Calibri" w:cs="Times New Roman"/>
      <w:sz w:val="20"/>
      <w:szCs w:val="20"/>
      <w:lang w:val="en-GB"/>
    </w:rPr>
  </w:style>
  <w:style w:type="paragraph" w:styleId="Tekstprzypisukocowego">
    <w:name w:val="endnote text"/>
    <w:basedOn w:val="Normalny"/>
    <w:link w:val="TekstprzypisukocowegoZnak"/>
    <w:uiPriority w:val="99"/>
    <w:semiHidden/>
    <w:rsid w:val="007552F3"/>
    <w:pPr>
      <w:spacing w:after="200" w:line="276" w:lineRule="auto"/>
    </w:pPr>
    <w:rPr>
      <w:rFonts w:ascii="Calibri" w:eastAsia="Calibri" w:hAnsi="Calibri"/>
      <w:sz w:val="20"/>
      <w:szCs w:val="20"/>
    </w:rPr>
  </w:style>
  <w:style w:type="paragraph" w:customStyle="1" w:styleId="Paragraphedeliste2">
    <w:name w:val="Paragraphe de liste2"/>
    <w:basedOn w:val="Normalny"/>
    <w:qFormat/>
    <w:rsid w:val="007552F3"/>
    <w:pPr>
      <w:spacing w:after="200" w:line="276" w:lineRule="auto"/>
      <w:ind w:left="720"/>
      <w:contextualSpacing/>
      <w:jc w:val="both"/>
    </w:pPr>
    <w:rPr>
      <w:rFonts w:ascii="Calibri" w:hAnsi="Calibri"/>
      <w:color w:val="000000"/>
      <w:sz w:val="22"/>
      <w:szCs w:val="22"/>
      <w:lang w:eastAsia="en-US"/>
    </w:rPr>
  </w:style>
  <w:style w:type="paragraph" w:styleId="Tekstkomentarza">
    <w:name w:val="annotation text"/>
    <w:basedOn w:val="Normalny"/>
    <w:link w:val="TekstkomentarzaZnak"/>
    <w:uiPriority w:val="99"/>
    <w:unhideWhenUsed/>
    <w:rsid w:val="007552F3"/>
    <w:pPr>
      <w:spacing w:after="200"/>
    </w:pPr>
    <w:rPr>
      <w:rFonts w:ascii="Calibri" w:eastAsia="Calibri" w:hAnsi="Calibri"/>
      <w:sz w:val="20"/>
      <w:szCs w:val="20"/>
    </w:rPr>
  </w:style>
  <w:style w:type="character" w:customStyle="1" w:styleId="TekstkomentarzaZnak">
    <w:name w:val="Tekst komentarza Znak"/>
    <w:link w:val="Tekstkomentarza"/>
    <w:uiPriority w:val="99"/>
    <w:rsid w:val="007552F3"/>
    <w:rPr>
      <w:rFonts w:ascii="Calibri" w:eastAsia="Calibri" w:hAnsi="Calibri" w:cs="Times New Roman"/>
      <w:sz w:val="20"/>
      <w:szCs w:val="20"/>
      <w:lang w:val="en-GB"/>
    </w:rPr>
  </w:style>
  <w:style w:type="character" w:customStyle="1" w:styleId="TematkomentarzaZnak">
    <w:name w:val="Temat komentarza Znak"/>
    <w:link w:val="Tematkomentarza"/>
    <w:uiPriority w:val="99"/>
    <w:semiHidden/>
    <w:rsid w:val="007552F3"/>
    <w:rPr>
      <w:rFonts w:ascii="Calibri" w:eastAsia="Calibri" w:hAnsi="Calibri" w:cs="Times New Roman"/>
      <w:b/>
      <w:bCs/>
      <w:sz w:val="20"/>
      <w:szCs w:val="20"/>
      <w:lang w:val="en-GB"/>
    </w:rPr>
  </w:style>
  <w:style w:type="paragraph" w:styleId="Tematkomentarza">
    <w:name w:val="annotation subject"/>
    <w:basedOn w:val="Tekstkomentarza"/>
    <w:next w:val="Tekstkomentarza"/>
    <w:link w:val="TematkomentarzaZnak"/>
    <w:uiPriority w:val="99"/>
    <w:semiHidden/>
    <w:unhideWhenUsed/>
    <w:rsid w:val="007552F3"/>
    <w:rPr>
      <w:b/>
      <w:bCs/>
    </w:rPr>
  </w:style>
  <w:style w:type="paragraph" w:styleId="Nagwek">
    <w:name w:val="header"/>
    <w:basedOn w:val="Normalny"/>
    <w:link w:val="NagwekZnak"/>
    <w:uiPriority w:val="99"/>
    <w:rsid w:val="007552F3"/>
    <w:pPr>
      <w:tabs>
        <w:tab w:val="center" w:pos="4536"/>
        <w:tab w:val="right" w:pos="9072"/>
      </w:tabs>
      <w:spacing w:line="260" w:lineRule="atLeast"/>
    </w:pPr>
    <w:rPr>
      <w:rFonts w:ascii="Arial" w:hAnsi="Arial"/>
      <w:sz w:val="20"/>
    </w:rPr>
  </w:style>
  <w:style w:type="character" w:customStyle="1" w:styleId="NagwekZnak">
    <w:name w:val="Nagłówek Znak"/>
    <w:link w:val="Nagwek"/>
    <w:uiPriority w:val="99"/>
    <w:rsid w:val="007552F3"/>
    <w:rPr>
      <w:rFonts w:ascii="Arial" w:eastAsia="Times New Roman" w:hAnsi="Arial" w:cs="Times New Roman"/>
      <w:sz w:val="20"/>
      <w:szCs w:val="24"/>
      <w:lang w:val="en-GB"/>
    </w:rPr>
  </w:style>
  <w:style w:type="paragraph" w:styleId="Stopka">
    <w:name w:val="footer"/>
    <w:basedOn w:val="Normalny"/>
    <w:link w:val="StopkaZnak"/>
    <w:uiPriority w:val="99"/>
    <w:rsid w:val="007552F3"/>
    <w:pPr>
      <w:tabs>
        <w:tab w:val="center" w:pos="4536"/>
        <w:tab w:val="right" w:pos="9072"/>
      </w:tabs>
      <w:spacing w:line="260" w:lineRule="atLeast"/>
    </w:pPr>
    <w:rPr>
      <w:rFonts w:ascii="Arial" w:hAnsi="Arial"/>
      <w:sz w:val="20"/>
    </w:rPr>
  </w:style>
  <w:style w:type="character" w:customStyle="1" w:styleId="StopkaZnak">
    <w:name w:val="Stopka Znak"/>
    <w:link w:val="Stopka"/>
    <w:uiPriority w:val="99"/>
    <w:rsid w:val="007552F3"/>
    <w:rPr>
      <w:rFonts w:ascii="Arial" w:eastAsia="Times New Roman" w:hAnsi="Arial" w:cs="Times New Roman"/>
      <w:sz w:val="20"/>
      <w:szCs w:val="24"/>
      <w:lang w:val="en-GB"/>
    </w:rPr>
  </w:style>
  <w:style w:type="character" w:customStyle="1" w:styleId="hps">
    <w:name w:val="hps"/>
    <w:basedOn w:val="Domylnaczcionkaakapitu"/>
    <w:rsid w:val="007552F3"/>
  </w:style>
  <w:style w:type="character" w:styleId="Hipercze">
    <w:name w:val="Hyperlink"/>
    <w:uiPriority w:val="99"/>
    <w:unhideWhenUsed/>
    <w:rsid w:val="007552F3"/>
    <w:rPr>
      <w:color w:val="0000FF"/>
      <w:u w:val="single"/>
    </w:rPr>
  </w:style>
  <w:style w:type="table" w:styleId="Tabela-Siatka">
    <w:name w:val="Table Grid"/>
    <w:basedOn w:val="Standardowy"/>
    <w:uiPriority w:val="59"/>
    <w:rsid w:val="007552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
    <w:name w:val="titre"/>
    <w:basedOn w:val="Normalny"/>
    <w:autoRedefine/>
    <w:rsid w:val="0099587B"/>
    <w:pPr>
      <w:widowControl w:val="0"/>
      <w:suppressAutoHyphens/>
    </w:pPr>
    <w:rPr>
      <w:rFonts w:ascii="Brocoli" w:eastAsia="SimSun" w:hAnsi="Brocoli" w:cs="Mangal"/>
      <w:color w:val="FF0000"/>
      <w:kern w:val="1"/>
      <w:sz w:val="32"/>
      <w:lang w:val="ru-RU" w:eastAsia="hi-IN" w:bidi="hi-IN"/>
    </w:rPr>
  </w:style>
  <w:style w:type="paragraph" w:customStyle="1" w:styleId="blocadresseletterhead">
    <w:name w:val="bloc adresse letterhead"/>
    <w:basedOn w:val="Normalny"/>
    <w:rsid w:val="0099587B"/>
    <w:pPr>
      <w:widowControl w:val="0"/>
      <w:tabs>
        <w:tab w:val="left" w:pos="1520"/>
      </w:tabs>
      <w:suppressAutoHyphens/>
      <w:autoSpaceDE w:val="0"/>
      <w:autoSpaceDN w:val="0"/>
      <w:adjustRightInd w:val="0"/>
      <w:spacing w:after="28" w:line="200" w:lineRule="atLeast"/>
      <w:textAlignment w:val="center"/>
    </w:pPr>
    <w:rPr>
      <w:rFonts w:ascii="HelveticaNeue-Roman" w:eastAsia="SimSun" w:hAnsi="HelveticaNeue-Roman" w:cs="Mangal"/>
      <w:color w:val="00009E"/>
      <w:spacing w:val="1"/>
      <w:kern w:val="1"/>
      <w:sz w:val="12"/>
      <w:szCs w:val="12"/>
      <w:lang w:eastAsia="hi-IN" w:bidi="hi-IN"/>
    </w:rPr>
  </w:style>
  <w:style w:type="character" w:customStyle="1" w:styleId="gras">
    <w:name w:val="gras"/>
    <w:rsid w:val="0099587B"/>
    <w:rPr>
      <w:b/>
      <w:color w:val="00009E"/>
    </w:rPr>
  </w:style>
  <w:style w:type="paragraph" w:customStyle="1" w:styleId="--">
    <w:name w:val="--"/>
    <w:basedOn w:val="Normalny"/>
    <w:rsid w:val="0099587B"/>
    <w:pPr>
      <w:widowControl w:val="0"/>
      <w:numPr>
        <w:numId w:val="5"/>
      </w:numPr>
      <w:suppressAutoHyphens/>
      <w:spacing w:before="80" w:after="80"/>
    </w:pPr>
    <w:rPr>
      <w:rFonts w:ascii="Verdana" w:eastAsia="Batang" w:hAnsi="Verdana" w:cs="Mangal"/>
      <w:kern w:val="1"/>
      <w:sz w:val="16"/>
      <w:lang w:eastAsia="de-DE" w:bidi="hi-IN"/>
    </w:rPr>
  </w:style>
  <w:style w:type="paragraph" w:styleId="Tekstpodstawowy3">
    <w:name w:val="Body Text 3"/>
    <w:basedOn w:val="Normalny"/>
    <w:link w:val="Tekstpodstawowy3Znak"/>
    <w:rsid w:val="0099587B"/>
    <w:pPr>
      <w:widowControl w:val="0"/>
      <w:suppressAutoHyphens/>
      <w:jc w:val="center"/>
    </w:pPr>
    <w:rPr>
      <w:rFonts w:ascii="Verdana" w:eastAsia="SimSun" w:hAnsi="Verdana" w:cs="Mangal"/>
      <w:kern w:val="1"/>
      <w:lang w:eastAsia="hi-IN" w:bidi="hi-IN"/>
    </w:rPr>
  </w:style>
  <w:style w:type="character" w:customStyle="1" w:styleId="Tekstpodstawowy3Znak">
    <w:name w:val="Tekst podstawowy 3 Znak"/>
    <w:link w:val="Tekstpodstawowy3"/>
    <w:rsid w:val="0099587B"/>
    <w:rPr>
      <w:rFonts w:ascii="Verdana" w:eastAsia="SimSun" w:hAnsi="Verdana" w:cs="Mangal"/>
      <w:kern w:val="1"/>
      <w:sz w:val="24"/>
      <w:szCs w:val="24"/>
      <w:lang w:val="en-GB" w:eastAsia="hi-IN" w:bidi="hi-IN"/>
    </w:rPr>
  </w:style>
  <w:style w:type="character" w:styleId="Numerstrony">
    <w:name w:val="page number"/>
    <w:basedOn w:val="Domylnaczcionkaakapitu"/>
    <w:rsid w:val="0099587B"/>
  </w:style>
  <w:style w:type="paragraph" w:styleId="Tekstpodstawowy">
    <w:name w:val="Body Text"/>
    <w:basedOn w:val="Normalny"/>
    <w:link w:val="TekstpodstawowyZnak"/>
    <w:rsid w:val="0099587B"/>
    <w:pPr>
      <w:widowControl w:val="0"/>
      <w:suppressAutoHyphens/>
      <w:spacing w:after="120"/>
    </w:pPr>
    <w:rPr>
      <w:rFonts w:eastAsia="SimSun" w:cs="Mangal"/>
      <w:kern w:val="1"/>
      <w:lang w:eastAsia="hi-IN" w:bidi="hi-IN"/>
    </w:rPr>
  </w:style>
  <w:style w:type="character" w:customStyle="1" w:styleId="TekstpodstawowyZnak">
    <w:name w:val="Tekst podstawowy Znak"/>
    <w:link w:val="Tekstpodstawowy"/>
    <w:rsid w:val="0099587B"/>
    <w:rPr>
      <w:rFonts w:ascii="Times New Roman" w:eastAsia="SimSun" w:hAnsi="Times New Roman" w:cs="Mangal"/>
      <w:kern w:val="1"/>
      <w:sz w:val="24"/>
      <w:szCs w:val="24"/>
      <w:lang w:val="en-GB" w:eastAsia="hi-IN" w:bidi="hi-IN"/>
    </w:rPr>
  </w:style>
  <w:style w:type="paragraph" w:customStyle="1" w:styleId="Default">
    <w:name w:val="Default"/>
    <w:uiPriority w:val="99"/>
    <w:rsid w:val="0099587B"/>
    <w:pPr>
      <w:autoSpaceDE w:val="0"/>
      <w:autoSpaceDN w:val="0"/>
      <w:adjustRightInd w:val="0"/>
    </w:pPr>
    <w:rPr>
      <w:rFonts w:ascii="Times New Roman" w:hAnsi="Times New Roman"/>
      <w:color w:val="000000"/>
      <w:sz w:val="24"/>
      <w:szCs w:val="24"/>
      <w:lang w:eastAsia="en-US"/>
    </w:rPr>
  </w:style>
  <w:style w:type="character" w:customStyle="1" w:styleId="ss-text-answer-container">
    <w:name w:val="ss-text-answer-container"/>
    <w:basedOn w:val="Domylnaczcionkaakapitu"/>
    <w:rsid w:val="0099587B"/>
  </w:style>
  <w:style w:type="character" w:styleId="Odwoaniedokomentarza">
    <w:name w:val="annotation reference"/>
    <w:uiPriority w:val="99"/>
    <w:unhideWhenUsed/>
    <w:rsid w:val="0099587B"/>
    <w:rPr>
      <w:sz w:val="16"/>
      <w:szCs w:val="16"/>
    </w:rPr>
  </w:style>
  <w:style w:type="paragraph" w:customStyle="1" w:styleId="CM1">
    <w:name w:val="CM1"/>
    <w:basedOn w:val="Default"/>
    <w:next w:val="Default"/>
    <w:uiPriority w:val="99"/>
    <w:rsid w:val="0099587B"/>
    <w:rPr>
      <w:rFonts w:ascii="EUAlbertina" w:eastAsia="Times New Roman" w:hAnsi="EUAlbertina"/>
      <w:color w:val="auto"/>
      <w:lang w:eastAsia="en-GB"/>
    </w:rPr>
  </w:style>
  <w:style w:type="paragraph" w:customStyle="1" w:styleId="CM3">
    <w:name w:val="CM3"/>
    <w:basedOn w:val="Default"/>
    <w:next w:val="Default"/>
    <w:uiPriority w:val="99"/>
    <w:rsid w:val="0099587B"/>
    <w:rPr>
      <w:rFonts w:ascii="EUAlbertina" w:eastAsia="Times New Roman" w:hAnsi="EUAlbertina"/>
      <w:color w:val="auto"/>
      <w:lang w:eastAsia="en-GB"/>
    </w:rPr>
  </w:style>
  <w:style w:type="paragraph" w:customStyle="1" w:styleId="CM4">
    <w:name w:val="CM4"/>
    <w:basedOn w:val="Default"/>
    <w:next w:val="Default"/>
    <w:uiPriority w:val="99"/>
    <w:rsid w:val="0099587B"/>
    <w:rPr>
      <w:rFonts w:ascii="EUAlbertina" w:eastAsia="Times New Roman" w:hAnsi="EUAlbertina"/>
      <w:color w:val="auto"/>
      <w:lang w:eastAsia="en-GB"/>
    </w:rPr>
  </w:style>
  <w:style w:type="character" w:customStyle="1" w:styleId="stylecourrierlectronique18">
    <w:name w:val="stylecourrierlectronique18"/>
    <w:rsid w:val="00AC759C"/>
    <w:rPr>
      <w:rFonts w:ascii="Arial" w:hAnsi="Arial" w:cs="Arial"/>
      <w:color w:val="000000"/>
      <w:sz w:val="20"/>
      <w:szCs w:val="20"/>
    </w:rPr>
  </w:style>
  <w:style w:type="paragraph" w:styleId="Spistreci1">
    <w:name w:val="toc 1"/>
    <w:basedOn w:val="Normalny"/>
    <w:next w:val="Normalny"/>
    <w:autoRedefine/>
    <w:uiPriority w:val="39"/>
    <w:rsid w:val="00040577"/>
    <w:pPr>
      <w:tabs>
        <w:tab w:val="left" w:pos="1760"/>
        <w:tab w:val="right" w:leader="dot" w:pos="9781"/>
      </w:tabs>
      <w:spacing w:before="240" w:after="120"/>
    </w:pPr>
    <w:rPr>
      <w:rFonts w:ascii="Verdana" w:hAnsi="Verdana"/>
      <w:b/>
      <w:bCs/>
      <w:noProof/>
    </w:rPr>
  </w:style>
  <w:style w:type="paragraph" w:styleId="Spistreci2">
    <w:name w:val="toc 2"/>
    <w:basedOn w:val="Normalny"/>
    <w:next w:val="Normalny"/>
    <w:autoRedefine/>
    <w:uiPriority w:val="39"/>
    <w:rsid w:val="0092395E"/>
    <w:pPr>
      <w:tabs>
        <w:tab w:val="left" w:pos="1540"/>
        <w:tab w:val="right" w:leader="dot" w:pos="9639"/>
      </w:tabs>
      <w:spacing w:after="60"/>
      <w:ind w:left="709" w:right="57"/>
    </w:pPr>
    <w:rPr>
      <w:rFonts w:ascii="Verdana" w:hAnsi="Verdana"/>
      <w:noProof/>
      <w:sz w:val="22"/>
      <w:szCs w:val="22"/>
      <w:lang w:eastAsia="ar-SA"/>
    </w:rPr>
  </w:style>
  <w:style w:type="paragraph" w:styleId="Spistreci3">
    <w:name w:val="toc 3"/>
    <w:basedOn w:val="Normalny"/>
    <w:next w:val="Normalny"/>
    <w:autoRedefine/>
    <w:uiPriority w:val="39"/>
    <w:rsid w:val="00AC759C"/>
    <w:pPr>
      <w:ind w:left="480"/>
    </w:pPr>
    <w:rPr>
      <w:rFonts w:ascii="Verdana" w:hAnsi="Verdana"/>
      <w:sz w:val="22"/>
      <w:szCs w:val="22"/>
    </w:rPr>
  </w:style>
  <w:style w:type="paragraph" w:customStyle="1" w:styleId="Style1">
    <w:name w:val="Style1"/>
    <w:basedOn w:val="Normalny"/>
    <w:uiPriority w:val="99"/>
    <w:rsid w:val="00A720B1"/>
    <w:pPr>
      <w:spacing w:after="240"/>
    </w:pPr>
    <w:rPr>
      <w:szCs w:val="20"/>
      <w:lang w:eastAsia="ko-KR"/>
    </w:rPr>
  </w:style>
  <w:style w:type="paragraph" w:styleId="Tekstpodstawowywcity">
    <w:name w:val="Body Text Indent"/>
    <w:basedOn w:val="Normalny"/>
    <w:link w:val="TekstpodstawowywcityZnak"/>
    <w:uiPriority w:val="99"/>
    <w:unhideWhenUsed/>
    <w:rsid w:val="00A720B1"/>
    <w:pPr>
      <w:spacing w:after="120"/>
      <w:ind w:left="283"/>
    </w:pPr>
  </w:style>
  <w:style w:type="character" w:customStyle="1" w:styleId="TekstpodstawowywcityZnak">
    <w:name w:val="Tekst podstawowy wcięty Znak"/>
    <w:link w:val="Tekstpodstawowywcity"/>
    <w:uiPriority w:val="99"/>
    <w:rsid w:val="00A720B1"/>
    <w:rPr>
      <w:rFonts w:ascii="Times New Roman" w:eastAsia="Times New Roman" w:hAnsi="Times New Roman" w:cs="Times New Roman"/>
      <w:sz w:val="24"/>
      <w:szCs w:val="24"/>
      <w:lang w:eastAsia="fr-FR"/>
    </w:rPr>
  </w:style>
  <w:style w:type="paragraph" w:styleId="Tekstpodstawowywcity2">
    <w:name w:val="Body Text Indent 2"/>
    <w:basedOn w:val="Normalny"/>
    <w:link w:val="Tekstpodstawowywcity2Znak"/>
    <w:uiPriority w:val="99"/>
    <w:semiHidden/>
    <w:unhideWhenUsed/>
    <w:rsid w:val="00A720B1"/>
    <w:pPr>
      <w:spacing w:after="120" w:line="480" w:lineRule="auto"/>
      <w:ind w:left="283"/>
    </w:pPr>
  </w:style>
  <w:style w:type="character" w:customStyle="1" w:styleId="Tekstpodstawowywcity2Znak">
    <w:name w:val="Tekst podstawowy wcięty 2 Znak"/>
    <w:link w:val="Tekstpodstawowywcity2"/>
    <w:uiPriority w:val="99"/>
    <w:semiHidden/>
    <w:rsid w:val="00A720B1"/>
    <w:rPr>
      <w:rFonts w:ascii="Times New Roman" w:eastAsia="Times New Roman" w:hAnsi="Times New Roman" w:cs="Times New Roman"/>
      <w:sz w:val="24"/>
      <w:szCs w:val="24"/>
      <w:lang w:eastAsia="fr-FR"/>
    </w:rPr>
  </w:style>
  <w:style w:type="paragraph" w:customStyle="1" w:styleId="En-ttedetabledesmatires1">
    <w:name w:val="En-tête de table des matières1"/>
    <w:basedOn w:val="Nagwek1"/>
    <w:next w:val="Normalny"/>
    <w:uiPriority w:val="39"/>
    <w:semiHidden/>
    <w:unhideWhenUsed/>
    <w:qFormat/>
    <w:rsid w:val="00A532C7"/>
    <w:pPr>
      <w:keepLines/>
      <w:tabs>
        <w:tab w:val="clear" w:pos="360"/>
      </w:tabs>
      <w:spacing w:before="480" w:after="0" w:line="276" w:lineRule="auto"/>
      <w:ind w:left="0" w:firstLine="0"/>
      <w:jc w:val="left"/>
      <w:outlineLvl w:val="9"/>
    </w:pPr>
    <w:rPr>
      <w:rFonts w:ascii="Cambria" w:eastAsia="Times New Roman" w:hAnsi="Cambria"/>
      <w:smallCaps w:val="0"/>
      <w:color w:val="365F91"/>
      <w:sz w:val="28"/>
      <w:szCs w:val="28"/>
      <w:lang w:val="fr-FR" w:eastAsia="en-US"/>
    </w:rPr>
  </w:style>
  <w:style w:type="paragraph" w:customStyle="1" w:styleId="bodytext">
    <w:name w:val="bodytext"/>
    <w:basedOn w:val="Normalny"/>
    <w:rsid w:val="009210ED"/>
    <w:pPr>
      <w:spacing w:before="100" w:beforeAutospacing="1" w:after="100" w:afterAutospacing="1"/>
    </w:pPr>
    <w:rPr>
      <w:lang w:eastAsia="en-GB"/>
    </w:rPr>
  </w:style>
  <w:style w:type="paragraph" w:styleId="Akapitzlist">
    <w:name w:val="List Paragraph"/>
    <w:basedOn w:val="Normalny"/>
    <w:uiPriority w:val="34"/>
    <w:qFormat/>
    <w:rsid w:val="00A95319"/>
    <w:pPr>
      <w:spacing w:after="200" w:line="276" w:lineRule="auto"/>
      <w:ind w:left="720"/>
      <w:contextualSpacing/>
    </w:pPr>
    <w:rPr>
      <w:rFonts w:ascii="Calibri" w:eastAsia="Calibri" w:hAnsi="Calibri"/>
      <w:sz w:val="22"/>
      <w:szCs w:val="22"/>
      <w:lang w:eastAsia="en-US"/>
    </w:rPr>
  </w:style>
  <w:style w:type="paragraph" w:customStyle="1" w:styleId="StyleTitre211ptAprs9ptInterligneMultiple115li">
    <w:name w:val="Style Titre 2 + 11 pt Après : 9 pt Interligne : Multiple 115 li"/>
    <w:basedOn w:val="Zwykytekst"/>
    <w:rsid w:val="00627420"/>
    <w:pPr>
      <w:spacing w:after="180" w:line="276" w:lineRule="auto"/>
    </w:pPr>
    <w:rPr>
      <w:sz w:val="22"/>
      <w:szCs w:val="20"/>
    </w:rPr>
  </w:style>
  <w:style w:type="paragraph" w:styleId="Zwykytekst">
    <w:name w:val="Plain Text"/>
    <w:basedOn w:val="Normalny"/>
    <w:link w:val="ZwykytekstZnak"/>
    <w:uiPriority w:val="99"/>
    <w:semiHidden/>
    <w:unhideWhenUsed/>
    <w:rsid w:val="00627420"/>
    <w:rPr>
      <w:rFonts w:ascii="Consolas" w:hAnsi="Consolas"/>
      <w:sz w:val="21"/>
      <w:szCs w:val="21"/>
    </w:rPr>
  </w:style>
  <w:style w:type="character" w:customStyle="1" w:styleId="ZwykytekstZnak">
    <w:name w:val="Zwykły tekst Znak"/>
    <w:basedOn w:val="Domylnaczcionkaakapitu"/>
    <w:link w:val="Zwykytekst"/>
    <w:uiPriority w:val="99"/>
    <w:semiHidden/>
    <w:rsid w:val="00627420"/>
    <w:rPr>
      <w:rFonts w:ascii="Consolas" w:eastAsia="Times New Roman" w:hAnsi="Consolas"/>
      <w:sz w:val="21"/>
      <w:szCs w:val="21"/>
      <w:lang w:val="en-GB"/>
    </w:rPr>
  </w:style>
  <w:style w:type="character" w:styleId="UyteHipercze">
    <w:name w:val="FollowedHyperlink"/>
    <w:basedOn w:val="Domylnaczcionkaakapitu"/>
    <w:uiPriority w:val="99"/>
    <w:semiHidden/>
    <w:unhideWhenUsed/>
    <w:rsid w:val="005B0F91"/>
    <w:rPr>
      <w:color w:val="800080" w:themeColor="followedHyperlink"/>
      <w:u w:val="single"/>
    </w:rPr>
  </w:style>
  <w:style w:type="character" w:styleId="Uwydatnienie">
    <w:name w:val="Emphasis"/>
    <w:basedOn w:val="Domylnaczcionkaakapitu"/>
    <w:uiPriority w:val="20"/>
    <w:qFormat/>
    <w:rsid w:val="00A047A4"/>
    <w:rPr>
      <w:i/>
      <w:iCs/>
    </w:rPr>
  </w:style>
  <w:style w:type="paragraph" w:styleId="Nagwekspisutreci">
    <w:name w:val="TOC Heading"/>
    <w:basedOn w:val="Nagwek1"/>
    <w:next w:val="Normalny"/>
    <w:uiPriority w:val="39"/>
    <w:semiHidden/>
    <w:unhideWhenUsed/>
    <w:qFormat/>
    <w:rsid w:val="00291F43"/>
    <w:pPr>
      <w:keepLines/>
      <w:tabs>
        <w:tab w:val="clear" w:pos="360"/>
      </w:tabs>
      <w:spacing w:before="480" w:after="0" w:line="276" w:lineRule="auto"/>
      <w:ind w:left="0" w:firstLine="0"/>
      <w:jc w:val="left"/>
      <w:outlineLvl w:val="9"/>
    </w:pPr>
    <w:rPr>
      <w:rFonts w:asciiTheme="majorHAnsi" w:eastAsiaTheme="majorEastAsia" w:hAnsiTheme="majorHAnsi" w:cstheme="majorBidi"/>
      <w:smallCaps w:val="0"/>
      <w:color w:val="365F91" w:themeColor="accent1" w:themeShade="BF"/>
      <w:sz w:val="28"/>
      <w:szCs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62987">
      <w:bodyDiv w:val="1"/>
      <w:marLeft w:val="0"/>
      <w:marRight w:val="0"/>
      <w:marTop w:val="0"/>
      <w:marBottom w:val="0"/>
      <w:divBdr>
        <w:top w:val="none" w:sz="0" w:space="0" w:color="auto"/>
        <w:left w:val="none" w:sz="0" w:space="0" w:color="auto"/>
        <w:bottom w:val="none" w:sz="0" w:space="0" w:color="auto"/>
        <w:right w:val="none" w:sz="0" w:space="0" w:color="auto"/>
      </w:divBdr>
    </w:div>
    <w:div w:id="153498979">
      <w:bodyDiv w:val="1"/>
      <w:marLeft w:val="0"/>
      <w:marRight w:val="0"/>
      <w:marTop w:val="0"/>
      <w:marBottom w:val="0"/>
      <w:divBdr>
        <w:top w:val="none" w:sz="0" w:space="0" w:color="auto"/>
        <w:left w:val="none" w:sz="0" w:space="0" w:color="auto"/>
        <w:bottom w:val="none" w:sz="0" w:space="0" w:color="auto"/>
        <w:right w:val="none" w:sz="0" w:space="0" w:color="auto"/>
      </w:divBdr>
    </w:div>
    <w:div w:id="403647437">
      <w:bodyDiv w:val="1"/>
      <w:marLeft w:val="0"/>
      <w:marRight w:val="0"/>
      <w:marTop w:val="0"/>
      <w:marBottom w:val="0"/>
      <w:divBdr>
        <w:top w:val="none" w:sz="0" w:space="0" w:color="auto"/>
        <w:left w:val="none" w:sz="0" w:space="0" w:color="auto"/>
        <w:bottom w:val="none" w:sz="0" w:space="0" w:color="auto"/>
        <w:right w:val="none" w:sz="0" w:space="0" w:color="auto"/>
      </w:divBdr>
    </w:div>
    <w:div w:id="1492523591">
      <w:bodyDiv w:val="1"/>
      <w:marLeft w:val="0"/>
      <w:marRight w:val="0"/>
      <w:marTop w:val="0"/>
      <w:marBottom w:val="0"/>
      <w:divBdr>
        <w:top w:val="none" w:sz="0" w:space="0" w:color="auto"/>
        <w:left w:val="none" w:sz="0" w:space="0" w:color="auto"/>
        <w:bottom w:val="none" w:sz="0" w:space="0" w:color="auto"/>
        <w:right w:val="none" w:sz="0" w:space="0" w:color="auto"/>
      </w:divBdr>
    </w:div>
    <w:div w:id="1577128793">
      <w:bodyDiv w:val="1"/>
      <w:marLeft w:val="0"/>
      <w:marRight w:val="0"/>
      <w:marTop w:val="0"/>
      <w:marBottom w:val="0"/>
      <w:divBdr>
        <w:top w:val="none" w:sz="0" w:space="0" w:color="auto"/>
        <w:left w:val="none" w:sz="0" w:space="0" w:color="auto"/>
        <w:bottom w:val="none" w:sz="0" w:space="0" w:color="auto"/>
        <w:right w:val="none" w:sz="0" w:space="0" w:color="auto"/>
      </w:divBdr>
    </w:div>
    <w:div w:id="1634484032">
      <w:bodyDiv w:val="1"/>
      <w:marLeft w:val="0"/>
      <w:marRight w:val="0"/>
      <w:marTop w:val="0"/>
      <w:marBottom w:val="0"/>
      <w:divBdr>
        <w:top w:val="none" w:sz="0" w:space="0" w:color="auto"/>
        <w:left w:val="none" w:sz="0" w:space="0" w:color="auto"/>
        <w:bottom w:val="none" w:sz="0" w:space="0" w:color="auto"/>
        <w:right w:val="none" w:sz="0" w:space="0" w:color="auto"/>
      </w:divBdr>
    </w:div>
    <w:div w:id="1857502507">
      <w:bodyDiv w:val="1"/>
      <w:marLeft w:val="0"/>
      <w:marRight w:val="0"/>
      <w:marTop w:val="0"/>
      <w:marBottom w:val="0"/>
      <w:divBdr>
        <w:top w:val="none" w:sz="0" w:space="0" w:color="auto"/>
        <w:left w:val="none" w:sz="0" w:space="0" w:color="auto"/>
        <w:bottom w:val="none" w:sz="0" w:space="0" w:color="auto"/>
        <w:right w:val="none" w:sz="0" w:space="0" w:color="auto"/>
      </w:divBdr>
      <w:divsChild>
        <w:div w:id="353263193">
          <w:marLeft w:val="0"/>
          <w:marRight w:val="0"/>
          <w:marTop w:val="0"/>
          <w:marBottom w:val="0"/>
          <w:divBdr>
            <w:top w:val="none" w:sz="0" w:space="0" w:color="auto"/>
            <w:left w:val="none" w:sz="0" w:space="0" w:color="auto"/>
            <w:bottom w:val="none" w:sz="0" w:space="0" w:color="auto"/>
            <w:right w:val="none" w:sz="0" w:space="0" w:color="auto"/>
          </w:divBdr>
        </w:div>
        <w:div w:id="583030394">
          <w:marLeft w:val="0"/>
          <w:marRight w:val="0"/>
          <w:marTop w:val="0"/>
          <w:marBottom w:val="0"/>
          <w:divBdr>
            <w:top w:val="none" w:sz="0" w:space="0" w:color="auto"/>
            <w:left w:val="none" w:sz="0" w:space="0" w:color="auto"/>
            <w:bottom w:val="none" w:sz="0" w:space="0" w:color="auto"/>
            <w:right w:val="none" w:sz="0" w:space="0" w:color="auto"/>
          </w:divBdr>
        </w:div>
        <w:div w:id="801968482">
          <w:marLeft w:val="0"/>
          <w:marRight w:val="0"/>
          <w:marTop w:val="0"/>
          <w:marBottom w:val="0"/>
          <w:divBdr>
            <w:top w:val="none" w:sz="0" w:space="0" w:color="auto"/>
            <w:left w:val="none" w:sz="0" w:space="0" w:color="auto"/>
            <w:bottom w:val="none" w:sz="0" w:space="0" w:color="auto"/>
            <w:right w:val="none" w:sz="0" w:space="0" w:color="auto"/>
          </w:divBdr>
        </w:div>
        <w:div w:id="1010836202">
          <w:marLeft w:val="0"/>
          <w:marRight w:val="0"/>
          <w:marTop w:val="0"/>
          <w:marBottom w:val="0"/>
          <w:divBdr>
            <w:top w:val="none" w:sz="0" w:space="0" w:color="auto"/>
            <w:left w:val="none" w:sz="0" w:space="0" w:color="auto"/>
            <w:bottom w:val="none" w:sz="0" w:space="0" w:color="auto"/>
            <w:right w:val="none" w:sz="0" w:space="0" w:color="auto"/>
          </w:divBdr>
        </w:div>
        <w:div w:id="1279489890">
          <w:marLeft w:val="0"/>
          <w:marRight w:val="0"/>
          <w:marTop w:val="0"/>
          <w:marBottom w:val="0"/>
          <w:divBdr>
            <w:top w:val="none" w:sz="0" w:space="0" w:color="auto"/>
            <w:left w:val="none" w:sz="0" w:space="0" w:color="auto"/>
            <w:bottom w:val="none" w:sz="0" w:space="0" w:color="auto"/>
            <w:right w:val="none" w:sz="0" w:space="0" w:color="auto"/>
          </w:divBdr>
        </w:div>
        <w:div w:id="1758281330">
          <w:marLeft w:val="0"/>
          <w:marRight w:val="0"/>
          <w:marTop w:val="0"/>
          <w:marBottom w:val="0"/>
          <w:divBdr>
            <w:top w:val="none" w:sz="0" w:space="0" w:color="auto"/>
            <w:left w:val="none" w:sz="0" w:space="0" w:color="auto"/>
            <w:bottom w:val="none" w:sz="0" w:space="0" w:color="auto"/>
            <w:right w:val="none" w:sz="0" w:space="0" w:color="auto"/>
          </w:divBdr>
        </w:div>
        <w:div w:id="1926180489">
          <w:marLeft w:val="0"/>
          <w:marRight w:val="0"/>
          <w:marTop w:val="0"/>
          <w:marBottom w:val="0"/>
          <w:divBdr>
            <w:top w:val="none" w:sz="0" w:space="0" w:color="auto"/>
            <w:left w:val="none" w:sz="0" w:space="0" w:color="auto"/>
            <w:bottom w:val="none" w:sz="0" w:space="0" w:color="auto"/>
            <w:right w:val="none" w:sz="0" w:space="0" w:color="auto"/>
          </w:divBdr>
        </w:div>
      </w:divsChild>
    </w:div>
    <w:div w:id="210792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ec.europa.eu/europe2020/europe-2020-in-a-nutshell/priorities/sustainable-growth/index_en.htm" TargetMode="Externa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http://ec.europa.eu/europe2020/europe-2020-in-a-nutshell/priorities/inclusive-growth/index_en.htm" TargetMode="External"/><Relationship Id="rId34" Type="http://schemas.openxmlformats.org/officeDocument/2006/relationships/oleObject" Target="embeddings/oleObject1.bin"/><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europa.eu/youthonthemove/index_en.htm" TargetMode="External"/><Relationship Id="rId25" Type="http://schemas.openxmlformats.org/officeDocument/2006/relationships/image" Target="media/image4.png"/><Relationship Id="rId33" Type="http://schemas.openxmlformats.org/officeDocument/2006/relationships/image" Target="media/image6.png"/><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ec.europa.eu/research/innovation-union/index_en.cfm" TargetMode="External"/><Relationship Id="rId20" Type="http://schemas.openxmlformats.org/officeDocument/2006/relationships/hyperlink" Target="http://ec.europa.eu/enterprise/policies/industrial-competitiveness/industrial-policy/index_en.htm"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3.emf"/><Relationship Id="rId32" Type="http://schemas.openxmlformats.org/officeDocument/2006/relationships/hyperlink" Target="http://eur-lex.europa.eu/LexUriServ/LexUriServ.do?uri=CONSLEG:2006R1828:20091013:EN:HTML"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ec.europa.eu/information_society/digital-agenda/index_en.htm" TargetMode="External"/><Relationship Id="rId23" Type="http://schemas.openxmlformats.org/officeDocument/2006/relationships/hyperlink" Target="http://ec.europa.eu/social/main.jsp?catId=961&amp;langId=en" TargetMode="External"/><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ec.europa.eu/resource-efficient-europe/index_en.htm" TargetMode="External"/><Relationship Id="rId31" Type="http://schemas.openxmlformats.org/officeDocument/2006/relationships/hyperlink" Target="http://eur-lex.europa.eu/LexUriServ/LexUriServ.do?uri=CONSLEG:2006R1828:20091013:EN: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ec.europa.eu/europe2020/europe-2020-in-a-nutshell/priorities/smart-growth/index_en.htm" TargetMode="External"/><Relationship Id="rId22" Type="http://schemas.openxmlformats.org/officeDocument/2006/relationships/hyperlink" Target="http://ec.europa.eu/social/main.jsp?langId=en&amp;catId=958" TargetMode="External"/><Relationship Id="rId27" Type="http://schemas.openxmlformats.org/officeDocument/2006/relationships/footer" Target="footer1.xml"/><Relationship Id="rId30" Type="http://schemas.openxmlformats.org/officeDocument/2006/relationships/footer" Target="footer4.xml"/><Relationship Id="rId35"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urbact.eu/fileadmin/general_library/19765_Urbact_WS1_SHRINKING_low_FINAL.pdf" TargetMode="External"/><Relationship Id="rId13" Type="http://schemas.openxmlformats.org/officeDocument/2006/relationships/hyperlink" Target="http://ec.europa.eu/regional_policy/archive/policy/future/barca_en.htm" TargetMode="External"/><Relationship Id="rId3" Type="http://schemas.openxmlformats.org/officeDocument/2006/relationships/hyperlink" Target="http://ec.europa.eu/regional_policy/what/future/index_en.cfm" TargetMode="External"/><Relationship Id="rId7" Type="http://schemas.openxmlformats.org/officeDocument/2006/relationships/hyperlink" Target="http://ec.europa.eu/regional_policy/sources/docgener/studies/pdf/citiesoftomorrow/citiesoftomorrow_final" TargetMode="External"/><Relationship Id="rId12" Type="http://schemas.openxmlformats.org/officeDocument/2006/relationships/hyperlink" Target="http://urbact.eu/fileadmin/general_library/19765_Urbact_WS3_YOUTH_low_Final.pdf" TargetMode="External"/><Relationship Id="rId2" Type="http://schemas.openxmlformats.org/officeDocument/2006/relationships/hyperlink" Target="http://ec.europa.eu/regional_policy/what/future/index_en.cfm" TargetMode="External"/><Relationship Id="rId16" Type="http://schemas.openxmlformats.org/officeDocument/2006/relationships/hyperlink" Target="http://ec.europa.eu/regional_policy/what/future/index_en.cfm" TargetMode="External"/><Relationship Id="rId1" Type="http://schemas.openxmlformats.org/officeDocument/2006/relationships/hyperlink" Target="http://ec.europa.eu/regional_policy/what/future/index_en.cfm" TargetMode="External"/><Relationship Id="rId6" Type="http://schemas.openxmlformats.org/officeDocument/2006/relationships/hyperlink" Target="http://ec.europa.eu/regional_policy/sources/docgener/studies/pdf/citiesoftomorrow/citiesoftomorrow_final" TargetMode="External"/><Relationship Id="rId11" Type="http://schemas.openxmlformats.org/officeDocument/2006/relationships/hyperlink" Target="http://ec.europa.eu/regional_policy/sources/docgener/studies/pdf/citiesoftomorrow/citiesoftomorrow_final" TargetMode="External"/><Relationship Id="rId5" Type="http://schemas.openxmlformats.org/officeDocument/2006/relationships/hyperlink" Target="http://ec.europa.eu/regional_policy/sources/docgener/studies/pdf/citiesoftomorrow/citiesoftomorrow_final" TargetMode="External"/><Relationship Id="rId15" Type="http://schemas.openxmlformats.org/officeDocument/2006/relationships/hyperlink" Target="http://ec.europa.eu/regional_policy/what/future/index_en.cfm" TargetMode="External"/><Relationship Id="rId10" Type="http://schemas.openxmlformats.org/officeDocument/2006/relationships/hyperlink" Target="http://ec.europa.eu/regional_policy/sources/docgener/studies/pdf/urban/stateofcities_2010.pdf" TargetMode="External"/><Relationship Id="rId4" Type="http://schemas.openxmlformats.org/officeDocument/2006/relationships/hyperlink" Target="http://ec.europa.eu/regional_policy/sources/docgener/studies/pdf/citiesoftomorrow/citiesoftomorrow_final" TargetMode="External"/><Relationship Id="rId9" Type="http://schemas.openxmlformats.org/officeDocument/2006/relationships/hyperlink" Target="http://www.berlin-institut.org/online-handbuchdemografie/bevoelkerungsdynamik/regionale-dynamik/europa.html" TargetMode="External"/><Relationship Id="rId14" Type="http://schemas.openxmlformats.org/officeDocument/2006/relationships/hyperlink" Target="http://urbact.eu/fileadmin/general_library/URBACT_II_Final_Report_3_June.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5C693C0D3E5104391595BEB622F583F" ma:contentTypeVersion="1" ma:contentTypeDescription="Utwórz nowy dokument." ma:contentTypeScope="" ma:versionID="9922cef088fd698b9acf268ccecb41d6">
  <xsd:schema xmlns:xsd="http://www.w3.org/2001/XMLSchema" xmlns:p="http://schemas.microsoft.com/office/2006/metadata/properties" xmlns:ns1="http://schemas.microsoft.com/sharepoint/v3" targetNamespace="http://schemas.microsoft.com/office/2006/metadata/properties" ma:root="true" ma:fieldsID="3a4d5819bc994681fe3f721b64b4294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Planowana data rozpoczęcia" ma:description="" ma:internalName="PublishingStartDate">
      <xsd:simpleType>
        <xsd:restriction base="dms:Unknown"/>
      </xsd:simpleType>
    </xsd:element>
    <xsd:element name="PublishingExpirationDate" ma:index="9" nillable="true" ma:displayName="Planowana data zakończenia"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ma:readOnly="true"/>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4629D7-0681-44C9-B0F7-DD2A9CF8C9FB}">
  <ds:schemaRefs>
    <ds:schemaRef ds:uri="http://schemas.microsoft.com/office/2006/metadata/properties"/>
    <ds:schemaRef ds:uri="http://schemas.microsoft.com/sharepoint/v3"/>
  </ds:schemaRefs>
</ds:datastoreItem>
</file>

<file path=customXml/itemProps2.xml><?xml version="1.0" encoding="utf-8"?>
<ds:datastoreItem xmlns:ds="http://schemas.openxmlformats.org/officeDocument/2006/customXml" ds:itemID="{B05EF65B-6DE4-4F61-AC0A-7F6947B7E826}">
  <ds:schemaRefs>
    <ds:schemaRef ds:uri="http://schemas.microsoft.com/sharepoint/v3/contenttype/forms"/>
  </ds:schemaRefs>
</ds:datastoreItem>
</file>

<file path=customXml/itemProps3.xml><?xml version="1.0" encoding="utf-8"?>
<ds:datastoreItem xmlns:ds="http://schemas.openxmlformats.org/officeDocument/2006/customXml" ds:itemID="{DB9A4C7C-EE6D-4FA3-A4ED-E750A10E82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0520CA6-8A36-49EB-A31C-7D53F1B70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26676</Words>
  <Characters>160060</Characters>
  <Application>Microsoft Office Word</Application>
  <DocSecurity>0</DocSecurity>
  <Lines>1333</Lines>
  <Paragraphs>372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MSS</Company>
  <LinksUpToDate>false</LinksUpToDate>
  <CharactersWithSpaces>186364</CharactersWithSpaces>
  <SharedDoc>false</SharedDoc>
  <HLinks>
    <vt:vector size="414" baseType="variant">
      <vt:variant>
        <vt:i4>3145830</vt:i4>
      </vt:variant>
      <vt:variant>
        <vt:i4>291</vt:i4>
      </vt:variant>
      <vt:variant>
        <vt:i4>0</vt:i4>
      </vt:variant>
      <vt:variant>
        <vt:i4>5</vt:i4>
      </vt:variant>
      <vt:variant>
        <vt:lpwstr>http://eur-lex.europa.eu/LexUriServ/LexUriServ.do?uri=CONSLEG:2006R1828:20091013:EN:HTML</vt:lpwstr>
      </vt:variant>
      <vt:variant>
        <vt:lpwstr>E0078#E0078</vt:lpwstr>
      </vt:variant>
      <vt:variant>
        <vt:i4>3145831</vt:i4>
      </vt:variant>
      <vt:variant>
        <vt:i4>288</vt:i4>
      </vt:variant>
      <vt:variant>
        <vt:i4>0</vt:i4>
      </vt:variant>
      <vt:variant>
        <vt:i4>5</vt:i4>
      </vt:variant>
      <vt:variant>
        <vt:lpwstr>http://eur-lex.europa.eu/LexUriServ/LexUriServ.do?uri=CONSLEG:2006R1828:20091013:EN:HTML</vt:lpwstr>
      </vt:variant>
      <vt:variant>
        <vt:lpwstr>E0079#E0079</vt:lpwstr>
      </vt:variant>
      <vt:variant>
        <vt:i4>8323120</vt:i4>
      </vt:variant>
      <vt:variant>
        <vt:i4>276</vt:i4>
      </vt:variant>
      <vt:variant>
        <vt:i4>0</vt:i4>
      </vt:variant>
      <vt:variant>
        <vt:i4>5</vt:i4>
      </vt:variant>
      <vt:variant>
        <vt:lpwstr>http://ec.europa.eu/social/main.jsp?catId=961&amp;langId=en</vt:lpwstr>
      </vt:variant>
      <vt:variant>
        <vt:lpwstr/>
      </vt:variant>
      <vt:variant>
        <vt:i4>8126575</vt:i4>
      </vt:variant>
      <vt:variant>
        <vt:i4>273</vt:i4>
      </vt:variant>
      <vt:variant>
        <vt:i4>0</vt:i4>
      </vt:variant>
      <vt:variant>
        <vt:i4>5</vt:i4>
      </vt:variant>
      <vt:variant>
        <vt:lpwstr>http://ec.europa.eu/social/main.jsp?langId=en&amp;catId=958</vt:lpwstr>
      </vt:variant>
      <vt:variant>
        <vt:lpwstr/>
      </vt:variant>
      <vt:variant>
        <vt:i4>5898350</vt:i4>
      </vt:variant>
      <vt:variant>
        <vt:i4>270</vt:i4>
      </vt:variant>
      <vt:variant>
        <vt:i4>0</vt:i4>
      </vt:variant>
      <vt:variant>
        <vt:i4>5</vt:i4>
      </vt:variant>
      <vt:variant>
        <vt:lpwstr>http://ec.europa.eu/europe2020/europe-2020-in-a-nutshell/priorities/inclusive-growth/index_en.htm</vt:lpwstr>
      </vt:variant>
      <vt:variant>
        <vt:lpwstr/>
      </vt:variant>
      <vt:variant>
        <vt:i4>1310836</vt:i4>
      </vt:variant>
      <vt:variant>
        <vt:i4>267</vt:i4>
      </vt:variant>
      <vt:variant>
        <vt:i4>0</vt:i4>
      </vt:variant>
      <vt:variant>
        <vt:i4>5</vt:i4>
      </vt:variant>
      <vt:variant>
        <vt:lpwstr>http://ec.europa.eu/enterprise/policies/industrial-competitiveness/industrial-policy/index_en.htm</vt:lpwstr>
      </vt:variant>
      <vt:variant>
        <vt:lpwstr/>
      </vt:variant>
      <vt:variant>
        <vt:i4>4849788</vt:i4>
      </vt:variant>
      <vt:variant>
        <vt:i4>264</vt:i4>
      </vt:variant>
      <vt:variant>
        <vt:i4>0</vt:i4>
      </vt:variant>
      <vt:variant>
        <vt:i4>5</vt:i4>
      </vt:variant>
      <vt:variant>
        <vt:lpwstr>http://ec.europa.eu/resource-efficient-europe/index_en.htm</vt:lpwstr>
      </vt:variant>
      <vt:variant>
        <vt:lpwstr/>
      </vt:variant>
      <vt:variant>
        <vt:i4>3670037</vt:i4>
      </vt:variant>
      <vt:variant>
        <vt:i4>261</vt:i4>
      </vt:variant>
      <vt:variant>
        <vt:i4>0</vt:i4>
      </vt:variant>
      <vt:variant>
        <vt:i4>5</vt:i4>
      </vt:variant>
      <vt:variant>
        <vt:lpwstr>http://ec.europa.eu/europe2020/europe-2020-in-a-nutshell/priorities/sustainable-growth/index_en.htm</vt:lpwstr>
      </vt:variant>
      <vt:variant>
        <vt:lpwstr/>
      </vt:variant>
      <vt:variant>
        <vt:i4>8257565</vt:i4>
      </vt:variant>
      <vt:variant>
        <vt:i4>258</vt:i4>
      </vt:variant>
      <vt:variant>
        <vt:i4>0</vt:i4>
      </vt:variant>
      <vt:variant>
        <vt:i4>5</vt:i4>
      </vt:variant>
      <vt:variant>
        <vt:lpwstr>http://europa.eu/youthonthemove/index_en.htm</vt:lpwstr>
      </vt:variant>
      <vt:variant>
        <vt:lpwstr/>
      </vt:variant>
      <vt:variant>
        <vt:i4>1441847</vt:i4>
      </vt:variant>
      <vt:variant>
        <vt:i4>255</vt:i4>
      </vt:variant>
      <vt:variant>
        <vt:i4>0</vt:i4>
      </vt:variant>
      <vt:variant>
        <vt:i4>5</vt:i4>
      </vt:variant>
      <vt:variant>
        <vt:lpwstr>http://ec.europa.eu/research/innovation-union/index_en.cfm</vt:lpwstr>
      </vt:variant>
      <vt:variant>
        <vt:lpwstr/>
      </vt:variant>
      <vt:variant>
        <vt:i4>4849735</vt:i4>
      </vt:variant>
      <vt:variant>
        <vt:i4>252</vt:i4>
      </vt:variant>
      <vt:variant>
        <vt:i4>0</vt:i4>
      </vt:variant>
      <vt:variant>
        <vt:i4>5</vt:i4>
      </vt:variant>
      <vt:variant>
        <vt:lpwstr>http://ec.europa.eu/information_society/digital-agenda/index_en.htm</vt:lpwstr>
      </vt:variant>
      <vt:variant>
        <vt:lpwstr/>
      </vt:variant>
      <vt:variant>
        <vt:i4>4325499</vt:i4>
      </vt:variant>
      <vt:variant>
        <vt:i4>249</vt:i4>
      </vt:variant>
      <vt:variant>
        <vt:i4>0</vt:i4>
      </vt:variant>
      <vt:variant>
        <vt:i4>5</vt:i4>
      </vt:variant>
      <vt:variant>
        <vt:lpwstr>http://ec.europa.eu/europe2020/europe-2020-in-a-nutshell/priorities/smart-growth/index_en.htm</vt:lpwstr>
      </vt:variant>
      <vt:variant>
        <vt:lpwstr/>
      </vt:variant>
      <vt:variant>
        <vt:i4>1507381</vt:i4>
      </vt:variant>
      <vt:variant>
        <vt:i4>242</vt:i4>
      </vt:variant>
      <vt:variant>
        <vt:i4>0</vt:i4>
      </vt:variant>
      <vt:variant>
        <vt:i4>5</vt:i4>
      </vt:variant>
      <vt:variant>
        <vt:lpwstr/>
      </vt:variant>
      <vt:variant>
        <vt:lpwstr>_Toc381008703</vt:lpwstr>
      </vt:variant>
      <vt:variant>
        <vt:i4>1507381</vt:i4>
      </vt:variant>
      <vt:variant>
        <vt:i4>236</vt:i4>
      </vt:variant>
      <vt:variant>
        <vt:i4>0</vt:i4>
      </vt:variant>
      <vt:variant>
        <vt:i4>5</vt:i4>
      </vt:variant>
      <vt:variant>
        <vt:lpwstr/>
      </vt:variant>
      <vt:variant>
        <vt:lpwstr>_Toc381008702</vt:lpwstr>
      </vt:variant>
      <vt:variant>
        <vt:i4>1507381</vt:i4>
      </vt:variant>
      <vt:variant>
        <vt:i4>230</vt:i4>
      </vt:variant>
      <vt:variant>
        <vt:i4>0</vt:i4>
      </vt:variant>
      <vt:variant>
        <vt:i4>5</vt:i4>
      </vt:variant>
      <vt:variant>
        <vt:lpwstr/>
      </vt:variant>
      <vt:variant>
        <vt:lpwstr>_Toc381008701</vt:lpwstr>
      </vt:variant>
      <vt:variant>
        <vt:i4>1507381</vt:i4>
      </vt:variant>
      <vt:variant>
        <vt:i4>224</vt:i4>
      </vt:variant>
      <vt:variant>
        <vt:i4>0</vt:i4>
      </vt:variant>
      <vt:variant>
        <vt:i4>5</vt:i4>
      </vt:variant>
      <vt:variant>
        <vt:lpwstr/>
      </vt:variant>
      <vt:variant>
        <vt:lpwstr>_Toc381008700</vt:lpwstr>
      </vt:variant>
      <vt:variant>
        <vt:i4>1966132</vt:i4>
      </vt:variant>
      <vt:variant>
        <vt:i4>218</vt:i4>
      </vt:variant>
      <vt:variant>
        <vt:i4>0</vt:i4>
      </vt:variant>
      <vt:variant>
        <vt:i4>5</vt:i4>
      </vt:variant>
      <vt:variant>
        <vt:lpwstr/>
      </vt:variant>
      <vt:variant>
        <vt:lpwstr>_Toc381008699</vt:lpwstr>
      </vt:variant>
      <vt:variant>
        <vt:i4>1966132</vt:i4>
      </vt:variant>
      <vt:variant>
        <vt:i4>212</vt:i4>
      </vt:variant>
      <vt:variant>
        <vt:i4>0</vt:i4>
      </vt:variant>
      <vt:variant>
        <vt:i4>5</vt:i4>
      </vt:variant>
      <vt:variant>
        <vt:lpwstr/>
      </vt:variant>
      <vt:variant>
        <vt:lpwstr>_Toc381008698</vt:lpwstr>
      </vt:variant>
      <vt:variant>
        <vt:i4>1966132</vt:i4>
      </vt:variant>
      <vt:variant>
        <vt:i4>206</vt:i4>
      </vt:variant>
      <vt:variant>
        <vt:i4>0</vt:i4>
      </vt:variant>
      <vt:variant>
        <vt:i4>5</vt:i4>
      </vt:variant>
      <vt:variant>
        <vt:lpwstr/>
      </vt:variant>
      <vt:variant>
        <vt:lpwstr>_Toc381008697</vt:lpwstr>
      </vt:variant>
      <vt:variant>
        <vt:i4>1966132</vt:i4>
      </vt:variant>
      <vt:variant>
        <vt:i4>200</vt:i4>
      </vt:variant>
      <vt:variant>
        <vt:i4>0</vt:i4>
      </vt:variant>
      <vt:variant>
        <vt:i4>5</vt:i4>
      </vt:variant>
      <vt:variant>
        <vt:lpwstr/>
      </vt:variant>
      <vt:variant>
        <vt:lpwstr>_Toc381008696</vt:lpwstr>
      </vt:variant>
      <vt:variant>
        <vt:i4>1966132</vt:i4>
      </vt:variant>
      <vt:variant>
        <vt:i4>194</vt:i4>
      </vt:variant>
      <vt:variant>
        <vt:i4>0</vt:i4>
      </vt:variant>
      <vt:variant>
        <vt:i4>5</vt:i4>
      </vt:variant>
      <vt:variant>
        <vt:lpwstr/>
      </vt:variant>
      <vt:variant>
        <vt:lpwstr>_Toc381008695</vt:lpwstr>
      </vt:variant>
      <vt:variant>
        <vt:i4>1966132</vt:i4>
      </vt:variant>
      <vt:variant>
        <vt:i4>188</vt:i4>
      </vt:variant>
      <vt:variant>
        <vt:i4>0</vt:i4>
      </vt:variant>
      <vt:variant>
        <vt:i4>5</vt:i4>
      </vt:variant>
      <vt:variant>
        <vt:lpwstr/>
      </vt:variant>
      <vt:variant>
        <vt:lpwstr>_Toc381008694</vt:lpwstr>
      </vt:variant>
      <vt:variant>
        <vt:i4>1966132</vt:i4>
      </vt:variant>
      <vt:variant>
        <vt:i4>182</vt:i4>
      </vt:variant>
      <vt:variant>
        <vt:i4>0</vt:i4>
      </vt:variant>
      <vt:variant>
        <vt:i4>5</vt:i4>
      </vt:variant>
      <vt:variant>
        <vt:lpwstr/>
      </vt:variant>
      <vt:variant>
        <vt:lpwstr>_Toc381008693</vt:lpwstr>
      </vt:variant>
      <vt:variant>
        <vt:i4>1966132</vt:i4>
      </vt:variant>
      <vt:variant>
        <vt:i4>176</vt:i4>
      </vt:variant>
      <vt:variant>
        <vt:i4>0</vt:i4>
      </vt:variant>
      <vt:variant>
        <vt:i4>5</vt:i4>
      </vt:variant>
      <vt:variant>
        <vt:lpwstr/>
      </vt:variant>
      <vt:variant>
        <vt:lpwstr>_Toc381008692</vt:lpwstr>
      </vt:variant>
      <vt:variant>
        <vt:i4>1966132</vt:i4>
      </vt:variant>
      <vt:variant>
        <vt:i4>170</vt:i4>
      </vt:variant>
      <vt:variant>
        <vt:i4>0</vt:i4>
      </vt:variant>
      <vt:variant>
        <vt:i4>5</vt:i4>
      </vt:variant>
      <vt:variant>
        <vt:lpwstr/>
      </vt:variant>
      <vt:variant>
        <vt:lpwstr>_Toc381008691</vt:lpwstr>
      </vt:variant>
      <vt:variant>
        <vt:i4>1966132</vt:i4>
      </vt:variant>
      <vt:variant>
        <vt:i4>164</vt:i4>
      </vt:variant>
      <vt:variant>
        <vt:i4>0</vt:i4>
      </vt:variant>
      <vt:variant>
        <vt:i4>5</vt:i4>
      </vt:variant>
      <vt:variant>
        <vt:lpwstr/>
      </vt:variant>
      <vt:variant>
        <vt:lpwstr>_Toc381008690</vt:lpwstr>
      </vt:variant>
      <vt:variant>
        <vt:i4>2031668</vt:i4>
      </vt:variant>
      <vt:variant>
        <vt:i4>158</vt:i4>
      </vt:variant>
      <vt:variant>
        <vt:i4>0</vt:i4>
      </vt:variant>
      <vt:variant>
        <vt:i4>5</vt:i4>
      </vt:variant>
      <vt:variant>
        <vt:lpwstr/>
      </vt:variant>
      <vt:variant>
        <vt:lpwstr>_Toc381008689</vt:lpwstr>
      </vt:variant>
      <vt:variant>
        <vt:i4>2031668</vt:i4>
      </vt:variant>
      <vt:variant>
        <vt:i4>152</vt:i4>
      </vt:variant>
      <vt:variant>
        <vt:i4>0</vt:i4>
      </vt:variant>
      <vt:variant>
        <vt:i4>5</vt:i4>
      </vt:variant>
      <vt:variant>
        <vt:lpwstr/>
      </vt:variant>
      <vt:variant>
        <vt:lpwstr>_Toc381008687</vt:lpwstr>
      </vt:variant>
      <vt:variant>
        <vt:i4>2031668</vt:i4>
      </vt:variant>
      <vt:variant>
        <vt:i4>146</vt:i4>
      </vt:variant>
      <vt:variant>
        <vt:i4>0</vt:i4>
      </vt:variant>
      <vt:variant>
        <vt:i4>5</vt:i4>
      </vt:variant>
      <vt:variant>
        <vt:lpwstr/>
      </vt:variant>
      <vt:variant>
        <vt:lpwstr>_Toc381008685</vt:lpwstr>
      </vt:variant>
      <vt:variant>
        <vt:i4>2031668</vt:i4>
      </vt:variant>
      <vt:variant>
        <vt:i4>140</vt:i4>
      </vt:variant>
      <vt:variant>
        <vt:i4>0</vt:i4>
      </vt:variant>
      <vt:variant>
        <vt:i4>5</vt:i4>
      </vt:variant>
      <vt:variant>
        <vt:lpwstr/>
      </vt:variant>
      <vt:variant>
        <vt:lpwstr>_Toc381008684</vt:lpwstr>
      </vt:variant>
      <vt:variant>
        <vt:i4>2031668</vt:i4>
      </vt:variant>
      <vt:variant>
        <vt:i4>134</vt:i4>
      </vt:variant>
      <vt:variant>
        <vt:i4>0</vt:i4>
      </vt:variant>
      <vt:variant>
        <vt:i4>5</vt:i4>
      </vt:variant>
      <vt:variant>
        <vt:lpwstr/>
      </vt:variant>
      <vt:variant>
        <vt:lpwstr>_Toc381008683</vt:lpwstr>
      </vt:variant>
      <vt:variant>
        <vt:i4>2031668</vt:i4>
      </vt:variant>
      <vt:variant>
        <vt:i4>128</vt:i4>
      </vt:variant>
      <vt:variant>
        <vt:i4>0</vt:i4>
      </vt:variant>
      <vt:variant>
        <vt:i4>5</vt:i4>
      </vt:variant>
      <vt:variant>
        <vt:lpwstr/>
      </vt:variant>
      <vt:variant>
        <vt:lpwstr>_Toc381008682</vt:lpwstr>
      </vt:variant>
      <vt:variant>
        <vt:i4>2031668</vt:i4>
      </vt:variant>
      <vt:variant>
        <vt:i4>122</vt:i4>
      </vt:variant>
      <vt:variant>
        <vt:i4>0</vt:i4>
      </vt:variant>
      <vt:variant>
        <vt:i4>5</vt:i4>
      </vt:variant>
      <vt:variant>
        <vt:lpwstr/>
      </vt:variant>
      <vt:variant>
        <vt:lpwstr>_Toc381008681</vt:lpwstr>
      </vt:variant>
      <vt:variant>
        <vt:i4>2031668</vt:i4>
      </vt:variant>
      <vt:variant>
        <vt:i4>116</vt:i4>
      </vt:variant>
      <vt:variant>
        <vt:i4>0</vt:i4>
      </vt:variant>
      <vt:variant>
        <vt:i4>5</vt:i4>
      </vt:variant>
      <vt:variant>
        <vt:lpwstr/>
      </vt:variant>
      <vt:variant>
        <vt:lpwstr>_Toc381008680</vt:lpwstr>
      </vt:variant>
      <vt:variant>
        <vt:i4>1048628</vt:i4>
      </vt:variant>
      <vt:variant>
        <vt:i4>110</vt:i4>
      </vt:variant>
      <vt:variant>
        <vt:i4>0</vt:i4>
      </vt:variant>
      <vt:variant>
        <vt:i4>5</vt:i4>
      </vt:variant>
      <vt:variant>
        <vt:lpwstr/>
      </vt:variant>
      <vt:variant>
        <vt:lpwstr>_Toc381008679</vt:lpwstr>
      </vt:variant>
      <vt:variant>
        <vt:i4>1048628</vt:i4>
      </vt:variant>
      <vt:variant>
        <vt:i4>104</vt:i4>
      </vt:variant>
      <vt:variant>
        <vt:i4>0</vt:i4>
      </vt:variant>
      <vt:variant>
        <vt:i4>5</vt:i4>
      </vt:variant>
      <vt:variant>
        <vt:lpwstr/>
      </vt:variant>
      <vt:variant>
        <vt:lpwstr>_Toc381008678</vt:lpwstr>
      </vt:variant>
      <vt:variant>
        <vt:i4>1048628</vt:i4>
      </vt:variant>
      <vt:variant>
        <vt:i4>98</vt:i4>
      </vt:variant>
      <vt:variant>
        <vt:i4>0</vt:i4>
      </vt:variant>
      <vt:variant>
        <vt:i4>5</vt:i4>
      </vt:variant>
      <vt:variant>
        <vt:lpwstr/>
      </vt:variant>
      <vt:variant>
        <vt:lpwstr>_Toc381008677</vt:lpwstr>
      </vt:variant>
      <vt:variant>
        <vt:i4>1048628</vt:i4>
      </vt:variant>
      <vt:variant>
        <vt:i4>92</vt:i4>
      </vt:variant>
      <vt:variant>
        <vt:i4>0</vt:i4>
      </vt:variant>
      <vt:variant>
        <vt:i4>5</vt:i4>
      </vt:variant>
      <vt:variant>
        <vt:lpwstr/>
      </vt:variant>
      <vt:variant>
        <vt:lpwstr>_Toc381008676</vt:lpwstr>
      </vt:variant>
      <vt:variant>
        <vt:i4>1048628</vt:i4>
      </vt:variant>
      <vt:variant>
        <vt:i4>86</vt:i4>
      </vt:variant>
      <vt:variant>
        <vt:i4>0</vt:i4>
      </vt:variant>
      <vt:variant>
        <vt:i4>5</vt:i4>
      </vt:variant>
      <vt:variant>
        <vt:lpwstr/>
      </vt:variant>
      <vt:variant>
        <vt:lpwstr>_Toc381008675</vt:lpwstr>
      </vt:variant>
      <vt:variant>
        <vt:i4>1048628</vt:i4>
      </vt:variant>
      <vt:variant>
        <vt:i4>80</vt:i4>
      </vt:variant>
      <vt:variant>
        <vt:i4>0</vt:i4>
      </vt:variant>
      <vt:variant>
        <vt:i4>5</vt:i4>
      </vt:variant>
      <vt:variant>
        <vt:lpwstr/>
      </vt:variant>
      <vt:variant>
        <vt:lpwstr>_Toc381008674</vt:lpwstr>
      </vt:variant>
      <vt:variant>
        <vt:i4>1048628</vt:i4>
      </vt:variant>
      <vt:variant>
        <vt:i4>74</vt:i4>
      </vt:variant>
      <vt:variant>
        <vt:i4>0</vt:i4>
      </vt:variant>
      <vt:variant>
        <vt:i4>5</vt:i4>
      </vt:variant>
      <vt:variant>
        <vt:lpwstr/>
      </vt:variant>
      <vt:variant>
        <vt:lpwstr>_Toc381008673</vt:lpwstr>
      </vt:variant>
      <vt:variant>
        <vt:i4>1048628</vt:i4>
      </vt:variant>
      <vt:variant>
        <vt:i4>68</vt:i4>
      </vt:variant>
      <vt:variant>
        <vt:i4>0</vt:i4>
      </vt:variant>
      <vt:variant>
        <vt:i4>5</vt:i4>
      </vt:variant>
      <vt:variant>
        <vt:lpwstr/>
      </vt:variant>
      <vt:variant>
        <vt:lpwstr>_Toc381008672</vt:lpwstr>
      </vt:variant>
      <vt:variant>
        <vt:i4>1048628</vt:i4>
      </vt:variant>
      <vt:variant>
        <vt:i4>62</vt:i4>
      </vt:variant>
      <vt:variant>
        <vt:i4>0</vt:i4>
      </vt:variant>
      <vt:variant>
        <vt:i4>5</vt:i4>
      </vt:variant>
      <vt:variant>
        <vt:lpwstr/>
      </vt:variant>
      <vt:variant>
        <vt:lpwstr>_Toc381008671</vt:lpwstr>
      </vt:variant>
      <vt:variant>
        <vt:i4>1048628</vt:i4>
      </vt:variant>
      <vt:variant>
        <vt:i4>56</vt:i4>
      </vt:variant>
      <vt:variant>
        <vt:i4>0</vt:i4>
      </vt:variant>
      <vt:variant>
        <vt:i4>5</vt:i4>
      </vt:variant>
      <vt:variant>
        <vt:lpwstr/>
      </vt:variant>
      <vt:variant>
        <vt:lpwstr>_Toc381008670</vt:lpwstr>
      </vt:variant>
      <vt:variant>
        <vt:i4>1114164</vt:i4>
      </vt:variant>
      <vt:variant>
        <vt:i4>50</vt:i4>
      </vt:variant>
      <vt:variant>
        <vt:i4>0</vt:i4>
      </vt:variant>
      <vt:variant>
        <vt:i4>5</vt:i4>
      </vt:variant>
      <vt:variant>
        <vt:lpwstr/>
      </vt:variant>
      <vt:variant>
        <vt:lpwstr>_Toc381008669</vt:lpwstr>
      </vt:variant>
      <vt:variant>
        <vt:i4>1114164</vt:i4>
      </vt:variant>
      <vt:variant>
        <vt:i4>44</vt:i4>
      </vt:variant>
      <vt:variant>
        <vt:i4>0</vt:i4>
      </vt:variant>
      <vt:variant>
        <vt:i4>5</vt:i4>
      </vt:variant>
      <vt:variant>
        <vt:lpwstr/>
      </vt:variant>
      <vt:variant>
        <vt:lpwstr>_Toc381008668</vt:lpwstr>
      </vt:variant>
      <vt:variant>
        <vt:i4>1114164</vt:i4>
      </vt:variant>
      <vt:variant>
        <vt:i4>38</vt:i4>
      </vt:variant>
      <vt:variant>
        <vt:i4>0</vt:i4>
      </vt:variant>
      <vt:variant>
        <vt:i4>5</vt:i4>
      </vt:variant>
      <vt:variant>
        <vt:lpwstr/>
      </vt:variant>
      <vt:variant>
        <vt:lpwstr>_Toc381008667</vt:lpwstr>
      </vt:variant>
      <vt:variant>
        <vt:i4>1114164</vt:i4>
      </vt:variant>
      <vt:variant>
        <vt:i4>32</vt:i4>
      </vt:variant>
      <vt:variant>
        <vt:i4>0</vt:i4>
      </vt:variant>
      <vt:variant>
        <vt:i4>5</vt:i4>
      </vt:variant>
      <vt:variant>
        <vt:lpwstr/>
      </vt:variant>
      <vt:variant>
        <vt:lpwstr>_Toc381008666</vt:lpwstr>
      </vt:variant>
      <vt:variant>
        <vt:i4>1114164</vt:i4>
      </vt:variant>
      <vt:variant>
        <vt:i4>26</vt:i4>
      </vt:variant>
      <vt:variant>
        <vt:i4>0</vt:i4>
      </vt:variant>
      <vt:variant>
        <vt:i4>5</vt:i4>
      </vt:variant>
      <vt:variant>
        <vt:lpwstr/>
      </vt:variant>
      <vt:variant>
        <vt:lpwstr>_Toc381008665</vt:lpwstr>
      </vt:variant>
      <vt:variant>
        <vt:i4>1114164</vt:i4>
      </vt:variant>
      <vt:variant>
        <vt:i4>20</vt:i4>
      </vt:variant>
      <vt:variant>
        <vt:i4>0</vt:i4>
      </vt:variant>
      <vt:variant>
        <vt:i4>5</vt:i4>
      </vt:variant>
      <vt:variant>
        <vt:lpwstr/>
      </vt:variant>
      <vt:variant>
        <vt:lpwstr>_Toc381008664</vt:lpwstr>
      </vt:variant>
      <vt:variant>
        <vt:i4>1114164</vt:i4>
      </vt:variant>
      <vt:variant>
        <vt:i4>14</vt:i4>
      </vt:variant>
      <vt:variant>
        <vt:i4>0</vt:i4>
      </vt:variant>
      <vt:variant>
        <vt:i4>5</vt:i4>
      </vt:variant>
      <vt:variant>
        <vt:lpwstr/>
      </vt:variant>
      <vt:variant>
        <vt:lpwstr>_Toc381008663</vt:lpwstr>
      </vt:variant>
      <vt:variant>
        <vt:i4>1114164</vt:i4>
      </vt:variant>
      <vt:variant>
        <vt:i4>8</vt:i4>
      </vt:variant>
      <vt:variant>
        <vt:i4>0</vt:i4>
      </vt:variant>
      <vt:variant>
        <vt:i4>5</vt:i4>
      </vt:variant>
      <vt:variant>
        <vt:lpwstr/>
      </vt:variant>
      <vt:variant>
        <vt:lpwstr>_Toc381008662</vt:lpwstr>
      </vt:variant>
      <vt:variant>
        <vt:i4>1114164</vt:i4>
      </vt:variant>
      <vt:variant>
        <vt:i4>2</vt:i4>
      </vt:variant>
      <vt:variant>
        <vt:i4>0</vt:i4>
      </vt:variant>
      <vt:variant>
        <vt:i4>5</vt:i4>
      </vt:variant>
      <vt:variant>
        <vt:lpwstr/>
      </vt:variant>
      <vt:variant>
        <vt:lpwstr>_Toc381008661</vt:lpwstr>
      </vt:variant>
      <vt:variant>
        <vt:i4>6815849</vt:i4>
      </vt:variant>
      <vt:variant>
        <vt:i4>45</vt:i4>
      </vt:variant>
      <vt:variant>
        <vt:i4>0</vt:i4>
      </vt:variant>
      <vt:variant>
        <vt:i4>5</vt:i4>
      </vt:variant>
      <vt:variant>
        <vt:lpwstr>http://ec.europa.eu/regional_policy/what/future/index_en.cfm</vt:lpwstr>
      </vt:variant>
      <vt:variant>
        <vt:lpwstr/>
      </vt:variant>
      <vt:variant>
        <vt:i4>6815849</vt:i4>
      </vt:variant>
      <vt:variant>
        <vt:i4>42</vt:i4>
      </vt:variant>
      <vt:variant>
        <vt:i4>0</vt:i4>
      </vt:variant>
      <vt:variant>
        <vt:i4>5</vt:i4>
      </vt:variant>
      <vt:variant>
        <vt:lpwstr>http://ec.europa.eu/regional_policy/what/future/index_en.cfm</vt:lpwstr>
      </vt:variant>
      <vt:variant>
        <vt:lpwstr/>
      </vt:variant>
      <vt:variant>
        <vt:i4>3997815</vt:i4>
      </vt:variant>
      <vt:variant>
        <vt:i4>39</vt:i4>
      </vt:variant>
      <vt:variant>
        <vt:i4>0</vt:i4>
      </vt:variant>
      <vt:variant>
        <vt:i4>5</vt:i4>
      </vt:variant>
      <vt:variant>
        <vt:lpwstr>http://urbact.eu/fileadmin/general_library/URBACT_II_Final_Report_3_June.pdf</vt:lpwstr>
      </vt:variant>
      <vt:variant>
        <vt:lpwstr/>
      </vt:variant>
      <vt:variant>
        <vt:i4>4849688</vt:i4>
      </vt:variant>
      <vt:variant>
        <vt:i4>36</vt:i4>
      </vt:variant>
      <vt:variant>
        <vt:i4>0</vt:i4>
      </vt:variant>
      <vt:variant>
        <vt:i4>5</vt:i4>
      </vt:variant>
      <vt:variant>
        <vt:lpwstr>http://ec.europa.eu/regional_policy/archive/policy/future/barca_en.htm</vt:lpwstr>
      </vt:variant>
      <vt:variant>
        <vt:lpwstr/>
      </vt:variant>
      <vt:variant>
        <vt:i4>7274602</vt:i4>
      </vt:variant>
      <vt:variant>
        <vt:i4>33</vt:i4>
      </vt:variant>
      <vt:variant>
        <vt:i4>0</vt:i4>
      </vt:variant>
      <vt:variant>
        <vt:i4>5</vt:i4>
      </vt:variant>
      <vt:variant>
        <vt:lpwstr>http://urbact.eu/fileadmin/general_library/19765_Urbact_WS3_YOUTH_low_Final.pdf</vt:lpwstr>
      </vt:variant>
      <vt:variant>
        <vt:lpwstr/>
      </vt:variant>
      <vt:variant>
        <vt:i4>262172</vt:i4>
      </vt:variant>
      <vt:variant>
        <vt:i4>30</vt:i4>
      </vt:variant>
      <vt:variant>
        <vt:i4>0</vt:i4>
      </vt:variant>
      <vt:variant>
        <vt:i4>5</vt:i4>
      </vt:variant>
      <vt:variant>
        <vt:lpwstr>http://ec.europa.eu/regional_policy/sources/docgener/studies/pdf/citiesoftomorrow/citiesoftomorrow_final</vt:lpwstr>
      </vt:variant>
      <vt:variant>
        <vt:lpwstr/>
      </vt:variant>
      <vt:variant>
        <vt:i4>1310796</vt:i4>
      </vt:variant>
      <vt:variant>
        <vt:i4>27</vt:i4>
      </vt:variant>
      <vt:variant>
        <vt:i4>0</vt:i4>
      </vt:variant>
      <vt:variant>
        <vt:i4>5</vt:i4>
      </vt:variant>
      <vt:variant>
        <vt:lpwstr>http://ec.europa.eu/regional_policy/sources/docgener/studies/pdf/urban/stateofcities_2010.pdf</vt:lpwstr>
      </vt:variant>
      <vt:variant>
        <vt:lpwstr/>
      </vt:variant>
      <vt:variant>
        <vt:i4>6684732</vt:i4>
      </vt:variant>
      <vt:variant>
        <vt:i4>24</vt:i4>
      </vt:variant>
      <vt:variant>
        <vt:i4>0</vt:i4>
      </vt:variant>
      <vt:variant>
        <vt:i4>5</vt:i4>
      </vt:variant>
      <vt:variant>
        <vt:lpwstr>http://www.berlin-institut.org/online-handbuchdemografie/bevoelkerungsdynamik/regionale-dynamik/europa.html</vt:lpwstr>
      </vt:variant>
      <vt:variant>
        <vt:lpwstr/>
      </vt:variant>
      <vt:variant>
        <vt:i4>7340141</vt:i4>
      </vt:variant>
      <vt:variant>
        <vt:i4>21</vt:i4>
      </vt:variant>
      <vt:variant>
        <vt:i4>0</vt:i4>
      </vt:variant>
      <vt:variant>
        <vt:i4>5</vt:i4>
      </vt:variant>
      <vt:variant>
        <vt:lpwstr>http://urbact.eu/fileadmin/general_library/19765_Urbact_WS1_SHRINKING_low_FINAL.pdf</vt:lpwstr>
      </vt:variant>
      <vt:variant>
        <vt:lpwstr/>
      </vt:variant>
      <vt:variant>
        <vt:i4>262172</vt:i4>
      </vt:variant>
      <vt:variant>
        <vt:i4>18</vt:i4>
      </vt:variant>
      <vt:variant>
        <vt:i4>0</vt:i4>
      </vt:variant>
      <vt:variant>
        <vt:i4>5</vt:i4>
      </vt:variant>
      <vt:variant>
        <vt:lpwstr>http://ec.europa.eu/regional_policy/sources/docgener/studies/pdf/citiesoftomorrow/citiesoftomorrow_final</vt:lpwstr>
      </vt:variant>
      <vt:variant>
        <vt:lpwstr/>
      </vt:variant>
      <vt:variant>
        <vt:i4>262172</vt:i4>
      </vt:variant>
      <vt:variant>
        <vt:i4>15</vt:i4>
      </vt:variant>
      <vt:variant>
        <vt:i4>0</vt:i4>
      </vt:variant>
      <vt:variant>
        <vt:i4>5</vt:i4>
      </vt:variant>
      <vt:variant>
        <vt:lpwstr>http://ec.europa.eu/regional_policy/sources/docgener/studies/pdf/citiesoftomorrow/citiesoftomorrow_final</vt:lpwstr>
      </vt:variant>
      <vt:variant>
        <vt:lpwstr/>
      </vt:variant>
      <vt:variant>
        <vt:i4>262172</vt:i4>
      </vt:variant>
      <vt:variant>
        <vt:i4>12</vt:i4>
      </vt:variant>
      <vt:variant>
        <vt:i4>0</vt:i4>
      </vt:variant>
      <vt:variant>
        <vt:i4>5</vt:i4>
      </vt:variant>
      <vt:variant>
        <vt:lpwstr>http://ec.europa.eu/regional_policy/sources/docgener/studies/pdf/citiesoftomorrow/citiesoftomorrow_final</vt:lpwstr>
      </vt:variant>
      <vt:variant>
        <vt:lpwstr/>
      </vt:variant>
      <vt:variant>
        <vt:i4>262172</vt:i4>
      </vt:variant>
      <vt:variant>
        <vt:i4>9</vt:i4>
      </vt:variant>
      <vt:variant>
        <vt:i4>0</vt:i4>
      </vt:variant>
      <vt:variant>
        <vt:i4>5</vt:i4>
      </vt:variant>
      <vt:variant>
        <vt:lpwstr>http://ec.europa.eu/regional_policy/sources/docgener/studies/pdf/citiesoftomorrow/citiesoftomorrow_final</vt:lpwstr>
      </vt:variant>
      <vt:variant>
        <vt:lpwstr/>
      </vt:variant>
      <vt:variant>
        <vt:i4>6815849</vt:i4>
      </vt:variant>
      <vt:variant>
        <vt:i4>6</vt:i4>
      </vt:variant>
      <vt:variant>
        <vt:i4>0</vt:i4>
      </vt:variant>
      <vt:variant>
        <vt:i4>5</vt:i4>
      </vt:variant>
      <vt:variant>
        <vt:lpwstr>http://ec.europa.eu/regional_policy/what/future/index_en.cfm</vt:lpwstr>
      </vt:variant>
      <vt:variant>
        <vt:lpwstr/>
      </vt:variant>
      <vt:variant>
        <vt:i4>6815849</vt:i4>
      </vt:variant>
      <vt:variant>
        <vt:i4>3</vt:i4>
      </vt:variant>
      <vt:variant>
        <vt:i4>0</vt:i4>
      </vt:variant>
      <vt:variant>
        <vt:i4>5</vt:i4>
      </vt:variant>
      <vt:variant>
        <vt:lpwstr>http://ec.europa.eu/regional_policy/what/future/index_en.cfm</vt:lpwstr>
      </vt:variant>
      <vt:variant>
        <vt:lpwstr/>
      </vt:variant>
      <vt:variant>
        <vt:i4>6815849</vt:i4>
      </vt:variant>
      <vt:variant>
        <vt:i4>0</vt:i4>
      </vt:variant>
      <vt:variant>
        <vt:i4>0</vt:i4>
      </vt:variant>
      <vt:variant>
        <vt:i4>5</vt:i4>
      </vt:variant>
      <vt:variant>
        <vt:lpwstr>http://ec.europa.eu/regional_policy/what/future/index_en.cfm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tpicquart</dc:creator>
  <cp:lastModifiedBy>Magdalena Misiak</cp:lastModifiedBy>
  <cp:revision>2</cp:revision>
  <cp:lastPrinted>2014-11-21T12:39:00Z</cp:lastPrinted>
  <dcterms:created xsi:type="dcterms:W3CDTF">2015-01-09T12:18:00Z</dcterms:created>
  <dcterms:modified xsi:type="dcterms:W3CDTF">2015-01-09T12:18:00Z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0x010100C5C693C0D3E5104391595BEB622F583F</vt:lpwstr>
  </property>
</Properties>
</file>