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603C" w14:textId="362AB5B8" w:rsidR="00E949AB" w:rsidRPr="00AA3AC2" w:rsidRDefault="00B739F9" w:rsidP="00E949AB">
      <w:pPr>
        <w:pStyle w:val="TitleDocument"/>
        <w:spacing w:before="360" w:after="0"/>
        <w:rPr>
          <w:color w:val="auto"/>
        </w:rPr>
      </w:pPr>
      <w:r>
        <w:rPr>
          <w:color w:val="auto"/>
        </w:rPr>
        <w:t>Second</w:t>
      </w:r>
      <w:r w:rsidR="00E949AB" w:rsidRPr="00AA3AC2">
        <w:rPr>
          <w:color w:val="auto"/>
        </w:rPr>
        <w:t xml:space="preserve"> call terms of reference</w:t>
      </w:r>
    </w:p>
    <w:p w14:paraId="5D6A0647" w14:textId="77777777" w:rsidR="003E2A00" w:rsidRPr="00AA3AC2" w:rsidRDefault="003E2A00" w:rsidP="001205EA">
      <w:pPr>
        <w:tabs>
          <w:tab w:val="center" w:pos="4536"/>
          <w:tab w:val="right" w:pos="9072"/>
        </w:tabs>
        <w:spacing w:after="0"/>
        <w:rPr>
          <w:lang w:val="en-GB"/>
        </w:rPr>
      </w:pPr>
    </w:p>
    <w:p w14:paraId="2F6F554C" w14:textId="77777777" w:rsidR="00E949AB" w:rsidRPr="00AA3AC2" w:rsidRDefault="00E949AB" w:rsidP="00E949AB">
      <w:pPr>
        <w:pStyle w:val="Heading1"/>
        <w:spacing w:before="240"/>
        <w:rPr>
          <w:sz w:val="24"/>
          <w:szCs w:val="24"/>
          <w:lang w:val="en-GB"/>
        </w:rPr>
      </w:pPr>
      <w:r w:rsidRPr="00AA3AC2">
        <w:rPr>
          <w:sz w:val="24"/>
          <w:szCs w:val="24"/>
          <w:lang w:val="en-GB"/>
        </w:rPr>
        <w:t>1. Legal basis</w:t>
      </w:r>
    </w:p>
    <w:p w14:paraId="5D2811EF" w14:textId="77777777" w:rsidR="00E949AB" w:rsidRPr="00AA3AC2" w:rsidRDefault="00E949AB" w:rsidP="00E949AB">
      <w:pPr>
        <w:suppressAutoHyphens/>
        <w:spacing w:before="80"/>
        <w:rPr>
          <w:lang w:val="en-GB"/>
        </w:rPr>
      </w:pPr>
      <w:r w:rsidRPr="00AA3AC2">
        <w:rPr>
          <w:lang w:val="en-GB"/>
        </w:rPr>
        <w:t>The Interreg Europe programme is financed by the European Regional Development Fund (ERDF), whose principles and rules are laid down in the common provisions regulation (EU) 2021/1060, the ERDF regulation (EU) 2021/1058 and the Interreg regulation (EU) 2021/1059.</w:t>
      </w:r>
    </w:p>
    <w:p w14:paraId="6544F76E" w14:textId="77777777" w:rsidR="00E949AB" w:rsidRPr="00AA3AC2" w:rsidRDefault="00E949AB" w:rsidP="00E949AB">
      <w:pPr>
        <w:suppressAutoHyphens/>
        <w:spacing w:before="80"/>
        <w:rPr>
          <w:lang w:val="en-GB"/>
        </w:rPr>
      </w:pPr>
      <w:r w:rsidRPr="00AA3AC2">
        <w:rPr>
          <w:lang w:val="en-GB"/>
        </w:rPr>
        <w:t>The expectations and requirements for projects are detailed in the Interreg Europe 2021-2027 cooperation programme and in the programme manual.</w:t>
      </w:r>
    </w:p>
    <w:p w14:paraId="21D52F99" w14:textId="77777777" w:rsidR="00E949AB" w:rsidRPr="00AA3AC2" w:rsidRDefault="00E949AB" w:rsidP="00E949AB">
      <w:pPr>
        <w:pStyle w:val="Heading1"/>
        <w:rPr>
          <w:sz w:val="24"/>
          <w:szCs w:val="24"/>
          <w:lang w:val="en-GB"/>
        </w:rPr>
      </w:pPr>
      <w:r w:rsidRPr="00AA3AC2">
        <w:rPr>
          <w:sz w:val="24"/>
          <w:szCs w:val="24"/>
          <w:lang w:val="en-GB"/>
        </w:rPr>
        <w:t>2. Context</w:t>
      </w:r>
    </w:p>
    <w:p w14:paraId="0A8FC4FF" w14:textId="77777777" w:rsidR="00E949AB" w:rsidRPr="00AA3AC2" w:rsidRDefault="00E949AB" w:rsidP="00E949AB">
      <w:pPr>
        <w:spacing w:before="240" w:after="80"/>
        <w:rPr>
          <w:rFonts w:cs="Arial"/>
          <w:lang w:val="en-GB"/>
        </w:rPr>
      </w:pPr>
      <w:r w:rsidRPr="00AA3AC2">
        <w:rPr>
          <w:rFonts w:cs="Arial"/>
          <w:lang w:val="en-GB"/>
        </w:rPr>
        <w:t xml:space="preserve">Through its </w:t>
      </w:r>
      <w:hyperlink r:id="rId11" w:history="1">
        <w:r w:rsidRPr="00AA3AC2">
          <w:rPr>
            <w:rStyle w:val="Hyperlink"/>
            <w:rFonts w:cs="Arial"/>
            <w:lang w:val="en-GB"/>
          </w:rPr>
          <w:t>cohesion policy</w:t>
        </w:r>
      </w:hyperlink>
      <w:r w:rsidRPr="00AA3AC2">
        <w:rPr>
          <w:rStyle w:val="Hyperlink"/>
          <w:rFonts w:cs="Arial"/>
          <w:lang w:val="en-GB"/>
        </w:rPr>
        <w:t xml:space="preserve">, </w:t>
      </w:r>
      <w:r w:rsidRPr="00AA3AC2">
        <w:rPr>
          <w:rFonts w:cs="Arial"/>
          <w:lang w:val="en-GB"/>
        </w:rPr>
        <w:t xml:space="preserve">the European Union works to reduce disparities both in the levels of development and in quality of life in European regions. It promotes actions aiming at making the European territory more innovative, more sustainable, and more inclusive, thus improving quality of life of the inhabitants. The large majority of the funds designated to reduce these disparities are managed at the regional or national levels. The European Union believes that regional development can also be improved through cooperation across borders. </w:t>
      </w:r>
    </w:p>
    <w:p w14:paraId="488517E5" w14:textId="77777777" w:rsidR="00E949AB" w:rsidRPr="00AA3AC2" w:rsidRDefault="00E949AB" w:rsidP="00E949AB">
      <w:pPr>
        <w:spacing w:before="240" w:after="80"/>
        <w:rPr>
          <w:rFonts w:cs="Arial"/>
          <w:lang w:val="en-GB"/>
        </w:rPr>
      </w:pPr>
      <w:r w:rsidRPr="00AA3AC2">
        <w:rPr>
          <w:rFonts w:cs="Arial"/>
          <w:lang w:val="en-GB"/>
        </w:rPr>
        <w:t xml:space="preserve">In this context, the Interreg Europe programme supports the exchange and transfer of experience, innovative approaches and capacity building among public authorities and other policy relevant organisations across Europe with a view </w:t>
      </w:r>
      <w:r w:rsidRPr="00AA3AC2">
        <w:rPr>
          <w:rFonts w:cs="Arial"/>
          <w:b/>
          <w:bCs/>
          <w:lang w:val="en-GB"/>
        </w:rPr>
        <w:t xml:space="preserve">to improving their regional development policy instruments </w:t>
      </w:r>
      <w:r w:rsidRPr="00AA3AC2">
        <w:rPr>
          <w:rFonts w:cs="Arial"/>
          <w:lang w:val="en-GB"/>
        </w:rPr>
        <w:t>including programmes under the Investment for jobs and growth goal.</w:t>
      </w:r>
    </w:p>
    <w:p w14:paraId="34F27AF1" w14:textId="2E3DA2C0" w:rsidR="00E949AB" w:rsidRPr="00AA3AC2" w:rsidRDefault="00E949AB" w:rsidP="00E949AB">
      <w:pPr>
        <w:pBdr>
          <w:top w:val="single" w:sz="4" w:space="1" w:color="auto"/>
          <w:left w:val="single" w:sz="4" w:space="4" w:color="auto"/>
          <w:bottom w:val="single" w:sz="4" w:space="1" w:color="auto"/>
          <w:right w:val="single" w:sz="4" w:space="4" w:color="auto"/>
        </w:pBdr>
        <w:spacing w:before="240" w:after="80"/>
        <w:rPr>
          <w:i/>
          <w:iCs/>
          <w:lang w:val="en-GB"/>
        </w:rPr>
      </w:pPr>
      <w:r w:rsidRPr="00AA3AC2">
        <w:rPr>
          <w:rFonts w:eastAsiaTheme="minorHAnsi" w:cs="Arial"/>
          <w:i/>
          <w:iCs/>
          <w:lang w:val="en-GB"/>
        </w:rPr>
        <w:t xml:space="preserve">A </w:t>
      </w:r>
      <w:r w:rsidRPr="00AA3AC2">
        <w:rPr>
          <w:rFonts w:eastAsiaTheme="minorHAnsi" w:cs="Arial"/>
          <w:b/>
          <w:i/>
          <w:iCs/>
          <w:lang w:val="en-GB"/>
        </w:rPr>
        <w:t>policy instrument</w:t>
      </w:r>
      <w:r w:rsidRPr="00AA3AC2">
        <w:rPr>
          <w:rFonts w:eastAsiaTheme="minorHAnsi" w:cs="Arial"/>
          <w:i/>
          <w:iCs/>
          <w:lang w:val="en-GB"/>
        </w:rPr>
        <w:t xml:space="preserve"> is a means for public </w:t>
      </w:r>
      <w:r w:rsidRPr="00EF3AE8">
        <w:rPr>
          <w:rFonts w:eastAsiaTheme="minorHAnsi" w:cs="Arial"/>
          <w:i/>
          <w:iCs/>
          <w:lang w:val="en-GB"/>
        </w:rPr>
        <w:t>intervention. It refers to any policy, strategy, or law developed by public authorities and applied on the ground to improve a specific territorial situation. In most cases, financial resources are associated with a policy instrument. However, an instrument can also sometimes refer to a strategy or legislative framework with no specific funding</w:t>
      </w:r>
      <w:r w:rsidR="00211709" w:rsidRPr="00EF3AE8">
        <w:rPr>
          <w:rFonts w:eastAsiaTheme="minorHAnsi" w:cs="Arial"/>
          <w:i/>
          <w:iCs/>
          <w:lang w:val="en-GB"/>
        </w:rPr>
        <w:t xml:space="preserve"> </w:t>
      </w:r>
      <w:r w:rsidR="00211709" w:rsidRPr="00EF3AE8">
        <w:rPr>
          <w:rFonts w:cs="Arial"/>
          <w:lang w:val="en-GB"/>
        </w:rPr>
        <w:t>(e.g., a Smart Specialisation Strategy) as long as this strategy or legislative framework comply with the above definition (i.e., ‘developed by public authorities and implemented to improve a specific territorial situation’). In principle, internal documents of organisations (e.g., mission statements, in-house strategic orientations) does not qualify as policy instruments</w:t>
      </w:r>
      <w:r w:rsidRPr="00EF3AE8">
        <w:rPr>
          <w:rFonts w:eastAsiaTheme="minorHAnsi" w:cs="Arial"/>
          <w:i/>
          <w:iCs/>
          <w:lang w:val="en-GB"/>
        </w:rPr>
        <w:t>. In the context</w:t>
      </w:r>
      <w:r w:rsidRPr="00AA3AC2">
        <w:rPr>
          <w:rFonts w:eastAsiaTheme="minorHAnsi" w:cs="Arial"/>
          <w:i/>
          <w:iCs/>
          <w:lang w:val="en-GB"/>
        </w:rPr>
        <w:t xml:space="preserve"> of Interreg Europe, operational programmes under the Investment for jobs and growth goal are considered as policy instruments. Beyond the programmes of the EU cohesion policy, local, regional or national public authorities develop their own policy instruments, which can also be addressed by Interreg Europe projects.</w:t>
      </w:r>
    </w:p>
    <w:p w14:paraId="556345B8" w14:textId="77777777" w:rsidR="00E949AB" w:rsidRPr="00AA3AC2" w:rsidRDefault="00E949AB" w:rsidP="00E949AB">
      <w:pPr>
        <w:spacing w:before="240" w:after="80" w:line="300" w:lineRule="auto"/>
        <w:rPr>
          <w:lang w:val="en-GB"/>
        </w:rPr>
      </w:pPr>
      <w:r w:rsidRPr="00AA3AC2">
        <w:rPr>
          <w:lang w:val="en-GB"/>
        </w:rPr>
        <w:t>The way projects can achieve policy improvements is explained in section 3.3.2 of the programme manual.</w:t>
      </w:r>
    </w:p>
    <w:p w14:paraId="5C767956" w14:textId="77777777" w:rsidR="00E949AB" w:rsidRPr="00AA3AC2" w:rsidRDefault="00E949AB" w:rsidP="00E949AB">
      <w:pPr>
        <w:pStyle w:val="Heading1"/>
        <w:rPr>
          <w:sz w:val="24"/>
          <w:szCs w:val="24"/>
          <w:lang w:val="en-GB"/>
        </w:rPr>
      </w:pPr>
      <w:r w:rsidRPr="00AA3AC2">
        <w:rPr>
          <w:sz w:val="24"/>
          <w:szCs w:val="24"/>
          <w:lang w:val="en-GB"/>
        </w:rPr>
        <w:t>3. Eligible area</w:t>
      </w:r>
    </w:p>
    <w:p w14:paraId="4819BBBF" w14:textId="77777777" w:rsidR="00E949AB" w:rsidRPr="00AA3AC2" w:rsidRDefault="00E949AB" w:rsidP="00E949AB">
      <w:pPr>
        <w:suppressAutoHyphens/>
        <w:spacing w:before="80" w:line="300" w:lineRule="auto"/>
        <w:rPr>
          <w:lang w:val="en-GB"/>
        </w:rPr>
      </w:pPr>
      <w:r w:rsidRPr="00AA3AC2">
        <w:rPr>
          <w:lang w:val="en-GB"/>
        </w:rPr>
        <w:t>The programme eligible area covers the whole European Union territory with its 27 Member States, including insular and outermost regions. In addition, Norway and Switzerland are full members of the programme and organisations from these countries are eligible</w:t>
      </w:r>
      <w:r w:rsidRPr="00AA3AC2">
        <w:rPr>
          <w:rStyle w:val="FootnoteReference"/>
          <w:lang w:val="en-GB"/>
        </w:rPr>
        <w:footnoteReference w:id="2"/>
      </w:r>
      <w:r w:rsidRPr="00AA3AC2">
        <w:rPr>
          <w:lang w:val="en-GB"/>
        </w:rPr>
        <w:t xml:space="preserve"> to participate in projects. Partners from other countries can participate at their own costs.</w:t>
      </w:r>
    </w:p>
    <w:p w14:paraId="1E44709F" w14:textId="77777777" w:rsidR="00E949AB" w:rsidRPr="00AA3AC2" w:rsidRDefault="00E949AB" w:rsidP="00E949AB">
      <w:pPr>
        <w:pStyle w:val="Heading1"/>
        <w:rPr>
          <w:sz w:val="24"/>
          <w:szCs w:val="24"/>
          <w:lang w:val="en-GB"/>
        </w:rPr>
      </w:pPr>
      <w:bookmarkStart w:id="0" w:name="OLE_LINK1"/>
      <w:bookmarkStart w:id="1" w:name="OLE_LINK2"/>
      <w:r w:rsidRPr="00AA3AC2">
        <w:rPr>
          <w:sz w:val="24"/>
          <w:szCs w:val="24"/>
          <w:lang w:val="en-GB"/>
        </w:rPr>
        <w:lastRenderedPageBreak/>
        <w:t>4. Timing of the call</w:t>
      </w:r>
    </w:p>
    <w:bookmarkEnd w:id="0"/>
    <w:bookmarkEnd w:id="1"/>
    <w:p w14:paraId="42A13C42" w14:textId="7A674137" w:rsidR="00E949AB" w:rsidRPr="00AA3AC2" w:rsidRDefault="00E949AB" w:rsidP="00E949AB">
      <w:pPr>
        <w:suppressAutoHyphens/>
        <w:spacing w:before="80"/>
        <w:rPr>
          <w:lang w:val="en-GB"/>
        </w:rPr>
      </w:pPr>
      <w:r w:rsidRPr="00AA3AC2">
        <w:rPr>
          <w:lang w:val="en-GB"/>
        </w:rPr>
        <w:t xml:space="preserve">The </w:t>
      </w:r>
      <w:r w:rsidR="0014121E" w:rsidRPr="00EF3AE8">
        <w:rPr>
          <w:lang w:val="en-GB"/>
        </w:rPr>
        <w:t>second</w:t>
      </w:r>
      <w:r w:rsidR="0014121E" w:rsidRPr="00AA3AC2">
        <w:rPr>
          <w:lang w:val="en-GB"/>
        </w:rPr>
        <w:t xml:space="preserve"> </w:t>
      </w:r>
      <w:r w:rsidRPr="00AA3AC2">
        <w:rPr>
          <w:lang w:val="en-GB"/>
        </w:rPr>
        <w:t xml:space="preserve">call for proposals opens on </w:t>
      </w:r>
      <w:r w:rsidR="000134FD" w:rsidRPr="00EF3AE8">
        <w:rPr>
          <w:b/>
          <w:bCs/>
          <w:lang w:val="en-GB"/>
        </w:rPr>
        <w:t>1</w:t>
      </w:r>
      <w:r w:rsidRPr="00AA3AC2">
        <w:rPr>
          <w:b/>
          <w:bCs/>
          <w:lang w:val="en-GB"/>
        </w:rPr>
        <w:t>5</w:t>
      </w:r>
      <w:r w:rsidRPr="00AA3AC2">
        <w:rPr>
          <w:b/>
          <w:bCs/>
          <w:vertAlign w:val="superscript"/>
          <w:lang w:val="en-GB"/>
        </w:rPr>
        <w:t>th</w:t>
      </w:r>
      <w:r w:rsidRPr="00AA3AC2">
        <w:rPr>
          <w:b/>
          <w:bCs/>
          <w:lang w:val="en-GB"/>
        </w:rPr>
        <w:t xml:space="preserve"> </w:t>
      </w:r>
      <w:r w:rsidR="000134FD">
        <w:rPr>
          <w:b/>
          <w:bCs/>
          <w:lang w:val="en-GB"/>
        </w:rPr>
        <w:t>March</w:t>
      </w:r>
      <w:r w:rsidRPr="00AA3AC2">
        <w:rPr>
          <w:b/>
          <w:bCs/>
          <w:lang w:val="en-GB"/>
        </w:rPr>
        <w:t xml:space="preserve"> 202</w:t>
      </w:r>
      <w:r w:rsidR="000134FD">
        <w:rPr>
          <w:b/>
          <w:bCs/>
          <w:lang w:val="en-GB"/>
        </w:rPr>
        <w:t>3</w:t>
      </w:r>
      <w:r w:rsidRPr="00AA3AC2">
        <w:rPr>
          <w:lang w:val="en-GB"/>
        </w:rPr>
        <w:t xml:space="preserve"> and closes on </w:t>
      </w:r>
      <w:r w:rsidR="000134FD" w:rsidRPr="00EF3AE8">
        <w:rPr>
          <w:b/>
          <w:bCs/>
          <w:lang w:val="en-GB"/>
        </w:rPr>
        <w:t>9</w:t>
      </w:r>
      <w:r w:rsidR="000134FD" w:rsidRPr="00EF3AE8">
        <w:rPr>
          <w:b/>
          <w:bCs/>
          <w:vertAlign w:val="superscript"/>
          <w:lang w:val="en-GB"/>
        </w:rPr>
        <w:t>th</w:t>
      </w:r>
      <w:r w:rsidR="000134FD" w:rsidRPr="00EF3AE8">
        <w:rPr>
          <w:b/>
          <w:bCs/>
          <w:lang w:val="en-GB"/>
        </w:rPr>
        <w:t xml:space="preserve"> </w:t>
      </w:r>
      <w:r w:rsidR="000134FD">
        <w:rPr>
          <w:b/>
          <w:bCs/>
          <w:lang w:val="en-GB"/>
        </w:rPr>
        <w:t>June</w:t>
      </w:r>
      <w:r w:rsidRPr="00AA3AC2">
        <w:rPr>
          <w:b/>
          <w:bCs/>
          <w:lang w:val="en-GB"/>
        </w:rPr>
        <w:t xml:space="preserve"> 202</w:t>
      </w:r>
      <w:r w:rsidR="000134FD">
        <w:rPr>
          <w:b/>
          <w:bCs/>
          <w:lang w:val="en-GB"/>
        </w:rPr>
        <w:t>3</w:t>
      </w:r>
      <w:r w:rsidRPr="00AA3AC2">
        <w:rPr>
          <w:b/>
          <w:bCs/>
          <w:lang w:val="en-GB"/>
        </w:rPr>
        <w:t>, at 12:00</w:t>
      </w:r>
      <w:r w:rsidRPr="00AA3AC2">
        <w:rPr>
          <w:lang w:val="en-GB"/>
        </w:rPr>
        <w:t xml:space="preserve"> </w:t>
      </w:r>
      <w:r w:rsidRPr="00AA3AC2">
        <w:rPr>
          <w:b/>
          <w:bCs/>
          <w:lang w:val="en-GB"/>
        </w:rPr>
        <w:t>p.m.</w:t>
      </w:r>
      <w:r w:rsidRPr="00AA3AC2">
        <w:rPr>
          <w:lang w:val="en-GB"/>
        </w:rPr>
        <w:t xml:space="preserve"> </w:t>
      </w:r>
      <w:r w:rsidRPr="00AA3AC2">
        <w:rPr>
          <w:b/>
          <w:bCs/>
          <w:lang w:val="en-GB"/>
        </w:rPr>
        <w:t xml:space="preserve">(midday) </w:t>
      </w:r>
      <w:r w:rsidRPr="00AA3AC2">
        <w:rPr>
          <w:lang w:val="en-GB"/>
        </w:rPr>
        <w:t>CEST (Paris time).</w:t>
      </w:r>
    </w:p>
    <w:p w14:paraId="3E91882B" w14:textId="77777777" w:rsidR="00E949AB" w:rsidRPr="00AA3AC2" w:rsidRDefault="00E949AB" w:rsidP="00E949AB">
      <w:pPr>
        <w:pStyle w:val="Heading1"/>
        <w:rPr>
          <w:sz w:val="24"/>
          <w:szCs w:val="24"/>
          <w:lang w:val="en-GB"/>
        </w:rPr>
      </w:pPr>
      <w:r w:rsidRPr="00AA3AC2">
        <w:rPr>
          <w:sz w:val="24"/>
          <w:szCs w:val="24"/>
          <w:lang w:val="en-GB"/>
        </w:rPr>
        <w:t>5. Action supported</w:t>
      </w:r>
    </w:p>
    <w:p w14:paraId="7021AB71" w14:textId="77777777" w:rsidR="00E949AB" w:rsidRPr="00AA3AC2" w:rsidRDefault="00E949AB" w:rsidP="00E949AB">
      <w:pPr>
        <w:suppressAutoHyphens/>
        <w:spacing w:before="80"/>
        <w:rPr>
          <w:lang w:val="en-GB"/>
        </w:rPr>
      </w:pPr>
      <w:r w:rsidRPr="00AA3AC2">
        <w:rPr>
          <w:lang w:val="en-GB"/>
        </w:rPr>
        <w:t xml:space="preserve">This is a call for proposals for </w:t>
      </w:r>
      <w:r w:rsidRPr="00AA3AC2">
        <w:rPr>
          <w:b/>
          <w:lang w:val="en-GB"/>
        </w:rPr>
        <w:t>interregional cooperation projects</w:t>
      </w:r>
      <w:r w:rsidRPr="00AA3AC2">
        <w:rPr>
          <w:lang w:val="en-GB"/>
        </w:rPr>
        <w:t xml:space="preserve">. These projects gather </w:t>
      </w:r>
      <w:r w:rsidRPr="00AA3AC2">
        <w:rPr>
          <w:rFonts w:cs="Arial"/>
          <w:lang w:val="en-GB"/>
        </w:rPr>
        <w:t xml:space="preserve">policy-relevant organisations from different countries in Europe working together on a common regional development issue. The first three years of the projects (‘core phase’) are dedicated to exchange and transfer of experience among the participating partners in order to improve the policy instruments addressed by the project. In the fourth and last year (‘follow-up phase’), the regions mainly focus on monitoring the results and </w:t>
      </w:r>
      <w:r w:rsidRPr="00AA3AC2">
        <w:rPr>
          <w:lang w:val="en-GB"/>
        </w:rPr>
        <w:t>impact of the cooperation</w:t>
      </w:r>
      <w:r w:rsidRPr="00AA3AC2">
        <w:rPr>
          <w:rFonts w:cs="Arial"/>
          <w:lang w:val="en-GB"/>
        </w:rPr>
        <w:t>.</w:t>
      </w:r>
    </w:p>
    <w:p w14:paraId="56BAF560" w14:textId="77777777" w:rsidR="00E949AB" w:rsidRPr="00AA3AC2" w:rsidRDefault="00E949AB" w:rsidP="00E949AB">
      <w:pPr>
        <w:jc w:val="left"/>
        <w:rPr>
          <w:lang w:val="en-GB"/>
        </w:rPr>
      </w:pPr>
      <w:r w:rsidRPr="00AA3AC2">
        <w:rPr>
          <w:lang w:val="en-GB"/>
        </w:rPr>
        <w:t xml:space="preserve">A detailed description of this action is provided in section B ‘Projects’ of the programme manual. </w:t>
      </w:r>
    </w:p>
    <w:p w14:paraId="5D64504B" w14:textId="77777777" w:rsidR="00E949AB" w:rsidRPr="00AA3AC2" w:rsidRDefault="00E949AB" w:rsidP="00E949AB">
      <w:pPr>
        <w:pStyle w:val="Heading1"/>
        <w:rPr>
          <w:sz w:val="24"/>
          <w:szCs w:val="24"/>
          <w:lang w:val="en-GB"/>
        </w:rPr>
      </w:pPr>
      <w:r w:rsidRPr="00AA3AC2">
        <w:rPr>
          <w:sz w:val="24"/>
          <w:szCs w:val="24"/>
          <w:lang w:val="en-GB"/>
        </w:rPr>
        <w:t>6. Priorities</w:t>
      </w:r>
    </w:p>
    <w:p w14:paraId="6C694714" w14:textId="77777777" w:rsidR="00E949AB" w:rsidRPr="00AA3AC2" w:rsidRDefault="00E949AB" w:rsidP="00C72F0B">
      <w:pPr>
        <w:spacing w:before="240" w:after="80" w:line="300" w:lineRule="auto"/>
        <w:rPr>
          <w:rFonts w:cs="Arial"/>
          <w:b/>
          <w:bCs/>
          <w:sz w:val="22"/>
          <w:szCs w:val="22"/>
          <w:lang w:val="en-GB"/>
        </w:rPr>
      </w:pPr>
      <w:bookmarkStart w:id="2" w:name="_Hlk87869380"/>
      <w:r w:rsidRPr="00AA3AC2">
        <w:rPr>
          <w:rFonts w:cs="Arial"/>
          <w:b/>
          <w:bCs/>
          <w:sz w:val="22"/>
          <w:szCs w:val="22"/>
          <w:lang w:val="en-GB"/>
        </w:rPr>
        <w:t>Programme scope</w:t>
      </w:r>
    </w:p>
    <w:bookmarkEnd w:id="2"/>
    <w:p w14:paraId="1DD8B172" w14:textId="77777777" w:rsidR="00E949AB" w:rsidRPr="00AA3AC2" w:rsidRDefault="00E949AB" w:rsidP="00C72F0B">
      <w:pPr>
        <w:spacing w:after="80"/>
        <w:rPr>
          <w:rFonts w:cs="Arial"/>
          <w:lang w:val="en-GB"/>
        </w:rPr>
      </w:pPr>
      <w:r w:rsidRPr="00AA3AC2">
        <w:rPr>
          <w:rFonts w:cs="Arial"/>
          <w:lang w:val="en-GB"/>
        </w:rPr>
        <w:t xml:space="preserve">The programme is structured around one single cross-cutting priority, the Interreg-specific objective ‘a better cooperation governance’. This means that beneficiaries can cooperate on </w:t>
      </w:r>
      <w:r w:rsidRPr="00AA3AC2">
        <w:rPr>
          <w:rFonts w:cs="Arial"/>
          <w:b/>
          <w:bCs/>
          <w:lang w:val="en-GB"/>
        </w:rPr>
        <w:t>any topics of shared relevance in line with their regional needs, as long as this falls within the scope of cohesion policy</w:t>
      </w:r>
      <w:r w:rsidRPr="00AA3AC2">
        <w:rPr>
          <w:rFonts w:cs="Arial"/>
          <w:lang w:val="en-GB"/>
        </w:rPr>
        <w:t xml:space="preserve">. </w:t>
      </w:r>
    </w:p>
    <w:p w14:paraId="1D1C1A8A" w14:textId="77777777" w:rsidR="00E949AB" w:rsidRDefault="00E949AB" w:rsidP="00C72F0B">
      <w:pPr>
        <w:spacing w:after="80"/>
        <w:rPr>
          <w:rFonts w:cs="Arial"/>
          <w:lang w:val="en-GB"/>
        </w:rPr>
      </w:pPr>
      <w:r w:rsidRPr="00AA3AC2">
        <w:rPr>
          <w:rFonts w:cs="Arial"/>
          <w:lang w:val="en-GB"/>
        </w:rPr>
        <w:t xml:space="preserve">This scope includes the topics defined by the policy objectives and specific objectives of cohesion policy as presented in Regulation (EU) 2021/1060 (CPR), Article 5 and Regulation (EU) 2021/1058 on ERDF, Article 3. Despite one single priority, the actions of the programme are still organised according to the specific objectives of the cohesion policy listed in table 1 below. This means that projects need to select a specific objective in their application form. </w:t>
      </w:r>
    </w:p>
    <w:p w14:paraId="3316B611" w14:textId="42DAC954" w:rsidR="005A6FC7" w:rsidRPr="00AA3AC2" w:rsidRDefault="005A6FC7" w:rsidP="00EF3AE8">
      <w:pPr>
        <w:rPr>
          <w:rFonts w:cs="Arial"/>
          <w:lang w:val="en-GB"/>
        </w:rPr>
      </w:pPr>
      <w:r>
        <w:rPr>
          <w:rFonts w:cs="Arial"/>
          <w:lang w:val="en-GB"/>
        </w:rPr>
        <w:t>As regards</w:t>
      </w:r>
      <w:r w:rsidRPr="00674614">
        <w:rPr>
          <w:rFonts w:cs="Arial"/>
          <w:lang w:val="en-GB"/>
        </w:rPr>
        <w:t xml:space="preserve"> policy objectives 1 and 2, the program</w:t>
      </w:r>
      <w:r>
        <w:rPr>
          <w:rFonts w:cs="Arial"/>
          <w:lang w:val="en-GB"/>
        </w:rPr>
        <w:t>me</w:t>
      </w:r>
      <w:r w:rsidRPr="00674614">
        <w:rPr>
          <w:rFonts w:cs="Arial"/>
          <w:lang w:val="en-GB"/>
        </w:rPr>
        <w:t xml:space="preserve"> welcomes </w:t>
      </w:r>
      <w:r>
        <w:rPr>
          <w:rFonts w:cs="Arial"/>
          <w:lang w:val="en-GB"/>
        </w:rPr>
        <w:t xml:space="preserve">applications </w:t>
      </w:r>
      <w:r w:rsidR="007D74B8">
        <w:rPr>
          <w:rFonts w:cs="Arial"/>
          <w:lang w:val="en-GB"/>
        </w:rPr>
        <w:t>dealing with</w:t>
      </w:r>
      <w:r w:rsidRPr="00674614">
        <w:rPr>
          <w:rFonts w:cs="Arial"/>
          <w:lang w:val="en-GB"/>
        </w:rPr>
        <w:t xml:space="preserve"> </w:t>
      </w:r>
      <w:r>
        <w:rPr>
          <w:rFonts w:cs="Arial"/>
          <w:lang w:val="en-GB"/>
        </w:rPr>
        <w:t>innovative solutions to mitigate the</w:t>
      </w:r>
      <w:r w:rsidRPr="00674614">
        <w:rPr>
          <w:rFonts w:cs="Arial"/>
          <w:lang w:val="en-GB"/>
        </w:rPr>
        <w:t xml:space="preserve"> effects of the energy crisis in the regions and accelerate the</w:t>
      </w:r>
      <w:r>
        <w:rPr>
          <w:rFonts w:cs="Arial"/>
          <w:lang w:val="en-GB"/>
        </w:rPr>
        <w:t>ir</w:t>
      </w:r>
      <w:r w:rsidRPr="00674614">
        <w:rPr>
          <w:rFonts w:cs="Arial"/>
          <w:lang w:val="en-GB"/>
        </w:rPr>
        <w:t xml:space="preserve"> energy transition</w:t>
      </w:r>
      <w:r w:rsidR="00685B16">
        <w:rPr>
          <w:rFonts w:cs="Arial"/>
          <w:lang w:val="en-GB"/>
        </w:rPr>
        <w:t xml:space="preserve"> (e.g., policies supporting </w:t>
      </w:r>
      <w:r w:rsidR="00B91E69">
        <w:rPr>
          <w:rFonts w:cs="Arial"/>
          <w:lang w:val="en-GB"/>
        </w:rPr>
        <w:t>the development of research and innovation tools or the scaling up and diffusion of such tools)</w:t>
      </w:r>
      <w:r>
        <w:rPr>
          <w:rFonts w:cs="Arial"/>
          <w:lang w:val="en-GB"/>
        </w:rPr>
        <w:t xml:space="preserve">. </w:t>
      </w:r>
    </w:p>
    <w:p w14:paraId="5A32D57B" w14:textId="77777777" w:rsidR="00E949AB" w:rsidRPr="00AA3AC2" w:rsidRDefault="00E949AB" w:rsidP="00C72F0B">
      <w:pPr>
        <w:spacing w:before="240" w:after="80"/>
        <w:rPr>
          <w:rFonts w:cs="Arial"/>
          <w:b/>
          <w:bCs/>
          <w:sz w:val="22"/>
          <w:szCs w:val="22"/>
          <w:lang w:val="en-GB"/>
        </w:rPr>
      </w:pPr>
      <w:r w:rsidRPr="00AA3AC2">
        <w:rPr>
          <w:rFonts w:cs="Arial"/>
          <w:b/>
          <w:bCs/>
          <w:sz w:val="22"/>
          <w:szCs w:val="22"/>
          <w:lang w:val="en-GB"/>
        </w:rPr>
        <w:t>Concentration principle</w:t>
      </w:r>
    </w:p>
    <w:p w14:paraId="6B34B61C" w14:textId="77777777" w:rsidR="00E949AB" w:rsidRPr="00AA3AC2" w:rsidRDefault="00E949AB" w:rsidP="00C72F0B">
      <w:pPr>
        <w:spacing w:after="80"/>
        <w:rPr>
          <w:rFonts w:cs="Arial"/>
          <w:lang w:val="en-GB"/>
        </w:rPr>
      </w:pPr>
      <w:r w:rsidRPr="00AA3AC2">
        <w:rPr>
          <w:rFonts w:cs="Arial"/>
          <w:lang w:val="en-GB"/>
        </w:rPr>
        <w:t xml:space="preserve">The programme also recognises the need to concentrate resources on those policy areas that are most relevant and urgent for regions in Europe. For this reason, the programme plans to indicatively concentrate the largest share of its budget (80%) on the thematic areas covered by a selection of specific objectives. This budget concentration is summarised in table 1 below. </w:t>
      </w:r>
    </w:p>
    <w:p w14:paraId="603B35A0" w14:textId="77777777" w:rsidR="00E949AB" w:rsidRPr="00AA3AC2" w:rsidRDefault="00E949AB" w:rsidP="00C72F0B">
      <w:pPr>
        <w:jc w:val="left"/>
        <w:rPr>
          <w:rFonts w:cs="Arial"/>
          <w:b/>
          <w:i/>
          <w:iCs/>
          <w:color w:val="404040"/>
          <w:lang w:val="en-GB"/>
        </w:rPr>
      </w:pPr>
      <w:r w:rsidRPr="00AA3AC2">
        <w:rPr>
          <w:rFonts w:cs="Arial"/>
          <w:b/>
          <w:i/>
          <w:iCs/>
          <w:color w:val="404040"/>
          <w:lang w:val="en-GB"/>
        </w:rPr>
        <w:br w:type="page"/>
      </w:r>
    </w:p>
    <w:p w14:paraId="5A8512DD" w14:textId="77777777" w:rsidR="00E949AB" w:rsidRPr="00AA3AC2" w:rsidRDefault="00E949AB" w:rsidP="00E949AB">
      <w:pPr>
        <w:spacing w:after="80" w:line="300" w:lineRule="auto"/>
        <w:rPr>
          <w:rFonts w:cs="Arial"/>
          <w:b/>
          <w:color w:val="404040"/>
          <w:sz w:val="24"/>
          <w:szCs w:val="24"/>
          <w:lang w:val="en-GB"/>
        </w:rPr>
      </w:pPr>
      <w:r w:rsidRPr="00AA3AC2">
        <w:rPr>
          <w:rFonts w:cs="Arial"/>
          <w:b/>
          <w:color w:val="404040"/>
          <w:sz w:val="24"/>
          <w:szCs w:val="24"/>
          <w:lang w:val="en-GB"/>
        </w:rPr>
        <w:lastRenderedPageBreak/>
        <w:t xml:space="preserve">Table 1 – Allocation of programme budget per Policy Objectives and corresponding Specific Objectives </w:t>
      </w:r>
    </w:p>
    <w:tbl>
      <w:tblPr>
        <w:tblW w:w="9923" w:type="dxa"/>
        <w:tblInd w:w="-5"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CellMar>
          <w:top w:w="28" w:type="dxa"/>
          <w:bottom w:w="28" w:type="dxa"/>
        </w:tblCellMar>
        <w:tblLook w:val="04A0" w:firstRow="1" w:lastRow="0" w:firstColumn="1" w:lastColumn="0" w:noHBand="0" w:noVBand="1"/>
      </w:tblPr>
      <w:tblGrid>
        <w:gridCol w:w="1418"/>
        <w:gridCol w:w="2410"/>
        <w:gridCol w:w="6095"/>
      </w:tblGrid>
      <w:tr w:rsidR="00E949AB" w:rsidRPr="00AA3AC2" w14:paraId="1B323F05" w14:textId="77777777" w:rsidTr="00C72F0B">
        <w:trPr>
          <w:trHeight w:val="998"/>
          <w:tblHeader/>
        </w:trPr>
        <w:tc>
          <w:tcPr>
            <w:tcW w:w="1418" w:type="dxa"/>
            <w:shd w:val="clear" w:color="auto" w:fill="000000" w:themeFill="text1"/>
          </w:tcPr>
          <w:p w14:paraId="3E319D06" w14:textId="77777777" w:rsidR="00E949AB" w:rsidRPr="00AA3AC2" w:rsidRDefault="00E949AB" w:rsidP="006F2941">
            <w:pPr>
              <w:spacing w:after="80" w:line="300" w:lineRule="auto"/>
              <w:rPr>
                <w:rFonts w:cs="Arial"/>
                <w:b/>
                <w:color w:val="FFFFFF" w:themeColor="background1"/>
                <w:lang w:val="en-GB"/>
              </w:rPr>
            </w:pPr>
            <w:r w:rsidRPr="00AA3AC2">
              <w:rPr>
                <w:rFonts w:cs="Arial"/>
                <w:b/>
                <w:color w:val="FFFFFF" w:themeColor="background1"/>
                <w:lang w:val="en-GB"/>
              </w:rPr>
              <w:t>Share of programme budget</w:t>
            </w:r>
          </w:p>
        </w:tc>
        <w:tc>
          <w:tcPr>
            <w:tcW w:w="2410" w:type="dxa"/>
            <w:shd w:val="clear" w:color="auto" w:fill="000000" w:themeFill="text1"/>
          </w:tcPr>
          <w:p w14:paraId="1061C8DF" w14:textId="77777777" w:rsidR="00E949AB" w:rsidRPr="00AA3AC2" w:rsidRDefault="00E949AB" w:rsidP="006F2941">
            <w:pPr>
              <w:spacing w:after="80" w:line="300" w:lineRule="auto"/>
              <w:rPr>
                <w:rFonts w:cs="Arial"/>
                <w:b/>
                <w:color w:val="FFFFFF" w:themeColor="background1"/>
                <w:lang w:val="en-GB"/>
              </w:rPr>
            </w:pPr>
            <w:r w:rsidRPr="00AA3AC2">
              <w:rPr>
                <w:rFonts w:cs="Arial"/>
                <w:b/>
                <w:color w:val="FFFFFF" w:themeColor="background1"/>
                <w:lang w:val="en-GB"/>
              </w:rPr>
              <w:t>Policy objectives</w:t>
            </w:r>
          </w:p>
        </w:tc>
        <w:tc>
          <w:tcPr>
            <w:tcW w:w="6095" w:type="dxa"/>
            <w:shd w:val="clear" w:color="auto" w:fill="000000" w:themeFill="text1"/>
          </w:tcPr>
          <w:p w14:paraId="1263D6C0" w14:textId="77777777" w:rsidR="00E949AB" w:rsidRPr="00AA3AC2" w:rsidRDefault="00E949AB" w:rsidP="006F2941">
            <w:pPr>
              <w:spacing w:after="80" w:line="300" w:lineRule="auto"/>
              <w:rPr>
                <w:rFonts w:cs="Arial"/>
                <w:b/>
                <w:color w:val="FFFFFF" w:themeColor="background1"/>
                <w:lang w:val="en-GB"/>
              </w:rPr>
            </w:pPr>
            <w:r w:rsidRPr="00AA3AC2">
              <w:rPr>
                <w:rFonts w:cs="Arial"/>
                <w:b/>
                <w:color w:val="FFFFFF" w:themeColor="background1"/>
                <w:lang w:val="en-GB"/>
              </w:rPr>
              <w:t>Specific objectives</w:t>
            </w:r>
          </w:p>
        </w:tc>
      </w:tr>
      <w:tr w:rsidR="00E949AB" w:rsidRPr="00AA3AC2" w14:paraId="2703E2D4" w14:textId="77777777" w:rsidTr="00C72F0B">
        <w:tc>
          <w:tcPr>
            <w:tcW w:w="1418" w:type="dxa"/>
            <w:vMerge w:val="restart"/>
            <w:shd w:val="clear" w:color="auto" w:fill="FFFFFF" w:themeFill="background1"/>
            <w:vAlign w:val="center"/>
          </w:tcPr>
          <w:p w14:paraId="71A8704A" w14:textId="77777777" w:rsidR="00E949AB" w:rsidRPr="00AA3AC2" w:rsidRDefault="00E949AB" w:rsidP="00C72F0B">
            <w:pPr>
              <w:spacing w:after="80"/>
              <w:jc w:val="center"/>
              <w:rPr>
                <w:rFonts w:cs="Arial"/>
                <w:b/>
                <w:bCs/>
                <w:sz w:val="18"/>
                <w:szCs w:val="18"/>
                <w:lang w:val="en-GB"/>
              </w:rPr>
            </w:pPr>
            <w:r w:rsidRPr="00AA3AC2">
              <w:rPr>
                <w:rFonts w:cs="Arial"/>
                <w:b/>
                <w:bCs/>
                <w:sz w:val="21"/>
                <w:szCs w:val="21"/>
                <w:lang w:val="en-GB"/>
              </w:rPr>
              <w:t>80%</w:t>
            </w:r>
          </w:p>
        </w:tc>
        <w:tc>
          <w:tcPr>
            <w:tcW w:w="2410" w:type="dxa"/>
            <w:shd w:val="clear" w:color="auto" w:fill="FFFFFF" w:themeFill="background1"/>
          </w:tcPr>
          <w:p w14:paraId="65E8C00A" w14:textId="77777777" w:rsidR="00E949AB" w:rsidRPr="00AA3AC2" w:rsidRDefault="00E949AB" w:rsidP="00C72F0B">
            <w:pPr>
              <w:autoSpaceDE w:val="0"/>
              <w:autoSpaceDN w:val="0"/>
              <w:adjustRightInd w:val="0"/>
              <w:rPr>
                <w:rFonts w:cs="Arial"/>
                <w:sz w:val="18"/>
                <w:szCs w:val="18"/>
                <w:lang w:val="en-GB"/>
              </w:rPr>
            </w:pPr>
            <w:r w:rsidRPr="00AA3AC2">
              <w:rPr>
                <w:rFonts w:cs="Arial"/>
                <w:sz w:val="18"/>
                <w:szCs w:val="18"/>
                <w:lang w:val="en-GB"/>
              </w:rPr>
              <w:t>1. Smarter Europe</w:t>
            </w:r>
          </w:p>
          <w:p w14:paraId="2D1C34E6" w14:textId="77777777" w:rsidR="00E949AB" w:rsidRPr="00AA3AC2" w:rsidRDefault="00E949AB" w:rsidP="00C72F0B">
            <w:pPr>
              <w:pStyle w:val="ListParagraph"/>
              <w:autoSpaceDE w:val="0"/>
              <w:autoSpaceDN w:val="0"/>
              <w:adjustRightInd w:val="0"/>
              <w:rPr>
                <w:rFonts w:cs="Arial"/>
                <w:sz w:val="18"/>
                <w:szCs w:val="18"/>
                <w:lang w:val="en-GB"/>
              </w:rPr>
            </w:pPr>
          </w:p>
        </w:tc>
        <w:tc>
          <w:tcPr>
            <w:tcW w:w="6095" w:type="dxa"/>
            <w:shd w:val="clear" w:color="auto" w:fill="FFFFFF" w:themeFill="background1"/>
          </w:tcPr>
          <w:p w14:paraId="2E26194C" w14:textId="77777777" w:rsidR="00E949AB" w:rsidRPr="00AA3AC2" w:rsidRDefault="00E949AB" w:rsidP="00C72F0B">
            <w:pPr>
              <w:autoSpaceDE w:val="0"/>
              <w:autoSpaceDN w:val="0"/>
              <w:adjustRightInd w:val="0"/>
              <w:spacing w:after="0"/>
              <w:contextualSpacing/>
              <w:rPr>
                <w:rFonts w:cs="Arial"/>
                <w:color w:val="000000"/>
                <w:sz w:val="18"/>
                <w:szCs w:val="18"/>
                <w:lang w:val="en-GB" w:eastAsia="fr-FR"/>
              </w:rPr>
            </w:pPr>
            <w:r w:rsidRPr="00AA3AC2">
              <w:rPr>
                <w:rFonts w:cs="Arial"/>
                <w:color w:val="000000"/>
                <w:sz w:val="18"/>
                <w:szCs w:val="18"/>
                <w:lang w:val="en-GB" w:eastAsia="fr-FR"/>
              </w:rPr>
              <w:t>All specific objectives:</w:t>
            </w:r>
          </w:p>
          <w:p w14:paraId="06A545DD" w14:textId="77777777" w:rsidR="00E949AB" w:rsidRPr="00AA3AC2" w:rsidRDefault="00E949AB" w:rsidP="00C72F0B">
            <w:pPr>
              <w:pStyle w:val="ListParagraph"/>
              <w:numPr>
                <w:ilvl w:val="0"/>
                <w:numId w:val="35"/>
              </w:numPr>
              <w:autoSpaceDE w:val="0"/>
              <w:autoSpaceDN w:val="0"/>
              <w:adjustRightInd w:val="0"/>
              <w:spacing w:after="0"/>
              <w:ind w:left="742" w:hanging="709"/>
              <w:jc w:val="left"/>
              <w:rPr>
                <w:rFonts w:cs="Arial"/>
                <w:color w:val="000000"/>
                <w:sz w:val="18"/>
                <w:szCs w:val="18"/>
                <w:lang w:val="en-GB"/>
              </w:rPr>
            </w:pPr>
            <w:r w:rsidRPr="00AA3AC2">
              <w:rPr>
                <w:rFonts w:cs="Arial"/>
                <w:color w:val="000000"/>
                <w:sz w:val="18"/>
                <w:szCs w:val="18"/>
                <w:lang w:val="en-GB"/>
              </w:rPr>
              <w:t>Research and Innovation capacities, uptake of advanced technologies</w:t>
            </w:r>
          </w:p>
          <w:p w14:paraId="0D75ED2E" w14:textId="77777777" w:rsidR="00E949AB" w:rsidRPr="00AA3AC2" w:rsidRDefault="00E949AB" w:rsidP="00C72F0B">
            <w:pPr>
              <w:pStyle w:val="ListParagraph"/>
              <w:numPr>
                <w:ilvl w:val="0"/>
                <w:numId w:val="35"/>
              </w:numPr>
              <w:autoSpaceDE w:val="0"/>
              <w:autoSpaceDN w:val="0"/>
              <w:adjustRightInd w:val="0"/>
              <w:spacing w:after="0"/>
              <w:ind w:left="742" w:hanging="709"/>
              <w:jc w:val="left"/>
              <w:rPr>
                <w:rFonts w:cs="Arial"/>
                <w:color w:val="000000"/>
                <w:sz w:val="18"/>
                <w:szCs w:val="18"/>
                <w:lang w:val="en-GB"/>
              </w:rPr>
            </w:pPr>
            <w:r w:rsidRPr="00AA3AC2">
              <w:rPr>
                <w:rFonts w:eastAsia="Times New Roman" w:cs="Arial"/>
                <w:color w:val="000000"/>
                <w:sz w:val="18"/>
                <w:szCs w:val="18"/>
                <w:lang w:val="en-GB"/>
              </w:rPr>
              <w:t>Digitisation for citizens, companies, research organisations and public authorities</w:t>
            </w:r>
          </w:p>
          <w:p w14:paraId="0018B28A" w14:textId="77777777" w:rsidR="00E949AB" w:rsidRPr="00AA3AC2" w:rsidRDefault="00E949AB" w:rsidP="00C72F0B">
            <w:pPr>
              <w:pStyle w:val="ListParagraph"/>
              <w:numPr>
                <w:ilvl w:val="0"/>
                <w:numId w:val="35"/>
              </w:numPr>
              <w:autoSpaceDE w:val="0"/>
              <w:autoSpaceDN w:val="0"/>
              <w:adjustRightInd w:val="0"/>
              <w:spacing w:after="0"/>
              <w:ind w:left="742" w:hanging="709"/>
              <w:jc w:val="left"/>
              <w:rPr>
                <w:rFonts w:eastAsia="Times New Roman" w:cs="Arial"/>
                <w:color w:val="000000"/>
                <w:sz w:val="18"/>
                <w:szCs w:val="18"/>
                <w:lang w:val="en-GB"/>
              </w:rPr>
            </w:pPr>
            <w:r w:rsidRPr="00AA3AC2">
              <w:rPr>
                <w:rFonts w:eastAsia="Times New Roman" w:cs="Arial"/>
                <w:color w:val="000000"/>
                <w:sz w:val="18"/>
                <w:szCs w:val="18"/>
                <w:lang w:val="en-GB"/>
              </w:rPr>
              <w:t>Sustainable growth and competitiveness of SMEs and job creation in SMEs, including by productive investments</w:t>
            </w:r>
          </w:p>
          <w:p w14:paraId="4E860DC8" w14:textId="77777777" w:rsidR="00E949AB" w:rsidRPr="00AA3AC2" w:rsidRDefault="00E949AB" w:rsidP="00C72F0B">
            <w:pPr>
              <w:pStyle w:val="ListParagraph"/>
              <w:numPr>
                <w:ilvl w:val="0"/>
                <w:numId w:val="35"/>
              </w:numPr>
              <w:autoSpaceDE w:val="0"/>
              <w:autoSpaceDN w:val="0"/>
              <w:adjustRightInd w:val="0"/>
              <w:spacing w:after="0"/>
              <w:ind w:left="742" w:hanging="709"/>
              <w:jc w:val="left"/>
              <w:rPr>
                <w:rFonts w:cs="Arial"/>
                <w:sz w:val="18"/>
                <w:szCs w:val="18"/>
                <w:lang w:val="en-GB"/>
              </w:rPr>
            </w:pPr>
            <w:r w:rsidRPr="00AA3AC2">
              <w:rPr>
                <w:rFonts w:eastAsia="Times New Roman" w:cs="Arial"/>
                <w:color w:val="000000"/>
                <w:sz w:val="18"/>
                <w:szCs w:val="18"/>
                <w:lang w:val="en-GB"/>
              </w:rPr>
              <w:t>Skills for smart specialisation, industrial transition &amp; entrepreneurship</w:t>
            </w:r>
          </w:p>
          <w:p w14:paraId="07CB8D99" w14:textId="77777777" w:rsidR="00E949AB" w:rsidRPr="00AA3AC2" w:rsidRDefault="00E949AB" w:rsidP="00C72F0B">
            <w:pPr>
              <w:pStyle w:val="ListParagraph"/>
              <w:numPr>
                <w:ilvl w:val="0"/>
                <w:numId w:val="35"/>
              </w:numPr>
              <w:autoSpaceDE w:val="0"/>
              <w:autoSpaceDN w:val="0"/>
              <w:adjustRightInd w:val="0"/>
              <w:spacing w:after="0"/>
              <w:ind w:left="742" w:hanging="709"/>
              <w:jc w:val="left"/>
              <w:rPr>
                <w:rFonts w:cs="Arial"/>
                <w:sz w:val="18"/>
                <w:szCs w:val="18"/>
                <w:lang w:val="en-GB"/>
              </w:rPr>
            </w:pPr>
            <w:r w:rsidRPr="00AA3AC2">
              <w:rPr>
                <w:rFonts w:eastAsia="Times New Roman" w:cs="Arial"/>
                <w:color w:val="000000"/>
                <w:sz w:val="18"/>
                <w:szCs w:val="18"/>
                <w:lang w:val="en-GB"/>
              </w:rPr>
              <w:t>Digital connectivity</w:t>
            </w:r>
          </w:p>
        </w:tc>
      </w:tr>
      <w:tr w:rsidR="00E949AB" w:rsidRPr="00325CD2" w14:paraId="66A36404" w14:textId="77777777" w:rsidTr="00C72F0B">
        <w:tc>
          <w:tcPr>
            <w:tcW w:w="1418" w:type="dxa"/>
            <w:vMerge/>
            <w:shd w:val="clear" w:color="auto" w:fill="FFFFFF" w:themeFill="background1"/>
          </w:tcPr>
          <w:p w14:paraId="5B2193FD" w14:textId="77777777" w:rsidR="00E949AB" w:rsidRPr="00AA3AC2" w:rsidRDefault="00E949AB" w:rsidP="00C72F0B">
            <w:pPr>
              <w:spacing w:after="80"/>
              <w:jc w:val="center"/>
              <w:rPr>
                <w:rFonts w:cs="Arial"/>
                <w:b/>
                <w:bCs/>
                <w:sz w:val="21"/>
                <w:szCs w:val="21"/>
                <w:lang w:val="en-GB"/>
              </w:rPr>
            </w:pPr>
          </w:p>
        </w:tc>
        <w:tc>
          <w:tcPr>
            <w:tcW w:w="2410" w:type="dxa"/>
            <w:shd w:val="clear" w:color="auto" w:fill="FFFFFF" w:themeFill="background1"/>
          </w:tcPr>
          <w:p w14:paraId="32373ADC" w14:textId="77777777" w:rsidR="00E949AB" w:rsidRPr="00AA3AC2" w:rsidRDefault="00E949AB" w:rsidP="00C72F0B">
            <w:pPr>
              <w:autoSpaceDE w:val="0"/>
              <w:autoSpaceDN w:val="0"/>
              <w:adjustRightInd w:val="0"/>
              <w:rPr>
                <w:rFonts w:cs="Arial"/>
                <w:sz w:val="18"/>
                <w:szCs w:val="18"/>
                <w:lang w:val="en-GB"/>
              </w:rPr>
            </w:pPr>
            <w:r w:rsidRPr="00AA3AC2">
              <w:rPr>
                <w:rFonts w:cs="Arial"/>
                <w:sz w:val="18"/>
                <w:szCs w:val="18"/>
                <w:lang w:val="en-GB"/>
              </w:rPr>
              <w:t>2. Greener Europe</w:t>
            </w:r>
          </w:p>
        </w:tc>
        <w:tc>
          <w:tcPr>
            <w:tcW w:w="6095" w:type="dxa"/>
            <w:shd w:val="clear" w:color="auto" w:fill="FFFFFF" w:themeFill="background1"/>
          </w:tcPr>
          <w:p w14:paraId="0BD9DD9F" w14:textId="77777777" w:rsidR="00E949AB" w:rsidRPr="00AA3AC2" w:rsidRDefault="00E949AB" w:rsidP="00C72F0B">
            <w:pPr>
              <w:autoSpaceDE w:val="0"/>
              <w:autoSpaceDN w:val="0"/>
              <w:adjustRightInd w:val="0"/>
              <w:spacing w:after="0"/>
              <w:contextualSpacing/>
              <w:rPr>
                <w:rFonts w:cs="Arial"/>
                <w:color w:val="000000"/>
                <w:sz w:val="18"/>
                <w:szCs w:val="18"/>
                <w:lang w:val="en-GB" w:eastAsia="fr-FR"/>
              </w:rPr>
            </w:pPr>
            <w:r w:rsidRPr="00AA3AC2">
              <w:rPr>
                <w:rFonts w:cs="Arial"/>
                <w:color w:val="000000"/>
                <w:sz w:val="18"/>
                <w:szCs w:val="18"/>
                <w:lang w:val="en-GB" w:eastAsia="fr-FR"/>
              </w:rPr>
              <w:t>All specific objectives:</w:t>
            </w:r>
          </w:p>
          <w:p w14:paraId="4017CC1E"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rPr>
            </w:pPr>
            <w:r w:rsidRPr="00AA3AC2">
              <w:rPr>
                <w:rFonts w:cs="Arial"/>
                <w:color w:val="000000"/>
                <w:sz w:val="18"/>
                <w:szCs w:val="18"/>
                <w:lang w:val="en-GB"/>
              </w:rPr>
              <w:t>Energy efficiency and reduction of greenhouse emissions</w:t>
            </w:r>
          </w:p>
          <w:p w14:paraId="6BFE6CF1"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Renewable energy</w:t>
            </w:r>
          </w:p>
          <w:p w14:paraId="1AA655C9"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Smart energy systems, grids and storage</w:t>
            </w:r>
          </w:p>
          <w:p w14:paraId="7A35B9C9"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Climate change adaptation, disaster risk prevention, resilience</w:t>
            </w:r>
          </w:p>
          <w:p w14:paraId="7A2555F1"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Access to water and sustainable water management</w:t>
            </w:r>
          </w:p>
          <w:p w14:paraId="055EFD8F"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Circular and resource efficient economy</w:t>
            </w:r>
          </w:p>
          <w:p w14:paraId="283205EE"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Protection and preservation of nature and biodiversity, green infrastructures, pollution reduction</w:t>
            </w:r>
          </w:p>
          <w:p w14:paraId="221A5108" w14:textId="77777777" w:rsidR="00E949AB" w:rsidRPr="00AA3AC2" w:rsidRDefault="00E949AB" w:rsidP="00C72F0B">
            <w:pPr>
              <w:pStyle w:val="ListParagraph"/>
              <w:numPr>
                <w:ilvl w:val="0"/>
                <w:numId w:val="34"/>
              </w:numPr>
              <w:autoSpaceDE w:val="0"/>
              <w:autoSpaceDN w:val="0"/>
              <w:adjustRightInd w:val="0"/>
              <w:spacing w:after="0"/>
              <w:ind w:left="742"/>
              <w:jc w:val="left"/>
              <w:rPr>
                <w:rFonts w:cs="Arial"/>
                <w:color w:val="000000"/>
                <w:sz w:val="18"/>
                <w:szCs w:val="18"/>
                <w:lang w:val="en-GB" w:eastAsia="fr-FR"/>
              </w:rPr>
            </w:pPr>
            <w:r w:rsidRPr="00AA3AC2">
              <w:rPr>
                <w:rFonts w:eastAsia="Times New Roman" w:cs="Arial"/>
                <w:color w:val="000000"/>
                <w:sz w:val="18"/>
                <w:szCs w:val="18"/>
                <w:lang w:val="en-GB"/>
              </w:rPr>
              <w:t>Sustainable urban mobility for zero carbon economy</w:t>
            </w:r>
          </w:p>
        </w:tc>
      </w:tr>
      <w:tr w:rsidR="00E949AB" w:rsidRPr="00325CD2" w14:paraId="26A93760" w14:textId="77777777" w:rsidTr="00C72F0B">
        <w:tc>
          <w:tcPr>
            <w:tcW w:w="1418" w:type="dxa"/>
            <w:vMerge/>
            <w:shd w:val="clear" w:color="auto" w:fill="FFFFFF" w:themeFill="background1"/>
          </w:tcPr>
          <w:p w14:paraId="2540CB91" w14:textId="77777777" w:rsidR="00E949AB" w:rsidRPr="00AA3AC2" w:rsidRDefault="00E949AB" w:rsidP="00C72F0B">
            <w:pPr>
              <w:spacing w:after="80"/>
              <w:jc w:val="center"/>
              <w:rPr>
                <w:rFonts w:cs="Arial"/>
                <w:b/>
                <w:bCs/>
                <w:sz w:val="21"/>
                <w:szCs w:val="21"/>
                <w:lang w:val="en-GB"/>
              </w:rPr>
            </w:pPr>
          </w:p>
        </w:tc>
        <w:tc>
          <w:tcPr>
            <w:tcW w:w="2410" w:type="dxa"/>
            <w:shd w:val="clear" w:color="auto" w:fill="FFFFFF" w:themeFill="background1"/>
          </w:tcPr>
          <w:p w14:paraId="41CE328C" w14:textId="77777777" w:rsidR="00E949AB" w:rsidRPr="00AA3AC2" w:rsidRDefault="00E949AB" w:rsidP="00C72F0B">
            <w:pPr>
              <w:autoSpaceDE w:val="0"/>
              <w:autoSpaceDN w:val="0"/>
              <w:adjustRightInd w:val="0"/>
              <w:rPr>
                <w:rFonts w:cs="Arial"/>
                <w:sz w:val="18"/>
                <w:szCs w:val="18"/>
                <w:lang w:val="en-GB"/>
              </w:rPr>
            </w:pPr>
            <w:r w:rsidRPr="00AA3AC2">
              <w:rPr>
                <w:rFonts w:cs="Arial"/>
                <w:sz w:val="18"/>
                <w:szCs w:val="18"/>
                <w:lang w:val="en-GB"/>
              </w:rPr>
              <w:t>4. More social Europe</w:t>
            </w:r>
          </w:p>
        </w:tc>
        <w:tc>
          <w:tcPr>
            <w:tcW w:w="6095" w:type="dxa"/>
            <w:shd w:val="clear" w:color="auto" w:fill="FFFFFF" w:themeFill="background1"/>
          </w:tcPr>
          <w:p w14:paraId="1E75F988" w14:textId="77777777" w:rsidR="00E949AB" w:rsidRPr="00AA3AC2" w:rsidRDefault="00E949AB" w:rsidP="00C72F0B">
            <w:pPr>
              <w:autoSpaceDE w:val="0"/>
              <w:autoSpaceDN w:val="0"/>
              <w:adjustRightInd w:val="0"/>
              <w:spacing w:after="0"/>
              <w:contextualSpacing/>
              <w:rPr>
                <w:rFonts w:cs="Arial"/>
                <w:color w:val="000000"/>
                <w:sz w:val="18"/>
                <w:szCs w:val="18"/>
                <w:lang w:val="en-GB" w:eastAsia="en-GB"/>
              </w:rPr>
            </w:pPr>
            <w:r w:rsidRPr="00AA3AC2">
              <w:rPr>
                <w:rFonts w:cs="Arial"/>
                <w:color w:val="000000"/>
                <w:sz w:val="18"/>
                <w:szCs w:val="18"/>
                <w:lang w:val="en-GB"/>
              </w:rPr>
              <w:t xml:space="preserve">The following selected specific objectives: </w:t>
            </w:r>
          </w:p>
          <w:p w14:paraId="2EF293A0" w14:textId="77777777" w:rsidR="00E949AB" w:rsidRPr="00AA3AC2" w:rsidRDefault="00E949AB" w:rsidP="00C72F0B">
            <w:pPr>
              <w:pStyle w:val="ListParagraph"/>
              <w:numPr>
                <w:ilvl w:val="0"/>
                <w:numId w:val="39"/>
              </w:numPr>
              <w:spacing w:after="0"/>
              <w:ind w:hanging="687"/>
              <w:jc w:val="left"/>
              <w:rPr>
                <w:color w:val="000000" w:themeColor="text1"/>
                <w:sz w:val="18"/>
                <w:szCs w:val="18"/>
                <w:lang w:val="en-GB"/>
              </w:rPr>
            </w:pPr>
            <w:r w:rsidRPr="00AA3AC2">
              <w:rPr>
                <w:rFonts w:eastAsia="Times New Roman" w:cs="Arial"/>
                <w:color w:val="000000" w:themeColor="text1"/>
                <w:sz w:val="18"/>
                <w:szCs w:val="18"/>
                <w:lang w:val="en-GB"/>
              </w:rPr>
              <w:t>Effectiveness and inclusiveness of labour market, access to quality employment, social economy</w:t>
            </w:r>
          </w:p>
          <w:p w14:paraId="2B1623F6" w14:textId="77777777" w:rsidR="00E949AB" w:rsidRPr="00AA3AC2" w:rsidRDefault="00E949AB" w:rsidP="00C72F0B">
            <w:pPr>
              <w:pStyle w:val="ListParagraph"/>
              <w:numPr>
                <w:ilvl w:val="0"/>
                <w:numId w:val="38"/>
              </w:numPr>
              <w:spacing w:after="0"/>
              <w:ind w:hanging="687"/>
              <w:jc w:val="left"/>
              <w:rPr>
                <w:color w:val="000000" w:themeColor="text1"/>
                <w:sz w:val="18"/>
                <w:szCs w:val="18"/>
                <w:lang w:val="en-GB"/>
              </w:rPr>
            </w:pPr>
            <w:r w:rsidRPr="00AA3AC2">
              <w:rPr>
                <w:rFonts w:eastAsia="Times New Roman" w:cs="Arial"/>
                <w:color w:val="000000" w:themeColor="text1"/>
                <w:sz w:val="18"/>
                <w:szCs w:val="18"/>
                <w:lang w:val="en-GB"/>
              </w:rPr>
              <w:t>Equal access to health care, health systems resilience, family-based and community-based care</w:t>
            </w:r>
          </w:p>
          <w:p w14:paraId="0B6E6F1C" w14:textId="77777777" w:rsidR="00E949AB" w:rsidRPr="00AA3AC2" w:rsidRDefault="00E949AB" w:rsidP="00C72F0B">
            <w:pPr>
              <w:pStyle w:val="ListParagraph"/>
              <w:numPr>
                <w:ilvl w:val="0"/>
                <w:numId w:val="38"/>
              </w:numPr>
              <w:spacing w:after="0"/>
              <w:ind w:hanging="687"/>
              <w:jc w:val="left"/>
              <w:rPr>
                <w:color w:val="000000" w:themeColor="text1"/>
                <w:sz w:val="18"/>
                <w:szCs w:val="18"/>
                <w:lang w:val="en-GB"/>
              </w:rPr>
            </w:pPr>
            <w:r w:rsidRPr="00AA3AC2">
              <w:rPr>
                <w:rFonts w:eastAsia="Times New Roman" w:cs="Arial"/>
                <w:color w:val="000000" w:themeColor="text1"/>
                <w:sz w:val="18"/>
                <w:szCs w:val="18"/>
                <w:lang w:val="en-GB"/>
              </w:rPr>
              <w:t>Culture and tourism for economic development, social inclusion and social innovation</w:t>
            </w:r>
          </w:p>
        </w:tc>
      </w:tr>
      <w:tr w:rsidR="00E949AB" w:rsidRPr="00325CD2" w14:paraId="7A3DADD4" w14:textId="77777777" w:rsidTr="006F2941">
        <w:tc>
          <w:tcPr>
            <w:tcW w:w="1418" w:type="dxa"/>
            <w:vMerge w:val="restart"/>
            <w:shd w:val="clear" w:color="auto" w:fill="F2F2F2" w:themeFill="background1" w:themeFillShade="F2"/>
            <w:vAlign w:val="center"/>
          </w:tcPr>
          <w:p w14:paraId="44BE2C2D" w14:textId="77777777" w:rsidR="00E949AB" w:rsidRPr="00AA3AC2" w:rsidRDefault="00E949AB" w:rsidP="00C72F0B">
            <w:pPr>
              <w:spacing w:after="80"/>
              <w:jc w:val="center"/>
              <w:rPr>
                <w:rFonts w:cs="Arial"/>
                <w:b/>
                <w:bCs/>
                <w:sz w:val="21"/>
                <w:szCs w:val="21"/>
                <w:lang w:val="en-GB"/>
              </w:rPr>
            </w:pPr>
            <w:r w:rsidRPr="00AA3AC2">
              <w:rPr>
                <w:rFonts w:cs="Arial"/>
                <w:b/>
                <w:bCs/>
                <w:sz w:val="21"/>
                <w:szCs w:val="21"/>
                <w:lang w:val="en-GB"/>
              </w:rPr>
              <w:t xml:space="preserve">20% </w:t>
            </w:r>
          </w:p>
        </w:tc>
        <w:tc>
          <w:tcPr>
            <w:tcW w:w="2410" w:type="dxa"/>
            <w:shd w:val="clear" w:color="auto" w:fill="F2F2F2" w:themeFill="background1" w:themeFillShade="F2"/>
          </w:tcPr>
          <w:p w14:paraId="4EB18D11" w14:textId="77777777" w:rsidR="00E949AB" w:rsidRPr="00AA3AC2" w:rsidRDefault="00E949AB" w:rsidP="00C72F0B">
            <w:pPr>
              <w:autoSpaceDE w:val="0"/>
              <w:autoSpaceDN w:val="0"/>
              <w:adjustRightInd w:val="0"/>
              <w:rPr>
                <w:rFonts w:cs="Arial"/>
                <w:sz w:val="18"/>
                <w:szCs w:val="18"/>
                <w:lang w:val="en-GB"/>
              </w:rPr>
            </w:pPr>
            <w:r w:rsidRPr="00AA3AC2">
              <w:rPr>
                <w:rFonts w:cs="Arial"/>
                <w:sz w:val="18"/>
                <w:szCs w:val="18"/>
                <w:lang w:val="en-GB"/>
              </w:rPr>
              <w:t>3. More connected Europe</w:t>
            </w:r>
          </w:p>
        </w:tc>
        <w:tc>
          <w:tcPr>
            <w:tcW w:w="6095" w:type="dxa"/>
            <w:shd w:val="clear" w:color="auto" w:fill="F2F2F2" w:themeFill="background1" w:themeFillShade="F2"/>
          </w:tcPr>
          <w:p w14:paraId="0C7DB366" w14:textId="77777777" w:rsidR="00E949AB" w:rsidRPr="00AA3AC2" w:rsidRDefault="00E949AB" w:rsidP="00C72F0B">
            <w:pPr>
              <w:autoSpaceDE w:val="0"/>
              <w:autoSpaceDN w:val="0"/>
              <w:adjustRightInd w:val="0"/>
              <w:spacing w:after="0"/>
              <w:contextualSpacing/>
              <w:rPr>
                <w:rFonts w:cs="Arial"/>
                <w:color w:val="000000"/>
                <w:sz w:val="18"/>
                <w:szCs w:val="18"/>
                <w:lang w:val="en-GB"/>
              </w:rPr>
            </w:pPr>
            <w:r w:rsidRPr="00AA3AC2">
              <w:rPr>
                <w:rFonts w:cs="Arial"/>
                <w:color w:val="000000"/>
                <w:sz w:val="18"/>
                <w:szCs w:val="18"/>
                <w:lang w:val="en-GB"/>
              </w:rPr>
              <w:t>All specific objectives:</w:t>
            </w:r>
          </w:p>
          <w:p w14:paraId="4D580AF3" w14:textId="77777777" w:rsidR="00E949AB" w:rsidRPr="00AA3AC2" w:rsidRDefault="00E949AB" w:rsidP="00C72F0B">
            <w:pPr>
              <w:pStyle w:val="ListParagraph"/>
              <w:numPr>
                <w:ilvl w:val="0"/>
                <w:numId w:val="36"/>
              </w:numPr>
              <w:autoSpaceDE w:val="0"/>
              <w:autoSpaceDN w:val="0"/>
              <w:adjustRightInd w:val="0"/>
              <w:spacing w:after="0"/>
              <w:ind w:left="742" w:hanging="709"/>
              <w:jc w:val="left"/>
              <w:rPr>
                <w:rFonts w:cs="Arial"/>
                <w:color w:val="000000"/>
                <w:sz w:val="18"/>
                <w:szCs w:val="18"/>
                <w:lang w:val="en-GB"/>
              </w:rPr>
            </w:pPr>
            <w:r w:rsidRPr="00AA3AC2">
              <w:rPr>
                <w:rFonts w:cs="Arial"/>
                <w:color w:val="000000"/>
                <w:sz w:val="18"/>
                <w:szCs w:val="18"/>
                <w:lang w:val="en-GB"/>
              </w:rPr>
              <w:t>Climate resilient, intelligent, secure, sustainable and intermodal TEN-T</w:t>
            </w:r>
          </w:p>
          <w:p w14:paraId="45A8DD46" w14:textId="77777777" w:rsidR="00E949AB" w:rsidRPr="00AA3AC2" w:rsidRDefault="00E949AB" w:rsidP="00C72F0B">
            <w:pPr>
              <w:pStyle w:val="ListParagraph"/>
              <w:numPr>
                <w:ilvl w:val="0"/>
                <w:numId w:val="36"/>
              </w:numPr>
              <w:autoSpaceDE w:val="0"/>
              <w:autoSpaceDN w:val="0"/>
              <w:adjustRightInd w:val="0"/>
              <w:spacing w:after="0"/>
              <w:ind w:left="742" w:hanging="709"/>
              <w:jc w:val="left"/>
              <w:rPr>
                <w:rFonts w:cs="Arial"/>
                <w:color w:val="000000"/>
                <w:sz w:val="21"/>
                <w:szCs w:val="21"/>
                <w:lang w:val="en-GB" w:eastAsia="fr-FR"/>
              </w:rPr>
            </w:pPr>
            <w:r w:rsidRPr="00AA3AC2">
              <w:rPr>
                <w:rFonts w:cs="Arial"/>
                <w:color w:val="000000"/>
                <w:sz w:val="18"/>
                <w:szCs w:val="18"/>
                <w:lang w:val="en-GB"/>
              </w:rPr>
              <w:t>Sustainable, climate resilient, intelligent and intermodal national, regional and local mobility</w:t>
            </w:r>
          </w:p>
        </w:tc>
      </w:tr>
      <w:tr w:rsidR="00E949AB" w:rsidRPr="00325CD2" w14:paraId="6F6F2420" w14:textId="77777777" w:rsidTr="00C72F0B">
        <w:tc>
          <w:tcPr>
            <w:tcW w:w="1418" w:type="dxa"/>
            <w:vMerge/>
            <w:shd w:val="clear" w:color="auto" w:fill="F2F2F2" w:themeFill="background1" w:themeFillShade="F2"/>
          </w:tcPr>
          <w:p w14:paraId="2B429155" w14:textId="77777777" w:rsidR="00E949AB" w:rsidRPr="00AA3AC2" w:rsidRDefault="00E949AB" w:rsidP="00C72F0B">
            <w:pPr>
              <w:spacing w:after="80"/>
              <w:jc w:val="center"/>
              <w:rPr>
                <w:rFonts w:cs="Arial"/>
                <w:b/>
                <w:bCs/>
                <w:sz w:val="21"/>
                <w:szCs w:val="21"/>
                <w:lang w:val="en-GB"/>
              </w:rPr>
            </w:pPr>
          </w:p>
        </w:tc>
        <w:tc>
          <w:tcPr>
            <w:tcW w:w="2410" w:type="dxa"/>
            <w:shd w:val="clear" w:color="auto" w:fill="F2F2F2" w:themeFill="background1" w:themeFillShade="F2"/>
          </w:tcPr>
          <w:p w14:paraId="33CE3256" w14:textId="77777777" w:rsidR="00E949AB" w:rsidRPr="00AA3AC2" w:rsidRDefault="00E949AB" w:rsidP="00C72F0B">
            <w:pPr>
              <w:autoSpaceDE w:val="0"/>
              <w:autoSpaceDN w:val="0"/>
              <w:adjustRightInd w:val="0"/>
              <w:rPr>
                <w:rFonts w:cs="Arial"/>
                <w:sz w:val="18"/>
                <w:szCs w:val="18"/>
                <w:lang w:val="en-GB"/>
              </w:rPr>
            </w:pPr>
            <w:r w:rsidRPr="00AA3AC2">
              <w:rPr>
                <w:rFonts w:cs="Arial"/>
                <w:sz w:val="18"/>
                <w:szCs w:val="18"/>
                <w:lang w:val="en-GB"/>
              </w:rPr>
              <w:t>4. More social Europe</w:t>
            </w:r>
          </w:p>
        </w:tc>
        <w:tc>
          <w:tcPr>
            <w:tcW w:w="6095" w:type="dxa"/>
            <w:shd w:val="clear" w:color="auto" w:fill="F2F2F2" w:themeFill="background1" w:themeFillShade="F2"/>
          </w:tcPr>
          <w:p w14:paraId="086DD986" w14:textId="77777777" w:rsidR="00E949AB" w:rsidRPr="00AA3AC2" w:rsidRDefault="00E949AB" w:rsidP="00C72F0B">
            <w:pPr>
              <w:autoSpaceDE w:val="0"/>
              <w:autoSpaceDN w:val="0"/>
              <w:adjustRightInd w:val="0"/>
              <w:contextualSpacing/>
              <w:rPr>
                <w:rFonts w:cs="Arial"/>
                <w:color w:val="000000"/>
                <w:sz w:val="18"/>
                <w:szCs w:val="18"/>
                <w:lang w:val="en-GB" w:eastAsia="en-GB"/>
              </w:rPr>
            </w:pPr>
            <w:r w:rsidRPr="00AA3AC2">
              <w:rPr>
                <w:rFonts w:cs="Arial"/>
                <w:color w:val="000000"/>
                <w:sz w:val="18"/>
                <w:szCs w:val="18"/>
                <w:lang w:val="en-GB"/>
              </w:rPr>
              <w:t xml:space="preserve">The following selected specific objectives: </w:t>
            </w:r>
          </w:p>
          <w:p w14:paraId="793E99B5" w14:textId="77777777" w:rsidR="00E949AB" w:rsidRPr="00AA3AC2" w:rsidRDefault="00E949AB" w:rsidP="00C72F0B">
            <w:pPr>
              <w:autoSpaceDE w:val="0"/>
              <w:autoSpaceDN w:val="0"/>
              <w:adjustRightInd w:val="0"/>
              <w:spacing w:after="0"/>
              <w:ind w:left="743" w:hanging="709"/>
              <w:contextualSpacing/>
              <w:rPr>
                <w:rFonts w:cs="Arial"/>
                <w:color w:val="000000"/>
                <w:sz w:val="18"/>
                <w:szCs w:val="18"/>
                <w:lang w:val="en-GB" w:eastAsia="fr-FR"/>
              </w:rPr>
            </w:pPr>
            <w:r w:rsidRPr="00AA3AC2">
              <w:rPr>
                <w:rFonts w:cs="Arial"/>
                <w:color w:val="000000"/>
                <w:sz w:val="18"/>
                <w:szCs w:val="18"/>
                <w:lang w:val="en-GB" w:eastAsia="fr-FR"/>
              </w:rPr>
              <w:t>(ii)</w:t>
            </w:r>
            <w:r w:rsidRPr="00AA3AC2">
              <w:rPr>
                <w:rFonts w:cs="Arial"/>
                <w:color w:val="000000"/>
                <w:sz w:val="18"/>
                <w:szCs w:val="18"/>
                <w:lang w:val="en-GB" w:eastAsia="fr-FR"/>
              </w:rPr>
              <w:tab/>
              <w:t>Accesses to education, training and lifelong learning, distance and on-line education and training</w:t>
            </w:r>
          </w:p>
          <w:p w14:paraId="719B9F26" w14:textId="77777777" w:rsidR="00E949AB" w:rsidRPr="00AA3AC2" w:rsidRDefault="00E949AB" w:rsidP="00C72F0B">
            <w:pPr>
              <w:pStyle w:val="ListParagraph"/>
              <w:numPr>
                <w:ilvl w:val="0"/>
                <w:numId w:val="36"/>
              </w:numPr>
              <w:autoSpaceDE w:val="0"/>
              <w:autoSpaceDN w:val="0"/>
              <w:adjustRightInd w:val="0"/>
              <w:spacing w:after="0"/>
              <w:ind w:left="742" w:hanging="709"/>
              <w:jc w:val="left"/>
              <w:rPr>
                <w:rFonts w:cs="Arial"/>
                <w:color w:val="000000"/>
                <w:sz w:val="18"/>
                <w:szCs w:val="18"/>
                <w:lang w:val="en-GB" w:eastAsia="fr-FR"/>
              </w:rPr>
            </w:pPr>
            <w:r w:rsidRPr="00AA3AC2">
              <w:rPr>
                <w:rFonts w:cs="Arial"/>
                <w:color w:val="000000"/>
                <w:sz w:val="18"/>
                <w:szCs w:val="18"/>
                <w:lang w:val="en-GB" w:eastAsia="fr-FR"/>
              </w:rPr>
              <w:t>Inclusion of marginalised communities, low-income households and disadvantaged groups</w:t>
            </w:r>
          </w:p>
          <w:p w14:paraId="7A35724E" w14:textId="77777777" w:rsidR="00E949AB" w:rsidRPr="00AA3AC2" w:rsidRDefault="00E949AB" w:rsidP="00C72F0B">
            <w:pPr>
              <w:pStyle w:val="ListParagraph"/>
              <w:numPr>
                <w:ilvl w:val="0"/>
                <w:numId w:val="36"/>
              </w:numPr>
              <w:autoSpaceDE w:val="0"/>
              <w:autoSpaceDN w:val="0"/>
              <w:adjustRightInd w:val="0"/>
              <w:spacing w:after="0"/>
              <w:ind w:left="742" w:hanging="709"/>
              <w:jc w:val="left"/>
              <w:rPr>
                <w:rFonts w:cs="Arial"/>
                <w:color w:val="000000"/>
                <w:sz w:val="21"/>
                <w:szCs w:val="21"/>
                <w:lang w:val="en-GB" w:eastAsia="fr-FR"/>
              </w:rPr>
            </w:pPr>
            <w:r w:rsidRPr="00AA3AC2">
              <w:rPr>
                <w:rFonts w:cs="Arial"/>
                <w:color w:val="000000"/>
                <w:sz w:val="18"/>
                <w:szCs w:val="18"/>
                <w:lang w:val="en-GB" w:eastAsia="fr-FR"/>
              </w:rPr>
              <w:t>Socio-economic integration of third country nationals, including migrants</w:t>
            </w:r>
          </w:p>
        </w:tc>
      </w:tr>
      <w:tr w:rsidR="00E949AB" w:rsidRPr="00325CD2" w14:paraId="4AE2C18D" w14:textId="77777777" w:rsidTr="00C72F0B">
        <w:tc>
          <w:tcPr>
            <w:tcW w:w="1418" w:type="dxa"/>
            <w:vMerge/>
            <w:shd w:val="clear" w:color="auto" w:fill="F2F2F2" w:themeFill="background1" w:themeFillShade="F2"/>
          </w:tcPr>
          <w:p w14:paraId="15C9E154" w14:textId="77777777" w:rsidR="00E949AB" w:rsidRPr="00AA3AC2" w:rsidRDefault="00E949AB" w:rsidP="00C72F0B">
            <w:pPr>
              <w:spacing w:after="80"/>
              <w:jc w:val="center"/>
              <w:rPr>
                <w:rFonts w:cs="Arial"/>
                <w:b/>
                <w:bCs/>
                <w:sz w:val="21"/>
                <w:szCs w:val="21"/>
                <w:lang w:val="en-GB"/>
              </w:rPr>
            </w:pPr>
          </w:p>
        </w:tc>
        <w:tc>
          <w:tcPr>
            <w:tcW w:w="2410" w:type="dxa"/>
            <w:shd w:val="clear" w:color="auto" w:fill="F2F2F2" w:themeFill="background1" w:themeFillShade="F2"/>
          </w:tcPr>
          <w:p w14:paraId="7CD6172C" w14:textId="77777777" w:rsidR="00E949AB" w:rsidRPr="00AA3AC2" w:rsidRDefault="00E949AB" w:rsidP="00C72F0B">
            <w:pPr>
              <w:autoSpaceDE w:val="0"/>
              <w:autoSpaceDN w:val="0"/>
              <w:adjustRightInd w:val="0"/>
              <w:rPr>
                <w:rFonts w:cs="Arial"/>
                <w:sz w:val="18"/>
                <w:szCs w:val="18"/>
                <w:lang w:val="en-GB"/>
              </w:rPr>
            </w:pPr>
            <w:r w:rsidRPr="00AA3AC2">
              <w:rPr>
                <w:rFonts w:cs="Arial"/>
                <w:sz w:val="18"/>
                <w:szCs w:val="18"/>
                <w:lang w:val="en-GB"/>
              </w:rPr>
              <w:t>5. Europe closer to Citizens</w:t>
            </w:r>
          </w:p>
        </w:tc>
        <w:tc>
          <w:tcPr>
            <w:tcW w:w="6095" w:type="dxa"/>
            <w:shd w:val="clear" w:color="auto" w:fill="F2F2F2" w:themeFill="background1" w:themeFillShade="F2"/>
            <w:vAlign w:val="bottom"/>
          </w:tcPr>
          <w:p w14:paraId="3C43F403" w14:textId="77777777" w:rsidR="00E949AB" w:rsidRPr="00AA3AC2" w:rsidRDefault="00E949AB" w:rsidP="00C72F0B">
            <w:pPr>
              <w:pStyle w:val="ListParagraph"/>
              <w:autoSpaceDE w:val="0"/>
              <w:autoSpaceDN w:val="0"/>
              <w:adjustRightInd w:val="0"/>
              <w:ind w:left="0" w:firstLine="40"/>
              <w:rPr>
                <w:rFonts w:cs="Arial"/>
                <w:color w:val="000000"/>
                <w:sz w:val="18"/>
                <w:szCs w:val="18"/>
                <w:lang w:val="en-GB"/>
              </w:rPr>
            </w:pPr>
            <w:r w:rsidRPr="00AA3AC2">
              <w:rPr>
                <w:rFonts w:cs="Arial"/>
                <w:color w:val="000000"/>
                <w:sz w:val="18"/>
                <w:szCs w:val="18"/>
                <w:lang w:val="en-GB"/>
              </w:rPr>
              <w:t>All specific objectives</w:t>
            </w:r>
          </w:p>
          <w:p w14:paraId="15F4E8D7" w14:textId="77777777" w:rsidR="00E949AB" w:rsidRPr="00AA3AC2" w:rsidRDefault="00E949AB" w:rsidP="00C72F0B">
            <w:pPr>
              <w:pStyle w:val="ListParagraph"/>
              <w:numPr>
                <w:ilvl w:val="0"/>
                <w:numId w:val="37"/>
              </w:numPr>
              <w:autoSpaceDE w:val="0"/>
              <w:autoSpaceDN w:val="0"/>
              <w:adjustRightInd w:val="0"/>
              <w:spacing w:after="0"/>
              <w:ind w:left="742" w:hanging="709"/>
              <w:jc w:val="left"/>
              <w:rPr>
                <w:rFonts w:cs="Arial"/>
                <w:color w:val="000000"/>
                <w:sz w:val="18"/>
                <w:szCs w:val="18"/>
                <w:lang w:val="en-GB"/>
              </w:rPr>
            </w:pPr>
            <w:r w:rsidRPr="00AA3AC2">
              <w:rPr>
                <w:rFonts w:cs="Arial"/>
                <w:color w:val="000000"/>
                <w:sz w:val="18"/>
                <w:szCs w:val="18"/>
                <w:lang w:val="en-GB"/>
              </w:rPr>
              <w:t>Sustainable integrated territorial development, culture, natural heritage, sustainable tourism and security (urban areas)</w:t>
            </w:r>
          </w:p>
          <w:p w14:paraId="6F953A19" w14:textId="77777777" w:rsidR="00E949AB" w:rsidRPr="00AA3AC2" w:rsidRDefault="00E949AB" w:rsidP="00C72F0B">
            <w:pPr>
              <w:pStyle w:val="ListParagraph"/>
              <w:numPr>
                <w:ilvl w:val="0"/>
                <w:numId w:val="37"/>
              </w:numPr>
              <w:autoSpaceDE w:val="0"/>
              <w:autoSpaceDN w:val="0"/>
              <w:adjustRightInd w:val="0"/>
              <w:spacing w:after="0"/>
              <w:ind w:left="742" w:hanging="709"/>
              <w:jc w:val="left"/>
              <w:rPr>
                <w:rFonts w:cs="Arial"/>
                <w:color w:val="000000"/>
                <w:sz w:val="21"/>
                <w:szCs w:val="21"/>
                <w:lang w:val="en-GB" w:eastAsia="fr-FR"/>
              </w:rPr>
            </w:pPr>
            <w:r w:rsidRPr="00AA3AC2">
              <w:rPr>
                <w:rFonts w:cs="Arial"/>
                <w:color w:val="000000"/>
                <w:sz w:val="18"/>
                <w:szCs w:val="18"/>
                <w:lang w:val="en-GB"/>
              </w:rPr>
              <w:t>Sustainable integrated territorial development, culture, natural heritage, sustainable tourism and security (other than urban)</w:t>
            </w:r>
          </w:p>
        </w:tc>
      </w:tr>
    </w:tbl>
    <w:p w14:paraId="78280A6C" w14:textId="77777777" w:rsidR="00E949AB" w:rsidRPr="00AA3AC2" w:rsidRDefault="00E949AB" w:rsidP="00E949AB">
      <w:pPr>
        <w:spacing w:after="80" w:line="300" w:lineRule="auto"/>
        <w:rPr>
          <w:rFonts w:cs="Arial"/>
          <w:lang w:val="en-GB"/>
        </w:rPr>
      </w:pPr>
    </w:p>
    <w:p w14:paraId="3324C706" w14:textId="77777777" w:rsidR="00E949AB" w:rsidRPr="00AA3AC2" w:rsidRDefault="00E949AB" w:rsidP="00C72F0B">
      <w:pPr>
        <w:spacing w:after="80"/>
        <w:rPr>
          <w:rFonts w:cs="Arial"/>
          <w:lang w:val="en-GB"/>
        </w:rPr>
      </w:pPr>
      <w:r w:rsidRPr="00AA3AC2">
        <w:rPr>
          <w:rFonts w:cs="Arial"/>
          <w:lang w:val="en-GB"/>
        </w:rPr>
        <w:lastRenderedPageBreak/>
        <w:t xml:space="preserve">In addition, in the context of the Interreg-specific objective ‘a better cooperation governance’, Interreg Europe can support ‘non-thematic’ cooperation on issues dealing with pure implementation related challenges of regional development policies (e.g., state aid, public procurement, territorial tools, financial instruments, evaluation and monitoring). These </w:t>
      </w:r>
      <w:r w:rsidRPr="00AA3AC2">
        <w:rPr>
          <w:rFonts w:cs="Arial"/>
          <w:b/>
          <w:bCs/>
          <w:lang w:val="en-GB"/>
        </w:rPr>
        <w:t>governance related issues</w:t>
      </w:r>
      <w:r w:rsidRPr="00AA3AC2">
        <w:rPr>
          <w:rFonts w:cs="Arial"/>
          <w:lang w:val="en-GB"/>
        </w:rPr>
        <w:t xml:space="preserve"> are also important when working on more efficient regional development policies.</w:t>
      </w:r>
    </w:p>
    <w:p w14:paraId="24F3F956" w14:textId="77777777" w:rsidR="00E949AB" w:rsidRPr="00AA3AC2" w:rsidRDefault="00E949AB" w:rsidP="00C72F0B">
      <w:pPr>
        <w:suppressAutoHyphens/>
        <w:spacing w:before="80"/>
        <w:rPr>
          <w:lang w:val="en-GB"/>
        </w:rPr>
      </w:pPr>
      <w:r w:rsidRPr="00AA3AC2">
        <w:rPr>
          <w:lang w:val="en-GB"/>
        </w:rPr>
        <w:t>Further information on the programme priority axes and specific objectives can be found in the Interreg Europe Cooperation Programme and section 2.5 of the programme manual.</w:t>
      </w:r>
    </w:p>
    <w:p w14:paraId="3EB12F02" w14:textId="77777777" w:rsidR="00E949AB" w:rsidRPr="00AA3AC2" w:rsidRDefault="00E949AB" w:rsidP="00C72F0B">
      <w:pPr>
        <w:spacing w:after="80"/>
        <w:rPr>
          <w:rFonts w:cs="Arial"/>
          <w:b/>
          <w:bCs/>
          <w:sz w:val="22"/>
          <w:szCs w:val="22"/>
          <w:lang w:val="en-GB"/>
        </w:rPr>
      </w:pPr>
      <w:r w:rsidRPr="00AA3AC2">
        <w:rPr>
          <w:rFonts w:cs="Arial"/>
          <w:b/>
          <w:bCs/>
          <w:sz w:val="22"/>
          <w:szCs w:val="22"/>
          <w:lang w:val="en-GB"/>
        </w:rPr>
        <w:t>Innovative character</w:t>
      </w:r>
    </w:p>
    <w:p w14:paraId="2E65469B" w14:textId="77777777" w:rsidR="00E949AB" w:rsidRPr="00AA3AC2" w:rsidRDefault="00E949AB" w:rsidP="00C72F0B">
      <w:pPr>
        <w:suppressAutoHyphens/>
        <w:spacing w:before="80"/>
        <w:rPr>
          <w:rStyle w:val="Hyperlink"/>
          <w:lang w:val="en-GB"/>
        </w:rPr>
      </w:pPr>
      <w:r w:rsidRPr="00AA3AC2">
        <w:rPr>
          <w:rFonts w:eastAsiaTheme="minorHAnsi" w:cs="Arial"/>
          <w:lang w:val="en-GB"/>
        </w:rPr>
        <w:t>The 2021-2027 Interreg Europe programme needs to go beyond the results achieved in the 2014-2020 period where more than 250 projects were supported (</w:t>
      </w:r>
      <w:r w:rsidRPr="00AA3AC2">
        <w:rPr>
          <w:lang w:val="en-GB"/>
        </w:rPr>
        <w:t xml:space="preserve">detailed information on these projects can be found on: </w:t>
      </w:r>
      <w:hyperlink r:id="rId12" w:history="1">
        <w:r w:rsidRPr="00AA3AC2">
          <w:rPr>
            <w:rStyle w:val="Hyperlink"/>
            <w:lang w:val="en-GB"/>
          </w:rPr>
          <w:t>www.interregeurope.eu/discover-projects</w:t>
        </w:r>
      </w:hyperlink>
      <w:r w:rsidRPr="00AA3AC2">
        <w:rPr>
          <w:rStyle w:val="Hyperlink"/>
          <w:lang w:val="en-GB"/>
        </w:rPr>
        <w:t>).</w:t>
      </w:r>
    </w:p>
    <w:p w14:paraId="7E526AD7" w14:textId="6555404A" w:rsidR="00E949AB" w:rsidRDefault="00E949AB" w:rsidP="00C72F0B">
      <w:pPr>
        <w:suppressAutoHyphens/>
        <w:spacing w:before="80"/>
        <w:rPr>
          <w:rFonts w:eastAsiaTheme="minorHAnsi" w:cs="Arial"/>
          <w:lang w:val="en-GB"/>
        </w:rPr>
      </w:pPr>
      <w:r w:rsidRPr="00AA3AC2">
        <w:rPr>
          <w:rFonts w:eastAsiaTheme="minorHAnsi" w:cs="Arial"/>
          <w:lang w:val="en-GB"/>
        </w:rPr>
        <w:t xml:space="preserve">As reflected in Annex </w:t>
      </w:r>
      <w:r w:rsidR="000E70A7">
        <w:rPr>
          <w:rFonts w:eastAsiaTheme="minorHAnsi" w:cs="Arial"/>
          <w:lang w:val="en-GB"/>
        </w:rPr>
        <w:t>0</w:t>
      </w:r>
      <w:r w:rsidRPr="00AA3AC2">
        <w:rPr>
          <w:rFonts w:eastAsiaTheme="minorHAnsi" w:cs="Arial"/>
          <w:lang w:val="en-GB"/>
        </w:rPr>
        <w:t xml:space="preserve">1 of the present terms of reference, the 2014-2020 projects cover a wide range of regional development policy issues and contributed to the identification of numerous </w:t>
      </w:r>
      <w:hyperlink r:id="rId13" w:history="1">
        <w:r w:rsidRPr="00AA3AC2">
          <w:rPr>
            <w:rStyle w:val="Hyperlink"/>
            <w:rFonts w:eastAsiaTheme="minorHAnsi" w:cs="Arial"/>
            <w:lang w:val="en-GB"/>
          </w:rPr>
          <w:t>good practices</w:t>
        </w:r>
      </w:hyperlink>
      <w:r w:rsidRPr="00AA3AC2">
        <w:rPr>
          <w:rFonts w:eastAsiaTheme="minorHAnsi" w:cs="Arial"/>
          <w:lang w:val="en-GB"/>
        </w:rPr>
        <w:t xml:space="preserve">. Organisations interested in the </w:t>
      </w:r>
      <w:r w:rsidR="0080624F">
        <w:rPr>
          <w:rFonts w:eastAsiaTheme="minorHAnsi" w:cs="Arial"/>
          <w:lang w:val="en-GB"/>
        </w:rPr>
        <w:t>second</w:t>
      </w:r>
      <w:r w:rsidR="00D017F8" w:rsidRPr="00AA3AC2">
        <w:rPr>
          <w:rFonts w:eastAsiaTheme="minorHAnsi" w:cs="Arial"/>
          <w:lang w:val="en-GB"/>
        </w:rPr>
        <w:t xml:space="preserve"> </w:t>
      </w:r>
      <w:r w:rsidRPr="00AA3AC2">
        <w:rPr>
          <w:rFonts w:eastAsiaTheme="minorHAnsi" w:cs="Arial"/>
          <w:lang w:val="en-GB"/>
        </w:rPr>
        <w:t xml:space="preserve">call </w:t>
      </w:r>
      <w:r w:rsidRPr="00AA3AC2">
        <w:rPr>
          <w:lang w:val="en-GB"/>
        </w:rPr>
        <w:t>are thus invited to check th</w:t>
      </w:r>
      <w:r w:rsidRPr="00AA3AC2">
        <w:rPr>
          <w:rFonts w:eastAsiaTheme="minorHAnsi" w:cs="Arial"/>
          <w:lang w:val="en-GB"/>
        </w:rPr>
        <w:t xml:space="preserve">ese projects to ensure that the innovative character of their proposal is demonstrated. </w:t>
      </w:r>
    </w:p>
    <w:p w14:paraId="6B191738" w14:textId="28E28CD4" w:rsidR="00D017F8" w:rsidRPr="00AA3AC2" w:rsidRDefault="00D017F8" w:rsidP="00C72F0B">
      <w:pPr>
        <w:suppressAutoHyphens/>
        <w:spacing w:before="80"/>
        <w:rPr>
          <w:rStyle w:val="Hyperlink"/>
          <w:lang w:val="en-GB"/>
        </w:rPr>
      </w:pPr>
      <w:r>
        <w:rPr>
          <w:lang w:val="en-GB"/>
        </w:rPr>
        <w:t xml:space="preserve">The participation of </w:t>
      </w:r>
      <w:r w:rsidR="009E3881">
        <w:rPr>
          <w:lang w:val="en-GB"/>
        </w:rPr>
        <w:t>organisations</w:t>
      </w:r>
      <w:r w:rsidRPr="006D15C9">
        <w:rPr>
          <w:lang w:val="en-GB"/>
        </w:rPr>
        <w:t xml:space="preserve"> not </w:t>
      </w:r>
      <w:r>
        <w:rPr>
          <w:lang w:val="en-GB"/>
        </w:rPr>
        <w:t xml:space="preserve">yet </w:t>
      </w:r>
      <w:r w:rsidRPr="006D15C9">
        <w:rPr>
          <w:lang w:val="en-GB"/>
        </w:rPr>
        <w:t xml:space="preserve">involved in </w:t>
      </w:r>
      <w:r w:rsidR="00BC6D40">
        <w:rPr>
          <w:lang w:val="en-GB"/>
        </w:rPr>
        <w:t xml:space="preserve">the </w:t>
      </w:r>
      <w:r w:rsidRPr="006D15C9">
        <w:rPr>
          <w:lang w:val="en-GB"/>
        </w:rPr>
        <w:t xml:space="preserve">first call projects </w:t>
      </w:r>
      <w:r>
        <w:rPr>
          <w:lang w:val="en-GB"/>
        </w:rPr>
        <w:t xml:space="preserve">is </w:t>
      </w:r>
      <w:r w:rsidRPr="006D15C9">
        <w:rPr>
          <w:lang w:val="en-GB"/>
        </w:rPr>
        <w:t>encouraged.</w:t>
      </w:r>
      <w:r w:rsidR="009A5DE6">
        <w:rPr>
          <w:lang w:val="en-GB"/>
        </w:rPr>
        <w:t xml:space="preserve"> </w:t>
      </w:r>
      <w:r w:rsidR="00BC6D40">
        <w:rPr>
          <w:lang w:val="en-GB"/>
        </w:rPr>
        <w:t>In particular</w:t>
      </w:r>
      <w:r w:rsidR="009A5DE6">
        <w:rPr>
          <w:lang w:val="en-GB"/>
        </w:rPr>
        <w:t xml:space="preserve">, </w:t>
      </w:r>
      <w:r w:rsidR="00BC6D40">
        <w:rPr>
          <w:lang w:val="en-GB"/>
        </w:rPr>
        <w:t xml:space="preserve">organisations </w:t>
      </w:r>
      <w:r w:rsidR="009649CB">
        <w:rPr>
          <w:lang w:val="en-GB"/>
        </w:rPr>
        <w:t>from regions not yet represented in these projects will be positively regarded</w:t>
      </w:r>
      <w:r w:rsidR="002D274B">
        <w:rPr>
          <w:lang w:val="en-GB"/>
        </w:rPr>
        <w:t>. The list of NUTS</w:t>
      </w:r>
      <w:r w:rsidR="00BB3F58">
        <w:rPr>
          <w:lang w:val="en-GB"/>
        </w:rPr>
        <w:t xml:space="preserve"> </w:t>
      </w:r>
      <w:r w:rsidR="002D274B">
        <w:rPr>
          <w:lang w:val="en-GB"/>
        </w:rPr>
        <w:t>2 regions not yet repres</w:t>
      </w:r>
      <w:r w:rsidR="00BB3F58">
        <w:rPr>
          <w:lang w:val="en-GB"/>
        </w:rPr>
        <w:t>ented in first call approved projects is available as</w:t>
      </w:r>
      <w:r w:rsidR="000E70A7">
        <w:rPr>
          <w:lang w:val="en-GB"/>
        </w:rPr>
        <w:t xml:space="preserve"> Annex 02</w:t>
      </w:r>
      <w:r w:rsidR="00BB3F58">
        <w:rPr>
          <w:lang w:val="en-GB"/>
        </w:rPr>
        <w:t xml:space="preserve"> of the present document</w:t>
      </w:r>
      <w:r w:rsidR="009649CB">
        <w:rPr>
          <w:lang w:val="en-GB"/>
        </w:rPr>
        <w:t>.</w:t>
      </w:r>
    </w:p>
    <w:p w14:paraId="3AD9C5B3" w14:textId="77777777" w:rsidR="00E949AB" w:rsidRPr="00AA3AC2" w:rsidRDefault="00E949AB" w:rsidP="00C72F0B">
      <w:pPr>
        <w:suppressAutoHyphens/>
        <w:spacing w:before="80"/>
        <w:rPr>
          <w:rFonts w:asciiTheme="majorHAnsi" w:hAnsiTheme="majorHAnsi" w:cstheme="majorHAnsi"/>
          <w:lang w:val="en-GB"/>
        </w:rPr>
      </w:pPr>
      <w:r w:rsidRPr="00AA3AC2">
        <w:rPr>
          <w:rStyle w:val="Hyperlink"/>
          <w:lang w:val="en-GB"/>
        </w:rPr>
        <w:t xml:space="preserve">Further information on the way to demonstrate the innovative character can be found in section 3.3.4 of the programme manual. </w:t>
      </w:r>
    </w:p>
    <w:p w14:paraId="4F8226CA" w14:textId="77777777" w:rsidR="00E949AB" w:rsidRPr="00AA3AC2" w:rsidRDefault="00E949AB" w:rsidP="00E949AB">
      <w:pPr>
        <w:pStyle w:val="Heading1"/>
        <w:rPr>
          <w:sz w:val="24"/>
          <w:szCs w:val="24"/>
          <w:lang w:val="en-GB"/>
        </w:rPr>
      </w:pPr>
      <w:r w:rsidRPr="00AA3AC2">
        <w:rPr>
          <w:sz w:val="24"/>
          <w:szCs w:val="24"/>
          <w:lang w:val="en-GB"/>
        </w:rPr>
        <w:t>7. Funding available and co-financing rates</w:t>
      </w:r>
    </w:p>
    <w:p w14:paraId="4F16E727" w14:textId="59E6D42F" w:rsidR="00E949AB" w:rsidRPr="00EF3AE8" w:rsidRDefault="00E949AB" w:rsidP="00C72F0B">
      <w:pPr>
        <w:suppressAutoHyphens/>
        <w:spacing w:before="80"/>
        <w:rPr>
          <w:lang w:val="en-GB"/>
        </w:rPr>
      </w:pPr>
      <w:r w:rsidRPr="00AA3AC2">
        <w:rPr>
          <w:lang w:val="en-GB"/>
        </w:rPr>
        <w:t xml:space="preserve">Up to 40% of the </w:t>
      </w:r>
      <w:r w:rsidRPr="00EF3AE8">
        <w:rPr>
          <w:lang w:val="en-GB"/>
        </w:rPr>
        <w:t xml:space="preserve">overall ERDF budget (approximately </w:t>
      </w:r>
      <w:r w:rsidRPr="00EF3AE8">
        <w:rPr>
          <w:b/>
          <w:lang w:val="en-GB"/>
        </w:rPr>
        <w:t>EUR 130 million)</w:t>
      </w:r>
      <w:r w:rsidRPr="00EF3AE8">
        <w:rPr>
          <w:lang w:val="en-GB"/>
        </w:rPr>
        <w:t xml:space="preserve"> of the Interreg Europe programme is made available for the </w:t>
      </w:r>
      <w:r w:rsidR="009649CB" w:rsidRPr="00EF3AE8">
        <w:rPr>
          <w:lang w:val="en-GB"/>
        </w:rPr>
        <w:t xml:space="preserve">second </w:t>
      </w:r>
      <w:r w:rsidRPr="00EF3AE8">
        <w:rPr>
          <w:lang w:val="en-GB"/>
        </w:rPr>
        <w:t xml:space="preserve">call for proposals. The final committed budget will depend on the quality of the submitted applications. </w:t>
      </w:r>
    </w:p>
    <w:p w14:paraId="3CAE9FDB" w14:textId="0252F7E9" w:rsidR="00E949AB" w:rsidRPr="006C2819" w:rsidRDefault="00E949AB" w:rsidP="00C72F0B">
      <w:pPr>
        <w:suppressAutoHyphens/>
        <w:spacing w:before="80"/>
        <w:rPr>
          <w:rFonts w:cs="Arial"/>
          <w:lang w:val="en-GB"/>
        </w:rPr>
      </w:pPr>
      <w:r w:rsidRPr="00EF3AE8">
        <w:rPr>
          <w:lang w:val="en-GB"/>
        </w:rPr>
        <w:t>The eligible project activities are co-financed by the ERDF at a rate of either 70% or 80% depending on the legal status of the EU partner. Partners from Norway and Switzerland are not eligible to receive ERDF but can receive co-financing from their respective national funds.</w:t>
      </w:r>
      <w:r w:rsidR="006C2819" w:rsidRPr="00EF3AE8">
        <w:rPr>
          <w:lang w:val="en-GB"/>
        </w:rPr>
        <w:t xml:space="preserve"> </w:t>
      </w:r>
      <w:r w:rsidR="00313DE7" w:rsidRPr="00EF3AE8">
        <w:rPr>
          <w:lang w:val="en-GB"/>
        </w:rPr>
        <w:t>Organisations</w:t>
      </w:r>
      <w:r w:rsidR="006C2819" w:rsidRPr="00EF3AE8">
        <w:rPr>
          <w:lang w:val="en-GB"/>
        </w:rPr>
        <w:t xml:space="preserve"> from Norway are invited to contact the Norwegian Interreg national point of contact to receive information on Norwegian funding opportunities.</w:t>
      </w:r>
    </w:p>
    <w:tbl>
      <w:tblPr>
        <w:tblW w:w="9714" w:type="dxa"/>
        <w:jc w:val="center"/>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1E0" w:firstRow="1" w:lastRow="1" w:firstColumn="1" w:lastColumn="1" w:noHBand="0" w:noVBand="0"/>
      </w:tblPr>
      <w:tblGrid>
        <w:gridCol w:w="4210"/>
        <w:gridCol w:w="5504"/>
      </w:tblGrid>
      <w:tr w:rsidR="00E949AB" w:rsidRPr="00325CD2" w14:paraId="6E39C458" w14:textId="77777777" w:rsidTr="00C72F0B">
        <w:trPr>
          <w:jc w:val="center"/>
        </w:trPr>
        <w:tc>
          <w:tcPr>
            <w:tcW w:w="4210" w:type="dxa"/>
            <w:shd w:val="clear" w:color="auto" w:fill="000000" w:themeFill="text1"/>
          </w:tcPr>
          <w:p w14:paraId="1237627D" w14:textId="77777777" w:rsidR="00E949AB" w:rsidRPr="00AA3AC2" w:rsidRDefault="00E949AB" w:rsidP="006F2941">
            <w:pPr>
              <w:spacing w:after="80" w:line="300" w:lineRule="auto"/>
              <w:jc w:val="center"/>
              <w:rPr>
                <w:rFonts w:cs="Arial"/>
                <w:b/>
                <w:color w:val="FFFFFF" w:themeColor="background1"/>
                <w:lang w:val="en-GB"/>
              </w:rPr>
            </w:pPr>
            <w:r w:rsidRPr="00AA3AC2">
              <w:rPr>
                <w:rFonts w:cs="Arial"/>
                <w:color w:val="FFFFFF" w:themeColor="background1"/>
                <w:lang w:val="en-GB"/>
              </w:rPr>
              <w:br w:type="page"/>
            </w:r>
            <w:r w:rsidRPr="00AA3AC2">
              <w:rPr>
                <w:rFonts w:cs="Arial"/>
                <w:b/>
                <w:color w:val="FFFFFF" w:themeColor="background1"/>
                <w:lang w:val="en-GB"/>
              </w:rPr>
              <w:t>Co-financing rate</w:t>
            </w:r>
          </w:p>
        </w:tc>
        <w:tc>
          <w:tcPr>
            <w:tcW w:w="5504" w:type="dxa"/>
            <w:shd w:val="clear" w:color="auto" w:fill="000000" w:themeFill="text1"/>
          </w:tcPr>
          <w:p w14:paraId="71CA0549" w14:textId="77777777" w:rsidR="00E949AB" w:rsidRPr="00AA3AC2" w:rsidRDefault="00E949AB" w:rsidP="006F2941">
            <w:pPr>
              <w:spacing w:after="80" w:line="300" w:lineRule="auto"/>
              <w:jc w:val="center"/>
              <w:rPr>
                <w:rFonts w:cs="Arial"/>
                <w:b/>
                <w:color w:val="FFFFFF" w:themeColor="background1"/>
                <w:lang w:val="en-GB"/>
              </w:rPr>
            </w:pPr>
            <w:r w:rsidRPr="00AA3AC2">
              <w:rPr>
                <w:rFonts w:cs="Arial"/>
                <w:b/>
                <w:color w:val="FFFFFF" w:themeColor="background1"/>
                <w:lang w:val="en-GB"/>
              </w:rPr>
              <w:t xml:space="preserve">Eligible project partner </w:t>
            </w:r>
            <w:r w:rsidRPr="00AA3AC2">
              <w:rPr>
                <w:rFonts w:cs="Arial"/>
                <w:b/>
                <w:color w:val="FFFFFF" w:themeColor="background1"/>
                <w:lang w:val="en-GB"/>
              </w:rPr>
              <w:br/>
              <w:t>according to legal status and location</w:t>
            </w:r>
          </w:p>
        </w:tc>
      </w:tr>
      <w:tr w:rsidR="00E949AB" w:rsidRPr="00325CD2" w14:paraId="442036F6" w14:textId="77777777" w:rsidTr="00C72F0B">
        <w:trPr>
          <w:cantSplit/>
          <w:jc w:val="center"/>
        </w:trPr>
        <w:tc>
          <w:tcPr>
            <w:tcW w:w="4210" w:type="dxa"/>
            <w:shd w:val="clear" w:color="auto" w:fill="FFFFFF" w:themeFill="background1"/>
          </w:tcPr>
          <w:p w14:paraId="392E4381" w14:textId="77777777" w:rsidR="00E949AB" w:rsidRPr="00AA3AC2" w:rsidRDefault="00E949AB" w:rsidP="00C72F0B">
            <w:pPr>
              <w:spacing w:after="80"/>
              <w:rPr>
                <w:rFonts w:cs="Arial"/>
                <w:lang w:val="en-GB"/>
              </w:rPr>
            </w:pPr>
            <w:r w:rsidRPr="00AA3AC2">
              <w:rPr>
                <w:rFonts w:cs="Arial"/>
                <w:lang w:val="en-GB"/>
              </w:rPr>
              <w:t>80% ERDF</w:t>
            </w:r>
          </w:p>
        </w:tc>
        <w:tc>
          <w:tcPr>
            <w:tcW w:w="5504" w:type="dxa"/>
            <w:shd w:val="clear" w:color="auto" w:fill="FFFFFF" w:themeFill="background1"/>
          </w:tcPr>
          <w:p w14:paraId="3EE0761E" w14:textId="77777777" w:rsidR="00E949AB" w:rsidRPr="00AA3AC2" w:rsidRDefault="00E949AB" w:rsidP="00C72F0B">
            <w:pPr>
              <w:spacing w:after="80"/>
              <w:jc w:val="left"/>
              <w:rPr>
                <w:rFonts w:cs="Arial"/>
                <w:lang w:val="en-GB"/>
              </w:rPr>
            </w:pPr>
            <w:r w:rsidRPr="00AA3AC2">
              <w:rPr>
                <w:rFonts w:cs="Arial"/>
                <w:lang w:val="en-GB"/>
              </w:rPr>
              <w:t>Public bodies and bodies governed by public law from all 27 EU member states</w:t>
            </w:r>
          </w:p>
        </w:tc>
      </w:tr>
      <w:tr w:rsidR="00E949AB" w:rsidRPr="00325CD2" w14:paraId="593DE5E6" w14:textId="77777777" w:rsidTr="006F2941">
        <w:trPr>
          <w:cantSplit/>
          <w:trHeight w:val="699"/>
          <w:jc w:val="center"/>
        </w:trPr>
        <w:tc>
          <w:tcPr>
            <w:tcW w:w="4210" w:type="dxa"/>
            <w:shd w:val="clear" w:color="auto" w:fill="F2F2F2" w:themeFill="background1" w:themeFillShade="F2"/>
          </w:tcPr>
          <w:p w14:paraId="22E961F2" w14:textId="77777777" w:rsidR="00E949AB" w:rsidRPr="00AA3AC2" w:rsidRDefault="00E949AB" w:rsidP="00C72F0B">
            <w:pPr>
              <w:spacing w:after="80"/>
              <w:rPr>
                <w:rFonts w:cs="Arial"/>
                <w:lang w:val="en-GB"/>
              </w:rPr>
            </w:pPr>
            <w:r w:rsidRPr="00AA3AC2">
              <w:rPr>
                <w:rFonts w:cs="Arial"/>
                <w:lang w:val="en-GB"/>
              </w:rPr>
              <w:t>70% ERDF</w:t>
            </w:r>
          </w:p>
        </w:tc>
        <w:tc>
          <w:tcPr>
            <w:tcW w:w="5504" w:type="dxa"/>
            <w:shd w:val="clear" w:color="auto" w:fill="F2F2F2" w:themeFill="background1" w:themeFillShade="F2"/>
          </w:tcPr>
          <w:p w14:paraId="6E5F4DF0" w14:textId="77777777" w:rsidR="00E949AB" w:rsidRPr="00AA3AC2" w:rsidRDefault="00E949AB" w:rsidP="00C72F0B">
            <w:pPr>
              <w:spacing w:after="80"/>
              <w:jc w:val="left"/>
              <w:rPr>
                <w:rFonts w:cs="Arial"/>
                <w:lang w:val="en-GB"/>
              </w:rPr>
            </w:pPr>
            <w:r w:rsidRPr="00AA3AC2">
              <w:rPr>
                <w:rFonts w:cs="Arial"/>
                <w:lang w:val="en-GB"/>
              </w:rPr>
              <w:t>Private non-profit bodies from all 27 EU member states</w:t>
            </w:r>
          </w:p>
        </w:tc>
      </w:tr>
      <w:tr w:rsidR="00E949AB" w:rsidRPr="00325CD2" w14:paraId="6B279B0E" w14:textId="77777777" w:rsidTr="00C72F0B">
        <w:trPr>
          <w:cantSplit/>
          <w:trHeight w:val="612"/>
          <w:jc w:val="center"/>
        </w:trPr>
        <w:tc>
          <w:tcPr>
            <w:tcW w:w="4210" w:type="dxa"/>
            <w:shd w:val="clear" w:color="auto" w:fill="FFFFFF" w:themeFill="background1"/>
          </w:tcPr>
          <w:p w14:paraId="36A9902E" w14:textId="77777777" w:rsidR="00E949AB" w:rsidRPr="00AA3AC2" w:rsidRDefault="00E949AB" w:rsidP="00C72F0B">
            <w:pPr>
              <w:spacing w:after="80"/>
              <w:rPr>
                <w:rFonts w:cs="Arial"/>
                <w:lang w:val="en-GB"/>
              </w:rPr>
            </w:pPr>
            <w:r w:rsidRPr="00AA3AC2">
              <w:rPr>
                <w:rFonts w:cs="Arial"/>
                <w:lang w:val="en-GB"/>
              </w:rPr>
              <w:t>Up to 50% Norwegian funding</w:t>
            </w:r>
          </w:p>
        </w:tc>
        <w:tc>
          <w:tcPr>
            <w:tcW w:w="5504" w:type="dxa"/>
            <w:shd w:val="clear" w:color="auto" w:fill="FFFFFF" w:themeFill="background1"/>
          </w:tcPr>
          <w:p w14:paraId="220D1692" w14:textId="77777777" w:rsidR="00E949AB" w:rsidRPr="00AA3AC2" w:rsidRDefault="00E949AB" w:rsidP="00C72F0B">
            <w:pPr>
              <w:spacing w:after="80"/>
              <w:jc w:val="left"/>
              <w:rPr>
                <w:rFonts w:cs="Arial"/>
                <w:lang w:val="en-GB"/>
              </w:rPr>
            </w:pPr>
            <w:r w:rsidRPr="00AA3AC2">
              <w:rPr>
                <w:rFonts w:cs="Arial"/>
                <w:lang w:val="en-GB"/>
              </w:rPr>
              <w:t>Public bodies, bodies governed by public law and private non-profit bodies from Norway</w:t>
            </w:r>
          </w:p>
        </w:tc>
      </w:tr>
      <w:tr w:rsidR="00E949AB" w:rsidRPr="00325CD2" w14:paraId="4331EF4B" w14:textId="77777777" w:rsidTr="006F2941">
        <w:trPr>
          <w:cantSplit/>
          <w:trHeight w:val="612"/>
          <w:jc w:val="center"/>
        </w:trPr>
        <w:tc>
          <w:tcPr>
            <w:tcW w:w="4210" w:type="dxa"/>
            <w:shd w:val="clear" w:color="auto" w:fill="F2F2F2" w:themeFill="background1" w:themeFillShade="F2"/>
          </w:tcPr>
          <w:p w14:paraId="697454E1" w14:textId="77777777" w:rsidR="00E949AB" w:rsidRPr="00AA3AC2" w:rsidRDefault="00E949AB" w:rsidP="00C72F0B">
            <w:pPr>
              <w:spacing w:after="80"/>
              <w:rPr>
                <w:rFonts w:cs="Arial"/>
                <w:lang w:val="en-GB"/>
              </w:rPr>
            </w:pPr>
            <w:r w:rsidRPr="00AA3AC2">
              <w:rPr>
                <w:rFonts w:cs="Arial"/>
                <w:lang w:val="en-GB"/>
              </w:rPr>
              <w:t>Swiss funding</w:t>
            </w:r>
          </w:p>
        </w:tc>
        <w:tc>
          <w:tcPr>
            <w:tcW w:w="5504" w:type="dxa"/>
            <w:shd w:val="clear" w:color="auto" w:fill="F2F2F2" w:themeFill="background1" w:themeFillShade="F2"/>
          </w:tcPr>
          <w:p w14:paraId="2EE9320D" w14:textId="77777777" w:rsidR="00E949AB" w:rsidRPr="00AA3AC2" w:rsidRDefault="00E949AB" w:rsidP="00C72F0B">
            <w:pPr>
              <w:spacing w:after="80"/>
              <w:jc w:val="left"/>
              <w:rPr>
                <w:rFonts w:cs="Arial"/>
                <w:lang w:val="en-GB"/>
              </w:rPr>
            </w:pPr>
            <w:r w:rsidRPr="00AA3AC2">
              <w:rPr>
                <w:rFonts w:cs="Arial"/>
                <w:lang w:val="en-GB"/>
              </w:rPr>
              <w:t>Partners from Switzerland are invited to contact the Swiss Interreg national point of contact to receive information on Swiss funding opportunities</w:t>
            </w:r>
          </w:p>
        </w:tc>
      </w:tr>
    </w:tbl>
    <w:p w14:paraId="6DB5F087" w14:textId="77777777" w:rsidR="00E949AB" w:rsidRPr="00AA3AC2" w:rsidRDefault="00E949AB" w:rsidP="00E949AB">
      <w:pPr>
        <w:pStyle w:val="Heading1"/>
        <w:rPr>
          <w:sz w:val="24"/>
          <w:szCs w:val="24"/>
          <w:lang w:val="en-GB"/>
        </w:rPr>
      </w:pPr>
      <w:r w:rsidRPr="00AA3AC2">
        <w:rPr>
          <w:sz w:val="24"/>
          <w:szCs w:val="24"/>
          <w:lang w:val="en-GB"/>
        </w:rPr>
        <w:lastRenderedPageBreak/>
        <w:t>8. Partnership requirements</w:t>
      </w:r>
    </w:p>
    <w:p w14:paraId="77D9548A" w14:textId="77777777" w:rsidR="00E949AB" w:rsidRPr="00AA3AC2" w:rsidRDefault="00E949AB" w:rsidP="00C72F0B">
      <w:pPr>
        <w:suppressAutoHyphens/>
        <w:autoSpaceDE w:val="0"/>
        <w:autoSpaceDN w:val="0"/>
        <w:adjustRightInd w:val="0"/>
        <w:spacing w:before="80" w:after="0"/>
        <w:rPr>
          <w:rFonts w:cs="Arial"/>
          <w:lang w:val="en-GB"/>
        </w:rPr>
      </w:pPr>
      <w:r w:rsidRPr="00AA3AC2">
        <w:rPr>
          <w:lang w:val="en-GB"/>
        </w:rPr>
        <w:t xml:space="preserve">All details related to projects’ partnership are available in section 3.4 of the programme manual. The present terms of reference just highlight the most important requirements which are further explained in the manual. </w:t>
      </w:r>
    </w:p>
    <w:p w14:paraId="678D28BE" w14:textId="77777777" w:rsidR="00E949AB" w:rsidRPr="00AA3AC2" w:rsidRDefault="00E949AB" w:rsidP="00E949AB">
      <w:pPr>
        <w:pStyle w:val="Heading2"/>
        <w:ind w:firstLine="1134"/>
        <w:rPr>
          <w:b w:val="0"/>
          <w:sz w:val="24"/>
          <w:szCs w:val="24"/>
          <w:lang w:val="en-GB"/>
        </w:rPr>
      </w:pPr>
      <w:bookmarkStart w:id="3" w:name="OLE_LINK7"/>
      <w:bookmarkStart w:id="4" w:name="OLE_LINK8"/>
      <w:r w:rsidRPr="00AA3AC2">
        <w:rPr>
          <w:b w:val="0"/>
          <w:sz w:val="24"/>
          <w:szCs w:val="24"/>
          <w:lang w:val="en-GB"/>
        </w:rPr>
        <w:t>8.1 Who can apply?</w:t>
      </w:r>
    </w:p>
    <w:bookmarkEnd w:id="3"/>
    <w:bookmarkEnd w:id="4"/>
    <w:p w14:paraId="2D60EF8B" w14:textId="77777777" w:rsidR="00E949AB" w:rsidRPr="00AA3AC2" w:rsidRDefault="00E949AB" w:rsidP="00C72F0B">
      <w:pPr>
        <w:spacing w:before="80"/>
        <w:rPr>
          <w:lang w:val="en-GB"/>
        </w:rPr>
      </w:pPr>
      <w:r w:rsidRPr="00AA3AC2">
        <w:rPr>
          <w:lang w:val="en-GB"/>
        </w:rPr>
        <w:t>The following organisations are eligible to receive ERDF or Norwegian funding.</w:t>
      </w:r>
    </w:p>
    <w:p w14:paraId="7AD27E43" w14:textId="77777777" w:rsidR="00E949AB" w:rsidRPr="00AA3AC2" w:rsidRDefault="00E949AB" w:rsidP="00B17B88">
      <w:pPr>
        <w:pStyle w:val="a-I-EU-Bulletpoints"/>
        <w:numPr>
          <w:ilvl w:val="0"/>
          <w:numId w:val="40"/>
        </w:numPr>
        <w:ind w:left="720"/>
        <w:rPr>
          <w:lang w:val="en-GB"/>
        </w:rPr>
      </w:pPr>
      <w:r w:rsidRPr="00AA3AC2">
        <w:rPr>
          <w:lang w:val="en-GB"/>
        </w:rPr>
        <w:t>Public authorities,</w:t>
      </w:r>
    </w:p>
    <w:p w14:paraId="7842B737" w14:textId="77777777" w:rsidR="00E949AB" w:rsidRPr="00AA3AC2" w:rsidRDefault="00E949AB" w:rsidP="00B17B88">
      <w:pPr>
        <w:pStyle w:val="a-I-EU-Bulletpoints"/>
        <w:numPr>
          <w:ilvl w:val="0"/>
          <w:numId w:val="40"/>
        </w:numPr>
        <w:ind w:left="720"/>
        <w:rPr>
          <w:lang w:val="en-GB"/>
        </w:rPr>
      </w:pPr>
      <w:r w:rsidRPr="00AA3AC2">
        <w:rPr>
          <w:lang w:val="en-GB"/>
        </w:rPr>
        <w:t>Public law bodies (bodies governed by public law),</w:t>
      </w:r>
    </w:p>
    <w:p w14:paraId="327BA1F5" w14:textId="77777777" w:rsidR="00E949AB" w:rsidRPr="00AA3AC2" w:rsidRDefault="00E949AB" w:rsidP="00B17B88">
      <w:pPr>
        <w:pStyle w:val="a-I-EU-Bulletpoints"/>
        <w:numPr>
          <w:ilvl w:val="0"/>
          <w:numId w:val="40"/>
        </w:numPr>
        <w:ind w:left="720"/>
        <w:rPr>
          <w:lang w:val="en-GB"/>
        </w:rPr>
      </w:pPr>
      <w:r w:rsidRPr="00AA3AC2">
        <w:rPr>
          <w:lang w:val="en-GB"/>
        </w:rPr>
        <w:t>Private non-profit bodies.</w:t>
      </w:r>
    </w:p>
    <w:p w14:paraId="4C00F9E9" w14:textId="77777777" w:rsidR="00E949AB" w:rsidRPr="00AA3AC2" w:rsidRDefault="00E949AB" w:rsidP="00C72F0B">
      <w:pPr>
        <w:spacing w:before="80"/>
        <w:rPr>
          <w:lang w:val="en-GB"/>
        </w:rPr>
      </w:pPr>
      <w:r w:rsidRPr="00AA3AC2">
        <w:rPr>
          <w:lang w:val="en-GB"/>
        </w:rPr>
        <w:t xml:space="preserve">Private non-profit bodies and partners from Switzerland cannot take on the role of lead partner.  </w:t>
      </w:r>
    </w:p>
    <w:p w14:paraId="5C804B8A" w14:textId="77777777" w:rsidR="00E949AB" w:rsidRPr="00EF3AE8" w:rsidRDefault="00E949AB" w:rsidP="00C72F0B">
      <w:pPr>
        <w:spacing w:before="80"/>
        <w:rPr>
          <w:lang w:val="en-GB"/>
        </w:rPr>
      </w:pPr>
      <w:r w:rsidRPr="00AA3AC2">
        <w:rPr>
          <w:lang w:val="en-GB"/>
        </w:rPr>
        <w:t xml:space="preserve">Beyond the issue of eligibility, one of the </w:t>
      </w:r>
      <w:r w:rsidRPr="00EF3AE8">
        <w:rPr>
          <w:lang w:val="en-GB"/>
        </w:rPr>
        <w:t xml:space="preserve">key success factors for any application is to ensure that the proposed partnership is coherent with the objective and issue addressed in the proposal (see section 3.4.4.1 of the manual). </w:t>
      </w:r>
    </w:p>
    <w:p w14:paraId="40DEDC8D" w14:textId="77777777" w:rsidR="00E949AB" w:rsidRPr="00EF3AE8" w:rsidRDefault="00E949AB" w:rsidP="00E949AB">
      <w:pPr>
        <w:pStyle w:val="Heading2"/>
        <w:ind w:firstLine="1134"/>
        <w:rPr>
          <w:b w:val="0"/>
          <w:sz w:val="24"/>
          <w:szCs w:val="24"/>
          <w:lang w:val="en-GB"/>
        </w:rPr>
      </w:pPr>
      <w:r w:rsidRPr="00EF3AE8">
        <w:rPr>
          <w:b w:val="0"/>
          <w:sz w:val="24"/>
          <w:szCs w:val="24"/>
          <w:lang w:val="en-GB"/>
        </w:rPr>
        <w:t>8.2 Involvement of the policy responsible authorities</w:t>
      </w:r>
    </w:p>
    <w:p w14:paraId="40BFEAE2" w14:textId="486283FD" w:rsidR="00E949AB" w:rsidRPr="00EF3AE8" w:rsidRDefault="00E949AB" w:rsidP="00B17B88">
      <w:pPr>
        <w:spacing w:after="80"/>
        <w:rPr>
          <w:rFonts w:cs="Arial"/>
          <w:lang w:val="en-GB"/>
        </w:rPr>
      </w:pPr>
      <w:r w:rsidRPr="00EF3AE8">
        <w:rPr>
          <w:lang w:val="en-GB"/>
        </w:rPr>
        <w:t xml:space="preserve">In line with the programme’s objective, the policy responsible authorities are the core target group of Interreg Europe. These organisations can be national, regional or local authorities as well as other relevant organisations </w:t>
      </w:r>
      <w:r w:rsidRPr="00EF3AE8">
        <w:rPr>
          <w:rFonts w:cs="Arial"/>
          <w:lang w:val="en-GB"/>
        </w:rPr>
        <w:t xml:space="preserve">responsible for elaborating and/or </w:t>
      </w:r>
      <w:r w:rsidR="00325CD2">
        <w:rPr>
          <w:rFonts w:cs="Arial"/>
          <w:lang w:val="en-GB"/>
        </w:rPr>
        <w:t>implementing</w:t>
      </w:r>
      <w:r w:rsidRPr="00EF3AE8">
        <w:rPr>
          <w:rFonts w:cs="Arial"/>
          <w:lang w:val="en-GB"/>
        </w:rPr>
        <w:t xml:space="preserve"> regional development policies. </w:t>
      </w:r>
      <w:r w:rsidR="00804525" w:rsidRPr="00EF3AE8">
        <w:rPr>
          <w:rFonts w:cs="Arial"/>
          <w:lang w:val="en-GB"/>
        </w:rPr>
        <w:t xml:space="preserve">In the case of </w:t>
      </w:r>
      <w:r w:rsidR="00804525" w:rsidRPr="00EF3AE8">
        <w:rPr>
          <w:rFonts w:cs="Arial"/>
          <w:b/>
          <w:bCs/>
          <w:lang w:val="en-GB"/>
        </w:rPr>
        <w:t>Investment for jobs and growth goal programmes, the responsible authorities are the relevant managing authorities or intermediate bodies</w:t>
      </w:r>
      <w:r w:rsidR="00804525" w:rsidRPr="00EF3AE8">
        <w:rPr>
          <w:rFonts w:cs="Arial"/>
          <w:lang w:val="en-GB"/>
        </w:rPr>
        <w:t>.</w:t>
      </w:r>
      <w:r w:rsidR="00804525" w:rsidRPr="00EF3AE8">
        <w:rPr>
          <w:rFonts w:cs="Arial"/>
          <w:b/>
          <w:bCs/>
          <w:lang w:val="en-GB"/>
        </w:rPr>
        <w:t xml:space="preserve"> </w:t>
      </w:r>
      <w:r w:rsidRPr="00EF3AE8">
        <w:rPr>
          <w:lang w:val="en-GB"/>
        </w:rPr>
        <w:t xml:space="preserve">Each ‘region’ involved in a project has to identify the main policy instrument it aims to improve through the cooperation. </w:t>
      </w:r>
      <w:r w:rsidRPr="00EF3AE8">
        <w:rPr>
          <w:rFonts w:cs="Arial"/>
          <w:lang w:val="en-GB"/>
        </w:rPr>
        <w:t xml:space="preserve">The direct involvement of the authorities responsible for these instruments is a key feature for projects to achieve their objectives. </w:t>
      </w:r>
    </w:p>
    <w:p w14:paraId="1DA2BBE4" w14:textId="77777777" w:rsidR="00E949AB" w:rsidRPr="00EF3AE8" w:rsidRDefault="00E949AB" w:rsidP="00B17B88">
      <w:pPr>
        <w:suppressAutoHyphens/>
        <w:spacing w:before="80"/>
        <w:rPr>
          <w:rFonts w:cs="Arial"/>
          <w:b/>
          <w:bCs/>
          <w:lang w:val="en-GB"/>
        </w:rPr>
      </w:pPr>
      <w:r w:rsidRPr="00EF3AE8">
        <w:rPr>
          <w:rFonts w:cs="Arial"/>
          <w:lang w:val="en-GB"/>
        </w:rPr>
        <w:t xml:space="preserve">Therefore, </w:t>
      </w:r>
      <w:r w:rsidRPr="00EF3AE8">
        <w:rPr>
          <w:rFonts w:cs="Arial"/>
          <w:b/>
          <w:bCs/>
          <w:lang w:val="en-GB"/>
        </w:rPr>
        <w:t>the involvement of the policy responsible authority as partner is compulsory for at least 50% of the policy instruments addressed in a project application. For the remaining policy instruments (if any),</w:t>
      </w:r>
      <w:r w:rsidRPr="00EF3AE8">
        <w:rPr>
          <w:rFonts w:cs="Arial"/>
          <w:lang w:val="en-GB"/>
        </w:rPr>
        <w:t xml:space="preserve"> </w:t>
      </w:r>
      <w:r w:rsidRPr="00EF3AE8">
        <w:rPr>
          <w:rFonts w:cs="Arial"/>
          <w:b/>
          <w:bCs/>
          <w:lang w:val="en-GB"/>
        </w:rPr>
        <w:t xml:space="preserve">these authorities must be involved as an ‘associated policy authority’. </w:t>
      </w:r>
    </w:p>
    <w:p w14:paraId="070EE0DD" w14:textId="77777777" w:rsidR="00E949AB" w:rsidRPr="00EF3AE8" w:rsidRDefault="00E949AB" w:rsidP="00B17B88">
      <w:pPr>
        <w:suppressAutoHyphens/>
        <w:spacing w:before="80"/>
        <w:rPr>
          <w:rFonts w:cs="Arial"/>
          <w:lang w:val="en-GB"/>
        </w:rPr>
      </w:pPr>
      <w:r w:rsidRPr="00EF3AE8">
        <w:rPr>
          <w:rFonts w:cs="Arial"/>
          <w:lang w:val="en-GB"/>
        </w:rPr>
        <w:t xml:space="preserve">The notion of ‘associated policy authority’ is defined in section 3.4.2.2 of the programme manual. </w:t>
      </w:r>
    </w:p>
    <w:p w14:paraId="624D0786" w14:textId="7519661A" w:rsidR="00941A9B" w:rsidRPr="00EF3AE8" w:rsidRDefault="00C47550" w:rsidP="00B17B88">
      <w:pPr>
        <w:suppressAutoHyphens/>
        <w:spacing w:before="80"/>
        <w:rPr>
          <w:lang w:val="en-GB"/>
        </w:rPr>
      </w:pPr>
      <w:r w:rsidRPr="00EF3AE8">
        <w:rPr>
          <w:rFonts w:cs="Arial"/>
          <w:lang w:val="en-GB"/>
        </w:rPr>
        <w:t xml:space="preserve">When preparing an application, it is essential to identify the relevant ‘policy responsible authority’ of each policy instrument addressed by the project. </w:t>
      </w:r>
      <w:r w:rsidRPr="00EF3AE8">
        <w:rPr>
          <w:lang w:val="en-GB"/>
        </w:rPr>
        <w:t>In case of doubt, the relevant Partner State should be contacted since only the Partner State can confirm whether an organisation from its territory qualify as a policy responsible authority for the policy instrument addressed in its country.</w:t>
      </w:r>
    </w:p>
    <w:p w14:paraId="60D53941" w14:textId="77777777" w:rsidR="00E949AB" w:rsidRPr="00EF3AE8" w:rsidRDefault="00E949AB" w:rsidP="00E949AB">
      <w:pPr>
        <w:pStyle w:val="Heading2"/>
        <w:ind w:firstLine="1134"/>
        <w:rPr>
          <w:b w:val="0"/>
          <w:sz w:val="24"/>
          <w:szCs w:val="24"/>
          <w:lang w:val="en-GB"/>
        </w:rPr>
      </w:pPr>
      <w:r w:rsidRPr="00EF3AE8">
        <w:rPr>
          <w:b w:val="0"/>
          <w:sz w:val="24"/>
          <w:szCs w:val="24"/>
          <w:lang w:val="en-GB"/>
        </w:rPr>
        <w:t>8.3 Geographical coverage</w:t>
      </w:r>
    </w:p>
    <w:p w14:paraId="6F024A94" w14:textId="49B6D463" w:rsidR="00E949AB" w:rsidRDefault="00E949AB" w:rsidP="00B17B88">
      <w:pPr>
        <w:spacing w:before="80"/>
        <w:rPr>
          <w:lang w:val="en-GB"/>
        </w:rPr>
      </w:pPr>
      <w:r w:rsidRPr="00EF3AE8">
        <w:rPr>
          <w:lang w:val="en-GB"/>
        </w:rPr>
        <w:t>Based on Article 23 (1) of the ETC regulation (EC) 2021/1059, projects must involve partners from at least three countries, at least two of which must be beneficiaries from EU Member States, with the latter applying for Interreg Europe funding</w:t>
      </w:r>
      <w:r w:rsidRPr="00EF3AE8">
        <w:rPr>
          <w:rStyle w:val="FootnoteReference"/>
          <w:lang w:val="en-GB"/>
        </w:rPr>
        <w:footnoteReference w:id="3"/>
      </w:r>
      <w:r w:rsidRPr="00EF3AE8">
        <w:rPr>
          <w:lang w:val="en-GB"/>
        </w:rPr>
        <w:t xml:space="preserve">. In addition, Interreg Europe requires a wide geographical coverage from all applications as reflected in the eligibility criterion 5 defined in section 4.3.1 the programme manual. Therefore, to be eligible in the </w:t>
      </w:r>
      <w:r w:rsidR="00570BCD" w:rsidRPr="00EF3AE8">
        <w:rPr>
          <w:lang w:val="en-GB"/>
        </w:rPr>
        <w:t xml:space="preserve">second </w:t>
      </w:r>
      <w:r w:rsidRPr="00EF3AE8">
        <w:rPr>
          <w:lang w:val="en-GB"/>
        </w:rPr>
        <w:t xml:space="preserve">call, the </w:t>
      </w:r>
      <w:r w:rsidRPr="00EF3AE8">
        <w:rPr>
          <w:bCs/>
          <w:lang w:val="en-GB"/>
        </w:rPr>
        <w:t>applications submitted have to ensure that the</w:t>
      </w:r>
      <w:r w:rsidRPr="00EF3AE8">
        <w:rPr>
          <w:b/>
          <w:lang w:val="en-GB"/>
        </w:rPr>
        <w:t xml:space="preserve"> </w:t>
      </w:r>
      <w:r w:rsidRPr="00EF3AE8">
        <w:rPr>
          <w:b/>
          <w:u w:val="single"/>
          <w:lang w:val="en-GB"/>
        </w:rPr>
        <w:t>four areas</w:t>
      </w:r>
      <w:r w:rsidRPr="00EF3AE8">
        <w:rPr>
          <w:b/>
          <w:lang w:val="en-GB"/>
        </w:rPr>
        <w:t xml:space="preserve"> below are represented</w:t>
      </w:r>
      <w:r w:rsidRPr="00AA3AC2">
        <w:rPr>
          <w:b/>
          <w:lang w:val="en-GB"/>
        </w:rPr>
        <w:t xml:space="preserve"> in the partnership with at least one project partner</w:t>
      </w:r>
      <w:r w:rsidRPr="00AA3AC2">
        <w:rPr>
          <w:lang w:val="en-GB"/>
        </w:rPr>
        <w:t>:</w:t>
      </w:r>
    </w:p>
    <w:p w14:paraId="05FEC7BD" w14:textId="77777777" w:rsidR="00EF3AE8" w:rsidRPr="00AA3AC2" w:rsidRDefault="00EF3AE8" w:rsidP="00B17B88">
      <w:pPr>
        <w:spacing w:before="80"/>
        <w:rPr>
          <w:lang w:val="en-GB"/>
        </w:rPr>
      </w:pPr>
    </w:p>
    <w:tbl>
      <w:tblPr>
        <w:tblW w:w="9810"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2155"/>
        <w:gridCol w:w="7655"/>
      </w:tblGrid>
      <w:tr w:rsidR="00E949AB" w:rsidRPr="00AA3AC2" w14:paraId="6E1E64AA" w14:textId="77777777" w:rsidTr="00B17B88">
        <w:trPr>
          <w:trHeight w:val="390"/>
        </w:trPr>
        <w:tc>
          <w:tcPr>
            <w:tcW w:w="2155" w:type="dxa"/>
            <w:shd w:val="clear" w:color="auto" w:fill="000000" w:themeFill="text1"/>
          </w:tcPr>
          <w:p w14:paraId="45F3F30C" w14:textId="77777777" w:rsidR="00E949AB" w:rsidRPr="00AA3AC2" w:rsidRDefault="00E949AB" w:rsidP="006F2941">
            <w:pPr>
              <w:tabs>
                <w:tab w:val="center" w:pos="4536"/>
                <w:tab w:val="right" w:pos="9072"/>
              </w:tabs>
              <w:spacing w:before="120" w:after="120" w:line="240" w:lineRule="auto"/>
              <w:jc w:val="center"/>
              <w:rPr>
                <w:rFonts w:cs="Arial"/>
                <w:b/>
                <w:color w:val="FFFFFF" w:themeColor="background1"/>
                <w:lang w:val="en-GB"/>
              </w:rPr>
            </w:pPr>
            <w:r w:rsidRPr="00AA3AC2">
              <w:rPr>
                <w:rFonts w:cs="Arial"/>
                <w:b/>
                <w:color w:val="FFFFFF" w:themeColor="background1"/>
                <w:lang w:val="en-GB"/>
              </w:rPr>
              <w:lastRenderedPageBreak/>
              <w:t>Geographical areas</w:t>
            </w:r>
          </w:p>
        </w:tc>
        <w:tc>
          <w:tcPr>
            <w:tcW w:w="7655" w:type="dxa"/>
            <w:shd w:val="clear" w:color="auto" w:fill="000000" w:themeFill="text1"/>
          </w:tcPr>
          <w:p w14:paraId="3ABFE0C3" w14:textId="77777777" w:rsidR="00E949AB" w:rsidRPr="00AA3AC2" w:rsidRDefault="00E949AB" w:rsidP="006F2941">
            <w:pPr>
              <w:tabs>
                <w:tab w:val="center" w:pos="4536"/>
                <w:tab w:val="right" w:pos="9072"/>
              </w:tabs>
              <w:spacing w:before="120" w:after="120" w:line="240" w:lineRule="auto"/>
              <w:jc w:val="center"/>
              <w:rPr>
                <w:rFonts w:cs="Arial"/>
                <w:b/>
                <w:color w:val="FFFFFF" w:themeColor="background1"/>
                <w:lang w:val="en-GB"/>
              </w:rPr>
            </w:pPr>
            <w:r w:rsidRPr="00AA3AC2">
              <w:rPr>
                <w:rFonts w:cs="Arial"/>
                <w:b/>
                <w:color w:val="FFFFFF" w:themeColor="background1"/>
                <w:lang w:val="en-GB"/>
              </w:rPr>
              <w:t>Countries covered</w:t>
            </w:r>
          </w:p>
        </w:tc>
      </w:tr>
      <w:tr w:rsidR="00E949AB" w:rsidRPr="00325CD2" w14:paraId="0B0BB2F5" w14:textId="77777777" w:rsidTr="00B17B88">
        <w:trPr>
          <w:trHeight w:val="482"/>
        </w:trPr>
        <w:tc>
          <w:tcPr>
            <w:tcW w:w="2155" w:type="dxa"/>
            <w:shd w:val="clear" w:color="auto" w:fill="FFFFFF" w:themeFill="background1"/>
          </w:tcPr>
          <w:p w14:paraId="1F08C712" w14:textId="77777777" w:rsidR="00E949AB" w:rsidRPr="00AA3AC2" w:rsidRDefault="00E949AB" w:rsidP="006F2941">
            <w:pPr>
              <w:tabs>
                <w:tab w:val="center" w:pos="4536"/>
                <w:tab w:val="right" w:pos="9072"/>
              </w:tabs>
              <w:spacing w:before="120" w:after="120" w:line="240" w:lineRule="auto"/>
              <w:jc w:val="center"/>
              <w:rPr>
                <w:rFonts w:cs="Arial"/>
                <w:b/>
                <w:color w:val="000000" w:themeColor="text1"/>
                <w:lang w:val="en-GB"/>
              </w:rPr>
            </w:pPr>
            <w:r w:rsidRPr="00AA3AC2">
              <w:rPr>
                <w:rFonts w:cs="Arial"/>
                <w:b/>
                <w:color w:val="000000" w:themeColor="text1"/>
                <w:lang w:val="en-GB"/>
              </w:rPr>
              <w:t>North</w:t>
            </w:r>
          </w:p>
        </w:tc>
        <w:tc>
          <w:tcPr>
            <w:tcW w:w="7655" w:type="dxa"/>
            <w:shd w:val="clear" w:color="auto" w:fill="FFFFFF" w:themeFill="background1"/>
          </w:tcPr>
          <w:p w14:paraId="2EC9B403" w14:textId="77777777" w:rsidR="00E949AB" w:rsidRPr="00AA3AC2" w:rsidRDefault="00E949AB" w:rsidP="006F2941">
            <w:pPr>
              <w:tabs>
                <w:tab w:val="center" w:pos="4536"/>
                <w:tab w:val="right" w:pos="9072"/>
              </w:tabs>
              <w:spacing w:before="120" w:after="120" w:line="240" w:lineRule="auto"/>
              <w:rPr>
                <w:rFonts w:cs="Arial"/>
                <w:color w:val="000000" w:themeColor="text1"/>
                <w:lang w:val="en-GB"/>
              </w:rPr>
            </w:pPr>
            <w:r w:rsidRPr="00AA3AC2">
              <w:rPr>
                <w:rFonts w:cs="Arial"/>
                <w:color w:val="000000" w:themeColor="text1"/>
                <w:lang w:val="en-GB"/>
              </w:rPr>
              <w:t>Denmark, Estonia, Finland, Germany, Latvia, Lithuania, Norway, Sweden</w:t>
            </w:r>
          </w:p>
        </w:tc>
      </w:tr>
      <w:tr w:rsidR="00E949AB" w:rsidRPr="00325CD2" w14:paraId="04D815BA" w14:textId="77777777" w:rsidTr="00B17B88">
        <w:trPr>
          <w:trHeight w:val="418"/>
        </w:trPr>
        <w:tc>
          <w:tcPr>
            <w:tcW w:w="2155" w:type="dxa"/>
            <w:shd w:val="clear" w:color="auto" w:fill="F2F2F2" w:themeFill="background1" w:themeFillShade="F2"/>
          </w:tcPr>
          <w:p w14:paraId="5ADD08A4" w14:textId="77777777" w:rsidR="00E949AB" w:rsidRPr="00AA3AC2" w:rsidRDefault="00E949AB" w:rsidP="006F2941">
            <w:pPr>
              <w:tabs>
                <w:tab w:val="center" w:pos="4536"/>
                <w:tab w:val="right" w:pos="9072"/>
              </w:tabs>
              <w:spacing w:before="120" w:after="120" w:line="240" w:lineRule="auto"/>
              <w:jc w:val="center"/>
              <w:rPr>
                <w:rFonts w:cs="Arial"/>
                <w:b/>
                <w:color w:val="000000" w:themeColor="text1"/>
                <w:lang w:val="en-GB"/>
              </w:rPr>
            </w:pPr>
            <w:r w:rsidRPr="00AA3AC2">
              <w:rPr>
                <w:rFonts w:cs="Arial"/>
                <w:b/>
                <w:color w:val="000000" w:themeColor="text1"/>
                <w:lang w:val="en-GB"/>
              </w:rPr>
              <w:t>East</w:t>
            </w:r>
          </w:p>
        </w:tc>
        <w:tc>
          <w:tcPr>
            <w:tcW w:w="7655" w:type="dxa"/>
            <w:shd w:val="clear" w:color="auto" w:fill="F2F2F2" w:themeFill="background1" w:themeFillShade="F2"/>
          </w:tcPr>
          <w:p w14:paraId="6CA158C9" w14:textId="77777777" w:rsidR="00E949AB" w:rsidRPr="00276FD1" w:rsidRDefault="00E949AB" w:rsidP="006F2941">
            <w:pPr>
              <w:tabs>
                <w:tab w:val="center" w:pos="4536"/>
                <w:tab w:val="right" w:pos="9072"/>
              </w:tabs>
              <w:spacing w:before="120" w:after="120" w:line="240" w:lineRule="auto"/>
              <w:rPr>
                <w:rFonts w:cs="Arial"/>
                <w:color w:val="000000" w:themeColor="text1"/>
                <w:lang w:val="it-IT"/>
              </w:rPr>
            </w:pPr>
            <w:r w:rsidRPr="00276FD1">
              <w:rPr>
                <w:rFonts w:cs="Arial"/>
                <w:color w:val="000000" w:themeColor="text1"/>
                <w:lang w:val="it-IT"/>
              </w:rPr>
              <w:t>Austria, Bulgaria, Czech Republic, Hungary, Poland, Romania, Slovakia, Slovenia</w:t>
            </w:r>
          </w:p>
        </w:tc>
      </w:tr>
      <w:tr w:rsidR="00E949AB" w:rsidRPr="00325CD2" w14:paraId="3CD55DB3" w14:textId="77777777" w:rsidTr="006F2941">
        <w:tc>
          <w:tcPr>
            <w:tcW w:w="2155" w:type="dxa"/>
          </w:tcPr>
          <w:p w14:paraId="70C63A0A" w14:textId="77777777" w:rsidR="00E949AB" w:rsidRPr="00AA3AC2" w:rsidRDefault="00E949AB" w:rsidP="006F2941">
            <w:pPr>
              <w:tabs>
                <w:tab w:val="center" w:pos="4536"/>
                <w:tab w:val="right" w:pos="9072"/>
              </w:tabs>
              <w:spacing w:before="120" w:after="120" w:line="240" w:lineRule="auto"/>
              <w:jc w:val="center"/>
              <w:rPr>
                <w:rFonts w:cs="Arial"/>
                <w:b/>
                <w:color w:val="000000" w:themeColor="text1"/>
                <w:lang w:val="en-GB"/>
              </w:rPr>
            </w:pPr>
            <w:r w:rsidRPr="00AA3AC2">
              <w:rPr>
                <w:rFonts w:cs="Arial"/>
                <w:b/>
                <w:color w:val="000000" w:themeColor="text1"/>
                <w:lang w:val="en-GB"/>
              </w:rPr>
              <w:t>South</w:t>
            </w:r>
          </w:p>
        </w:tc>
        <w:tc>
          <w:tcPr>
            <w:tcW w:w="7655" w:type="dxa"/>
          </w:tcPr>
          <w:p w14:paraId="7FAD77AE" w14:textId="77777777" w:rsidR="00E949AB" w:rsidRPr="00AA3AC2" w:rsidRDefault="00E949AB" w:rsidP="006F2941">
            <w:pPr>
              <w:tabs>
                <w:tab w:val="center" w:pos="4536"/>
                <w:tab w:val="right" w:pos="9072"/>
              </w:tabs>
              <w:spacing w:before="120" w:after="120" w:line="240" w:lineRule="auto"/>
              <w:rPr>
                <w:rFonts w:cs="Arial"/>
                <w:color w:val="000000" w:themeColor="text1"/>
                <w:lang w:val="en-GB"/>
              </w:rPr>
            </w:pPr>
            <w:r w:rsidRPr="00AA3AC2">
              <w:rPr>
                <w:rFonts w:cs="Arial"/>
                <w:color w:val="000000" w:themeColor="text1"/>
                <w:lang w:val="en-GB"/>
              </w:rPr>
              <w:t>Croatia, Cyprus, Greece, Italy, Malta, Portugal, Spain</w:t>
            </w:r>
          </w:p>
        </w:tc>
      </w:tr>
      <w:tr w:rsidR="00E949AB" w:rsidRPr="00276FD1" w14:paraId="540EE6ED" w14:textId="77777777" w:rsidTr="00B17B88">
        <w:trPr>
          <w:trHeight w:val="535"/>
        </w:trPr>
        <w:tc>
          <w:tcPr>
            <w:tcW w:w="2155" w:type="dxa"/>
            <w:tcBorders>
              <w:top w:val="single" w:sz="4" w:space="0" w:color="1F497D"/>
              <w:left w:val="single" w:sz="4" w:space="0" w:color="1F497D"/>
              <w:bottom w:val="single" w:sz="4" w:space="0" w:color="1F497D"/>
              <w:right w:val="single" w:sz="4" w:space="0" w:color="1F497D"/>
            </w:tcBorders>
            <w:shd w:val="clear" w:color="auto" w:fill="F2F2F2" w:themeFill="background1" w:themeFillShade="F2"/>
          </w:tcPr>
          <w:p w14:paraId="60786FDF" w14:textId="77777777" w:rsidR="00E949AB" w:rsidRPr="00AA3AC2" w:rsidRDefault="00E949AB" w:rsidP="006F2941">
            <w:pPr>
              <w:tabs>
                <w:tab w:val="center" w:pos="4536"/>
                <w:tab w:val="right" w:pos="9072"/>
              </w:tabs>
              <w:spacing w:before="120" w:after="120" w:line="240" w:lineRule="auto"/>
              <w:jc w:val="center"/>
              <w:rPr>
                <w:rFonts w:cs="Arial"/>
                <w:b/>
                <w:color w:val="000000" w:themeColor="text1"/>
                <w:lang w:val="en-GB"/>
              </w:rPr>
            </w:pPr>
            <w:r w:rsidRPr="00AA3AC2">
              <w:rPr>
                <w:rFonts w:cs="Arial"/>
                <w:b/>
                <w:color w:val="000000" w:themeColor="text1"/>
                <w:lang w:val="en-GB"/>
              </w:rPr>
              <w:t>West</w:t>
            </w:r>
          </w:p>
        </w:tc>
        <w:tc>
          <w:tcPr>
            <w:tcW w:w="7655" w:type="dxa"/>
            <w:tcBorders>
              <w:top w:val="single" w:sz="4" w:space="0" w:color="1F497D"/>
              <w:left w:val="single" w:sz="4" w:space="0" w:color="1F497D"/>
              <w:bottom w:val="single" w:sz="4" w:space="0" w:color="1F497D"/>
              <w:right w:val="single" w:sz="4" w:space="0" w:color="1F497D"/>
            </w:tcBorders>
            <w:shd w:val="clear" w:color="auto" w:fill="F2F2F2" w:themeFill="background1" w:themeFillShade="F2"/>
          </w:tcPr>
          <w:p w14:paraId="0768A1AC" w14:textId="77777777" w:rsidR="00E949AB" w:rsidRPr="00276FD1" w:rsidRDefault="00E949AB" w:rsidP="006F2941">
            <w:pPr>
              <w:tabs>
                <w:tab w:val="center" w:pos="4536"/>
                <w:tab w:val="right" w:pos="9072"/>
              </w:tabs>
              <w:spacing w:before="120" w:after="120" w:line="240" w:lineRule="auto"/>
              <w:rPr>
                <w:rFonts w:cs="Arial"/>
                <w:color w:val="000000" w:themeColor="text1"/>
                <w:lang w:val="de-DE"/>
              </w:rPr>
            </w:pPr>
            <w:r w:rsidRPr="00276FD1">
              <w:rPr>
                <w:rFonts w:cs="Arial"/>
                <w:color w:val="000000" w:themeColor="text1"/>
                <w:lang w:val="de-DE"/>
              </w:rPr>
              <w:t>Belgium, France, Ireland, Luxembourg, Netherlands, Switzerland</w:t>
            </w:r>
          </w:p>
        </w:tc>
      </w:tr>
    </w:tbl>
    <w:p w14:paraId="71053169" w14:textId="252AB3F3" w:rsidR="00276FD1" w:rsidRPr="00EF3AE8" w:rsidRDefault="00026FA1" w:rsidP="00EF3AE8">
      <w:pPr>
        <w:pStyle w:val="Heading2"/>
        <w:jc w:val="both"/>
        <w:rPr>
          <w:rFonts w:eastAsiaTheme="minorHAnsi" w:cs="Arial"/>
          <w:b w:val="0"/>
          <w:spacing w:val="0"/>
          <w:sz w:val="20"/>
          <w:szCs w:val="20"/>
          <w:lang w:val="en-GB"/>
        </w:rPr>
      </w:pPr>
      <w:r w:rsidRPr="00EF3AE8">
        <w:rPr>
          <w:rFonts w:eastAsiaTheme="minorHAnsi" w:cs="Arial"/>
          <w:b w:val="0"/>
          <w:spacing w:val="0"/>
          <w:sz w:val="20"/>
          <w:szCs w:val="20"/>
          <w:lang w:val="en-GB"/>
        </w:rPr>
        <w:t>It should however be highlighted that the fulfilment of eligibility criterion 5 is not sufficient to ensure that a partnership goes beyond transnational cooperation areas. For instance, a transnational programme like MED already covers three of the four geographical areas defined by Interreg Europe (South, East with Slovenia and Bulgaria and West with part of France).</w:t>
      </w:r>
    </w:p>
    <w:p w14:paraId="5ABDE8B7" w14:textId="3D473D3D" w:rsidR="00E949AB" w:rsidRPr="00AA3AC2" w:rsidRDefault="00E949AB" w:rsidP="00E949AB">
      <w:pPr>
        <w:pStyle w:val="Heading2"/>
        <w:ind w:firstLine="1134"/>
        <w:rPr>
          <w:b w:val="0"/>
          <w:sz w:val="24"/>
          <w:szCs w:val="24"/>
          <w:lang w:val="en-GB"/>
        </w:rPr>
      </w:pPr>
      <w:r w:rsidRPr="00AA3AC2">
        <w:rPr>
          <w:b w:val="0"/>
          <w:sz w:val="24"/>
          <w:szCs w:val="24"/>
          <w:lang w:val="en-GB"/>
        </w:rPr>
        <w:t xml:space="preserve">8.4 Policy instruments addressed </w:t>
      </w:r>
    </w:p>
    <w:p w14:paraId="42958D6C" w14:textId="77777777" w:rsidR="00E949AB" w:rsidRPr="00EF3AE8" w:rsidRDefault="00E949AB" w:rsidP="00B17B88">
      <w:pPr>
        <w:tabs>
          <w:tab w:val="left" w:pos="142"/>
          <w:tab w:val="left" w:pos="426"/>
        </w:tabs>
        <w:spacing w:after="80"/>
        <w:rPr>
          <w:rFonts w:eastAsiaTheme="minorHAnsi" w:cs="Arial"/>
          <w:strike/>
          <w:lang w:val="en-GB"/>
        </w:rPr>
      </w:pPr>
      <w:r w:rsidRPr="00AA3AC2">
        <w:rPr>
          <w:rFonts w:eastAsiaTheme="minorHAnsi" w:cs="Arial"/>
          <w:lang w:val="en-GB"/>
        </w:rPr>
        <w:t>The objective of an interregional cooperation project (in particular of the core phase) is to improve through exchange of experience the performance of the regional development policy instruments of the participating regions, including Investment for jobs and growth goal programmes, in line with the programme mission stated in Article (3) (3) (a</w:t>
      </w:r>
      <w:r w:rsidRPr="00EF3AE8">
        <w:rPr>
          <w:rFonts w:eastAsiaTheme="minorHAnsi" w:cs="Arial"/>
          <w:lang w:val="en-GB"/>
        </w:rPr>
        <w:t xml:space="preserve">) of the ETC Regulation (EU) 2021/1059. </w:t>
      </w:r>
    </w:p>
    <w:p w14:paraId="7E5F3302" w14:textId="77777777" w:rsidR="00E949AB" w:rsidRPr="00EF3AE8" w:rsidRDefault="00E949AB" w:rsidP="00B17B88">
      <w:pPr>
        <w:spacing w:after="80"/>
        <w:rPr>
          <w:rFonts w:cs="Arial"/>
          <w:lang w:val="en-GB"/>
        </w:rPr>
      </w:pPr>
      <w:r w:rsidRPr="00EF3AE8">
        <w:rPr>
          <w:rFonts w:cs="Arial"/>
          <w:lang w:val="en-GB"/>
        </w:rPr>
        <w:t xml:space="preserve">This particular focus on cohesion policy means that, at application stage, </w:t>
      </w:r>
      <w:r w:rsidRPr="00EF3AE8">
        <w:rPr>
          <w:rFonts w:cs="Arial"/>
          <w:b/>
          <w:bCs/>
          <w:lang w:val="en-GB"/>
        </w:rPr>
        <w:t>at least one of the policy instruments addressed</w:t>
      </w:r>
      <w:r w:rsidRPr="00EF3AE8">
        <w:rPr>
          <w:rFonts w:cs="Arial"/>
          <w:lang w:val="en-GB"/>
        </w:rPr>
        <w:t xml:space="preserve"> </w:t>
      </w:r>
      <w:r w:rsidRPr="00EF3AE8">
        <w:rPr>
          <w:rFonts w:cs="Arial"/>
          <w:b/>
          <w:bCs/>
          <w:lang w:val="en-GB"/>
        </w:rPr>
        <w:t>in a project must be an Investment for jobs and growth goal programme</w:t>
      </w:r>
      <w:r w:rsidRPr="00EF3AE8">
        <w:rPr>
          <w:rFonts w:cs="Arial"/>
          <w:lang w:val="en-GB"/>
        </w:rPr>
        <w:t>.</w:t>
      </w:r>
    </w:p>
    <w:p w14:paraId="41C059A2" w14:textId="77777777" w:rsidR="008D14B9" w:rsidRPr="00EF3AE8" w:rsidRDefault="008D14B9" w:rsidP="008D14B9">
      <w:pPr>
        <w:spacing w:after="80" w:line="300" w:lineRule="auto"/>
        <w:rPr>
          <w:rFonts w:cs="Arial"/>
          <w:lang w:val="en-GB"/>
        </w:rPr>
      </w:pPr>
      <w:r w:rsidRPr="00EF3AE8">
        <w:rPr>
          <w:lang w:val="en-GB"/>
        </w:rPr>
        <w:t xml:space="preserve">The policy </w:t>
      </w:r>
      <w:r w:rsidRPr="00EF3AE8">
        <w:rPr>
          <w:rFonts w:cs="Arial"/>
          <w:lang w:val="en-GB"/>
        </w:rPr>
        <w:t>instruments addressed by a project must be carefully selected and clearly defined at the application stage. In particular, the following elements should be ensured:</w:t>
      </w:r>
    </w:p>
    <w:p w14:paraId="0B3B82F5" w14:textId="77777777" w:rsidR="008D14B9" w:rsidRPr="00EF3AE8" w:rsidRDefault="008D14B9" w:rsidP="008D14B9">
      <w:pPr>
        <w:pStyle w:val="ListParagraph"/>
        <w:numPr>
          <w:ilvl w:val="0"/>
          <w:numId w:val="41"/>
        </w:numPr>
        <w:suppressAutoHyphens/>
        <w:spacing w:after="80" w:line="300" w:lineRule="auto"/>
        <w:contextualSpacing w:val="0"/>
        <w:rPr>
          <w:rFonts w:cs="Times New Roman"/>
          <w:szCs w:val="24"/>
          <w:lang w:val="en-GB"/>
        </w:rPr>
      </w:pPr>
      <w:r w:rsidRPr="00EF3AE8">
        <w:rPr>
          <w:rFonts w:cs="Arial"/>
          <w:lang w:val="en-GB"/>
        </w:rPr>
        <w:t>Only one main policy instrument is addressed per participating 'region’.</w:t>
      </w:r>
    </w:p>
    <w:p w14:paraId="051BA216" w14:textId="77777777" w:rsidR="008D14B9" w:rsidRPr="00EF3AE8" w:rsidRDefault="008D14B9" w:rsidP="008D14B9">
      <w:pPr>
        <w:pStyle w:val="ListParagraph"/>
        <w:numPr>
          <w:ilvl w:val="0"/>
          <w:numId w:val="41"/>
        </w:numPr>
        <w:suppressAutoHyphens/>
        <w:spacing w:after="80" w:line="300" w:lineRule="auto"/>
        <w:contextualSpacing w:val="0"/>
        <w:rPr>
          <w:lang w:val="en-GB"/>
        </w:rPr>
      </w:pPr>
      <w:r w:rsidRPr="00EF3AE8">
        <w:rPr>
          <w:lang w:val="en-GB"/>
        </w:rPr>
        <w:t>The scope of the different instruments is in line with the issue addressed by the project.</w:t>
      </w:r>
    </w:p>
    <w:p w14:paraId="1025D87F" w14:textId="77777777" w:rsidR="008D14B9" w:rsidRPr="00EF3AE8" w:rsidRDefault="008D14B9" w:rsidP="008D14B9">
      <w:pPr>
        <w:pStyle w:val="ListParagraph"/>
        <w:numPr>
          <w:ilvl w:val="0"/>
          <w:numId w:val="41"/>
        </w:numPr>
        <w:suppressAutoHyphens/>
        <w:spacing w:after="80" w:line="300" w:lineRule="auto"/>
        <w:rPr>
          <w:rFonts w:cs="Arial"/>
          <w:lang w:val="en-GB"/>
        </w:rPr>
      </w:pPr>
      <w:r w:rsidRPr="00EF3AE8">
        <w:rPr>
          <w:rFonts w:eastAsia="Times New Roman" w:cs="Arial"/>
          <w:lang w:val="en-GB"/>
        </w:rPr>
        <w:t xml:space="preserve">The </w:t>
      </w:r>
      <w:r w:rsidRPr="00EF3AE8">
        <w:rPr>
          <w:rFonts w:cs="Arial"/>
          <w:lang w:val="en-GB"/>
        </w:rPr>
        <w:t xml:space="preserve">project addresses existing policy instruments whose time span covers at least the duration of the Interreg Europe projects. Policy instruments under preparation may be addressed only if sufficient details are available on its scope and nature (each policy instrument needs to be described in the application form) and if its policy responsible authority is already confirmed.  </w:t>
      </w:r>
    </w:p>
    <w:p w14:paraId="550F5F25" w14:textId="77777777" w:rsidR="004B052F" w:rsidRPr="00AA3AC2" w:rsidRDefault="004B052F" w:rsidP="00B17B88">
      <w:pPr>
        <w:spacing w:after="80"/>
        <w:rPr>
          <w:rFonts w:cs="Arial"/>
          <w:lang w:val="en-GB"/>
        </w:rPr>
      </w:pPr>
    </w:p>
    <w:p w14:paraId="2534DE92" w14:textId="77777777" w:rsidR="00E949AB" w:rsidRPr="00AA3AC2" w:rsidRDefault="00E949AB" w:rsidP="00E949AB">
      <w:pPr>
        <w:pStyle w:val="Heading1"/>
        <w:rPr>
          <w:sz w:val="24"/>
          <w:szCs w:val="24"/>
          <w:lang w:val="en-GB"/>
        </w:rPr>
      </w:pPr>
      <w:r w:rsidRPr="00AA3AC2">
        <w:rPr>
          <w:sz w:val="24"/>
          <w:szCs w:val="24"/>
          <w:lang w:val="en-GB"/>
        </w:rPr>
        <w:t>9. Application</w:t>
      </w:r>
    </w:p>
    <w:p w14:paraId="784B50D7" w14:textId="77777777" w:rsidR="00E949AB" w:rsidRPr="00AA3AC2" w:rsidRDefault="00E949AB" w:rsidP="00B17B88">
      <w:pPr>
        <w:suppressAutoHyphens/>
        <w:spacing w:before="80"/>
        <w:rPr>
          <w:lang w:val="en-GB"/>
        </w:rPr>
      </w:pPr>
      <w:r w:rsidRPr="00AA3AC2">
        <w:rPr>
          <w:lang w:val="en-GB"/>
        </w:rPr>
        <w:t xml:space="preserve">The application pack for the call is available on the programme </w:t>
      </w:r>
      <w:r w:rsidRPr="002C1637">
        <w:rPr>
          <w:lang w:val="en-GB"/>
        </w:rPr>
        <w:t>website (</w:t>
      </w:r>
      <w:hyperlink r:id="rId14" w:history="1">
        <w:r w:rsidRPr="002C1637">
          <w:rPr>
            <w:rStyle w:val="Hyperlink"/>
            <w:lang w:val="en-GB"/>
          </w:rPr>
          <w:t>www.interregeurope.eu</w:t>
        </w:r>
      </w:hyperlink>
      <w:r w:rsidRPr="002C1637">
        <w:rPr>
          <w:lang w:val="en-GB"/>
        </w:rPr>
        <w:t>)</w:t>
      </w:r>
      <w:r w:rsidRPr="00AA3AC2">
        <w:rPr>
          <w:lang w:val="en-GB"/>
        </w:rPr>
        <w:t xml:space="preserve"> and includes the following:</w:t>
      </w:r>
    </w:p>
    <w:p w14:paraId="7C694515" w14:textId="77777777" w:rsidR="00E949AB" w:rsidRPr="00AA3AC2" w:rsidRDefault="00E949AB" w:rsidP="00B17B88">
      <w:pPr>
        <w:pStyle w:val="a-I-EU-Bulletpoints"/>
        <w:numPr>
          <w:ilvl w:val="0"/>
          <w:numId w:val="40"/>
        </w:numPr>
        <w:ind w:left="720"/>
        <w:rPr>
          <w:lang w:val="en-GB"/>
        </w:rPr>
      </w:pPr>
      <w:r w:rsidRPr="00AA3AC2">
        <w:rPr>
          <w:lang w:val="en-GB"/>
        </w:rPr>
        <w:t>the present terms of reference</w:t>
      </w:r>
    </w:p>
    <w:p w14:paraId="6D8C35EE" w14:textId="77777777" w:rsidR="00E949AB" w:rsidRPr="00AA3AC2" w:rsidRDefault="00E949AB" w:rsidP="00B17B88">
      <w:pPr>
        <w:pStyle w:val="a-I-EU-Bulletpoints"/>
        <w:numPr>
          <w:ilvl w:val="0"/>
          <w:numId w:val="40"/>
        </w:numPr>
        <w:ind w:left="720"/>
        <w:rPr>
          <w:lang w:val="en-GB"/>
        </w:rPr>
      </w:pPr>
      <w:r w:rsidRPr="00AA3AC2">
        <w:rPr>
          <w:lang w:val="en-GB"/>
        </w:rPr>
        <w:t xml:space="preserve">the programme manual </w:t>
      </w:r>
    </w:p>
    <w:p w14:paraId="36FDDCAE" w14:textId="7E972D4C" w:rsidR="00E949AB" w:rsidRPr="00AA3AC2" w:rsidRDefault="00E949AB" w:rsidP="00B17B88">
      <w:pPr>
        <w:pStyle w:val="a-I-EU-Bulletpoints"/>
        <w:numPr>
          <w:ilvl w:val="0"/>
          <w:numId w:val="40"/>
        </w:numPr>
        <w:ind w:left="720"/>
        <w:rPr>
          <w:lang w:val="en-GB"/>
        </w:rPr>
      </w:pPr>
      <w:r w:rsidRPr="00AA3AC2">
        <w:rPr>
          <w:lang w:val="en-GB"/>
        </w:rPr>
        <w:t>the application form template in the online application system</w:t>
      </w:r>
      <w:r w:rsidR="00D73B87">
        <w:rPr>
          <w:lang w:val="en-GB"/>
        </w:rPr>
        <w:t xml:space="preserve">: the </w:t>
      </w:r>
      <w:hyperlink r:id="rId15" w:history="1">
        <w:r w:rsidR="00D73B87" w:rsidRPr="00EE0A0C">
          <w:rPr>
            <w:rStyle w:val="Hyperlink"/>
            <w:rFonts w:ascii="Arial" w:hAnsi="Arial"/>
            <w:lang w:val="en-GB"/>
          </w:rPr>
          <w:t>Portal</w:t>
        </w:r>
      </w:hyperlink>
    </w:p>
    <w:p w14:paraId="4407C45F" w14:textId="77777777" w:rsidR="00E949AB" w:rsidRPr="00AA3AC2" w:rsidRDefault="00E949AB" w:rsidP="00B17B88">
      <w:pPr>
        <w:pStyle w:val="a-I-EU-Bulletpoints"/>
        <w:numPr>
          <w:ilvl w:val="0"/>
          <w:numId w:val="40"/>
        </w:numPr>
        <w:ind w:left="720"/>
        <w:rPr>
          <w:lang w:val="en-GB"/>
        </w:rPr>
      </w:pPr>
      <w:r w:rsidRPr="00AA3AC2">
        <w:rPr>
          <w:lang w:val="en-GB"/>
        </w:rPr>
        <w:t xml:space="preserve">the ‘declaration’ template </w:t>
      </w:r>
    </w:p>
    <w:p w14:paraId="79053D16" w14:textId="77777777" w:rsidR="00E949AB" w:rsidRPr="00AA3AC2" w:rsidRDefault="00E949AB" w:rsidP="00B17B88">
      <w:pPr>
        <w:suppressAutoHyphens/>
        <w:spacing w:before="80"/>
        <w:rPr>
          <w:lang w:val="en-GB"/>
        </w:rPr>
      </w:pPr>
      <w:r w:rsidRPr="00AA3AC2">
        <w:rPr>
          <w:lang w:val="en-GB"/>
        </w:rPr>
        <w:t>Project applicants who would like to submit a proposal must complete an application form in English, as it is the working language of the programme. Applications submitted in another language will be considered ineligible.</w:t>
      </w:r>
    </w:p>
    <w:p w14:paraId="59056742" w14:textId="77777777" w:rsidR="00E949AB" w:rsidRPr="00AA3AC2" w:rsidRDefault="00E949AB" w:rsidP="00B17B88">
      <w:pPr>
        <w:suppressAutoHyphens/>
        <w:spacing w:before="80"/>
        <w:rPr>
          <w:lang w:val="en-GB"/>
        </w:rPr>
      </w:pPr>
      <w:r w:rsidRPr="00AA3AC2">
        <w:rPr>
          <w:lang w:val="en-GB"/>
        </w:rPr>
        <w:t xml:space="preserve">The online system runs a number of automatic validation checks which prevents user from submitting the form if it is not properly filled. </w:t>
      </w:r>
    </w:p>
    <w:p w14:paraId="3F5728F7" w14:textId="2476147D" w:rsidR="00E949AB" w:rsidRPr="00AA3AC2" w:rsidRDefault="00E949AB" w:rsidP="00B17B88">
      <w:pPr>
        <w:suppressAutoHyphens/>
        <w:spacing w:before="80"/>
        <w:rPr>
          <w:lang w:val="en-GB"/>
        </w:rPr>
      </w:pPr>
      <w:r w:rsidRPr="00AA3AC2">
        <w:rPr>
          <w:lang w:val="en-GB"/>
        </w:rPr>
        <w:lastRenderedPageBreak/>
        <w:t>All partners (including the lead partner) and associated policy authorities - if applicable - must provide a declaration using the template provided by the programme (see Annex 0</w:t>
      </w:r>
      <w:r w:rsidR="000E70A7">
        <w:rPr>
          <w:lang w:val="en-GB"/>
        </w:rPr>
        <w:t>3</w:t>
      </w:r>
      <w:r w:rsidRPr="00AA3AC2">
        <w:rPr>
          <w:lang w:val="en-GB"/>
        </w:rPr>
        <w:t xml:space="preserve">). Those declarations must be uploaded in the </w:t>
      </w:r>
      <w:hyperlink r:id="rId16" w:history="1">
        <w:r w:rsidRPr="002C1637">
          <w:rPr>
            <w:rStyle w:val="Hyperlink"/>
            <w:u w:val="single"/>
            <w:lang w:val="en-GB"/>
          </w:rPr>
          <w:t>online system</w:t>
        </w:r>
      </w:hyperlink>
      <w:r w:rsidRPr="00AA3AC2">
        <w:rPr>
          <w:lang w:val="en-GB"/>
        </w:rPr>
        <w:t xml:space="preserve"> as a part of the application. </w:t>
      </w:r>
    </w:p>
    <w:p w14:paraId="0DCB6B58" w14:textId="37831974" w:rsidR="00E949AB" w:rsidRPr="00AA3AC2" w:rsidRDefault="00E949AB" w:rsidP="00B17B88">
      <w:pPr>
        <w:suppressAutoHyphens/>
        <w:spacing w:before="80"/>
        <w:rPr>
          <w:lang w:val="en-GB"/>
        </w:rPr>
      </w:pPr>
      <w:r w:rsidRPr="00AA3AC2">
        <w:rPr>
          <w:b/>
          <w:szCs w:val="22"/>
          <w:lang w:val="en-GB"/>
        </w:rPr>
        <w:t xml:space="preserve">The complete application has to be submitted </w:t>
      </w:r>
      <w:hyperlink r:id="rId17" w:history="1">
        <w:r w:rsidRPr="002C1637">
          <w:rPr>
            <w:rStyle w:val="Hyperlink"/>
            <w:szCs w:val="22"/>
            <w:u w:val="single"/>
            <w:lang w:val="en-GB"/>
          </w:rPr>
          <w:t>online</w:t>
        </w:r>
      </w:hyperlink>
      <w:r w:rsidRPr="00AA3AC2">
        <w:rPr>
          <w:b/>
          <w:szCs w:val="22"/>
          <w:lang w:val="en-GB"/>
        </w:rPr>
        <w:t xml:space="preserve"> at the latest by </w:t>
      </w:r>
      <w:r w:rsidR="00F15A53">
        <w:rPr>
          <w:b/>
          <w:szCs w:val="22"/>
          <w:lang w:val="en-GB"/>
        </w:rPr>
        <w:t>9</w:t>
      </w:r>
      <w:r w:rsidR="00F15A53" w:rsidRPr="00EF3AE8">
        <w:rPr>
          <w:b/>
          <w:szCs w:val="22"/>
          <w:vertAlign w:val="superscript"/>
          <w:lang w:val="en-GB"/>
        </w:rPr>
        <w:t>th</w:t>
      </w:r>
      <w:r w:rsidR="00F15A53">
        <w:rPr>
          <w:b/>
          <w:szCs w:val="22"/>
          <w:lang w:val="en-GB"/>
        </w:rPr>
        <w:t xml:space="preserve"> June</w:t>
      </w:r>
      <w:r w:rsidRPr="00AA3AC2">
        <w:rPr>
          <w:b/>
          <w:szCs w:val="22"/>
          <w:lang w:val="en-GB"/>
        </w:rPr>
        <w:t xml:space="preserve"> 202</w:t>
      </w:r>
      <w:r w:rsidR="00F15A53">
        <w:rPr>
          <w:b/>
          <w:szCs w:val="22"/>
          <w:lang w:val="en-GB"/>
        </w:rPr>
        <w:t>3</w:t>
      </w:r>
      <w:r w:rsidRPr="00AA3AC2">
        <w:rPr>
          <w:b/>
          <w:szCs w:val="22"/>
          <w:lang w:val="en-GB"/>
        </w:rPr>
        <w:t>, 12 pm (midday) CEST (Paris time).</w:t>
      </w:r>
    </w:p>
    <w:p w14:paraId="4FE1B9C1" w14:textId="77777777" w:rsidR="00E949AB" w:rsidRPr="00AA3AC2" w:rsidRDefault="00E949AB" w:rsidP="00E949AB">
      <w:pPr>
        <w:pStyle w:val="Heading1"/>
        <w:rPr>
          <w:sz w:val="24"/>
          <w:szCs w:val="24"/>
          <w:lang w:val="en-GB"/>
        </w:rPr>
      </w:pPr>
      <w:r w:rsidRPr="00AA3AC2">
        <w:rPr>
          <w:sz w:val="24"/>
          <w:szCs w:val="24"/>
          <w:lang w:val="en-GB"/>
        </w:rPr>
        <w:t>10. Selection procedure</w:t>
      </w:r>
    </w:p>
    <w:p w14:paraId="219FF017" w14:textId="77777777" w:rsidR="00E949AB" w:rsidRPr="00AA3AC2" w:rsidRDefault="00E949AB" w:rsidP="00E949AB">
      <w:pPr>
        <w:pStyle w:val="Heading2"/>
        <w:ind w:firstLine="1134"/>
        <w:rPr>
          <w:b w:val="0"/>
          <w:sz w:val="24"/>
          <w:szCs w:val="24"/>
          <w:lang w:val="en-GB"/>
        </w:rPr>
      </w:pPr>
      <w:r w:rsidRPr="00AA3AC2">
        <w:rPr>
          <w:b w:val="0"/>
          <w:sz w:val="24"/>
          <w:szCs w:val="24"/>
          <w:lang w:val="en-GB"/>
        </w:rPr>
        <w:t>10.1. Eligibility</w:t>
      </w:r>
    </w:p>
    <w:p w14:paraId="0FCA6711" w14:textId="77777777" w:rsidR="00E949AB" w:rsidRPr="00AA3AC2" w:rsidRDefault="00E949AB" w:rsidP="00B17B88">
      <w:pPr>
        <w:suppressAutoHyphens/>
        <w:spacing w:before="80"/>
        <w:rPr>
          <w:lang w:val="en-GB"/>
        </w:rPr>
      </w:pPr>
      <w:r w:rsidRPr="00AA3AC2">
        <w:rPr>
          <w:lang w:val="en-GB"/>
        </w:rPr>
        <w:t>All applications are subject to a two-step assessment procedure, eligibility and quality assessment.</w:t>
      </w:r>
    </w:p>
    <w:p w14:paraId="50028753" w14:textId="7C7B923A" w:rsidR="00E949AB" w:rsidRPr="00AA3AC2" w:rsidRDefault="00E949AB" w:rsidP="00B17B88">
      <w:pPr>
        <w:spacing w:after="80"/>
        <w:rPr>
          <w:rFonts w:cs="Arial"/>
          <w:bCs/>
          <w:szCs w:val="22"/>
          <w:lang w:val="en-GB"/>
        </w:rPr>
      </w:pPr>
      <w:r w:rsidRPr="00AA3AC2">
        <w:rPr>
          <w:rFonts w:cs="Arial"/>
          <w:b/>
          <w:szCs w:val="22"/>
          <w:lang w:val="en-GB"/>
        </w:rPr>
        <w:t xml:space="preserve">The non-fulfilment of only one eligibility criterion leads to the ineligibility of the whole application. Therefore, applicants must carefully check these criteria (as described in section 4.3.1 of the programme manual) to ensure that their proposal comply with the eligibility requirements. </w:t>
      </w:r>
      <w:r w:rsidRPr="00AA3AC2">
        <w:rPr>
          <w:rFonts w:cs="Arial"/>
          <w:bCs/>
          <w:szCs w:val="22"/>
          <w:lang w:val="en-GB"/>
        </w:rPr>
        <w:t>These criteria are summarised below.</w:t>
      </w:r>
    </w:p>
    <w:tbl>
      <w:tblPr>
        <w:tblStyle w:val="TableGrid"/>
        <w:tblW w:w="9856" w:type="dxa"/>
        <w:jc w:val="center"/>
        <w:tblLook w:val="04A0" w:firstRow="1" w:lastRow="0" w:firstColumn="1" w:lastColumn="0" w:noHBand="0" w:noVBand="1"/>
      </w:tblPr>
      <w:tblGrid>
        <w:gridCol w:w="3709"/>
        <w:gridCol w:w="6147"/>
      </w:tblGrid>
      <w:tr w:rsidR="00E949AB" w:rsidRPr="00AA3AC2" w14:paraId="694E5F65" w14:textId="77777777" w:rsidTr="00B17B88">
        <w:trPr>
          <w:trHeight w:val="358"/>
          <w:jc w:val="center"/>
        </w:trPr>
        <w:tc>
          <w:tcPr>
            <w:tcW w:w="9856" w:type="dxa"/>
            <w:gridSpan w:val="2"/>
            <w:tcBorders>
              <w:top w:val="single" w:sz="4" w:space="0" w:color="auto"/>
              <w:left w:val="single" w:sz="4" w:space="0" w:color="auto"/>
            </w:tcBorders>
            <w:shd w:val="clear" w:color="auto" w:fill="000000" w:themeFill="text1"/>
          </w:tcPr>
          <w:p w14:paraId="633E54F6" w14:textId="77777777" w:rsidR="00E949AB" w:rsidRPr="00AA3AC2" w:rsidRDefault="00E949AB" w:rsidP="00AA3AC2">
            <w:pPr>
              <w:spacing w:before="120" w:after="120" w:line="276" w:lineRule="auto"/>
              <w:ind w:right="74"/>
              <w:jc w:val="center"/>
              <w:rPr>
                <w:rFonts w:cs="Arial"/>
                <w:b/>
                <w:iCs/>
                <w:color w:val="FFFFFF" w:themeColor="background1"/>
                <w:lang w:val="en-GB"/>
              </w:rPr>
            </w:pPr>
            <w:r w:rsidRPr="00AA3AC2">
              <w:rPr>
                <w:rFonts w:cs="Arial"/>
                <w:b/>
                <w:iCs/>
                <w:color w:val="FFFFFF" w:themeColor="background1"/>
                <w:lang w:val="en-GB"/>
              </w:rPr>
              <w:t>Eligibility criteria</w:t>
            </w:r>
          </w:p>
        </w:tc>
      </w:tr>
      <w:tr w:rsidR="00E949AB" w:rsidRPr="00325CD2" w14:paraId="04A01D93" w14:textId="77777777" w:rsidTr="006F2941">
        <w:trPr>
          <w:trHeight w:val="358"/>
          <w:jc w:val="center"/>
        </w:trPr>
        <w:tc>
          <w:tcPr>
            <w:tcW w:w="3709" w:type="dxa"/>
            <w:vAlign w:val="center"/>
          </w:tcPr>
          <w:p w14:paraId="7EAE9375" w14:textId="77777777" w:rsidR="00E949AB" w:rsidRPr="00AA3AC2" w:rsidRDefault="00E949AB" w:rsidP="00AA3AC2">
            <w:pPr>
              <w:spacing w:before="120" w:after="120" w:line="276" w:lineRule="auto"/>
              <w:ind w:left="5" w:right="74"/>
              <w:rPr>
                <w:rFonts w:cs="Arial"/>
                <w:iCs/>
                <w:lang w:val="en-GB"/>
              </w:rPr>
            </w:pPr>
            <w:r w:rsidRPr="00AA3AC2">
              <w:rPr>
                <w:rFonts w:cs="Arial"/>
                <w:iCs/>
                <w:lang w:val="en-GB"/>
              </w:rPr>
              <w:t>1. Respect of submission’s deadline</w:t>
            </w:r>
          </w:p>
        </w:tc>
        <w:tc>
          <w:tcPr>
            <w:tcW w:w="6147" w:type="dxa"/>
            <w:vAlign w:val="center"/>
          </w:tcPr>
          <w:p w14:paraId="0A5BF3AE" w14:textId="77777777" w:rsidR="00E949AB" w:rsidRPr="00AA3AC2" w:rsidRDefault="00E949AB" w:rsidP="00AA3AC2">
            <w:pPr>
              <w:spacing w:before="120" w:after="120" w:line="276" w:lineRule="auto"/>
              <w:ind w:right="74"/>
              <w:rPr>
                <w:rFonts w:cs="Arial"/>
                <w:iCs/>
                <w:lang w:val="en-GB"/>
              </w:rPr>
            </w:pPr>
            <w:r w:rsidRPr="00AA3AC2">
              <w:rPr>
                <w:rFonts w:cs="Arial"/>
                <w:iCs/>
                <w:lang w:val="en-GB"/>
              </w:rPr>
              <w:t>The online application is submitted by the deadline set for the call.</w:t>
            </w:r>
          </w:p>
        </w:tc>
      </w:tr>
      <w:tr w:rsidR="00E949AB" w:rsidRPr="00325CD2" w14:paraId="3B416B06" w14:textId="77777777" w:rsidTr="00B17B88">
        <w:trPr>
          <w:trHeight w:val="377"/>
          <w:jc w:val="center"/>
        </w:trPr>
        <w:tc>
          <w:tcPr>
            <w:tcW w:w="3709" w:type="dxa"/>
            <w:shd w:val="clear" w:color="auto" w:fill="F2F2F2" w:themeFill="background1" w:themeFillShade="F2"/>
            <w:vAlign w:val="center"/>
          </w:tcPr>
          <w:p w14:paraId="0D9B4F32" w14:textId="77777777" w:rsidR="00E949AB" w:rsidRPr="00AA3AC2" w:rsidRDefault="00E949AB" w:rsidP="00AA3AC2">
            <w:pPr>
              <w:spacing w:before="120" w:after="120" w:line="276" w:lineRule="auto"/>
              <w:ind w:right="74"/>
              <w:jc w:val="left"/>
              <w:rPr>
                <w:rFonts w:cs="Arial"/>
                <w:iCs/>
                <w:lang w:val="en-GB"/>
              </w:rPr>
            </w:pPr>
            <w:r w:rsidRPr="00AA3AC2">
              <w:rPr>
                <w:rFonts w:cs="Arial"/>
                <w:iCs/>
                <w:lang w:val="en-GB"/>
              </w:rPr>
              <w:t>2. Completeness of the application</w:t>
            </w:r>
          </w:p>
        </w:tc>
        <w:tc>
          <w:tcPr>
            <w:tcW w:w="6147" w:type="dxa"/>
            <w:shd w:val="clear" w:color="auto" w:fill="F2F2F2" w:themeFill="background1" w:themeFillShade="F2"/>
            <w:vAlign w:val="center"/>
          </w:tcPr>
          <w:p w14:paraId="1A39ECE2" w14:textId="77777777" w:rsidR="00E949AB" w:rsidRPr="00AA3AC2" w:rsidRDefault="00E949AB" w:rsidP="00AA3AC2">
            <w:pPr>
              <w:spacing w:before="120" w:after="120" w:line="276" w:lineRule="auto"/>
              <w:ind w:right="74"/>
              <w:rPr>
                <w:rFonts w:cs="Arial"/>
                <w:iCs/>
                <w:lang w:val="en-GB"/>
              </w:rPr>
            </w:pPr>
            <w:r w:rsidRPr="00AA3AC2">
              <w:rPr>
                <w:rFonts w:cs="Arial"/>
                <w:iCs/>
                <w:lang w:val="en-GB"/>
              </w:rPr>
              <w:t>The application is complete. It includes the application form itself and all declarations.</w:t>
            </w:r>
          </w:p>
        </w:tc>
      </w:tr>
      <w:tr w:rsidR="00E949AB" w:rsidRPr="00325CD2" w14:paraId="74327F2D" w14:textId="77777777" w:rsidTr="006F2941">
        <w:trPr>
          <w:trHeight w:val="641"/>
          <w:jc w:val="center"/>
        </w:trPr>
        <w:tc>
          <w:tcPr>
            <w:tcW w:w="3709" w:type="dxa"/>
            <w:vAlign w:val="center"/>
          </w:tcPr>
          <w:p w14:paraId="57B3A59C" w14:textId="77777777" w:rsidR="00E949AB" w:rsidRPr="00AA3AC2" w:rsidRDefault="00E949AB" w:rsidP="00AA3AC2">
            <w:pPr>
              <w:spacing w:before="120" w:after="120" w:line="276" w:lineRule="auto"/>
              <w:ind w:right="74"/>
              <w:jc w:val="left"/>
              <w:rPr>
                <w:rFonts w:cs="Arial"/>
                <w:iCs/>
                <w:lang w:val="en-GB"/>
              </w:rPr>
            </w:pPr>
            <w:r w:rsidRPr="00AA3AC2">
              <w:rPr>
                <w:rFonts w:cs="Arial"/>
                <w:iCs/>
                <w:lang w:val="en-GB"/>
              </w:rPr>
              <w:t>3. Correctness of the application form</w:t>
            </w:r>
          </w:p>
        </w:tc>
        <w:tc>
          <w:tcPr>
            <w:tcW w:w="6147" w:type="dxa"/>
            <w:vAlign w:val="center"/>
          </w:tcPr>
          <w:p w14:paraId="21E5491C" w14:textId="77777777" w:rsidR="00E949AB" w:rsidRPr="00AA3AC2" w:rsidRDefault="00E949AB" w:rsidP="00AA3AC2">
            <w:pPr>
              <w:spacing w:before="120" w:after="120" w:line="276" w:lineRule="auto"/>
              <w:ind w:right="74"/>
              <w:rPr>
                <w:rFonts w:cs="Arial"/>
                <w:iCs/>
                <w:lang w:val="en-GB"/>
              </w:rPr>
            </w:pPr>
            <w:r w:rsidRPr="00AA3AC2">
              <w:rPr>
                <w:rFonts w:cs="Arial"/>
                <w:iCs/>
                <w:lang w:val="en-GB"/>
              </w:rPr>
              <w:t>The application form is fully and properly filled in according to the instructions.</w:t>
            </w:r>
          </w:p>
        </w:tc>
      </w:tr>
      <w:tr w:rsidR="00E949AB" w:rsidRPr="00325CD2" w14:paraId="34FAD867" w14:textId="77777777" w:rsidTr="00B17B88">
        <w:trPr>
          <w:trHeight w:val="660"/>
          <w:jc w:val="center"/>
        </w:trPr>
        <w:tc>
          <w:tcPr>
            <w:tcW w:w="3709" w:type="dxa"/>
            <w:shd w:val="clear" w:color="auto" w:fill="F2F2F2" w:themeFill="background1" w:themeFillShade="F2"/>
            <w:vAlign w:val="center"/>
          </w:tcPr>
          <w:p w14:paraId="5045D08A" w14:textId="77777777" w:rsidR="00E949AB" w:rsidRPr="00AA3AC2" w:rsidRDefault="00E949AB" w:rsidP="00AA3AC2">
            <w:pPr>
              <w:spacing w:after="80" w:line="276" w:lineRule="auto"/>
              <w:ind w:right="72"/>
              <w:jc w:val="left"/>
              <w:rPr>
                <w:rFonts w:cs="Arial"/>
                <w:iCs/>
                <w:lang w:val="en-GB"/>
              </w:rPr>
            </w:pPr>
            <w:r w:rsidRPr="00AA3AC2">
              <w:rPr>
                <w:rFonts w:cs="Arial"/>
                <w:iCs/>
                <w:lang w:val="en-GB"/>
              </w:rPr>
              <w:t>4. Correctness of the declarations</w:t>
            </w:r>
          </w:p>
        </w:tc>
        <w:tc>
          <w:tcPr>
            <w:tcW w:w="6147" w:type="dxa"/>
            <w:shd w:val="clear" w:color="auto" w:fill="F2F2F2" w:themeFill="background1" w:themeFillShade="F2"/>
            <w:vAlign w:val="center"/>
          </w:tcPr>
          <w:p w14:paraId="215E2D41" w14:textId="77777777" w:rsidR="00E949AB" w:rsidRPr="00AA3AC2" w:rsidRDefault="00E949AB" w:rsidP="00AA3AC2">
            <w:pPr>
              <w:spacing w:before="120" w:after="120" w:line="276" w:lineRule="auto"/>
              <w:ind w:right="74"/>
              <w:rPr>
                <w:rFonts w:cs="Arial"/>
                <w:iCs/>
                <w:lang w:val="en-GB"/>
              </w:rPr>
            </w:pPr>
            <w:r w:rsidRPr="00AA3AC2">
              <w:rPr>
                <w:rFonts w:cs="Arial"/>
                <w:iCs/>
                <w:lang w:val="en-GB"/>
              </w:rPr>
              <w:t>The declarations are correct. The programme template is used and the declarations are properly filled-in and signed.</w:t>
            </w:r>
          </w:p>
        </w:tc>
      </w:tr>
      <w:tr w:rsidR="00E949AB" w:rsidRPr="00325CD2" w14:paraId="67D9FCC7" w14:textId="77777777" w:rsidTr="006F2941">
        <w:trPr>
          <w:trHeight w:val="942"/>
          <w:jc w:val="center"/>
        </w:trPr>
        <w:tc>
          <w:tcPr>
            <w:tcW w:w="3709" w:type="dxa"/>
            <w:vAlign w:val="center"/>
          </w:tcPr>
          <w:p w14:paraId="164CAD54" w14:textId="77777777" w:rsidR="00E949AB" w:rsidRPr="00AA3AC2" w:rsidRDefault="00E949AB" w:rsidP="00AA3AC2">
            <w:pPr>
              <w:pStyle w:val="ListParagraph"/>
              <w:spacing w:after="80" w:line="276" w:lineRule="auto"/>
              <w:ind w:left="0" w:right="72" w:firstLine="29"/>
              <w:contextualSpacing w:val="0"/>
              <w:jc w:val="left"/>
              <w:rPr>
                <w:rFonts w:cs="Arial"/>
                <w:iCs/>
                <w:lang w:val="en-GB"/>
              </w:rPr>
            </w:pPr>
            <w:r w:rsidRPr="00AA3AC2">
              <w:rPr>
                <w:rFonts w:cs="Arial"/>
                <w:iCs/>
                <w:lang w:val="en-GB"/>
              </w:rPr>
              <w:t>5. Geographical coverage</w:t>
            </w:r>
          </w:p>
        </w:tc>
        <w:tc>
          <w:tcPr>
            <w:tcW w:w="6147" w:type="dxa"/>
            <w:vAlign w:val="center"/>
          </w:tcPr>
          <w:p w14:paraId="16A2350D" w14:textId="762CBE3F" w:rsidR="00E949AB" w:rsidRPr="00AA3AC2" w:rsidRDefault="00E949AB" w:rsidP="00AA3AC2">
            <w:pPr>
              <w:spacing w:before="120" w:after="120" w:line="276" w:lineRule="auto"/>
              <w:rPr>
                <w:rFonts w:cs="Arial"/>
                <w:lang w:val="en-GB"/>
              </w:rPr>
            </w:pPr>
            <w:bookmarkStart w:id="5" w:name="OLE_LINK3"/>
            <w:bookmarkStart w:id="6" w:name="OLE_LINK4"/>
            <w:r w:rsidRPr="00AA3AC2">
              <w:rPr>
                <w:rFonts w:cs="Arial"/>
                <w:iCs/>
                <w:lang w:val="en-GB"/>
              </w:rPr>
              <w:t>The application involves partners from the four geographical areas</w:t>
            </w:r>
            <w:r w:rsidRPr="00AA3AC2">
              <w:rPr>
                <w:rFonts w:cs="Arial"/>
                <w:iCs/>
                <w:lang w:val="en-GB"/>
              </w:rPr>
              <w:footnoteReference w:id="4"/>
            </w:r>
            <w:r w:rsidRPr="00AA3AC2">
              <w:rPr>
                <w:rFonts w:cs="Arial"/>
                <w:iCs/>
                <w:lang w:val="en-GB"/>
              </w:rPr>
              <w:t xml:space="preserve"> defined by the programme (North, East, South and West). These partners also represent at least </w:t>
            </w:r>
            <w:r w:rsidRPr="00AA3AC2">
              <w:rPr>
                <w:lang w:val="en-GB"/>
              </w:rPr>
              <w:t xml:space="preserve">three countries, of which at least two partners must be from EU Member States </w:t>
            </w:r>
            <w:r w:rsidRPr="00AA3AC2">
              <w:rPr>
                <w:rFonts w:cs="Arial"/>
                <w:lang w:val="en-GB"/>
              </w:rPr>
              <w:t>with the latter applying for Interreg Europe funding</w:t>
            </w:r>
            <w:r w:rsidRPr="00AA3AC2">
              <w:rPr>
                <w:rFonts w:cs="Arial"/>
                <w:iCs/>
                <w:lang w:val="en-GB"/>
              </w:rPr>
              <w:t>.</w:t>
            </w:r>
            <w:r w:rsidRPr="00AA3AC2">
              <w:rPr>
                <w:lang w:val="en-GB"/>
              </w:rPr>
              <w:t xml:space="preserve"> </w:t>
            </w:r>
            <w:bookmarkEnd w:id="5"/>
            <w:bookmarkEnd w:id="6"/>
          </w:p>
        </w:tc>
      </w:tr>
      <w:tr w:rsidR="00E949AB" w:rsidRPr="00325CD2" w14:paraId="42F1D1FE" w14:textId="77777777" w:rsidTr="00B17B88">
        <w:trPr>
          <w:trHeight w:val="641"/>
          <w:jc w:val="center"/>
        </w:trPr>
        <w:tc>
          <w:tcPr>
            <w:tcW w:w="3709" w:type="dxa"/>
            <w:shd w:val="clear" w:color="auto" w:fill="F2F2F2" w:themeFill="background1" w:themeFillShade="F2"/>
            <w:vAlign w:val="center"/>
          </w:tcPr>
          <w:p w14:paraId="30C33BF4" w14:textId="77777777" w:rsidR="00E949AB" w:rsidRPr="00AA3AC2" w:rsidRDefault="00E949AB" w:rsidP="00AA3AC2">
            <w:pPr>
              <w:spacing w:after="80" w:line="276" w:lineRule="auto"/>
              <w:ind w:right="72"/>
              <w:jc w:val="left"/>
              <w:rPr>
                <w:rFonts w:cs="Arial"/>
                <w:lang w:val="en-GB"/>
              </w:rPr>
            </w:pPr>
            <w:r w:rsidRPr="00AA3AC2">
              <w:rPr>
                <w:rFonts w:cs="Arial"/>
                <w:lang w:val="en-GB"/>
              </w:rPr>
              <w:t xml:space="preserve">6. Focus on </w:t>
            </w:r>
            <w:r w:rsidRPr="00AA3AC2">
              <w:rPr>
                <w:rFonts w:cs="Arial"/>
                <w:iCs/>
                <w:lang w:val="en-GB"/>
              </w:rPr>
              <w:t xml:space="preserve">Investment for jobs and growth goal </w:t>
            </w:r>
            <w:r w:rsidRPr="00AA3AC2">
              <w:rPr>
                <w:rFonts w:cs="Arial"/>
                <w:lang w:val="en-GB"/>
              </w:rPr>
              <w:t>programmes</w:t>
            </w:r>
          </w:p>
        </w:tc>
        <w:tc>
          <w:tcPr>
            <w:tcW w:w="6147" w:type="dxa"/>
            <w:shd w:val="clear" w:color="auto" w:fill="F2F2F2" w:themeFill="background1" w:themeFillShade="F2"/>
            <w:vAlign w:val="center"/>
          </w:tcPr>
          <w:p w14:paraId="4CDFDB6D" w14:textId="77777777" w:rsidR="00E949AB" w:rsidRPr="00AA3AC2" w:rsidRDefault="00E949AB" w:rsidP="00AA3AC2">
            <w:pPr>
              <w:spacing w:before="120" w:after="120" w:line="276" w:lineRule="auto"/>
              <w:ind w:right="74"/>
              <w:rPr>
                <w:rFonts w:cs="Arial"/>
                <w:iCs/>
                <w:lang w:val="en-GB"/>
              </w:rPr>
            </w:pPr>
            <w:r w:rsidRPr="00AA3AC2">
              <w:rPr>
                <w:rFonts w:cs="Arial"/>
                <w:iCs/>
                <w:lang w:val="en-GB"/>
              </w:rPr>
              <w:t>At least one policy instrument addressed in the application is an Investment for jobs and growth goal programme.</w:t>
            </w:r>
          </w:p>
        </w:tc>
      </w:tr>
      <w:tr w:rsidR="00E949AB" w:rsidRPr="00325CD2" w14:paraId="14CB38B6" w14:textId="77777777" w:rsidTr="006F2941">
        <w:trPr>
          <w:trHeight w:val="641"/>
          <w:jc w:val="center"/>
        </w:trPr>
        <w:tc>
          <w:tcPr>
            <w:tcW w:w="3709" w:type="dxa"/>
            <w:vAlign w:val="center"/>
          </w:tcPr>
          <w:p w14:paraId="5211DE9B" w14:textId="77777777" w:rsidR="00E949AB" w:rsidRPr="00AA3AC2" w:rsidRDefault="00E949AB" w:rsidP="00AA3AC2">
            <w:pPr>
              <w:spacing w:after="80" w:line="276" w:lineRule="auto"/>
              <w:ind w:right="72"/>
              <w:jc w:val="left"/>
              <w:rPr>
                <w:rFonts w:cs="Arial"/>
                <w:iCs/>
                <w:lang w:val="en-GB"/>
              </w:rPr>
            </w:pPr>
            <w:r w:rsidRPr="00AA3AC2">
              <w:rPr>
                <w:rFonts w:cs="Arial"/>
                <w:iCs/>
                <w:lang w:val="en-GB"/>
              </w:rPr>
              <w:t>7. Participation of policy responsible authorities</w:t>
            </w:r>
          </w:p>
        </w:tc>
        <w:tc>
          <w:tcPr>
            <w:tcW w:w="6147" w:type="dxa"/>
            <w:vAlign w:val="center"/>
          </w:tcPr>
          <w:p w14:paraId="1295B847" w14:textId="1EF19E25" w:rsidR="00E949AB" w:rsidRPr="00AA3AC2" w:rsidRDefault="00F969B7" w:rsidP="00AA3AC2">
            <w:pPr>
              <w:spacing w:before="120" w:after="120" w:line="276" w:lineRule="auto"/>
              <w:ind w:right="74"/>
              <w:rPr>
                <w:rFonts w:cs="Arial"/>
                <w:iCs/>
                <w:lang w:val="en-GB"/>
              </w:rPr>
            </w:pPr>
            <w:r>
              <w:rPr>
                <w:lang w:val="en-GB"/>
              </w:rPr>
              <w:t>T</w:t>
            </w:r>
            <w:r w:rsidRPr="00AA3AC2">
              <w:rPr>
                <w:lang w:val="en-GB"/>
              </w:rPr>
              <w:t>he policy responsible authorities are involved</w:t>
            </w:r>
            <w:r>
              <w:rPr>
                <w:lang w:val="en-GB"/>
              </w:rPr>
              <w:t xml:space="preserve"> as partners f</w:t>
            </w:r>
            <w:r w:rsidR="00E949AB" w:rsidRPr="00AA3AC2">
              <w:rPr>
                <w:lang w:val="en-GB"/>
              </w:rPr>
              <w:t>or at least 50% of the policy instruments addressed in the application</w:t>
            </w:r>
            <w:r w:rsidR="009D7293">
              <w:rPr>
                <w:lang w:val="en-GB"/>
              </w:rPr>
              <w:t>.</w:t>
            </w:r>
            <w:r w:rsidR="00E949AB" w:rsidRPr="00AA3AC2">
              <w:rPr>
                <w:lang w:val="en-GB"/>
              </w:rPr>
              <w:t xml:space="preserve"> </w:t>
            </w:r>
            <w:r w:rsidR="00E949AB" w:rsidRPr="00AA3AC2">
              <w:rPr>
                <w:rFonts w:cs="Arial"/>
                <w:iCs/>
                <w:lang w:val="en-GB"/>
              </w:rPr>
              <w:t xml:space="preserve">For </w:t>
            </w:r>
            <w:r w:rsidR="009D7293">
              <w:rPr>
                <w:rFonts w:cs="Arial"/>
                <w:iCs/>
                <w:lang w:val="en-GB"/>
              </w:rPr>
              <w:t xml:space="preserve">any </w:t>
            </w:r>
            <w:r w:rsidR="00E949AB" w:rsidRPr="00AA3AC2">
              <w:rPr>
                <w:rFonts w:cs="Arial"/>
                <w:iCs/>
                <w:lang w:val="en-GB"/>
              </w:rPr>
              <w:t xml:space="preserve"> </w:t>
            </w:r>
            <w:r w:rsidR="00E949AB" w:rsidRPr="00AA3AC2">
              <w:rPr>
                <w:rFonts w:cs="Arial"/>
                <w:lang w:val="en-GB"/>
              </w:rPr>
              <w:t>instruments</w:t>
            </w:r>
            <w:r w:rsidR="009D7293">
              <w:rPr>
                <w:rFonts w:cs="Arial"/>
                <w:lang w:val="en-GB"/>
              </w:rPr>
              <w:t xml:space="preserve"> where this is not the case</w:t>
            </w:r>
            <w:r w:rsidR="00E949AB" w:rsidRPr="00AA3AC2">
              <w:rPr>
                <w:rFonts w:cs="Arial"/>
                <w:iCs/>
                <w:lang w:val="en-GB"/>
              </w:rPr>
              <w:t xml:space="preserve"> (if any), </w:t>
            </w:r>
            <w:r w:rsidR="009D7293">
              <w:rPr>
                <w:rFonts w:cs="Arial"/>
                <w:iCs/>
                <w:lang w:val="en-GB"/>
              </w:rPr>
              <w:t>the relevant</w:t>
            </w:r>
            <w:r w:rsidR="0084272A">
              <w:rPr>
                <w:rFonts w:cs="Arial"/>
                <w:iCs/>
                <w:lang w:val="en-GB"/>
              </w:rPr>
              <w:t xml:space="preserve"> policy responsible</w:t>
            </w:r>
            <w:r w:rsidR="009D7293" w:rsidRPr="00AA3AC2">
              <w:rPr>
                <w:rFonts w:cs="Arial"/>
                <w:iCs/>
                <w:lang w:val="en-GB"/>
              </w:rPr>
              <w:t xml:space="preserve"> </w:t>
            </w:r>
            <w:r w:rsidR="00E949AB" w:rsidRPr="00AA3AC2">
              <w:rPr>
                <w:rFonts w:cs="Arial"/>
                <w:iCs/>
                <w:lang w:val="en-GB"/>
              </w:rPr>
              <w:t>authority are involved as an ‘associated policy authorit</w:t>
            </w:r>
            <w:r w:rsidR="0084272A">
              <w:rPr>
                <w:rFonts w:cs="Arial"/>
                <w:iCs/>
                <w:lang w:val="en-GB"/>
              </w:rPr>
              <w:t>ies</w:t>
            </w:r>
            <w:r w:rsidR="00E949AB" w:rsidRPr="00AA3AC2">
              <w:rPr>
                <w:rFonts w:cs="Arial"/>
                <w:iCs/>
                <w:lang w:val="en-GB"/>
              </w:rPr>
              <w:t>’.</w:t>
            </w:r>
          </w:p>
        </w:tc>
      </w:tr>
    </w:tbl>
    <w:p w14:paraId="534B6B71" w14:textId="77777777" w:rsidR="00E949AB" w:rsidRPr="00AA3AC2" w:rsidRDefault="00E949AB" w:rsidP="00E949AB">
      <w:pPr>
        <w:jc w:val="left"/>
        <w:rPr>
          <w:rFonts w:cs="Arial"/>
          <w:b/>
          <w:szCs w:val="22"/>
          <w:lang w:val="en-GB"/>
        </w:rPr>
      </w:pPr>
    </w:p>
    <w:p w14:paraId="0F65B947" w14:textId="77777777" w:rsidR="00E949AB" w:rsidRPr="00AA3AC2" w:rsidRDefault="00E949AB" w:rsidP="00E949AB">
      <w:pPr>
        <w:pStyle w:val="Heading2"/>
        <w:ind w:firstLine="1134"/>
        <w:rPr>
          <w:sz w:val="24"/>
          <w:szCs w:val="24"/>
          <w:lang w:val="en-GB"/>
        </w:rPr>
      </w:pPr>
      <w:r w:rsidRPr="00AA3AC2">
        <w:rPr>
          <w:b w:val="0"/>
          <w:sz w:val="24"/>
          <w:szCs w:val="24"/>
          <w:lang w:val="en-GB"/>
        </w:rPr>
        <w:t xml:space="preserve">10.2. Quality assessment </w:t>
      </w:r>
    </w:p>
    <w:p w14:paraId="4C81897F" w14:textId="77777777" w:rsidR="00E949AB" w:rsidRPr="00AA3AC2" w:rsidRDefault="00E949AB" w:rsidP="00B17B88">
      <w:pPr>
        <w:spacing w:after="80"/>
        <w:rPr>
          <w:rFonts w:cs="Arial"/>
          <w:lang w:val="en-GB"/>
        </w:rPr>
      </w:pPr>
      <w:r w:rsidRPr="00AA3AC2">
        <w:rPr>
          <w:rFonts w:cs="Arial"/>
          <w:lang w:val="en-GB"/>
        </w:rPr>
        <w:t>The quality assessment applies only to applications that pass the eligibility check. It consists of evaluating the quality of the eligible applications according to the following five criteria:</w:t>
      </w:r>
    </w:p>
    <w:p w14:paraId="2084A987" w14:textId="77777777" w:rsidR="00E949AB" w:rsidRPr="00AA3AC2" w:rsidRDefault="00E949AB" w:rsidP="00B17B88">
      <w:pPr>
        <w:spacing w:after="80"/>
        <w:ind w:left="360"/>
        <w:jc w:val="left"/>
        <w:rPr>
          <w:rFonts w:cs="Arial"/>
          <w:lang w:val="en-GB"/>
        </w:rPr>
      </w:pPr>
      <w:r w:rsidRPr="00AA3AC2">
        <w:rPr>
          <w:rFonts w:cs="Arial"/>
          <w:lang w:val="en-GB"/>
        </w:rPr>
        <w:t>Criterion 1 – Relevance of proposal</w:t>
      </w:r>
    </w:p>
    <w:p w14:paraId="1C685219" w14:textId="77777777" w:rsidR="00E949AB" w:rsidRPr="00AA3AC2" w:rsidRDefault="00E949AB" w:rsidP="00B17B88">
      <w:pPr>
        <w:spacing w:after="80"/>
        <w:ind w:left="360"/>
        <w:jc w:val="left"/>
        <w:rPr>
          <w:rFonts w:cs="Arial"/>
          <w:lang w:val="en-GB"/>
        </w:rPr>
      </w:pPr>
      <w:r w:rsidRPr="00AA3AC2">
        <w:rPr>
          <w:rFonts w:cs="Arial"/>
          <w:lang w:val="en-GB"/>
        </w:rPr>
        <w:t>Criterion 2 – Quality of the expected results</w:t>
      </w:r>
    </w:p>
    <w:p w14:paraId="69224971" w14:textId="77777777" w:rsidR="00E949AB" w:rsidRPr="00AA3AC2" w:rsidRDefault="00E949AB" w:rsidP="00B17B88">
      <w:pPr>
        <w:spacing w:after="80"/>
        <w:ind w:left="360"/>
        <w:jc w:val="left"/>
        <w:rPr>
          <w:rFonts w:cs="Arial"/>
          <w:u w:val="single"/>
          <w:lang w:val="en-GB"/>
        </w:rPr>
      </w:pPr>
      <w:r w:rsidRPr="00AA3AC2">
        <w:rPr>
          <w:rFonts w:cs="Arial"/>
          <w:lang w:val="en-GB"/>
        </w:rPr>
        <w:t>Criterion 3 – Quality of partnership</w:t>
      </w:r>
    </w:p>
    <w:p w14:paraId="63687560" w14:textId="77777777" w:rsidR="00E949AB" w:rsidRPr="00AA3AC2" w:rsidRDefault="00E949AB" w:rsidP="00B17B88">
      <w:pPr>
        <w:spacing w:after="80"/>
        <w:ind w:left="360"/>
        <w:jc w:val="left"/>
        <w:rPr>
          <w:rFonts w:cs="Arial"/>
          <w:lang w:val="en-GB"/>
        </w:rPr>
      </w:pPr>
      <w:r w:rsidRPr="00AA3AC2">
        <w:rPr>
          <w:rFonts w:cs="Arial"/>
          <w:lang w:val="en-GB"/>
        </w:rPr>
        <w:t>Criterion 4 – Coherence of the proposal and quality of approach</w:t>
      </w:r>
    </w:p>
    <w:p w14:paraId="396BD159" w14:textId="77777777" w:rsidR="00E949AB" w:rsidRPr="00AA3AC2" w:rsidRDefault="00E949AB" w:rsidP="00B17B88">
      <w:pPr>
        <w:spacing w:after="80"/>
        <w:ind w:left="360"/>
        <w:jc w:val="left"/>
        <w:rPr>
          <w:rFonts w:cs="Arial"/>
          <w:lang w:val="en-GB"/>
        </w:rPr>
      </w:pPr>
      <w:r w:rsidRPr="00AA3AC2">
        <w:rPr>
          <w:rFonts w:cs="Arial"/>
          <w:lang w:val="en-GB"/>
        </w:rPr>
        <w:t xml:space="preserve">Criterion 5 – Budget </w:t>
      </w:r>
    </w:p>
    <w:p w14:paraId="784B0544" w14:textId="77777777" w:rsidR="00E949AB" w:rsidRPr="00AA3AC2" w:rsidRDefault="00E949AB" w:rsidP="00B17B88">
      <w:pPr>
        <w:suppressAutoHyphens/>
        <w:spacing w:before="240"/>
        <w:rPr>
          <w:b/>
          <w:lang w:val="en-GB"/>
        </w:rPr>
      </w:pPr>
      <w:r w:rsidRPr="00AA3AC2">
        <w:rPr>
          <w:b/>
          <w:lang w:val="en-GB"/>
        </w:rPr>
        <w:t>Full details on the selection procedure and assessment criteria are provided in section 4.3 of the programme manual.</w:t>
      </w:r>
    </w:p>
    <w:p w14:paraId="7115FBE9" w14:textId="77777777" w:rsidR="00E949AB" w:rsidRPr="00AA3AC2" w:rsidRDefault="00E949AB" w:rsidP="00B17B88">
      <w:pPr>
        <w:suppressAutoHyphens/>
        <w:spacing w:before="80"/>
        <w:rPr>
          <w:b/>
          <w:bCs/>
          <w:smallCaps/>
          <w:u w:val="single"/>
          <w:lang w:val="en-GB"/>
        </w:rPr>
      </w:pPr>
      <w:r w:rsidRPr="00AA3AC2">
        <w:rPr>
          <w:lang w:val="en-GB"/>
        </w:rPr>
        <w:t>Based on the results of the quality assessment, the</w:t>
      </w:r>
      <w:r w:rsidRPr="00AA3AC2" w:rsidDel="00F80B17">
        <w:rPr>
          <w:lang w:val="en-GB"/>
        </w:rPr>
        <w:t xml:space="preserve"> </w:t>
      </w:r>
      <w:r w:rsidRPr="00AA3AC2">
        <w:rPr>
          <w:lang w:val="en-GB"/>
        </w:rPr>
        <w:t>decision on applications is made by the monitoring committee of the programme which is composed of representatives from both national and regional authorities within the 29 Partner States (27 EU Member States, Norway and Switzerland). Decisions are communicated to all lead applicants via an electronic notification.</w:t>
      </w:r>
    </w:p>
    <w:p w14:paraId="736DFD5F" w14:textId="77777777" w:rsidR="00E949AB" w:rsidRPr="00AA3AC2" w:rsidRDefault="00E949AB" w:rsidP="00E949AB">
      <w:pPr>
        <w:pStyle w:val="Heading1"/>
        <w:rPr>
          <w:sz w:val="24"/>
          <w:szCs w:val="24"/>
          <w:lang w:val="en-GB"/>
        </w:rPr>
      </w:pPr>
      <w:r w:rsidRPr="00AA3AC2">
        <w:rPr>
          <w:sz w:val="24"/>
          <w:szCs w:val="24"/>
          <w:lang w:val="en-GB"/>
        </w:rPr>
        <w:t>11. Further information</w:t>
      </w:r>
    </w:p>
    <w:p w14:paraId="5D9E1CB9" w14:textId="77777777" w:rsidR="00E949AB" w:rsidRPr="00AA3AC2" w:rsidRDefault="00E949AB" w:rsidP="00B17B88">
      <w:pPr>
        <w:suppressAutoHyphens/>
        <w:spacing w:before="80"/>
        <w:rPr>
          <w:lang w:val="en-GB"/>
        </w:rPr>
      </w:pPr>
      <w:r w:rsidRPr="00AA3AC2">
        <w:rPr>
          <w:lang w:val="en-GB"/>
        </w:rPr>
        <w:t xml:space="preserve">The programme supports applicants during the project development and application stage. Full details of the assistance offered to applicants is available in section 4.1 of the programme manual and on </w:t>
      </w:r>
      <w:hyperlink r:id="rId18" w:history="1">
        <w:r w:rsidRPr="00594F35">
          <w:rPr>
            <w:rStyle w:val="Hyperlink"/>
            <w:lang w:val="en-GB"/>
          </w:rPr>
          <w:t>www.interregeurope.eu</w:t>
        </w:r>
      </w:hyperlink>
      <w:r w:rsidRPr="00594F35">
        <w:rPr>
          <w:lang w:val="en-GB"/>
        </w:rPr>
        <w:t>.</w:t>
      </w:r>
    </w:p>
    <w:p w14:paraId="15C0BEC0" w14:textId="77777777" w:rsidR="00E949AB" w:rsidRPr="00AA3AC2" w:rsidRDefault="00E949AB" w:rsidP="00B17B88">
      <w:pPr>
        <w:suppressAutoHyphens/>
        <w:spacing w:before="80"/>
        <w:rPr>
          <w:lang w:val="en-GB"/>
        </w:rPr>
      </w:pPr>
      <w:r w:rsidRPr="00AA3AC2">
        <w:rPr>
          <w:lang w:val="en-GB"/>
        </w:rPr>
        <w:t xml:space="preserve">A comprehensive description of the programme’s strategy and priorities, together with a socio-economic analysis of the European Union, are included in the Interreg Europe Cooperation Programme. Further guidance for project applicants is provided in the </w:t>
      </w:r>
      <w:r w:rsidRPr="00AA3AC2">
        <w:rPr>
          <w:b/>
          <w:bCs/>
          <w:lang w:val="en-GB"/>
        </w:rPr>
        <w:t>programme manual</w:t>
      </w:r>
      <w:r w:rsidRPr="00AA3AC2">
        <w:rPr>
          <w:lang w:val="en-GB"/>
        </w:rPr>
        <w:t xml:space="preserve"> which is available as part of this application pack. All official documents and contact details of the joint secretariat as well as of Points of Contact are available on the programme website:</w:t>
      </w:r>
    </w:p>
    <w:p w14:paraId="65C48B4E" w14:textId="177BC253" w:rsidR="00020D65" w:rsidRPr="00AA3AC2" w:rsidRDefault="00020D65" w:rsidP="001205EA">
      <w:pPr>
        <w:spacing w:after="0"/>
        <w:ind w:right="34"/>
        <w:contextualSpacing/>
        <w:rPr>
          <w:rFonts w:eastAsia="Times New Roman" w:cs="Arial"/>
          <w:color w:val="000000" w:themeColor="text1"/>
          <w:shd w:val="solid" w:color="FFFFFF" w:fill="auto"/>
          <w:lang w:val="en-GB" w:eastAsia="fr-FR"/>
        </w:rPr>
      </w:pPr>
    </w:p>
    <w:p w14:paraId="40212F3D" w14:textId="77777777" w:rsidR="00020D65" w:rsidRPr="00AA3AC2" w:rsidRDefault="00020D65" w:rsidP="00020D65">
      <w:pPr>
        <w:spacing w:after="0" w:line="280" w:lineRule="exact"/>
        <w:ind w:right="34"/>
        <w:contextualSpacing/>
        <w:rPr>
          <w:rFonts w:eastAsia="Times New Roman" w:cs="Arial"/>
          <w:color w:val="000000" w:themeColor="text1"/>
          <w:shd w:val="solid" w:color="FFFFFF" w:fill="auto"/>
          <w:lang w:val="en-GB" w:eastAsia="fr-FR"/>
        </w:rPr>
      </w:pPr>
    </w:p>
    <w:sectPr w:rsidR="00020D65" w:rsidRPr="00AA3AC2" w:rsidSect="007A1D54">
      <w:headerReference w:type="default" r:id="rId19"/>
      <w:footerReference w:type="default" r:id="rId20"/>
      <w:headerReference w:type="first" r:id="rId21"/>
      <w:footerReference w:type="first" r:id="rId22"/>
      <w:pgSz w:w="11906" w:h="16838" w:code="9"/>
      <w:pgMar w:top="2117" w:right="936" w:bottom="1526" w:left="936" w:header="0" w:footer="18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200F" w14:textId="77777777" w:rsidR="006B0394" w:rsidRDefault="006B0394" w:rsidP="00332B36">
      <w:r>
        <w:separator/>
      </w:r>
    </w:p>
  </w:endnote>
  <w:endnote w:type="continuationSeparator" w:id="0">
    <w:p w14:paraId="45793AA3" w14:textId="77777777" w:rsidR="006B0394" w:rsidRDefault="006B0394" w:rsidP="00332B36">
      <w:r>
        <w:continuationSeparator/>
      </w:r>
    </w:p>
  </w:endnote>
  <w:endnote w:type="continuationNotice" w:id="1">
    <w:p w14:paraId="520D40CB" w14:textId="77777777" w:rsidR="006B0394" w:rsidRDefault="006B03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dy)">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38997" w14:textId="76F62A13" w:rsidR="00B94F3E" w:rsidRPr="00840C83" w:rsidRDefault="000736B9" w:rsidP="00597556">
    <w:pPr>
      <w:pStyle w:val="IE-pagenr"/>
      <w:ind w:left="-992"/>
      <w:rPr>
        <w:lang w:val="en-GB"/>
      </w:rPr>
    </w:pPr>
    <w:r>
      <w:rPr>
        <w:rFonts w:ascii="Arial" w:hAnsi="Arial" w:cs="Times New Roman"/>
        <w:b/>
        <w:i/>
        <w:noProof/>
        <w:sz w:val="16"/>
        <w:szCs w:val="16"/>
        <w:lang w:val="en-US"/>
      </w:rPr>
      <w:drawing>
        <wp:anchor distT="0" distB="0" distL="114300" distR="114300" simplePos="0" relativeHeight="251658241" behindDoc="1" locked="0" layoutInCell="1" allowOverlap="1" wp14:anchorId="6FE5FEB4" wp14:editId="66C87C9D">
          <wp:simplePos x="0" y="0"/>
          <wp:positionH relativeFrom="column">
            <wp:posOffset>-600710</wp:posOffset>
          </wp:positionH>
          <wp:positionV relativeFrom="page">
            <wp:posOffset>10072116</wp:posOffset>
          </wp:positionV>
          <wp:extent cx="7563485" cy="608330"/>
          <wp:effectExtent l="0" t="0" r="5715" b="1270"/>
          <wp:wrapNone/>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020D65" w:rsidRPr="00840C83">
      <w:rPr>
        <w:rFonts w:ascii="Arial" w:hAnsi="Arial" w:cs="Times New Roman"/>
        <w:b/>
        <w:i/>
        <w:noProof/>
        <w:sz w:val="16"/>
        <w:szCs w:val="16"/>
        <w:lang w:val="en-GB"/>
      </w:rPr>
      <w:t xml:space="preserve"> Interreg Europe |</w:t>
    </w:r>
    <w:r w:rsidR="002C2CAE" w:rsidRPr="00840C83">
      <w:rPr>
        <w:rFonts w:ascii="Arial" w:hAnsi="Arial" w:cs="Times New Roman"/>
        <w:b/>
        <w:i/>
        <w:noProof/>
        <w:sz w:val="16"/>
        <w:szCs w:val="16"/>
        <w:lang w:val="en-GB"/>
      </w:rPr>
      <w:t xml:space="preserve"> </w:t>
    </w:r>
    <w:r w:rsidR="009C2E6C" w:rsidRPr="009C2E6C">
      <w:rPr>
        <w:rFonts w:ascii="Arial" w:hAnsi="Arial" w:cs="Times New Roman"/>
        <w:b/>
        <w:i/>
        <w:noProof/>
        <w:sz w:val="16"/>
        <w:szCs w:val="16"/>
      </w:rPr>
      <w:fldChar w:fldCharType="begin"/>
    </w:r>
    <w:r w:rsidR="009C2E6C" w:rsidRPr="00840C83">
      <w:rPr>
        <w:rFonts w:ascii="Arial" w:hAnsi="Arial" w:cs="Times New Roman"/>
        <w:b/>
        <w:i/>
        <w:noProof/>
        <w:sz w:val="16"/>
        <w:szCs w:val="16"/>
        <w:lang w:val="en-GB"/>
      </w:rPr>
      <w:instrText xml:space="preserve"> FILENAME \* MERGEFORMAT </w:instrText>
    </w:r>
    <w:r w:rsidR="009C2E6C" w:rsidRPr="009C2E6C">
      <w:rPr>
        <w:rFonts w:ascii="Arial" w:hAnsi="Arial" w:cs="Times New Roman"/>
        <w:b/>
        <w:i/>
        <w:noProof/>
        <w:sz w:val="16"/>
        <w:szCs w:val="16"/>
      </w:rPr>
      <w:fldChar w:fldCharType="separate"/>
    </w:r>
    <w:r w:rsidR="00EF3AE8">
      <w:rPr>
        <w:rFonts w:ascii="Arial" w:hAnsi="Arial" w:cs="Times New Roman"/>
        <w:b/>
        <w:i/>
        <w:noProof/>
        <w:sz w:val="16"/>
        <w:szCs w:val="16"/>
        <w:lang w:val="en-GB"/>
      </w:rPr>
      <w:t>Second call terms of reference (final)</w:t>
    </w:r>
    <w:r w:rsidR="009C2E6C" w:rsidRPr="009C2E6C">
      <w:rPr>
        <w:rFonts w:ascii="Arial" w:hAnsi="Arial" w:cs="Times New Roman"/>
        <w:b/>
        <w:i/>
        <w:noProof/>
        <w:sz w:val="16"/>
        <w:szCs w:val="16"/>
      </w:rPr>
      <w:fldChar w:fldCharType="end"/>
    </w:r>
    <w:r w:rsidR="000D02E2" w:rsidRPr="000D02E2">
      <w:rPr>
        <w:rFonts w:ascii="Arial" w:hAnsi="Arial" w:cs="Times New Roman"/>
        <w:b/>
        <w:i/>
        <w:noProof/>
        <w:sz w:val="16"/>
        <w:szCs w:val="16"/>
        <w:lang w:val="en-US"/>
      </w:rPr>
      <w:t xml:space="preserve"> </w:t>
    </w:r>
    <w:r w:rsidR="00DA3E83" w:rsidRPr="00840C83">
      <w:rPr>
        <w:b/>
        <w:sz w:val="16"/>
        <w:szCs w:val="16"/>
        <w:lang w:val="en-GB"/>
      </w:rPr>
      <w:t>|</w:t>
    </w:r>
    <w:r w:rsidR="00B94F3E" w:rsidRPr="00840C83">
      <w:rPr>
        <w:b/>
        <w:sz w:val="16"/>
        <w:szCs w:val="16"/>
        <w:lang w:val="en-GB"/>
      </w:rPr>
      <w:t xml:space="preserve"> </w:t>
    </w:r>
    <w:r w:rsidR="00B94F3E" w:rsidRPr="009C2E6C">
      <w:rPr>
        <w:b/>
        <w:sz w:val="16"/>
        <w:szCs w:val="16"/>
      </w:rPr>
      <w:fldChar w:fldCharType="begin"/>
    </w:r>
    <w:r w:rsidR="00B94F3E" w:rsidRPr="00840C83">
      <w:rPr>
        <w:b/>
        <w:sz w:val="16"/>
        <w:szCs w:val="16"/>
        <w:lang w:val="en-GB"/>
      </w:rPr>
      <w:instrText>PAGE   \* MERGEFORMAT</w:instrText>
    </w:r>
    <w:r w:rsidR="00B94F3E" w:rsidRPr="009C2E6C">
      <w:rPr>
        <w:b/>
        <w:sz w:val="16"/>
        <w:szCs w:val="16"/>
      </w:rPr>
      <w:fldChar w:fldCharType="separate"/>
    </w:r>
    <w:r w:rsidR="00B94F3E" w:rsidRPr="00840C83">
      <w:rPr>
        <w:b/>
        <w:sz w:val="16"/>
        <w:szCs w:val="16"/>
        <w:lang w:val="en-GB"/>
      </w:rPr>
      <w:t>2</w:t>
    </w:r>
    <w:r w:rsidR="00B94F3E" w:rsidRPr="009C2E6C">
      <w:rPr>
        <w:b/>
        <w:sz w:val="16"/>
        <w:szCs w:val="16"/>
      </w:rPr>
      <w:fldChar w:fldCharType="end"/>
    </w:r>
    <w:r w:rsidR="00B94F3E" w:rsidRPr="00840C83">
      <w:rPr>
        <w:b/>
        <w:sz w:val="16"/>
        <w:szCs w:val="16"/>
        <w:lang w:val="en-GB"/>
      </w:rPr>
      <w:t xml:space="preserve"> / </w:t>
    </w:r>
    <w:r w:rsidR="00B94F3E" w:rsidRPr="009C2E6C">
      <w:rPr>
        <w:b/>
        <w:sz w:val="16"/>
        <w:szCs w:val="16"/>
      </w:rPr>
      <w:fldChar w:fldCharType="begin"/>
    </w:r>
    <w:r w:rsidR="00B94F3E" w:rsidRPr="00840C83">
      <w:rPr>
        <w:b/>
        <w:sz w:val="16"/>
        <w:szCs w:val="16"/>
        <w:lang w:val="en-GB"/>
      </w:rPr>
      <w:instrText xml:space="preserve"> NUMPAGES  \* Arabic  \* MERGEFORMAT </w:instrText>
    </w:r>
    <w:r w:rsidR="00B94F3E" w:rsidRPr="009C2E6C">
      <w:rPr>
        <w:b/>
        <w:sz w:val="16"/>
        <w:szCs w:val="16"/>
      </w:rPr>
      <w:fldChar w:fldCharType="separate"/>
    </w:r>
    <w:r w:rsidR="00B94F3E" w:rsidRPr="00840C83">
      <w:rPr>
        <w:b/>
        <w:sz w:val="16"/>
        <w:szCs w:val="16"/>
        <w:lang w:val="en-GB"/>
      </w:rPr>
      <w:t>2</w:t>
    </w:r>
    <w:r w:rsidR="00B94F3E" w:rsidRPr="009C2E6C">
      <w:rPr>
        <w:b/>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38A9" w14:textId="5AEFB76B" w:rsidR="00C51647" w:rsidRPr="00840C83" w:rsidRDefault="00C51647" w:rsidP="00C51647">
    <w:pPr>
      <w:pStyle w:val="IE-pagenr"/>
      <w:ind w:left="-992"/>
      <w:rPr>
        <w:lang w:val="en-GB"/>
      </w:rPr>
    </w:pPr>
    <w:r>
      <w:rPr>
        <w:rFonts w:ascii="Arial" w:hAnsi="Arial" w:cs="Times New Roman"/>
        <w:b/>
        <w:i/>
        <w:noProof/>
        <w:sz w:val="16"/>
        <w:szCs w:val="16"/>
        <w:lang w:val="en-US"/>
      </w:rPr>
      <w:drawing>
        <wp:anchor distT="0" distB="0" distL="114300" distR="114300" simplePos="0" relativeHeight="251658240" behindDoc="1" locked="0" layoutInCell="1" allowOverlap="1" wp14:anchorId="7001B95E" wp14:editId="5E786EED">
          <wp:simplePos x="0" y="0"/>
          <wp:positionH relativeFrom="column">
            <wp:posOffset>-615536</wp:posOffset>
          </wp:positionH>
          <wp:positionV relativeFrom="page">
            <wp:posOffset>10066020</wp:posOffset>
          </wp:positionV>
          <wp:extent cx="7563485" cy="608330"/>
          <wp:effectExtent l="0" t="0" r="5715" b="1270"/>
          <wp:wrapNone/>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485" cy="608330"/>
                  </a:xfrm>
                  <a:prstGeom prst="rect">
                    <a:avLst/>
                  </a:prstGeom>
                </pic:spPr>
              </pic:pic>
            </a:graphicData>
          </a:graphic>
          <wp14:sizeRelH relativeFrom="margin">
            <wp14:pctWidth>0</wp14:pctWidth>
          </wp14:sizeRelH>
          <wp14:sizeRelV relativeFrom="margin">
            <wp14:pctHeight>0</wp14:pctHeight>
          </wp14:sizeRelV>
        </wp:anchor>
      </w:drawing>
    </w:r>
    <w:r w:rsidR="00E54A37" w:rsidRPr="00840C83">
      <w:rPr>
        <w:rFonts w:ascii="Arial" w:hAnsi="Arial" w:cs="Times New Roman"/>
        <w:b/>
        <w:i/>
        <w:sz w:val="16"/>
        <w:szCs w:val="16"/>
        <w:lang w:val="en-GB"/>
      </w:rPr>
      <w:t xml:space="preserve"> </w:t>
    </w:r>
    <w:r w:rsidR="00E54A37" w:rsidRPr="00840C83">
      <w:rPr>
        <w:rFonts w:ascii="Arial" w:hAnsi="Arial" w:cs="Times New Roman"/>
        <w:b/>
        <w:i/>
        <w:noProof/>
        <w:sz w:val="16"/>
        <w:szCs w:val="16"/>
        <w:lang w:val="en-GB"/>
      </w:rPr>
      <w:t>Interreg Europe</w:t>
    </w:r>
    <w:r w:rsidR="00E54A37" w:rsidRPr="00840C83">
      <w:rPr>
        <w:rFonts w:ascii="Arial" w:hAnsi="Arial" w:cs="Times New Roman"/>
        <w:bCs/>
        <w:i/>
        <w:noProof/>
        <w:sz w:val="16"/>
        <w:szCs w:val="16"/>
        <w:lang w:val="en-GB"/>
      </w:rPr>
      <w:t xml:space="preserve"> |</w:t>
    </w:r>
    <w:r w:rsidR="00E54A37" w:rsidRPr="00840C83">
      <w:rPr>
        <w:rFonts w:ascii="Arial" w:hAnsi="Arial" w:cs="Times New Roman"/>
        <w:b/>
        <w:i/>
        <w:noProof/>
        <w:sz w:val="16"/>
        <w:szCs w:val="16"/>
        <w:lang w:val="en-GB"/>
      </w:rPr>
      <w:t xml:space="preserve"> </w:t>
    </w:r>
    <w:r w:rsidR="009C2E6C">
      <w:rPr>
        <w:rFonts w:ascii="Arial" w:hAnsi="Arial" w:cs="Times New Roman"/>
        <w:b/>
        <w:i/>
        <w:noProof/>
        <w:sz w:val="16"/>
        <w:szCs w:val="16"/>
        <w:lang w:val="en-US"/>
      </w:rPr>
      <w:fldChar w:fldCharType="begin"/>
    </w:r>
    <w:r w:rsidR="009C2E6C">
      <w:rPr>
        <w:rFonts w:ascii="Arial" w:hAnsi="Arial" w:cs="Times New Roman"/>
        <w:b/>
        <w:i/>
        <w:noProof/>
        <w:sz w:val="16"/>
        <w:szCs w:val="16"/>
        <w:lang w:val="en-US"/>
      </w:rPr>
      <w:instrText xml:space="preserve"> FILENAME \* MERGEFORMAT </w:instrText>
    </w:r>
    <w:r w:rsidR="009C2E6C">
      <w:rPr>
        <w:rFonts w:ascii="Arial" w:hAnsi="Arial" w:cs="Times New Roman"/>
        <w:b/>
        <w:i/>
        <w:noProof/>
        <w:sz w:val="16"/>
        <w:szCs w:val="16"/>
        <w:lang w:val="en-US"/>
      </w:rPr>
      <w:fldChar w:fldCharType="separate"/>
    </w:r>
    <w:r w:rsidR="00353E48">
      <w:rPr>
        <w:rFonts w:ascii="Arial" w:hAnsi="Arial" w:cs="Times New Roman"/>
        <w:b/>
        <w:i/>
        <w:noProof/>
        <w:sz w:val="16"/>
        <w:szCs w:val="16"/>
        <w:lang w:val="en-US"/>
      </w:rPr>
      <w:t>MC02 - 06 - Ax 01 - Second call terms of reference</w:t>
    </w:r>
    <w:r w:rsidR="009C2E6C">
      <w:rPr>
        <w:rFonts w:ascii="Arial" w:hAnsi="Arial" w:cs="Times New Roman"/>
        <w:b/>
        <w:i/>
        <w:noProof/>
        <w:sz w:val="16"/>
        <w:szCs w:val="16"/>
        <w:lang w:val="en-US"/>
      </w:rPr>
      <w:fldChar w:fldCharType="end"/>
    </w:r>
    <w:r w:rsidR="000D02E2">
      <w:rPr>
        <w:rFonts w:ascii="Arial" w:hAnsi="Arial" w:cs="Times New Roman"/>
        <w:b/>
        <w:i/>
        <w:noProof/>
        <w:sz w:val="16"/>
        <w:szCs w:val="16"/>
        <w:lang w:val="en-US"/>
      </w:rPr>
      <w:t xml:space="preserve"> </w:t>
    </w:r>
    <w:r w:rsidRPr="00840C83">
      <w:rPr>
        <w:sz w:val="16"/>
        <w:szCs w:val="16"/>
        <w:lang w:val="en-GB"/>
      </w:rPr>
      <w:t xml:space="preserve">| </w:t>
    </w:r>
    <w:r w:rsidRPr="00B94F3E">
      <w:rPr>
        <w:sz w:val="16"/>
        <w:szCs w:val="16"/>
      </w:rPr>
      <w:fldChar w:fldCharType="begin"/>
    </w:r>
    <w:r w:rsidRPr="00840C83">
      <w:rPr>
        <w:sz w:val="16"/>
        <w:szCs w:val="16"/>
        <w:lang w:val="en-GB"/>
      </w:rPr>
      <w:instrText>PAGE   \* MERGEFORMAT</w:instrText>
    </w:r>
    <w:r w:rsidRPr="00B94F3E">
      <w:rPr>
        <w:sz w:val="16"/>
        <w:szCs w:val="16"/>
      </w:rPr>
      <w:fldChar w:fldCharType="separate"/>
    </w:r>
    <w:r w:rsidRPr="00840C83">
      <w:rPr>
        <w:sz w:val="16"/>
        <w:szCs w:val="16"/>
        <w:lang w:val="en-GB"/>
      </w:rPr>
      <w:t>2</w:t>
    </w:r>
    <w:r w:rsidRPr="00B94F3E">
      <w:rPr>
        <w:sz w:val="16"/>
        <w:szCs w:val="16"/>
      </w:rPr>
      <w:fldChar w:fldCharType="end"/>
    </w:r>
    <w:r w:rsidRPr="00840C83">
      <w:rPr>
        <w:sz w:val="16"/>
        <w:szCs w:val="16"/>
        <w:lang w:val="en-GB"/>
      </w:rPr>
      <w:t xml:space="preserve"> / </w:t>
    </w:r>
    <w:r w:rsidRPr="00B94F3E">
      <w:rPr>
        <w:sz w:val="16"/>
        <w:szCs w:val="16"/>
      </w:rPr>
      <w:fldChar w:fldCharType="begin"/>
    </w:r>
    <w:r w:rsidRPr="00840C83">
      <w:rPr>
        <w:sz w:val="16"/>
        <w:szCs w:val="16"/>
        <w:lang w:val="en-GB"/>
      </w:rPr>
      <w:instrText xml:space="preserve"> NUMPAGES  \* Arabic  \* MERGEFORMAT </w:instrText>
    </w:r>
    <w:r w:rsidRPr="00B94F3E">
      <w:rPr>
        <w:sz w:val="16"/>
        <w:szCs w:val="16"/>
      </w:rPr>
      <w:fldChar w:fldCharType="separate"/>
    </w:r>
    <w:r w:rsidRPr="00840C83">
      <w:rPr>
        <w:sz w:val="16"/>
        <w:szCs w:val="16"/>
        <w:lang w:val="en-GB"/>
      </w:rPr>
      <w:t>2</w:t>
    </w:r>
    <w:r w:rsidRPr="00B94F3E">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2D7A7" w14:textId="77777777" w:rsidR="006B0394" w:rsidRDefault="006B0394" w:rsidP="00332B36">
      <w:r>
        <w:separator/>
      </w:r>
    </w:p>
  </w:footnote>
  <w:footnote w:type="continuationSeparator" w:id="0">
    <w:p w14:paraId="78AC22DD" w14:textId="77777777" w:rsidR="006B0394" w:rsidRDefault="006B0394" w:rsidP="00332B36">
      <w:r>
        <w:continuationSeparator/>
      </w:r>
    </w:p>
  </w:footnote>
  <w:footnote w:type="continuationNotice" w:id="1">
    <w:p w14:paraId="0361BE82" w14:textId="77777777" w:rsidR="006B0394" w:rsidRDefault="006B0394">
      <w:pPr>
        <w:spacing w:after="0" w:line="240" w:lineRule="auto"/>
      </w:pPr>
    </w:p>
  </w:footnote>
  <w:footnote w:id="2">
    <w:p w14:paraId="1E62818D" w14:textId="77777777" w:rsidR="00E949AB" w:rsidRPr="00840C83" w:rsidRDefault="00E949AB" w:rsidP="00E949AB">
      <w:pPr>
        <w:pStyle w:val="FootnoteText"/>
        <w:rPr>
          <w:lang w:val="en-GB"/>
        </w:rPr>
      </w:pPr>
      <w:r w:rsidRPr="00F63E62">
        <w:rPr>
          <w:rStyle w:val="FootnoteReference"/>
        </w:rPr>
        <w:footnoteRef/>
      </w:r>
      <w:r w:rsidRPr="00840C83">
        <w:rPr>
          <w:lang w:val="en-GB"/>
        </w:rPr>
        <w:t xml:space="preserve"> As long as their legal status meets the programme requirements as mentioned in section 8.1 of the present terms of reference. </w:t>
      </w:r>
    </w:p>
  </w:footnote>
  <w:footnote w:id="3">
    <w:p w14:paraId="4410C1BC" w14:textId="77777777" w:rsidR="00E949AB" w:rsidRPr="00840C83" w:rsidRDefault="00E949AB" w:rsidP="00E949AB">
      <w:pPr>
        <w:pStyle w:val="FootnoteText"/>
        <w:rPr>
          <w:i w:val="0"/>
          <w:iCs/>
          <w:szCs w:val="18"/>
          <w:lang w:val="en-GB"/>
        </w:rPr>
      </w:pPr>
      <w:r w:rsidRPr="009B6DC4">
        <w:rPr>
          <w:rStyle w:val="FootnoteReference"/>
          <w:iCs/>
          <w:szCs w:val="18"/>
        </w:rPr>
        <w:footnoteRef/>
      </w:r>
      <w:r w:rsidRPr="00840C83">
        <w:rPr>
          <w:iCs/>
          <w:szCs w:val="18"/>
          <w:lang w:val="en-GB"/>
        </w:rPr>
        <w:t xml:space="preserve"> This latter specification is required due to the possibility for organisations to use funds from their Investment for jobs and growth goal programmes to be involved in an Interreg Europe project (see section 3.4.1.2 of the programme manual).</w:t>
      </w:r>
    </w:p>
  </w:footnote>
  <w:footnote w:id="4">
    <w:p w14:paraId="51E51606" w14:textId="77777777" w:rsidR="00E949AB" w:rsidRPr="00840C83" w:rsidRDefault="00E949AB" w:rsidP="00E949AB">
      <w:pPr>
        <w:pStyle w:val="FootnoteText"/>
        <w:rPr>
          <w:lang w:val="en-GB"/>
        </w:rPr>
      </w:pPr>
      <w:r>
        <w:rPr>
          <w:rStyle w:val="FootnoteReference"/>
        </w:rPr>
        <w:footnoteRef/>
      </w:r>
      <w:r w:rsidRPr="00840C83">
        <w:rPr>
          <w:lang w:val="en-GB"/>
        </w:rPr>
        <w:t xml:space="preserve"> </w:t>
      </w:r>
      <w:r w:rsidRPr="00840C83">
        <w:rPr>
          <w:szCs w:val="18"/>
          <w:lang w:val="en-GB"/>
        </w:rPr>
        <w:t xml:space="preserve">This eligibility criteria do not apply to applications where more than one </w:t>
      </w:r>
      <w:hyperlink r:id="rId1" w:history="1">
        <w:r w:rsidRPr="00840C83">
          <w:rPr>
            <w:rStyle w:val="Hyperlink"/>
            <w:szCs w:val="18"/>
            <w:lang w:val="en-GB"/>
          </w:rPr>
          <w:t>outermost regions</w:t>
        </w:r>
      </w:hyperlink>
      <w:r w:rsidRPr="00840C83">
        <w:rPr>
          <w:szCs w:val="18"/>
          <w:lang w:val="en-GB"/>
        </w:rPr>
        <w:t xml:space="preserve"> is involved. In such a case, the minimum regulatory requirement applies (project must involve partners from at least three countries, at least two of which shall be beneficiaries from EU Member States and shall apply for</w:t>
      </w:r>
      <w:r w:rsidRPr="00840C83" w:rsidDel="00435395">
        <w:rPr>
          <w:szCs w:val="18"/>
          <w:lang w:val="en-GB"/>
        </w:rPr>
        <w:t xml:space="preserve"> </w:t>
      </w:r>
      <w:r w:rsidRPr="00840C83">
        <w:rPr>
          <w:szCs w:val="18"/>
          <w:lang w:val="en-GB"/>
        </w:rPr>
        <w:t>Interreg Europe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9"/>
      <w:gridCol w:w="996"/>
    </w:tblGrid>
    <w:tr w:rsidR="000906C0" w14:paraId="7C4D8EDC" w14:textId="77777777" w:rsidTr="00B11B9A">
      <w:trPr>
        <w:trHeight w:val="561"/>
      </w:trPr>
      <w:tc>
        <w:tcPr>
          <w:tcW w:w="8369" w:type="dxa"/>
          <w:tcMar>
            <w:left w:w="0" w:type="dxa"/>
            <w:right w:w="0" w:type="dxa"/>
          </w:tcMar>
        </w:tcPr>
        <w:p w14:paraId="6C72C244" w14:textId="6C37B5B1" w:rsidR="000906C0" w:rsidRDefault="000906C0" w:rsidP="00B94F3E">
          <w:pPr>
            <w:pStyle w:val="Header"/>
            <w:ind w:left="-993"/>
          </w:pPr>
        </w:p>
      </w:tc>
      <w:tc>
        <w:tcPr>
          <w:tcW w:w="996" w:type="dxa"/>
          <w:tcMar>
            <w:left w:w="0" w:type="dxa"/>
            <w:right w:w="0" w:type="dxa"/>
          </w:tcMar>
        </w:tcPr>
        <w:p w14:paraId="09938B24" w14:textId="77777777" w:rsidR="000906C0" w:rsidRDefault="000906C0" w:rsidP="00EA13C3">
          <w:pPr>
            <w:pStyle w:val="Header"/>
            <w:jc w:val="right"/>
          </w:pPr>
        </w:p>
      </w:tc>
    </w:tr>
  </w:tbl>
  <w:p w14:paraId="466E8342" w14:textId="0310F783" w:rsidR="000906C0" w:rsidRDefault="000906C0" w:rsidP="00B94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DACD" w14:textId="3D4DD1E2" w:rsidR="00372A31" w:rsidRDefault="000736B9" w:rsidP="000736B9">
    <w:pPr>
      <w:pStyle w:val="Header"/>
      <w:ind w:left="-907"/>
    </w:pPr>
    <w:r>
      <w:rPr>
        <w:noProof/>
      </w:rPr>
      <w:drawing>
        <wp:inline distT="0" distB="0" distL="0" distR="0" wp14:anchorId="6D79A1CB" wp14:editId="25F9D1F7">
          <wp:extent cx="7592023" cy="1224915"/>
          <wp:effectExtent l="0" t="0" r="317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82617" cy="1239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F6B4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6678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2045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46C2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C4F6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3E88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44E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700F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254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D89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93C7C"/>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A6540"/>
    <w:multiLevelType w:val="hybridMultilevel"/>
    <w:tmpl w:val="3E6A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06368A"/>
    <w:multiLevelType w:val="hybridMultilevel"/>
    <w:tmpl w:val="FFFFFFFF"/>
    <w:lvl w:ilvl="0" w:tplc="1D34D5B2">
      <w:start w:val="1"/>
      <w:numFmt w:val="lowerRoman"/>
      <w:lvlText w:val="(%1)"/>
      <w:lvlJc w:val="left"/>
      <w:pPr>
        <w:ind w:left="720" w:hanging="360"/>
      </w:pPr>
    </w:lvl>
    <w:lvl w:ilvl="1" w:tplc="B81201FE">
      <w:start w:val="1"/>
      <w:numFmt w:val="lowerLetter"/>
      <w:lvlText w:val="%2."/>
      <w:lvlJc w:val="left"/>
      <w:pPr>
        <w:ind w:left="1440" w:hanging="360"/>
      </w:pPr>
    </w:lvl>
    <w:lvl w:ilvl="2" w:tplc="D35AACDA">
      <w:start w:val="1"/>
      <w:numFmt w:val="lowerRoman"/>
      <w:lvlText w:val="%3."/>
      <w:lvlJc w:val="right"/>
      <w:pPr>
        <w:ind w:left="2160" w:hanging="180"/>
      </w:pPr>
    </w:lvl>
    <w:lvl w:ilvl="3" w:tplc="D2D6EE74">
      <w:start w:val="1"/>
      <w:numFmt w:val="decimal"/>
      <w:lvlText w:val="%4."/>
      <w:lvlJc w:val="left"/>
      <w:pPr>
        <w:ind w:left="2880" w:hanging="360"/>
      </w:pPr>
    </w:lvl>
    <w:lvl w:ilvl="4" w:tplc="8F1EFF78">
      <w:start w:val="1"/>
      <w:numFmt w:val="lowerLetter"/>
      <w:lvlText w:val="%5."/>
      <w:lvlJc w:val="left"/>
      <w:pPr>
        <w:ind w:left="3600" w:hanging="360"/>
      </w:pPr>
    </w:lvl>
    <w:lvl w:ilvl="5" w:tplc="2B220E0C">
      <w:start w:val="1"/>
      <w:numFmt w:val="lowerRoman"/>
      <w:lvlText w:val="%6."/>
      <w:lvlJc w:val="right"/>
      <w:pPr>
        <w:ind w:left="4320" w:hanging="180"/>
      </w:pPr>
    </w:lvl>
    <w:lvl w:ilvl="6" w:tplc="1F9894B2">
      <w:start w:val="1"/>
      <w:numFmt w:val="decimal"/>
      <w:lvlText w:val="%7."/>
      <w:lvlJc w:val="left"/>
      <w:pPr>
        <w:ind w:left="5040" w:hanging="360"/>
      </w:pPr>
    </w:lvl>
    <w:lvl w:ilvl="7" w:tplc="F3F0DDF2">
      <w:start w:val="1"/>
      <w:numFmt w:val="lowerLetter"/>
      <w:lvlText w:val="%8."/>
      <w:lvlJc w:val="left"/>
      <w:pPr>
        <w:ind w:left="5760" w:hanging="360"/>
      </w:pPr>
    </w:lvl>
    <w:lvl w:ilvl="8" w:tplc="47AC28E2">
      <w:start w:val="1"/>
      <w:numFmt w:val="lowerRoman"/>
      <w:lvlText w:val="%9."/>
      <w:lvlJc w:val="right"/>
      <w:pPr>
        <w:ind w:left="6480" w:hanging="180"/>
      </w:pPr>
    </w:lvl>
  </w:abstractNum>
  <w:abstractNum w:abstractNumId="13" w15:restartNumberingAfterBreak="0">
    <w:nsid w:val="0F381132"/>
    <w:multiLevelType w:val="hybridMultilevel"/>
    <w:tmpl w:val="9B92A554"/>
    <w:lvl w:ilvl="0" w:tplc="C810AD6C">
      <w:numFmt w:val="decimalZero"/>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91CBA"/>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30F5868"/>
    <w:multiLevelType w:val="multilevel"/>
    <w:tmpl w:val="AC2461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67523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0979A8"/>
    <w:multiLevelType w:val="hybridMultilevel"/>
    <w:tmpl w:val="D286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40547"/>
    <w:multiLevelType w:val="hybridMultilevel"/>
    <w:tmpl w:val="4B3A6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C5780"/>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B7810"/>
    <w:multiLevelType w:val="hybridMultilevel"/>
    <w:tmpl w:val="FFFFFFFF"/>
    <w:lvl w:ilvl="0" w:tplc="C5CCA220">
      <w:start w:val="5"/>
      <w:numFmt w:val="lowerRoman"/>
      <w:lvlText w:val="(%1)"/>
      <w:lvlJc w:val="left"/>
      <w:pPr>
        <w:ind w:left="720" w:hanging="360"/>
      </w:pPr>
    </w:lvl>
    <w:lvl w:ilvl="1" w:tplc="40240C40">
      <w:start w:val="1"/>
      <w:numFmt w:val="lowerLetter"/>
      <w:lvlText w:val="%2."/>
      <w:lvlJc w:val="left"/>
      <w:pPr>
        <w:ind w:left="1440" w:hanging="360"/>
      </w:pPr>
    </w:lvl>
    <w:lvl w:ilvl="2" w:tplc="6FA20DBA">
      <w:start w:val="1"/>
      <w:numFmt w:val="lowerRoman"/>
      <w:lvlText w:val="%3."/>
      <w:lvlJc w:val="right"/>
      <w:pPr>
        <w:ind w:left="2160" w:hanging="180"/>
      </w:pPr>
    </w:lvl>
    <w:lvl w:ilvl="3" w:tplc="F86C01F4">
      <w:start w:val="1"/>
      <w:numFmt w:val="decimal"/>
      <w:lvlText w:val="%4."/>
      <w:lvlJc w:val="left"/>
      <w:pPr>
        <w:ind w:left="2880" w:hanging="360"/>
      </w:pPr>
    </w:lvl>
    <w:lvl w:ilvl="4" w:tplc="26784ECE">
      <w:start w:val="1"/>
      <w:numFmt w:val="lowerLetter"/>
      <w:lvlText w:val="%5."/>
      <w:lvlJc w:val="left"/>
      <w:pPr>
        <w:ind w:left="3600" w:hanging="360"/>
      </w:pPr>
    </w:lvl>
    <w:lvl w:ilvl="5" w:tplc="C7D26D98">
      <w:start w:val="1"/>
      <w:numFmt w:val="lowerRoman"/>
      <w:lvlText w:val="%6."/>
      <w:lvlJc w:val="right"/>
      <w:pPr>
        <w:ind w:left="4320" w:hanging="180"/>
      </w:pPr>
    </w:lvl>
    <w:lvl w:ilvl="6" w:tplc="B91048EA">
      <w:start w:val="1"/>
      <w:numFmt w:val="decimal"/>
      <w:lvlText w:val="%7."/>
      <w:lvlJc w:val="left"/>
      <w:pPr>
        <w:ind w:left="5040" w:hanging="360"/>
      </w:pPr>
    </w:lvl>
    <w:lvl w:ilvl="7" w:tplc="BEAC6528">
      <w:start w:val="1"/>
      <w:numFmt w:val="lowerLetter"/>
      <w:lvlText w:val="%8."/>
      <w:lvlJc w:val="left"/>
      <w:pPr>
        <w:ind w:left="5760" w:hanging="360"/>
      </w:pPr>
    </w:lvl>
    <w:lvl w:ilvl="8" w:tplc="444EEED6">
      <w:start w:val="1"/>
      <w:numFmt w:val="lowerRoman"/>
      <w:lvlText w:val="%9."/>
      <w:lvlJc w:val="right"/>
      <w:pPr>
        <w:ind w:left="6480" w:hanging="180"/>
      </w:pPr>
    </w:lvl>
  </w:abstractNum>
  <w:abstractNum w:abstractNumId="21" w15:restartNumberingAfterBreak="0">
    <w:nsid w:val="3064383A"/>
    <w:multiLevelType w:val="hybridMultilevel"/>
    <w:tmpl w:val="D7706A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2" w15:restartNumberingAfterBreak="0">
    <w:nsid w:val="32187C41"/>
    <w:multiLevelType w:val="hybridMultilevel"/>
    <w:tmpl w:val="43D25D7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388D3B40"/>
    <w:multiLevelType w:val="hybridMultilevel"/>
    <w:tmpl w:val="B784C798"/>
    <w:lvl w:ilvl="0" w:tplc="B5169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3A2AF9"/>
    <w:multiLevelType w:val="hybridMultilevel"/>
    <w:tmpl w:val="86BEB77C"/>
    <w:lvl w:ilvl="0" w:tplc="ACA6F6B8">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2108E9"/>
    <w:multiLevelType w:val="hybridMultilevel"/>
    <w:tmpl w:val="53821E6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0CC1012"/>
    <w:multiLevelType w:val="hybridMultilevel"/>
    <w:tmpl w:val="8D70982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411201A4"/>
    <w:multiLevelType w:val="hybridMultilevel"/>
    <w:tmpl w:val="FE7450BC"/>
    <w:lvl w:ilvl="0" w:tplc="5C8A829C">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3DBC7"/>
    <w:multiLevelType w:val="hybridMultilevel"/>
    <w:tmpl w:val="FFFFFFFF"/>
    <w:lvl w:ilvl="0" w:tplc="B17A1DA6">
      <w:start w:val="1"/>
      <w:numFmt w:val="bullet"/>
      <w:lvlText w:val="-"/>
      <w:lvlJc w:val="left"/>
      <w:pPr>
        <w:ind w:left="720" w:hanging="360"/>
      </w:pPr>
      <w:rPr>
        <w:rFonts w:ascii="Calibri" w:hAnsi="Calibri" w:hint="default"/>
      </w:rPr>
    </w:lvl>
    <w:lvl w:ilvl="1" w:tplc="AF30368A">
      <w:start w:val="1"/>
      <w:numFmt w:val="bullet"/>
      <w:lvlText w:val="o"/>
      <w:lvlJc w:val="left"/>
      <w:pPr>
        <w:ind w:left="1440" w:hanging="360"/>
      </w:pPr>
      <w:rPr>
        <w:rFonts w:ascii="Courier New" w:hAnsi="Courier New" w:hint="default"/>
      </w:rPr>
    </w:lvl>
    <w:lvl w:ilvl="2" w:tplc="A8C8A808">
      <w:start w:val="1"/>
      <w:numFmt w:val="bullet"/>
      <w:lvlText w:val=""/>
      <w:lvlJc w:val="left"/>
      <w:pPr>
        <w:ind w:left="2160" w:hanging="360"/>
      </w:pPr>
      <w:rPr>
        <w:rFonts w:ascii="Wingdings" w:hAnsi="Wingdings" w:hint="default"/>
      </w:rPr>
    </w:lvl>
    <w:lvl w:ilvl="3" w:tplc="E45E681A">
      <w:start w:val="1"/>
      <w:numFmt w:val="bullet"/>
      <w:lvlText w:val=""/>
      <w:lvlJc w:val="left"/>
      <w:pPr>
        <w:ind w:left="2880" w:hanging="360"/>
      </w:pPr>
      <w:rPr>
        <w:rFonts w:ascii="Symbol" w:hAnsi="Symbol" w:hint="default"/>
      </w:rPr>
    </w:lvl>
    <w:lvl w:ilvl="4" w:tplc="3F946884">
      <w:start w:val="1"/>
      <w:numFmt w:val="bullet"/>
      <w:lvlText w:val="o"/>
      <w:lvlJc w:val="left"/>
      <w:pPr>
        <w:ind w:left="3600" w:hanging="360"/>
      </w:pPr>
      <w:rPr>
        <w:rFonts w:ascii="Courier New" w:hAnsi="Courier New" w:hint="default"/>
      </w:rPr>
    </w:lvl>
    <w:lvl w:ilvl="5" w:tplc="F676A5B4">
      <w:start w:val="1"/>
      <w:numFmt w:val="bullet"/>
      <w:lvlText w:val=""/>
      <w:lvlJc w:val="left"/>
      <w:pPr>
        <w:ind w:left="4320" w:hanging="360"/>
      </w:pPr>
      <w:rPr>
        <w:rFonts w:ascii="Wingdings" w:hAnsi="Wingdings" w:hint="default"/>
      </w:rPr>
    </w:lvl>
    <w:lvl w:ilvl="6" w:tplc="63985BD8">
      <w:start w:val="1"/>
      <w:numFmt w:val="bullet"/>
      <w:lvlText w:val=""/>
      <w:lvlJc w:val="left"/>
      <w:pPr>
        <w:ind w:left="5040" w:hanging="360"/>
      </w:pPr>
      <w:rPr>
        <w:rFonts w:ascii="Symbol" w:hAnsi="Symbol" w:hint="default"/>
      </w:rPr>
    </w:lvl>
    <w:lvl w:ilvl="7" w:tplc="006A3DD8">
      <w:start w:val="1"/>
      <w:numFmt w:val="bullet"/>
      <w:lvlText w:val="o"/>
      <w:lvlJc w:val="left"/>
      <w:pPr>
        <w:ind w:left="5760" w:hanging="360"/>
      </w:pPr>
      <w:rPr>
        <w:rFonts w:ascii="Courier New" w:hAnsi="Courier New" w:hint="default"/>
      </w:rPr>
    </w:lvl>
    <w:lvl w:ilvl="8" w:tplc="D458ADB8">
      <w:start w:val="1"/>
      <w:numFmt w:val="bullet"/>
      <w:lvlText w:val=""/>
      <w:lvlJc w:val="left"/>
      <w:pPr>
        <w:ind w:left="6480" w:hanging="360"/>
      </w:pPr>
      <w:rPr>
        <w:rFonts w:ascii="Wingdings" w:hAnsi="Wingdings" w:hint="default"/>
      </w:rPr>
    </w:lvl>
  </w:abstractNum>
  <w:abstractNum w:abstractNumId="29" w15:restartNumberingAfterBreak="0">
    <w:nsid w:val="4D3E1672"/>
    <w:multiLevelType w:val="hybridMultilevel"/>
    <w:tmpl w:val="4A946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521A8"/>
    <w:multiLevelType w:val="hybridMultilevel"/>
    <w:tmpl w:val="638EA9E6"/>
    <w:lvl w:ilvl="0" w:tplc="19AADF76">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6654F"/>
    <w:multiLevelType w:val="multilevel"/>
    <w:tmpl w:val="9536E150"/>
    <w:lvl w:ilvl="0">
      <w:start w:val="1"/>
      <w:numFmt w:val="decimal"/>
      <w:lvlText w:val="%1."/>
      <w:lvlJc w:val="left"/>
      <w:pPr>
        <w:ind w:left="960" w:hanging="9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600" w:hanging="3600"/>
      </w:pPr>
      <w:rPr>
        <w:rFonts w:hint="default"/>
      </w:rPr>
    </w:lvl>
    <w:lvl w:ilvl="7">
      <w:start w:val="1"/>
      <w:numFmt w:val="decimal"/>
      <w:lvlText w:val="%1.%2.%3.%4.%5.%6.%7.%8."/>
      <w:lvlJc w:val="left"/>
      <w:pPr>
        <w:ind w:left="3960" w:hanging="3960"/>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58E62E0A"/>
    <w:multiLevelType w:val="hybridMultilevel"/>
    <w:tmpl w:val="66A8C8CC"/>
    <w:lvl w:ilvl="0" w:tplc="326CC04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9154E"/>
    <w:multiLevelType w:val="multilevel"/>
    <w:tmpl w:val="127A46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DD43EE"/>
    <w:multiLevelType w:val="hybridMultilevel"/>
    <w:tmpl w:val="83A6119C"/>
    <w:lvl w:ilvl="0" w:tplc="04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4F1066"/>
    <w:multiLevelType w:val="hybridMultilevel"/>
    <w:tmpl w:val="42AE7DF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5D774D"/>
    <w:multiLevelType w:val="hybridMultilevel"/>
    <w:tmpl w:val="F738CF08"/>
    <w:lvl w:ilvl="0" w:tplc="FC26C35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853B60"/>
    <w:multiLevelType w:val="hybridMultilevel"/>
    <w:tmpl w:val="DA9AE7F2"/>
    <w:lvl w:ilvl="0" w:tplc="523C50C4">
      <w:start w:val="1"/>
      <w:numFmt w:val="bullet"/>
      <w:pStyle w:val="Bullet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09022E"/>
    <w:multiLevelType w:val="hybridMultilevel"/>
    <w:tmpl w:val="D6E0CC90"/>
    <w:lvl w:ilvl="0" w:tplc="CE6A46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6B3190"/>
    <w:multiLevelType w:val="hybridMultilevel"/>
    <w:tmpl w:val="8620FC40"/>
    <w:lvl w:ilvl="0" w:tplc="C144FC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E44CE"/>
    <w:multiLevelType w:val="hybridMultilevel"/>
    <w:tmpl w:val="B8AC50FE"/>
    <w:lvl w:ilvl="0" w:tplc="04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4034105">
    <w:abstractNumId w:val="37"/>
  </w:num>
  <w:num w:numId="2" w16cid:durableId="1502549751">
    <w:abstractNumId w:val="8"/>
  </w:num>
  <w:num w:numId="3" w16cid:durableId="728765047">
    <w:abstractNumId w:val="3"/>
  </w:num>
  <w:num w:numId="4" w16cid:durableId="1652127051">
    <w:abstractNumId w:val="2"/>
  </w:num>
  <w:num w:numId="5" w16cid:durableId="1129128562">
    <w:abstractNumId w:val="1"/>
  </w:num>
  <w:num w:numId="6" w16cid:durableId="1826237498">
    <w:abstractNumId w:val="0"/>
  </w:num>
  <w:num w:numId="7" w16cid:durableId="1106925061">
    <w:abstractNumId w:val="9"/>
  </w:num>
  <w:num w:numId="8" w16cid:durableId="1886747885">
    <w:abstractNumId w:val="7"/>
  </w:num>
  <w:num w:numId="9" w16cid:durableId="779420707">
    <w:abstractNumId w:val="6"/>
  </w:num>
  <w:num w:numId="10" w16cid:durableId="1291211038">
    <w:abstractNumId w:val="5"/>
  </w:num>
  <w:num w:numId="11" w16cid:durableId="449785714">
    <w:abstractNumId w:val="4"/>
  </w:num>
  <w:num w:numId="12" w16cid:durableId="1801069520">
    <w:abstractNumId w:val="29"/>
  </w:num>
  <w:num w:numId="13" w16cid:durableId="789906013">
    <w:abstractNumId w:val="19"/>
  </w:num>
  <w:num w:numId="14" w16cid:durableId="428156811">
    <w:abstractNumId w:val="31"/>
  </w:num>
  <w:num w:numId="15" w16cid:durableId="612713918">
    <w:abstractNumId w:val="36"/>
  </w:num>
  <w:num w:numId="16" w16cid:durableId="1870946286">
    <w:abstractNumId w:val="34"/>
  </w:num>
  <w:num w:numId="17" w16cid:durableId="937517916">
    <w:abstractNumId w:val="39"/>
  </w:num>
  <w:num w:numId="18" w16cid:durableId="59138859">
    <w:abstractNumId w:val="10"/>
  </w:num>
  <w:num w:numId="19" w16cid:durableId="511797931">
    <w:abstractNumId w:val="40"/>
  </w:num>
  <w:num w:numId="20" w16cid:durableId="2059889634">
    <w:abstractNumId w:val="17"/>
  </w:num>
  <w:num w:numId="21" w16cid:durableId="79638699">
    <w:abstractNumId w:val="15"/>
  </w:num>
  <w:num w:numId="22" w16cid:durableId="1561015119">
    <w:abstractNumId w:val="18"/>
  </w:num>
  <w:num w:numId="23" w16cid:durableId="424882636">
    <w:abstractNumId w:val="25"/>
  </w:num>
  <w:num w:numId="24" w16cid:durableId="784469565">
    <w:abstractNumId w:val="33"/>
  </w:num>
  <w:num w:numId="25" w16cid:durableId="1108626218">
    <w:abstractNumId w:val="21"/>
  </w:num>
  <w:num w:numId="26" w16cid:durableId="389694407">
    <w:abstractNumId w:val="13"/>
  </w:num>
  <w:num w:numId="27" w16cid:durableId="1338846544">
    <w:abstractNumId w:val="27"/>
  </w:num>
  <w:num w:numId="28" w16cid:durableId="443693628">
    <w:abstractNumId w:val="11"/>
  </w:num>
  <w:num w:numId="29" w16cid:durableId="1911648591">
    <w:abstractNumId w:val="30"/>
  </w:num>
  <w:num w:numId="30" w16cid:durableId="1236207179">
    <w:abstractNumId w:val="35"/>
  </w:num>
  <w:num w:numId="31" w16cid:durableId="1440491022">
    <w:abstractNumId w:val="28"/>
  </w:num>
  <w:num w:numId="32" w16cid:durableId="1046176395">
    <w:abstractNumId w:val="26"/>
  </w:num>
  <w:num w:numId="33" w16cid:durableId="964577346">
    <w:abstractNumId w:val="24"/>
  </w:num>
  <w:num w:numId="34" w16cid:durableId="1585841335">
    <w:abstractNumId w:val="16"/>
  </w:num>
  <w:num w:numId="35" w16cid:durableId="187916434">
    <w:abstractNumId w:val="23"/>
  </w:num>
  <w:num w:numId="36" w16cid:durableId="35469502">
    <w:abstractNumId w:val="14"/>
  </w:num>
  <w:num w:numId="37" w16cid:durableId="243297739">
    <w:abstractNumId w:val="38"/>
  </w:num>
  <w:num w:numId="38" w16cid:durableId="1331526637">
    <w:abstractNumId w:val="20"/>
  </w:num>
  <w:num w:numId="39" w16cid:durableId="209153383">
    <w:abstractNumId w:val="12"/>
  </w:num>
  <w:num w:numId="40" w16cid:durableId="599220087">
    <w:abstractNumId w:val="22"/>
  </w:num>
  <w:num w:numId="41" w16cid:durableId="35457987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8E"/>
    <w:rsid w:val="00005D00"/>
    <w:rsid w:val="00007515"/>
    <w:rsid w:val="000134FD"/>
    <w:rsid w:val="00020D65"/>
    <w:rsid w:val="00026FA1"/>
    <w:rsid w:val="000272D3"/>
    <w:rsid w:val="00061F1B"/>
    <w:rsid w:val="000736B9"/>
    <w:rsid w:val="000742F4"/>
    <w:rsid w:val="00077694"/>
    <w:rsid w:val="00085CDC"/>
    <w:rsid w:val="000906C0"/>
    <w:rsid w:val="0009089C"/>
    <w:rsid w:val="000A0D34"/>
    <w:rsid w:val="000B73C3"/>
    <w:rsid w:val="000D02E2"/>
    <w:rsid w:val="000E70A7"/>
    <w:rsid w:val="000F0585"/>
    <w:rsid w:val="00106A28"/>
    <w:rsid w:val="0011323A"/>
    <w:rsid w:val="001205EA"/>
    <w:rsid w:val="0014121E"/>
    <w:rsid w:val="0014514A"/>
    <w:rsid w:val="00161F79"/>
    <w:rsid w:val="0016748A"/>
    <w:rsid w:val="001742B1"/>
    <w:rsid w:val="00175795"/>
    <w:rsid w:val="00180EE6"/>
    <w:rsid w:val="00196346"/>
    <w:rsid w:val="001A5B42"/>
    <w:rsid w:val="001B3556"/>
    <w:rsid w:val="00200400"/>
    <w:rsid w:val="00204095"/>
    <w:rsid w:val="00211709"/>
    <w:rsid w:val="00244D24"/>
    <w:rsid w:val="00276FD1"/>
    <w:rsid w:val="00287739"/>
    <w:rsid w:val="002A2647"/>
    <w:rsid w:val="002C1637"/>
    <w:rsid w:val="002C2CAE"/>
    <w:rsid w:val="002D274B"/>
    <w:rsid w:val="002D61A9"/>
    <w:rsid w:val="002F2218"/>
    <w:rsid w:val="002F2780"/>
    <w:rsid w:val="00306CB5"/>
    <w:rsid w:val="00310977"/>
    <w:rsid w:val="00313DE7"/>
    <w:rsid w:val="00314374"/>
    <w:rsid w:val="00322229"/>
    <w:rsid w:val="003247AB"/>
    <w:rsid w:val="00325CD2"/>
    <w:rsid w:val="00332B36"/>
    <w:rsid w:val="00346143"/>
    <w:rsid w:val="00353E48"/>
    <w:rsid w:val="0036515D"/>
    <w:rsid w:val="003654FB"/>
    <w:rsid w:val="00372A31"/>
    <w:rsid w:val="0038627C"/>
    <w:rsid w:val="00386967"/>
    <w:rsid w:val="003900BE"/>
    <w:rsid w:val="00391694"/>
    <w:rsid w:val="003926BD"/>
    <w:rsid w:val="003C13CF"/>
    <w:rsid w:val="003C399D"/>
    <w:rsid w:val="003D4D36"/>
    <w:rsid w:val="003D6F8E"/>
    <w:rsid w:val="003E2A00"/>
    <w:rsid w:val="003E3ADF"/>
    <w:rsid w:val="003E5C43"/>
    <w:rsid w:val="00405082"/>
    <w:rsid w:val="00413D5E"/>
    <w:rsid w:val="00417D99"/>
    <w:rsid w:val="00423DA0"/>
    <w:rsid w:val="00432443"/>
    <w:rsid w:val="00453D2B"/>
    <w:rsid w:val="00453E8C"/>
    <w:rsid w:val="00461CD9"/>
    <w:rsid w:val="00484BDD"/>
    <w:rsid w:val="004B052F"/>
    <w:rsid w:val="004C4422"/>
    <w:rsid w:val="004C548D"/>
    <w:rsid w:val="004C6C7C"/>
    <w:rsid w:val="004D59F2"/>
    <w:rsid w:val="004E3611"/>
    <w:rsid w:val="005005DF"/>
    <w:rsid w:val="00501540"/>
    <w:rsid w:val="00504CFB"/>
    <w:rsid w:val="00507E5C"/>
    <w:rsid w:val="0052560E"/>
    <w:rsid w:val="00530054"/>
    <w:rsid w:val="00530490"/>
    <w:rsid w:val="005338B1"/>
    <w:rsid w:val="00533C1F"/>
    <w:rsid w:val="00542D78"/>
    <w:rsid w:val="00552C88"/>
    <w:rsid w:val="00566E5A"/>
    <w:rsid w:val="00570BCD"/>
    <w:rsid w:val="00571EFB"/>
    <w:rsid w:val="00580E24"/>
    <w:rsid w:val="0058410C"/>
    <w:rsid w:val="00594F35"/>
    <w:rsid w:val="00597556"/>
    <w:rsid w:val="005A5BB4"/>
    <w:rsid w:val="005A6FC7"/>
    <w:rsid w:val="005D7A98"/>
    <w:rsid w:val="005E13DC"/>
    <w:rsid w:val="005E5498"/>
    <w:rsid w:val="005F26A5"/>
    <w:rsid w:val="00612775"/>
    <w:rsid w:val="00613759"/>
    <w:rsid w:val="00626B2F"/>
    <w:rsid w:val="00642BDC"/>
    <w:rsid w:val="00650DEE"/>
    <w:rsid w:val="00655D1F"/>
    <w:rsid w:val="0066423A"/>
    <w:rsid w:val="00685B16"/>
    <w:rsid w:val="006A4E8D"/>
    <w:rsid w:val="006B0394"/>
    <w:rsid w:val="006C2819"/>
    <w:rsid w:val="006D6B4D"/>
    <w:rsid w:val="006F2941"/>
    <w:rsid w:val="00705409"/>
    <w:rsid w:val="00705886"/>
    <w:rsid w:val="0072202A"/>
    <w:rsid w:val="0073154E"/>
    <w:rsid w:val="0074181C"/>
    <w:rsid w:val="00754E15"/>
    <w:rsid w:val="00762D72"/>
    <w:rsid w:val="007854CC"/>
    <w:rsid w:val="007932F3"/>
    <w:rsid w:val="007A1D54"/>
    <w:rsid w:val="007A2F05"/>
    <w:rsid w:val="007B2B72"/>
    <w:rsid w:val="007D74B8"/>
    <w:rsid w:val="007E7F22"/>
    <w:rsid w:val="00804525"/>
    <w:rsid w:val="0080624F"/>
    <w:rsid w:val="00822CB5"/>
    <w:rsid w:val="00830FA5"/>
    <w:rsid w:val="008315ED"/>
    <w:rsid w:val="00833FCC"/>
    <w:rsid w:val="00840C83"/>
    <w:rsid w:val="0084272A"/>
    <w:rsid w:val="008609F8"/>
    <w:rsid w:val="00866DF9"/>
    <w:rsid w:val="00871846"/>
    <w:rsid w:val="008A6B1F"/>
    <w:rsid w:val="008B7BFF"/>
    <w:rsid w:val="008C27D4"/>
    <w:rsid w:val="008C3C97"/>
    <w:rsid w:val="008D0B44"/>
    <w:rsid w:val="008D14B9"/>
    <w:rsid w:val="00906580"/>
    <w:rsid w:val="00924F80"/>
    <w:rsid w:val="0093448B"/>
    <w:rsid w:val="00934DE5"/>
    <w:rsid w:val="00941A9B"/>
    <w:rsid w:val="00944872"/>
    <w:rsid w:val="00946011"/>
    <w:rsid w:val="00960CEE"/>
    <w:rsid w:val="009649CB"/>
    <w:rsid w:val="0097054E"/>
    <w:rsid w:val="009A5DE6"/>
    <w:rsid w:val="009A7394"/>
    <w:rsid w:val="009B5A35"/>
    <w:rsid w:val="009C28AE"/>
    <w:rsid w:val="009C2E6C"/>
    <w:rsid w:val="009D7293"/>
    <w:rsid w:val="009E0DEB"/>
    <w:rsid w:val="009E3881"/>
    <w:rsid w:val="009E78C0"/>
    <w:rsid w:val="00A07457"/>
    <w:rsid w:val="00A10511"/>
    <w:rsid w:val="00A65C8E"/>
    <w:rsid w:val="00A674C5"/>
    <w:rsid w:val="00A7223C"/>
    <w:rsid w:val="00AA3AC2"/>
    <w:rsid w:val="00AA446F"/>
    <w:rsid w:val="00AC13AB"/>
    <w:rsid w:val="00AC2E4A"/>
    <w:rsid w:val="00AC32FC"/>
    <w:rsid w:val="00AC4AE1"/>
    <w:rsid w:val="00AC4BEA"/>
    <w:rsid w:val="00AD00E7"/>
    <w:rsid w:val="00AD33B5"/>
    <w:rsid w:val="00B06217"/>
    <w:rsid w:val="00B11B9A"/>
    <w:rsid w:val="00B17B88"/>
    <w:rsid w:val="00B21E1B"/>
    <w:rsid w:val="00B413ED"/>
    <w:rsid w:val="00B6206B"/>
    <w:rsid w:val="00B64F83"/>
    <w:rsid w:val="00B665D9"/>
    <w:rsid w:val="00B739F9"/>
    <w:rsid w:val="00B85260"/>
    <w:rsid w:val="00B91E69"/>
    <w:rsid w:val="00B94F3E"/>
    <w:rsid w:val="00B96F0D"/>
    <w:rsid w:val="00BA0B60"/>
    <w:rsid w:val="00BA5933"/>
    <w:rsid w:val="00BB06C2"/>
    <w:rsid w:val="00BB3F58"/>
    <w:rsid w:val="00BB4B52"/>
    <w:rsid w:val="00BC447D"/>
    <w:rsid w:val="00BC6D40"/>
    <w:rsid w:val="00C07943"/>
    <w:rsid w:val="00C208FD"/>
    <w:rsid w:val="00C218D0"/>
    <w:rsid w:val="00C233E5"/>
    <w:rsid w:val="00C424B1"/>
    <w:rsid w:val="00C47550"/>
    <w:rsid w:val="00C51647"/>
    <w:rsid w:val="00C568B3"/>
    <w:rsid w:val="00C72F0B"/>
    <w:rsid w:val="00CE1043"/>
    <w:rsid w:val="00CE7F87"/>
    <w:rsid w:val="00CF1CF0"/>
    <w:rsid w:val="00D017F8"/>
    <w:rsid w:val="00D01CCC"/>
    <w:rsid w:val="00D1069E"/>
    <w:rsid w:val="00D12B0D"/>
    <w:rsid w:val="00D15A1E"/>
    <w:rsid w:val="00D24595"/>
    <w:rsid w:val="00D25D17"/>
    <w:rsid w:val="00D456C3"/>
    <w:rsid w:val="00D500E8"/>
    <w:rsid w:val="00D54EA3"/>
    <w:rsid w:val="00D54F56"/>
    <w:rsid w:val="00D55828"/>
    <w:rsid w:val="00D65DFD"/>
    <w:rsid w:val="00D70F18"/>
    <w:rsid w:val="00D71C15"/>
    <w:rsid w:val="00D73B87"/>
    <w:rsid w:val="00D91DA0"/>
    <w:rsid w:val="00D977E0"/>
    <w:rsid w:val="00DA3E83"/>
    <w:rsid w:val="00DB1808"/>
    <w:rsid w:val="00DB1B60"/>
    <w:rsid w:val="00DB7F8F"/>
    <w:rsid w:val="00DC2418"/>
    <w:rsid w:val="00DC301A"/>
    <w:rsid w:val="00DD125D"/>
    <w:rsid w:val="00DF2025"/>
    <w:rsid w:val="00DF36D1"/>
    <w:rsid w:val="00E02859"/>
    <w:rsid w:val="00E10435"/>
    <w:rsid w:val="00E140CA"/>
    <w:rsid w:val="00E3187B"/>
    <w:rsid w:val="00E367E3"/>
    <w:rsid w:val="00E50812"/>
    <w:rsid w:val="00E52E10"/>
    <w:rsid w:val="00E54A11"/>
    <w:rsid w:val="00E54A37"/>
    <w:rsid w:val="00E55D2E"/>
    <w:rsid w:val="00E724D5"/>
    <w:rsid w:val="00E8068E"/>
    <w:rsid w:val="00E839BF"/>
    <w:rsid w:val="00E949AB"/>
    <w:rsid w:val="00EA13C3"/>
    <w:rsid w:val="00EA236D"/>
    <w:rsid w:val="00EA3049"/>
    <w:rsid w:val="00EA6668"/>
    <w:rsid w:val="00EB4F62"/>
    <w:rsid w:val="00EB68B5"/>
    <w:rsid w:val="00EC7359"/>
    <w:rsid w:val="00ED1E1A"/>
    <w:rsid w:val="00EE0A0C"/>
    <w:rsid w:val="00EF3AE8"/>
    <w:rsid w:val="00F01650"/>
    <w:rsid w:val="00F12796"/>
    <w:rsid w:val="00F15A53"/>
    <w:rsid w:val="00F26BCB"/>
    <w:rsid w:val="00F320C7"/>
    <w:rsid w:val="00F44247"/>
    <w:rsid w:val="00F75A99"/>
    <w:rsid w:val="00F969B7"/>
    <w:rsid w:val="00F97927"/>
    <w:rsid w:val="00FA0F22"/>
    <w:rsid w:val="00FD282B"/>
    <w:rsid w:val="00FD2CC4"/>
    <w:rsid w:val="00FF1C30"/>
    <w:rsid w:val="0FD200F1"/>
    <w:rsid w:val="1DEF96CF"/>
    <w:rsid w:val="6A7ED7F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9BFEFA"/>
  <w15:docId w15:val="{B569B587-B770-40F3-97A6-F71335DA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IE-Normal"/>
    <w:qFormat/>
    <w:rsid w:val="00E10435"/>
  </w:style>
  <w:style w:type="paragraph" w:styleId="Heading1">
    <w:name w:val="heading 1"/>
    <w:basedOn w:val="Normal"/>
    <w:link w:val="Heading1Char"/>
    <w:uiPriority w:val="9"/>
    <w:qFormat/>
    <w:rsid w:val="00FD282B"/>
    <w:pPr>
      <w:spacing w:before="300" w:after="40"/>
      <w:jc w:val="left"/>
      <w:outlineLvl w:val="0"/>
    </w:pPr>
    <w:rPr>
      <w:rFonts w:cs="Times New Roman (Body CS)"/>
      <w:b/>
      <w:spacing w:val="5"/>
      <w:sz w:val="64"/>
      <w:szCs w:val="32"/>
    </w:rPr>
  </w:style>
  <w:style w:type="paragraph" w:styleId="Heading2">
    <w:name w:val="heading 2"/>
    <w:basedOn w:val="Normal"/>
    <w:next w:val="Normal"/>
    <w:link w:val="Heading2Char"/>
    <w:uiPriority w:val="9"/>
    <w:unhideWhenUsed/>
    <w:qFormat/>
    <w:rsid w:val="00FD282B"/>
    <w:pPr>
      <w:spacing w:before="240" w:after="80"/>
      <w:jc w:val="left"/>
      <w:outlineLvl w:val="1"/>
    </w:pPr>
    <w:rPr>
      <w:rFonts w:cs="Times New Roman (Body CS)"/>
      <w:b/>
      <w:spacing w:val="5"/>
      <w:sz w:val="32"/>
      <w:szCs w:val="28"/>
    </w:rPr>
  </w:style>
  <w:style w:type="paragraph" w:styleId="Heading3">
    <w:name w:val="heading 3"/>
    <w:basedOn w:val="Normal"/>
    <w:next w:val="Normal"/>
    <w:link w:val="Heading3Char"/>
    <w:uiPriority w:val="9"/>
    <w:unhideWhenUsed/>
    <w:qFormat/>
    <w:rsid w:val="0011323A"/>
    <w:pPr>
      <w:spacing w:after="0"/>
      <w:jc w:val="left"/>
      <w:outlineLvl w:val="2"/>
    </w:pPr>
    <w:rPr>
      <w:rFonts w:cs="Times New Roman (Body CS)"/>
      <w:b/>
      <w:spacing w:val="5"/>
      <w:sz w:val="24"/>
      <w:szCs w:val="24"/>
    </w:rPr>
  </w:style>
  <w:style w:type="paragraph" w:styleId="Heading4">
    <w:name w:val="heading 4"/>
    <w:basedOn w:val="Normal"/>
    <w:next w:val="Normal"/>
    <w:link w:val="Heading4Char"/>
    <w:uiPriority w:val="9"/>
    <w:semiHidden/>
    <w:unhideWhenUsed/>
    <w:qFormat/>
    <w:rsid w:val="00E1043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E10435"/>
    <w:pPr>
      <w:spacing w:before="200" w:after="0"/>
      <w:jc w:val="left"/>
      <w:outlineLvl w:val="4"/>
    </w:pPr>
    <w:rPr>
      <w:smallCaps/>
      <w:color w:val="719119" w:themeColor="accent2" w:themeShade="BF"/>
      <w:spacing w:val="10"/>
      <w:sz w:val="22"/>
      <w:szCs w:val="26"/>
    </w:rPr>
  </w:style>
  <w:style w:type="paragraph" w:styleId="Heading6">
    <w:name w:val="heading 6"/>
    <w:basedOn w:val="Normal"/>
    <w:next w:val="Normal"/>
    <w:link w:val="Heading6Char"/>
    <w:uiPriority w:val="9"/>
    <w:semiHidden/>
    <w:unhideWhenUsed/>
    <w:qFormat/>
    <w:rsid w:val="00E10435"/>
    <w:pPr>
      <w:spacing w:after="0"/>
      <w:jc w:val="left"/>
      <w:outlineLvl w:val="5"/>
    </w:pPr>
    <w:rPr>
      <w:smallCaps/>
      <w:color w:val="98C222" w:themeColor="accent2"/>
      <w:spacing w:val="5"/>
      <w:sz w:val="22"/>
    </w:rPr>
  </w:style>
  <w:style w:type="paragraph" w:styleId="Heading7">
    <w:name w:val="heading 7"/>
    <w:basedOn w:val="Normal"/>
    <w:next w:val="Normal"/>
    <w:link w:val="Heading7Char"/>
    <w:uiPriority w:val="9"/>
    <w:semiHidden/>
    <w:unhideWhenUsed/>
    <w:qFormat/>
    <w:rsid w:val="00E10435"/>
    <w:pPr>
      <w:spacing w:after="0"/>
      <w:jc w:val="left"/>
      <w:outlineLvl w:val="6"/>
    </w:pPr>
    <w:rPr>
      <w:b/>
      <w:smallCaps/>
      <w:color w:val="98C222" w:themeColor="accent2"/>
      <w:spacing w:val="10"/>
    </w:rPr>
  </w:style>
  <w:style w:type="paragraph" w:styleId="Heading8">
    <w:name w:val="heading 8"/>
    <w:basedOn w:val="Normal"/>
    <w:next w:val="Normal"/>
    <w:link w:val="Heading8Char"/>
    <w:uiPriority w:val="9"/>
    <w:semiHidden/>
    <w:unhideWhenUsed/>
    <w:qFormat/>
    <w:rsid w:val="00E10435"/>
    <w:pPr>
      <w:spacing w:after="0"/>
      <w:jc w:val="left"/>
      <w:outlineLvl w:val="7"/>
    </w:pPr>
    <w:rPr>
      <w:b/>
      <w:i/>
      <w:smallCaps/>
      <w:color w:val="719119" w:themeColor="accent2" w:themeShade="BF"/>
    </w:rPr>
  </w:style>
  <w:style w:type="paragraph" w:styleId="Heading9">
    <w:name w:val="heading 9"/>
    <w:basedOn w:val="Normal"/>
    <w:next w:val="Normal"/>
    <w:link w:val="Heading9Char"/>
    <w:uiPriority w:val="9"/>
    <w:semiHidden/>
    <w:unhideWhenUsed/>
    <w:qFormat/>
    <w:rsid w:val="00E10435"/>
    <w:pPr>
      <w:spacing w:after="0"/>
      <w:jc w:val="left"/>
      <w:outlineLvl w:val="8"/>
    </w:pPr>
    <w:rPr>
      <w:b/>
      <w:i/>
      <w:smallCaps/>
      <w:color w:val="4B6011"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2A31"/>
    <w:pPr>
      <w:tabs>
        <w:tab w:val="center" w:pos="4536"/>
        <w:tab w:val="right" w:pos="9072"/>
      </w:tabs>
      <w:spacing w:after="0" w:line="240" w:lineRule="auto"/>
    </w:pPr>
  </w:style>
  <w:style w:type="character" w:customStyle="1" w:styleId="HeaderChar">
    <w:name w:val="Header Char"/>
    <w:basedOn w:val="DefaultParagraphFont"/>
    <w:link w:val="Header"/>
    <w:rsid w:val="00372A31"/>
  </w:style>
  <w:style w:type="paragraph" w:styleId="Footer">
    <w:name w:val="footer"/>
    <w:basedOn w:val="Normal"/>
    <w:link w:val="FooterChar"/>
    <w:uiPriority w:val="99"/>
    <w:unhideWhenUsed/>
    <w:rsid w:val="00372A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2A31"/>
  </w:style>
  <w:style w:type="paragraph" w:styleId="BalloonText">
    <w:name w:val="Balloon Text"/>
    <w:basedOn w:val="Normal"/>
    <w:link w:val="BalloonTextChar"/>
    <w:uiPriority w:val="99"/>
    <w:semiHidden/>
    <w:unhideWhenUsed/>
    <w:rsid w:val="0037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A31"/>
    <w:rPr>
      <w:rFonts w:ascii="Tahoma" w:hAnsi="Tahoma" w:cs="Tahoma"/>
      <w:sz w:val="16"/>
      <w:szCs w:val="16"/>
    </w:rPr>
  </w:style>
  <w:style w:type="paragraph" w:customStyle="1" w:styleId="IE-slogansmall">
    <w:name w:val="IE-slogan small"/>
    <w:basedOn w:val="Normal"/>
    <w:link w:val="IE-slogansmallCar"/>
    <w:rsid w:val="00BB06C2"/>
    <w:pPr>
      <w:spacing w:line="240" w:lineRule="auto"/>
      <w:jc w:val="left"/>
    </w:pPr>
    <w:rPr>
      <w:i/>
      <w:sz w:val="16"/>
      <w:szCs w:val="16"/>
      <w:lang w:val="en-GB"/>
    </w:rPr>
  </w:style>
  <w:style w:type="paragraph" w:customStyle="1" w:styleId="IE-dateRE">
    <w:name w:val="IE-date+RE"/>
    <w:basedOn w:val="Normal"/>
    <w:next w:val="Normal"/>
    <w:link w:val="IE-dateRECar"/>
    <w:qFormat/>
    <w:rsid w:val="00332B36"/>
    <w:pPr>
      <w:spacing w:after="0"/>
    </w:pPr>
    <w:rPr>
      <w:szCs w:val="18"/>
      <w:lang w:val="en-GB"/>
    </w:rPr>
  </w:style>
  <w:style w:type="character" w:customStyle="1" w:styleId="IE-slogansmallCar">
    <w:name w:val="IE-slogan small Car"/>
    <w:basedOn w:val="DefaultParagraphFont"/>
    <w:link w:val="IE-slogansmall"/>
    <w:rsid w:val="00BB06C2"/>
    <w:rPr>
      <w:rFonts w:ascii="Arial" w:eastAsia="Arial" w:hAnsi="Arial" w:cs="Times New Roman"/>
      <w:i/>
      <w:sz w:val="16"/>
      <w:szCs w:val="16"/>
      <w:lang w:val="en-GB"/>
    </w:rPr>
  </w:style>
  <w:style w:type="table" w:customStyle="1" w:styleId="Grilledutableau1">
    <w:name w:val="Grille du tableau1"/>
    <w:basedOn w:val="TableNormal"/>
    <w:next w:val="TableGrid"/>
    <w:uiPriority w:val="59"/>
    <w:rsid w:val="00E839BF"/>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dateRECar">
    <w:name w:val="IE-date+RE Car"/>
    <w:basedOn w:val="DefaultParagraphFont"/>
    <w:link w:val="IE-dateRE"/>
    <w:rsid w:val="00332B36"/>
    <w:rPr>
      <w:rFonts w:ascii="Arial" w:eastAsia="Arial" w:hAnsi="Arial" w:cs="Times New Roman"/>
      <w:sz w:val="20"/>
      <w:szCs w:val="18"/>
      <w:lang w:val="en-GB"/>
    </w:rPr>
  </w:style>
  <w:style w:type="table" w:styleId="TableGrid">
    <w:name w:val="Table Grid"/>
    <w:basedOn w:val="TableNormal"/>
    <w:uiPriority w:val="39"/>
    <w:rsid w:val="00E83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pagenr">
    <w:name w:val="IE-page nr"/>
    <w:basedOn w:val="Normal"/>
    <w:link w:val="IE-pagenrCar"/>
    <w:qFormat/>
    <w:rsid w:val="00DD125D"/>
    <w:pPr>
      <w:jc w:val="right"/>
    </w:pPr>
    <w:rPr>
      <w:sz w:val="18"/>
      <w:szCs w:val="18"/>
    </w:rPr>
  </w:style>
  <w:style w:type="paragraph" w:styleId="PlainText">
    <w:name w:val="Plain Text"/>
    <w:basedOn w:val="Normal"/>
    <w:link w:val="PlainTextChar"/>
    <w:uiPriority w:val="99"/>
    <w:unhideWhenUsed/>
    <w:rsid w:val="00BA0B60"/>
    <w:pPr>
      <w:spacing w:after="0" w:line="240" w:lineRule="auto"/>
    </w:pPr>
    <w:rPr>
      <w:rFonts w:ascii="Consolas" w:hAnsi="Consolas"/>
      <w:sz w:val="21"/>
      <w:szCs w:val="21"/>
    </w:rPr>
  </w:style>
  <w:style w:type="character" w:customStyle="1" w:styleId="IE-pagenrCar">
    <w:name w:val="IE-page nr Car"/>
    <w:basedOn w:val="DefaultParagraphFont"/>
    <w:link w:val="IE-pagenr"/>
    <w:rsid w:val="00DD125D"/>
    <w:rPr>
      <w:sz w:val="18"/>
      <w:szCs w:val="18"/>
    </w:rPr>
  </w:style>
  <w:style w:type="character" w:customStyle="1" w:styleId="PlainTextChar">
    <w:name w:val="Plain Text Char"/>
    <w:basedOn w:val="DefaultParagraphFont"/>
    <w:link w:val="PlainText"/>
    <w:uiPriority w:val="99"/>
    <w:rsid w:val="00BA0B60"/>
    <w:rPr>
      <w:rFonts w:ascii="Consolas" w:hAnsi="Consolas"/>
      <w:sz w:val="21"/>
      <w:szCs w:val="21"/>
    </w:rPr>
  </w:style>
  <w:style w:type="paragraph" w:customStyle="1" w:styleId="foot1">
    <w:name w:val="foot1"/>
    <w:link w:val="foot1Car"/>
    <w:qFormat/>
    <w:rsid w:val="00BB4B52"/>
    <w:pPr>
      <w:spacing w:after="0" w:line="302" w:lineRule="auto"/>
    </w:pPr>
    <w:rPr>
      <w:sz w:val="24"/>
      <w:szCs w:val="14"/>
    </w:rPr>
  </w:style>
  <w:style w:type="paragraph" w:customStyle="1" w:styleId="foot2">
    <w:name w:val="foot2"/>
    <w:link w:val="foot2Car"/>
    <w:rsid w:val="00332B36"/>
    <w:rPr>
      <w:sz w:val="12"/>
      <w:szCs w:val="12"/>
    </w:rPr>
  </w:style>
  <w:style w:type="character" w:customStyle="1" w:styleId="foot1Car">
    <w:name w:val="foot1 Car"/>
    <w:basedOn w:val="DefaultParagraphFont"/>
    <w:link w:val="foot1"/>
    <w:rsid w:val="00BB4B52"/>
    <w:rPr>
      <w:sz w:val="24"/>
      <w:szCs w:val="14"/>
    </w:rPr>
  </w:style>
  <w:style w:type="paragraph" w:customStyle="1" w:styleId="EUERDF">
    <w:name w:val="EU ERDF"/>
    <w:link w:val="EUERDFCar"/>
    <w:rsid w:val="00AD00E7"/>
    <w:rPr>
      <w:rFonts w:ascii="Arial" w:eastAsia="Arial" w:hAnsi="Arial" w:cs="Times New Roman"/>
      <w:sz w:val="12"/>
      <w:szCs w:val="12"/>
      <w:lang w:val="en-GB"/>
    </w:rPr>
  </w:style>
  <w:style w:type="character" w:customStyle="1" w:styleId="foot2Car">
    <w:name w:val="foot2 Car"/>
    <w:basedOn w:val="DefaultParagraphFont"/>
    <w:link w:val="foot2"/>
    <w:rsid w:val="00332B36"/>
    <w:rPr>
      <w:sz w:val="12"/>
      <w:szCs w:val="12"/>
    </w:rPr>
  </w:style>
  <w:style w:type="character" w:customStyle="1" w:styleId="EUERDFCar">
    <w:name w:val="EU ERDF Car"/>
    <w:basedOn w:val="DefaultParagraphFont"/>
    <w:link w:val="EUERDF"/>
    <w:rsid w:val="00AD00E7"/>
    <w:rPr>
      <w:rFonts w:ascii="Arial" w:eastAsia="Arial" w:hAnsi="Arial" w:cs="Times New Roman"/>
      <w:sz w:val="12"/>
      <w:szCs w:val="12"/>
      <w:lang w:val="en-GB"/>
    </w:rPr>
  </w:style>
  <w:style w:type="paragraph" w:customStyle="1" w:styleId="IE-addresstop">
    <w:name w:val="IE-address top"/>
    <w:basedOn w:val="Normal"/>
    <w:rsid w:val="00533C1F"/>
    <w:pPr>
      <w:spacing w:after="0"/>
      <w:jc w:val="left"/>
    </w:pPr>
    <w:rPr>
      <w:rFonts w:eastAsia="Times New Roman"/>
      <w:color w:val="0A1E47"/>
      <w:szCs w:val="24"/>
      <w:lang w:val="en-GB" w:eastAsia="fr-FR"/>
    </w:rPr>
  </w:style>
  <w:style w:type="paragraph" w:customStyle="1" w:styleId="footbold">
    <w:name w:val="footbold"/>
    <w:basedOn w:val="foot1"/>
    <w:link w:val="footboldCar"/>
    <w:rsid w:val="00D01CCC"/>
    <w:rPr>
      <w:b/>
    </w:rPr>
  </w:style>
  <w:style w:type="character" w:customStyle="1" w:styleId="footboldCar">
    <w:name w:val="footbold Car"/>
    <w:basedOn w:val="foot1Car"/>
    <w:link w:val="footbold"/>
    <w:rsid w:val="00D01CCC"/>
    <w:rPr>
      <w:b/>
      <w:sz w:val="14"/>
      <w:szCs w:val="14"/>
    </w:rPr>
  </w:style>
  <w:style w:type="character" w:styleId="Hyperlink">
    <w:name w:val="Hyperlink"/>
    <w:basedOn w:val="DefaultParagraphFont"/>
    <w:uiPriority w:val="99"/>
    <w:unhideWhenUsed/>
    <w:rsid w:val="00ED1E1A"/>
    <w:rPr>
      <w:rFonts w:asciiTheme="minorHAnsi" w:hAnsiTheme="minorHAnsi"/>
      <w:b/>
      <w:i w:val="0"/>
      <w:color w:val="363438" w:themeColor="hyperlink"/>
      <w:u w:val="none"/>
    </w:rPr>
  </w:style>
  <w:style w:type="table" w:customStyle="1" w:styleId="Grilledutableau2">
    <w:name w:val="Grille du tableau2"/>
    <w:basedOn w:val="TableNormal"/>
    <w:next w:val="TableGrid"/>
    <w:uiPriority w:val="59"/>
    <w:rsid w:val="00E54A11"/>
    <w:pPr>
      <w:spacing w:after="0" w:line="240" w:lineRule="auto"/>
    </w:pPr>
    <w:rPr>
      <w:rFonts w:ascii="Arial" w:eastAsia="Arial"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ar"/>
    <w:qFormat/>
    <w:rsid w:val="00833FCC"/>
    <w:pPr>
      <w:numPr>
        <w:numId w:val="1"/>
      </w:numPr>
    </w:pPr>
  </w:style>
  <w:style w:type="character" w:customStyle="1" w:styleId="BulletsCar">
    <w:name w:val="Bullets Car"/>
    <w:basedOn w:val="DefaultParagraphFont"/>
    <w:link w:val="Bullets"/>
    <w:rsid w:val="00833FCC"/>
    <w:rPr>
      <w:rFonts w:ascii="Arial" w:eastAsia="Arial" w:hAnsi="Arial" w:cs="Times New Roman"/>
      <w:sz w:val="20"/>
      <w:szCs w:val="20"/>
    </w:rPr>
  </w:style>
  <w:style w:type="paragraph" w:styleId="ListParagraph">
    <w:name w:val="List Paragraph"/>
    <w:aliases w:val="Dot pt,List Paragraph Char Char Char,Indicator Text,List Paragraph1,Bullet Style,Numbered Para 1,List Paragraph12,Bullet Points,MAIN CONTENT,F5 List Paragraph,Colorful List - Accent 11,Normal numbered,List Paragraph2,Bullet 1,OBC Bullet"/>
    <w:basedOn w:val="Normal"/>
    <w:link w:val="ListParagraphChar"/>
    <w:uiPriority w:val="34"/>
    <w:qFormat/>
    <w:rsid w:val="00E10435"/>
    <w:pPr>
      <w:ind w:left="720"/>
      <w:contextualSpacing/>
    </w:pPr>
  </w:style>
  <w:style w:type="paragraph" w:styleId="Revision">
    <w:name w:val="Revision"/>
    <w:hidden/>
    <w:uiPriority w:val="99"/>
    <w:semiHidden/>
    <w:rsid w:val="001A5B42"/>
    <w:pPr>
      <w:spacing w:after="0" w:line="240" w:lineRule="auto"/>
    </w:pPr>
    <w:rPr>
      <w:rFonts w:ascii="Arial" w:eastAsia="Arial" w:hAnsi="Arial" w:cs="Times New Roman"/>
    </w:rPr>
  </w:style>
  <w:style w:type="character" w:customStyle="1" w:styleId="Heading1Char">
    <w:name w:val="Heading 1 Char"/>
    <w:basedOn w:val="DefaultParagraphFont"/>
    <w:link w:val="Heading1"/>
    <w:uiPriority w:val="9"/>
    <w:rsid w:val="00FD282B"/>
    <w:rPr>
      <w:rFonts w:cs="Times New Roman (Body CS)"/>
      <w:b/>
      <w:spacing w:val="5"/>
      <w:sz w:val="64"/>
      <w:szCs w:val="32"/>
    </w:rPr>
  </w:style>
  <w:style w:type="character" w:customStyle="1" w:styleId="Heading2Char">
    <w:name w:val="Heading 2 Char"/>
    <w:basedOn w:val="DefaultParagraphFont"/>
    <w:link w:val="Heading2"/>
    <w:uiPriority w:val="9"/>
    <w:rsid w:val="00FD282B"/>
    <w:rPr>
      <w:rFonts w:cs="Times New Roman (Body CS)"/>
      <w:b/>
      <w:spacing w:val="5"/>
      <w:sz w:val="32"/>
      <w:szCs w:val="28"/>
    </w:rPr>
  </w:style>
  <w:style w:type="character" w:customStyle="1" w:styleId="Heading3Char">
    <w:name w:val="Heading 3 Char"/>
    <w:basedOn w:val="DefaultParagraphFont"/>
    <w:link w:val="Heading3"/>
    <w:uiPriority w:val="9"/>
    <w:rsid w:val="0011323A"/>
    <w:rPr>
      <w:rFonts w:cs="Times New Roman (Body CS)"/>
      <w:b/>
      <w:spacing w:val="5"/>
      <w:sz w:val="24"/>
      <w:szCs w:val="24"/>
    </w:rPr>
  </w:style>
  <w:style w:type="character" w:customStyle="1" w:styleId="Heading4Char">
    <w:name w:val="Heading 4 Char"/>
    <w:basedOn w:val="DefaultParagraphFont"/>
    <w:link w:val="Heading4"/>
    <w:uiPriority w:val="9"/>
    <w:semiHidden/>
    <w:rsid w:val="00E10435"/>
    <w:rPr>
      <w:smallCaps/>
      <w:spacing w:val="10"/>
      <w:sz w:val="22"/>
      <w:szCs w:val="22"/>
    </w:rPr>
  </w:style>
  <w:style w:type="character" w:customStyle="1" w:styleId="Heading5Char">
    <w:name w:val="Heading 5 Char"/>
    <w:basedOn w:val="DefaultParagraphFont"/>
    <w:link w:val="Heading5"/>
    <w:uiPriority w:val="9"/>
    <w:semiHidden/>
    <w:rsid w:val="00E10435"/>
    <w:rPr>
      <w:smallCaps/>
      <w:color w:val="719119" w:themeColor="accent2" w:themeShade="BF"/>
      <w:spacing w:val="10"/>
      <w:sz w:val="22"/>
      <w:szCs w:val="26"/>
    </w:rPr>
  </w:style>
  <w:style w:type="character" w:customStyle="1" w:styleId="Heading6Char">
    <w:name w:val="Heading 6 Char"/>
    <w:basedOn w:val="DefaultParagraphFont"/>
    <w:link w:val="Heading6"/>
    <w:uiPriority w:val="9"/>
    <w:semiHidden/>
    <w:rsid w:val="00E10435"/>
    <w:rPr>
      <w:smallCaps/>
      <w:color w:val="98C222" w:themeColor="accent2"/>
      <w:spacing w:val="5"/>
      <w:sz w:val="22"/>
    </w:rPr>
  </w:style>
  <w:style w:type="character" w:customStyle="1" w:styleId="Heading7Char">
    <w:name w:val="Heading 7 Char"/>
    <w:basedOn w:val="DefaultParagraphFont"/>
    <w:link w:val="Heading7"/>
    <w:uiPriority w:val="9"/>
    <w:semiHidden/>
    <w:rsid w:val="00E10435"/>
    <w:rPr>
      <w:b/>
      <w:smallCaps/>
      <w:color w:val="98C222" w:themeColor="accent2"/>
      <w:spacing w:val="10"/>
    </w:rPr>
  </w:style>
  <w:style w:type="character" w:customStyle="1" w:styleId="Heading8Char">
    <w:name w:val="Heading 8 Char"/>
    <w:basedOn w:val="DefaultParagraphFont"/>
    <w:link w:val="Heading8"/>
    <w:uiPriority w:val="9"/>
    <w:semiHidden/>
    <w:rsid w:val="00E10435"/>
    <w:rPr>
      <w:b/>
      <w:i/>
      <w:smallCaps/>
      <w:color w:val="719119" w:themeColor="accent2" w:themeShade="BF"/>
    </w:rPr>
  </w:style>
  <w:style w:type="character" w:customStyle="1" w:styleId="Heading9Char">
    <w:name w:val="Heading 9 Char"/>
    <w:basedOn w:val="DefaultParagraphFont"/>
    <w:link w:val="Heading9"/>
    <w:uiPriority w:val="9"/>
    <w:semiHidden/>
    <w:rsid w:val="00E10435"/>
    <w:rPr>
      <w:b/>
      <w:i/>
      <w:smallCaps/>
      <w:color w:val="4B6011" w:themeColor="accent2" w:themeShade="7F"/>
    </w:rPr>
  </w:style>
  <w:style w:type="paragraph" w:styleId="Caption">
    <w:name w:val="caption"/>
    <w:basedOn w:val="Normal"/>
    <w:next w:val="Normal"/>
    <w:uiPriority w:val="35"/>
    <w:semiHidden/>
    <w:unhideWhenUsed/>
    <w:qFormat/>
    <w:rsid w:val="00E10435"/>
    <w:rPr>
      <w:b/>
      <w:bCs/>
      <w:caps/>
      <w:sz w:val="16"/>
      <w:szCs w:val="18"/>
    </w:rPr>
  </w:style>
  <w:style w:type="paragraph" w:styleId="Title">
    <w:name w:val="Title"/>
    <w:basedOn w:val="Normal"/>
    <w:next w:val="Normal"/>
    <w:link w:val="TitleChar"/>
    <w:uiPriority w:val="10"/>
    <w:qFormat/>
    <w:rsid w:val="00E10435"/>
    <w:pPr>
      <w:pBdr>
        <w:top w:val="single" w:sz="12" w:space="1" w:color="98C22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E10435"/>
    <w:rPr>
      <w:smallCaps/>
      <w:sz w:val="48"/>
      <w:szCs w:val="48"/>
    </w:rPr>
  </w:style>
  <w:style w:type="paragraph" w:styleId="Subtitle">
    <w:name w:val="Subtitle"/>
    <w:basedOn w:val="Normal"/>
    <w:next w:val="Normal"/>
    <w:link w:val="SubtitleChar"/>
    <w:uiPriority w:val="11"/>
    <w:qFormat/>
    <w:rsid w:val="00E10435"/>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E10435"/>
    <w:rPr>
      <w:rFonts w:asciiTheme="majorHAnsi" w:eastAsiaTheme="majorEastAsia" w:hAnsiTheme="majorHAnsi" w:cstheme="majorBidi"/>
      <w:szCs w:val="22"/>
    </w:rPr>
  </w:style>
  <w:style w:type="character" w:styleId="Strong">
    <w:name w:val="Strong"/>
    <w:uiPriority w:val="22"/>
    <w:qFormat/>
    <w:rsid w:val="00E10435"/>
    <w:rPr>
      <w:b/>
      <w:color w:val="98C222" w:themeColor="accent2"/>
    </w:rPr>
  </w:style>
  <w:style w:type="character" w:styleId="Emphasis">
    <w:name w:val="Emphasis"/>
    <w:uiPriority w:val="20"/>
    <w:qFormat/>
    <w:rsid w:val="00E10435"/>
    <w:rPr>
      <w:b/>
      <w:i/>
      <w:spacing w:val="10"/>
    </w:rPr>
  </w:style>
  <w:style w:type="paragraph" w:styleId="NoSpacing">
    <w:name w:val="No Spacing"/>
    <w:basedOn w:val="Normal"/>
    <w:link w:val="NoSpacingChar"/>
    <w:uiPriority w:val="1"/>
    <w:qFormat/>
    <w:rsid w:val="00E10435"/>
    <w:pPr>
      <w:spacing w:after="0" w:line="240" w:lineRule="auto"/>
    </w:pPr>
  </w:style>
  <w:style w:type="paragraph" w:styleId="Quote">
    <w:name w:val="Quote"/>
    <w:basedOn w:val="Normal"/>
    <w:next w:val="Normal"/>
    <w:link w:val="QuoteChar"/>
    <w:uiPriority w:val="29"/>
    <w:qFormat/>
    <w:rsid w:val="00E10435"/>
    <w:rPr>
      <w:i/>
    </w:rPr>
  </w:style>
  <w:style w:type="character" w:customStyle="1" w:styleId="QuoteChar">
    <w:name w:val="Quote Char"/>
    <w:basedOn w:val="DefaultParagraphFont"/>
    <w:link w:val="Quote"/>
    <w:uiPriority w:val="29"/>
    <w:rsid w:val="00E10435"/>
    <w:rPr>
      <w:i/>
    </w:rPr>
  </w:style>
  <w:style w:type="paragraph" w:styleId="IntenseQuote">
    <w:name w:val="Intense Quote"/>
    <w:basedOn w:val="Normal"/>
    <w:next w:val="Normal"/>
    <w:link w:val="IntenseQuoteChar"/>
    <w:uiPriority w:val="30"/>
    <w:qFormat/>
    <w:rsid w:val="00E10435"/>
    <w:pPr>
      <w:pBdr>
        <w:top w:val="single" w:sz="8" w:space="10" w:color="719119" w:themeColor="accent2" w:themeShade="BF"/>
        <w:left w:val="single" w:sz="8" w:space="10" w:color="719119" w:themeColor="accent2" w:themeShade="BF"/>
        <w:bottom w:val="single" w:sz="8" w:space="10" w:color="719119" w:themeColor="accent2" w:themeShade="BF"/>
        <w:right w:val="single" w:sz="8" w:space="10" w:color="719119" w:themeColor="accent2" w:themeShade="BF"/>
      </w:pBdr>
      <w:shd w:val="clear" w:color="auto" w:fill="98C22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E10435"/>
    <w:rPr>
      <w:b/>
      <w:i/>
      <w:color w:val="FFFFFF" w:themeColor="background1"/>
      <w:shd w:val="clear" w:color="auto" w:fill="98C222" w:themeFill="accent2"/>
    </w:rPr>
  </w:style>
  <w:style w:type="character" w:styleId="SubtleEmphasis">
    <w:name w:val="Subtle Emphasis"/>
    <w:uiPriority w:val="19"/>
    <w:qFormat/>
    <w:rsid w:val="00E10435"/>
    <w:rPr>
      <w:i/>
    </w:rPr>
  </w:style>
  <w:style w:type="character" w:styleId="IntenseEmphasis">
    <w:name w:val="Intense Emphasis"/>
    <w:uiPriority w:val="21"/>
    <w:qFormat/>
    <w:rsid w:val="00E10435"/>
    <w:rPr>
      <w:b/>
      <w:i/>
      <w:color w:val="98C222" w:themeColor="accent2"/>
      <w:spacing w:val="10"/>
    </w:rPr>
  </w:style>
  <w:style w:type="character" w:styleId="SubtleReference">
    <w:name w:val="Subtle Reference"/>
    <w:uiPriority w:val="31"/>
    <w:qFormat/>
    <w:rsid w:val="00E10435"/>
    <w:rPr>
      <w:b/>
    </w:rPr>
  </w:style>
  <w:style w:type="character" w:styleId="IntenseReference">
    <w:name w:val="Intense Reference"/>
    <w:uiPriority w:val="32"/>
    <w:qFormat/>
    <w:rsid w:val="00E10435"/>
    <w:rPr>
      <w:b/>
      <w:bCs/>
      <w:smallCaps/>
      <w:spacing w:val="5"/>
      <w:sz w:val="22"/>
      <w:szCs w:val="22"/>
      <w:u w:val="single"/>
    </w:rPr>
  </w:style>
  <w:style w:type="character" w:styleId="BookTitle">
    <w:name w:val="Book Title"/>
    <w:uiPriority w:val="33"/>
    <w:qFormat/>
    <w:rsid w:val="00E10435"/>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E10435"/>
    <w:pPr>
      <w:outlineLvl w:val="9"/>
    </w:pPr>
  </w:style>
  <w:style w:type="character" w:customStyle="1" w:styleId="NoSpacingChar">
    <w:name w:val="No Spacing Char"/>
    <w:basedOn w:val="DefaultParagraphFont"/>
    <w:link w:val="NoSpacing"/>
    <w:uiPriority w:val="1"/>
    <w:rsid w:val="00E10435"/>
  </w:style>
  <w:style w:type="paragraph" w:customStyle="1" w:styleId="a-I-EU-Bulletpoints">
    <w:name w:val="a-I-EU-Bullet points"/>
    <w:basedOn w:val="Normal"/>
    <w:link w:val="a-I-EU-BulletpointsCar"/>
    <w:qFormat/>
    <w:rsid w:val="00530054"/>
    <w:pPr>
      <w:spacing w:line="320" w:lineRule="exact"/>
      <w:contextualSpacing/>
    </w:pPr>
    <w:rPr>
      <w:rFonts w:ascii="Arial" w:eastAsia="Arial" w:hAnsi="Arial" w:cs="Times New Roman"/>
    </w:rPr>
  </w:style>
  <w:style w:type="character" w:customStyle="1" w:styleId="a-I-EU-BulletpointsCar">
    <w:name w:val="a-I-EU-Bullet points Car"/>
    <w:basedOn w:val="DefaultParagraphFont"/>
    <w:link w:val="a-I-EU-Bulletpoints"/>
    <w:rsid w:val="00530054"/>
    <w:rPr>
      <w:rFonts w:ascii="Arial" w:eastAsia="Arial" w:hAnsi="Arial" w:cs="Times New Roman"/>
    </w:rPr>
  </w:style>
  <w:style w:type="paragraph" w:customStyle="1" w:styleId="SubtitleLevel1">
    <w:name w:val="Subtitle Level 1"/>
    <w:basedOn w:val="Normal"/>
    <w:qFormat/>
    <w:rsid w:val="00530054"/>
    <w:pPr>
      <w:spacing w:after="0"/>
    </w:pPr>
    <w:rPr>
      <w:b/>
      <w:color w:val="00A482"/>
      <w:sz w:val="32"/>
      <w:szCs w:val="32"/>
      <w:lang w:val="en-US"/>
    </w:rPr>
  </w:style>
  <w:style w:type="paragraph" w:styleId="FootnoteText">
    <w:name w:val="footnote text"/>
    <w:aliases w:val="ESPON Footnote Text,Fußnote"/>
    <w:basedOn w:val="Normal"/>
    <w:link w:val="FootnoteTextChar"/>
    <w:uiPriority w:val="99"/>
    <w:unhideWhenUsed/>
    <w:rsid w:val="00BB4B52"/>
    <w:pPr>
      <w:spacing w:after="0" w:line="240" w:lineRule="auto"/>
      <w:jc w:val="left"/>
    </w:pPr>
    <w:rPr>
      <w:i/>
      <w:sz w:val="18"/>
    </w:rPr>
  </w:style>
  <w:style w:type="character" w:customStyle="1" w:styleId="FootnoteTextChar">
    <w:name w:val="Footnote Text Char"/>
    <w:aliases w:val="ESPON Footnote Text Char,Fußnote Char"/>
    <w:basedOn w:val="DefaultParagraphFont"/>
    <w:link w:val="FootnoteText"/>
    <w:uiPriority w:val="99"/>
    <w:rsid w:val="00BB4B52"/>
    <w:rPr>
      <w:i/>
      <w:sz w:val="18"/>
    </w:rPr>
  </w:style>
  <w:style w:type="character" w:styleId="FootnoteReference">
    <w:name w:val="footnote reference"/>
    <w:aliases w:val="ESPON Footnote No,Footnote"/>
    <w:basedOn w:val="DefaultParagraphFont"/>
    <w:uiPriority w:val="99"/>
    <w:unhideWhenUsed/>
    <w:rsid w:val="00BB4B52"/>
    <w:rPr>
      <w:vertAlign w:val="superscript"/>
    </w:rPr>
  </w:style>
  <w:style w:type="character" w:styleId="UnresolvedMention">
    <w:name w:val="Unresolved Mention"/>
    <w:basedOn w:val="DefaultParagraphFont"/>
    <w:uiPriority w:val="99"/>
    <w:semiHidden/>
    <w:unhideWhenUsed/>
    <w:rsid w:val="00ED1E1A"/>
    <w:rPr>
      <w:color w:val="605E5C"/>
      <w:shd w:val="clear" w:color="auto" w:fill="E1DFDD"/>
    </w:rPr>
  </w:style>
  <w:style w:type="character" w:styleId="FollowedHyperlink">
    <w:name w:val="FollowedHyperlink"/>
    <w:basedOn w:val="DefaultParagraphFont"/>
    <w:uiPriority w:val="99"/>
    <w:semiHidden/>
    <w:unhideWhenUsed/>
    <w:rsid w:val="00ED1E1A"/>
    <w:rPr>
      <w:color w:val="000099" w:themeColor="followedHyperlink"/>
      <w:u w:val="single"/>
    </w:rPr>
  </w:style>
  <w:style w:type="paragraph" w:styleId="TOC1">
    <w:name w:val="toc 1"/>
    <w:basedOn w:val="Normal"/>
    <w:next w:val="Normal"/>
    <w:autoRedefine/>
    <w:uiPriority w:val="39"/>
    <w:unhideWhenUsed/>
    <w:rsid w:val="00BC447D"/>
    <w:pPr>
      <w:spacing w:before="360" w:after="360"/>
      <w:jc w:val="left"/>
    </w:pPr>
    <w:rPr>
      <w:rFonts w:cs="Arial (Body)"/>
      <w:b/>
      <w:bCs/>
      <w:sz w:val="28"/>
      <w:szCs w:val="22"/>
    </w:rPr>
  </w:style>
  <w:style w:type="paragraph" w:styleId="TOC2">
    <w:name w:val="toc 2"/>
    <w:basedOn w:val="Normal"/>
    <w:next w:val="Normal"/>
    <w:autoRedefine/>
    <w:uiPriority w:val="39"/>
    <w:unhideWhenUsed/>
    <w:rsid w:val="0011323A"/>
    <w:pPr>
      <w:spacing w:after="0"/>
      <w:jc w:val="left"/>
    </w:pPr>
    <w:rPr>
      <w:rFonts w:cs="Arial (Body)"/>
      <w:b/>
      <w:bCs/>
      <w:sz w:val="22"/>
      <w:szCs w:val="22"/>
    </w:rPr>
  </w:style>
  <w:style w:type="paragraph" w:styleId="TOC3">
    <w:name w:val="toc 3"/>
    <w:basedOn w:val="Normal"/>
    <w:next w:val="Normal"/>
    <w:autoRedefine/>
    <w:uiPriority w:val="39"/>
    <w:unhideWhenUsed/>
    <w:rsid w:val="0011323A"/>
    <w:pPr>
      <w:spacing w:after="0"/>
      <w:jc w:val="left"/>
    </w:pPr>
    <w:rPr>
      <w:rFonts w:cs="Arial (Body)"/>
      <w:sz w:val="22"/>
      <w:szCs w:val="22"/>
    </w:rPr>
  </w:style>
  <w:style w:type="paragraph" w:styleId="TOC4">
    <w:name w:val="toc 4"/>
    <w:basedOn w:val="Normal"/>
    <w:next w:val="Normal"/>
    <w:autoRedefine/>
    <w:uiPriority w:val="39"/>
    <w:semiHidden/>
    <w:unhideWhenUsed/>
    <w:rsid w:val="00007515"/>
    <w:pPr>
      <w:spacing w:after="0"/>
      <w:jc w:val="left"/>
    </w:pPr>
    <w:rPr>
      <w:rFonts w:cstheme="minorHAnsi"/>
      <w:sz w:val="22"/>
      <w:szCs w:val="22"/>
    </w:rPr>
  </w:style>
  <w:style w:type="paragraph" w:styleId="TOC5">
    <w:name w:val="toc 5"/>
    <w:basedOn w:val="Normal"/>
    <w:next w:val="Normal"/>
    <w:autoRedefine/>
    <w:uiPriority w:val="39"/>
    <w:semiHidden/>
    <w:unhideWhenUsed/>
    <w:rsid w:val="00007515"/>
    <w:pPr>
      <w:spacing w:after="0"/>
      <w:jc w:val="left"/>
    </w:pPr>
    <w:rPr>
      <w:rFonts w:cstheme="minorHAnsi"/>
      <w:sz w:val="22"/>
      <w:szCs w:val="22"/>
    </w:rPr>
  </w:style>
  <w:style w:type="paragraph" w:styleId="TOC6">
    <w:name w:val="toc 6"/>
    <w:basedOn w:val="Normal"/>
    <w:next w:val="Normal"/>
    <w:autoRedefine/>
    <w:uiPriority w:val="39"/>
    <w:semiHidden/>
    <w:unhideWhenUsed/>
    <w:rsid w:val="00007515"/>
    <w:pPr>
      <w:spacing w:after="0"/>
      <w:jc w:val="left"/>
    </w:pPr>
    <w:rPr>
      <w:rFonts w:cstheme="minorHAnsi"/>
      <w:sz w:val="22"/>
      <w:szCs w:val="22"/>
    </w:rPr>
  </w:style>
  <w:style w:type="paragraph" w:styleId="TOC7">
    <w:name w:val="toc 7"/>
    <w:basedOn w:val="Normal"/>
    <w:next w:val="Normal"/>
    <w:autoRedefine/>
    <w:uiPriority w:val="39"/>
    <w:semiHidden/>
    <w:unhideWhenUsed/>
    <w:rsid w:val="00007515"/>
    <w:pPr>
      <w:spacing w:after="0"/>
      <w:jc w:val="left"/>
    </w:pPr>
    <w:rPr>
      <w:rFonts w:cstheme="minorHAnsi"/>
      <w:sz w:val="22"/>
      <w:szCs w:val="22"/>
    </w:rPr>
  </w:style>
  <w:style w:type="paragraph" w:styleId="TOC8">
    <w:name w:val="toc 8"/>
    <w:basedOn w:val="Normal"/>
    <w:next w:val="Normal"/>
    <w:autoRedefine/>
    <w:uiPriority w:val="39"/>
    <w:semiHidden/>
    <w:unhideWhenUsed/>
    <w:rsid w:val="00007515"/>
    <w:pPr>
      <w:spacing w:after="0"/>
      <w:jc w:val="left"/>
    </w:pPr>
    <w:rPr>
      <w:rFonts w:cstheme="minorHAnsi"/>
      <w:sz w:val="22"/>
      <w:szCs w:val="22"/>
    </w:rPr>
  </w:style>
  <w:style w:type="paragraph" w:styleId="TOC9">
    <w:name w:val="toc 9"/>
    <w:basedOn w:val="Normal"/>
    <w:next w:val="Normal"/>
    <w:autoRedefine/>
    <w:uiPriority w:val="39"/>
    <w:semiHidden/>
    <w:unhideWhenUsed/>
    <w:rsid w:val="00007515"/>
    <w:pPr>
      <w:spacing w:after="0"/>
      <w:jc w:val="left"/>
    </w:pPr>
    <w:rPr>
      <w:rFonts w:cstheme="minorHAnsi"/>
      <w:sz w:val="22"/>
      <w:szCs w:val="22"/>
    </w:rPr>
  </w:style>
  <w:style w:type="paragraph" w:styleId="BodyText">
    <w:name w:val="Body Text"/>
    <w:basedOn w:val="Normal"/>
    <w:link w:val="BodyTextChar"/>
    <w:rsid w:val="00E54A37"/>
    <w:pPr>
      <w:spacing w:after="120" w:line="240" w:lineRule="auto"/>
      <w:jc w:val="left"/>
    </w:pPr>
    <w:rPr>
      <w:rFonts w:ascii="Times New Roman" w:eastAsia="Times New Roman" w:hAnsi="Times New Roman" w:cs="Times New Roman"/>
      <w:sz w:val="24"/>
      <w:szCs w:val="24"/>
      <w:lang w:val="en-GB" w:eastAsia="fr-FR"/>
    </w:rPr>
  </w:style>
  <w:style w:type="character" w:customStyle="1" w:styleId="BodyTextChar">
    <w:name w:val="Body Text Char"/>
    <w:basedOn w:val="DefaultParagraphFont"/>
    <w:link w:val="BodyText"/>
    <w:rsid w:val="00E54A37"/>
    <w:rPr>
      <w:rFonts w:ascii="Times New Roman" w:eastAsia="Times New Roman" w:hAnsi="Times New Roman" w:cs="Times New Roman"/>
      <w:sz w:val="24"/>
      <w:szCs w:val="24"/>
      <w:lang w:val="en-GB" w:eastAsia="fr-FR"/>
    </w:rPr>
  </w:style>
  <w:style w:type="paragraph" w:customStyle="1" w:styleId="a-I-EU-Title">
    <w:name w:val="a-I-EU-Title"/>
    <w:link w:val="a-I-EU-TitleCar"/>
    <w:qFormat/>
    <w:rsid w:val="00020D65"/>
    <w:pPr>
      <w:jc w:val="left"/>
    </w:pPr>
    <w:rPr>
      <w:rFonts w:asciiTheme="majorHAnsi" w:eastAsiaTheme="majorEastAsia" w:hAnsiTheme="majorHAnsi" w:cstheme="majorBidi"/>
      <w:b/>
      <w:bCs/>
      <w:color w:val="404040" w:themeColor="text1" w:themeTint="BF"/>
      <w:spacing w:val="5"/>
      <w:sz w:val="36"/>
      <w:szCs w:val="36"/>
      <w:lang w:val="en-GB"/>
    </w:rPr>
  </w:style>
  <w:style w:type="character" w:customStyle="1" w:styleId="a-I-EU-TitleCar">
    <w:name w:val="a-I-EU-Title Car"/>
    <w:basedOn w:val="Heading1Char"/>
    <w:link w:val="a-I-EU-Title"/>
    <w:rsid w:val="00020D65"/>
    <w:rPr>
      <w:rFonts w:asciiTheme="majorHAnsi" w:eastAsiaTheme="majorEastAsia" w:hAnsiTheme="majorHAnsi" w:cstheme="majorBidi"/>
      <w:b/>
      <w:bCs/>
      <w:color w:val="404040" w:themeColor="text1" w:themeTint="BF"/>
      <w:spacing w:val="5"/>
      <w:sz w:val="36"/>
      <w:szCs w:val="36"/>
      <w:lang w:val="en-GB"/>
    </w:rPr>
  </w:style>
  <w:style w:type="table" w:customStyle="1" w:styleId="IE-TABgrey1">
    <w:name w:val="IE-TAB grey1"/>
    <w:basedOn w:val="ColorfulList"/>
    <w:uiPriority w:val="99"/>
    <w:rsid w:val="00020D65"/>
    <w:pPr>
      <w:jc w:val="left"/>
    </w:pPr>
    <w:rPr>
      <w:rFonts w:eastAsiaTheme="minorHAnsi"/>
      <w:lang w:val="en-GB" w:eastAsia="en-GB"/>
    </w:rPr>
    <w:tblPr/>
    <w:tcPr>
      <w:shd w:val="clear" w:color="auto" w:fill="E6E6E6" w:themeFill="text1" w:themeFillTint="19"/>
      <w:tcMar>
        <w:top w:w="113" w:type="dxa"/>
      </w:tcMar>
      <w:vAlign w:val="center"/>
    </w:tcPr>
    <w:tblStylePr w:type="firstRow">
      <w:pPr>
        <w:wordWrap/>
      </w:pPr>
      <w:rPr>
        <w:rFonts w:asciiTheme="majorHAnsi" w:hAnsiTheme="majorHAnsi"/>
        <w:b/>
        <w:bCs/>
        <w:color w:val="FFFFFF" w:themeColor="background1"/>
        <w:sz w:val="20"/>
      </w:rPr>
      <w:tblPr/>
      <w:tcPr>
        <w:tcBorders>
          <w:bottom w:val="single" w:sz="12" w:space="0" w:color="FFFFFF" w:themeColor="background1"/>
        </w:tcBorders>
        <w:shd w:val="clear" w:color="auto" w:fill="7F7F7F" w:themeFill="text1" w:themeFillTint="80"/>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ListParagraphChar">
    <w:name w:val="List Paragraph Char"/>
    <w:aliases w:val="Dot pt Char,List Paragraph Char Char Char Char,Indicator Text Char,List Paragraph1 Char,Bullet Style Char,Numbered Para 1 Char,List Paragraph12 Char,Bullet Points Char,MAIN CONTENT Char,F5 List Paragraph Char,Normal numbered Char"/>
    <w:link w:val="ListParagraph"/>
    <w:uiPriority w:val="34"/>
    <w:qFormat/>
    <w:locked/>
    <w:rsid w:val="00020D65"/>
  </w:style>
  <w:style w:type="table" w:styleId="ColorfulList">
    <w:name w:val="Colorful List"/>
    <w:basedOn w:val="TableNormal"/>
    <w:uiPriority w:val="72"/>
    <w:semiHidden/>
    <w:unhideWhenUsed/>
    <w:rsid w:val="00020D6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9B1B" w:themeFill="accent2" w:themeFillShade="CC"/>
      </w:tcPr>
    </w:tblStylePr>
    <w:tblStylePr w:type="lastRow">
      <w:rPr>
        <w:b/>
        <w:bCs/>
        <w:color w:val="799B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TitleDocument">
    <w:name w:val="Title Document"/>
    <w:link w:val="TitleDocumentCar"/>
    <w:qFormat/>
    <w:rsid w:val="003E2A00"/>
    <w:pPr>
      <w:jc w:val="left"/>
    </w:pPr>
    <w:rPr>
      <w:rFonts w:asciiTheme="majorHAnsi" w:eastAsiaTheme="majorEastAsia" w:hAnsiTheme="majorHAnsi" w:cstheme="majorBidi"/>
      <w:b/>
      <w:bCs/>
      <w:color w:val="404040" w:themeColor="text1" w:themeTint="BF"/>
      <w:spacing w:val="5"/>
      <w:sz w:val="36"/>
      <w:szCs w:val="36"/>
      <w:lang w:val="en-GB"/>
    </w:rPr>
  </w:style>
  <w:style w:type="character" w:customStyle="1" w:styleId="TitleDocumentCar">
    <w:name w:val="Title Document Car"/>
    <w:basedOn w:val="Heading1Char"/>
    <w:link w:val="TitleDocument"/>
    <w:rsid w:val="003E2A00"/>
    <w:rPr>
      <w:rFonts w:asciiTheme="majorHAnsi" w:eastAsiaTheme="majorEastAsia" w:hAnsiTheme="majorHAnsi" w:cstheme="majorBidi"/>
      <w:b/>
      <w:bCs/>
      <w:color w:val="404040" w:themeColor="text1" w:themeTint="BF"/>
      <w:spacing w:val="5"/>
      <w:sz w:val="36"/>
      <w:szCs w:val="36"/>
      <w:lang w:val="en-GB"/>
    </w:rPr>
  </w:style>
  <w:style w:type="character" w:styleId="CommentReference">
    <w:name w:val="annotation reference"/>
    <w:basedOn w:val="DefaultParagraphFont"/>
    <w:uiPriority w:val="99"/>
    <w:semiHidden/>
    <w:unhideWhenUsed/>
    <w:rsid w:val="002D274B"/>
    <w:rPr>
      <w:sz w:val="16"/>
      <w:szCs w:val="16"/>
    </w:rPr>
  </w:style>
  <w:style w:type="paragraph" w:styleId="CommentText">
    <w:name w:val="annotation text"/>
    <w:basedOn w:val="Normal"/>
    <w:link w:val="CommentTextChar"/>
    <w:uiPriority w:val="99"/>
    <w:unhideWhenUsed/>
    <w:rsid w:val="002D274B"/>
    <w:pPr>
      <w:spacing w:line="240" w:lineRule="auto"/>
    </w:pPr>
  </w:style>
  <w:style w:type="character" w:customStyle="1" w:styleId="CommentTextChar">
    <w:name w:val="Comment Text Char"/>
    <w:basedOn w:val="DefaultParagraphFont"/>
    <w:link w:val="CommentText"/>
    <w:uiPriority w:val="99"/>
    <w:rsid w:val="002D274B"/>
  </w:style>
  <w:style w:type="paragraph" w:styleId="CommentSubject">
    <w:name w:val="annotation subject"/>
    <w:basedOn w:val="CommentText"/>
    <w:next w:val="CommentText"/>
    <w:link w:val="CommentSubjectChar"/>
    <w:uiPriority w:val="99"/>
    <w:semiHidden/>
    <w:unhideWhenUsed/>
    <w:rsid w:val="002D274B"/>
    <w:rPr>
      <w:b/>
      <w:bCs/>
    </w:rPr>
  </w:style>
  <w:style w:type="character" w:customStyle="1" w:styleId="CommentSubjectChar">
    <w:name w:val="Comment Subject Char"/>
    <w:basedOn w:val="CommentTextChar"/>
    <w:link w:val="CommentSubject"/>
    <w:uiPriority w:val="99"/>
    <w:semiHidden/>
    <w:rsid w:val="002D27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10372">
      <w:bodyDiv w:val="1"/>
      <w:marLeft w:val="0"/>
      <w:marRight w:val="0"/>
      <w:marTop w:val="0"/>
      <w:marBottom w:val="0"/>
      <w:divBdr>
        <w:top w:val="none" w:sz="0" w:space="0" w:color="auto"/>
        <w:left w:val="none" w:sz="0" w:space="0" w:color="auto"/>
        <w:bottom w:val="none" w:sz="0" w:space="0" w:color="auto"/>
        <w:right w:val="none" w:sz="0" w:space="0" w:color="auto"/>
      </w:divBdr>
    </w:div>
    <w:div w:id="1511800714">
      <w:bodyDiv w:val="1"/>
      <w:marLeft w:val="0"/>
      <w:marRight w:val="0"/>
      <w:marTop w:val="0"/>
      <w:marBottom w:val="0"/>
      <w:divBdr>
        <w:top w:val="none" w:sz="0" w:space="0" w:color="auto"/>
        <w:left w:val="none" w:sz="0" w:space="0" w:color="auto"/>
        <w:bottom w:val="none" w:sz="0" w:space="0" w:color="auto"/>
        <w:right w:val="none" w:sz="0" w:space="0" w:color="auto"/>
      </w:divBdr>
    </w:div>
    <w:div w:id="19215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regeurope.eu/policylearning/good-practices/" TargetMode="External"/><Relationship Id="rId18" Type="http://schemas.openxmlformats.org/officeDocument/2006/relationships/hyperlink" Target="http://www.interregeurope.e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nterregeurope.eu/discover-projects/" TargetMode="External"/><Relationship Id="rId17" Type="http://schemas.openxmlformats.org/officeDocument/2006/relationships/hyperlink" Target="https://portal.interregeurope.eu/login" TargetMode="External"/><Relationship Id="rId2" Type="http://schemas.openxmlformats.org/officeDocument/2006/relationships/customXml" Target="../customXml/item2.xml"/><Relationship Id="rId16" Type="http://schemas.openxmlformats.org/officeDocument/2006/relationships/hyperlink" Target="https://portal.interregeurope.eu/log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regional_policy/what/future/index_en.cf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interregeurope.eu/logi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terregeurope.eu"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en/policy/themes/outermost-reg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organ\AppData\Local\Temp\Temp1_20150814_word-templates%20letter%20and%20memo.zip\20150814_word-templates%20letter%20and%20memo\Interreg_Europe_letter_20150814_FINAL.dotx" TargetMode="External"/></Relationships>
</file>

<file path=word/theme/theme1.xml><?xml version="1.0" encoding="utf-8"?>
<a:theme xmlns:a="http://schemas.openxmlformats.org/drawingml/2006/main" name="Theme2">
  <a:themeElements>
    <a:clrScheme name="Interreg Europe">
      <a:dk1>
        <a:sysClr val="windowText" lastClr="000000"/>
      </a:dk1>
      <a:lt1>
        <a:sysClr val="window" lastClr="FFFFFF"/>
      </a:lt1>
      <a:dk2>
        <a:srgbClr val="1F497D"/>
      </a:dk2>
      <a:lt2>
        <a:srgbClr val="EEECE1"/>
      </a:lt2>
      <a:accent1>
        <a:srgbClr val="FDC609"/>
      </a:accent1>
      <a:accent2>
        <a:srgbClr val="98C222"/>
      </a:accent2>
      <a:accent3>
        <a:srgbClr val="159960"/>
      </a:accent3>
      <a:accent4>
        <a:srgbClr val="21B7CF"/>
      </a:accent4>
      <a:accent5>
        <a:srgbClr val="000099"/>
      </a:accent5>
      <a:accent6>
        <a:srgbClr val="FFCC00"/>
      </a:accent6>
      <a:hlink>
        <a:srgbClr val="363438"/>
      </a:hlink>
      <a:folHlink>
        <a:srgbClr val="0000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Theme2" id="{AA675FEE-8C17-0D4B-BC15-8B4269CA7EFC}" vid="{A4A74D38-EAB7-6849-BA87-0FA4C5DE34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5" ma:contentTypeDescription="Create a new document." ma:contentTypeScope="" ma:versionID="f1046b4ab2ef59d1009adc3a6f44c930">
  <xsd:schema xmlns:xsd="http://www.w3.org/2001/XMLSchema" xmlns:xs="http://www.w3.org/2001/XMLSchema" xmlns:p="http://schemas.microsoft.com/office/2006/metadata/properties" xmlns:ns2="fe376a51-17b9-4c55-a5b6-8ffc5745b8e3" xmlns:ns3="b69d6eb0-2036-4abd-b4b9-b0b27f619093" xmlns:ns4="bcc3595b-d9fa-431b-a480-d19cb01515aa" targetNamespace="http://schemas.microsoft.com/office/2006/metadata/properties" ma:root="true" ma:fieldsID="6482114925d0ce82037bdb8aeadd1f0c" ns2:_="" ns3:_="" ns4:_="">
    <xsd:import namespace="fe376a51-17b9-4c55-a5b6-8ffc5745b8e3"/>
    <xsd:import namespace="b69d6eb0-2036-4abd-b4b9-b0b27f619093"/>
    <xsd:import namespace="bcc3595b-d9fa-431b-a480-d19cb01515a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d59d95-237c-434b-8cac-eab795e7eb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c3595b-d9fa-431b-a480-d19cb01515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c6e567f-7fae-499a-9b2b-1b649ba2b001}" ma:internalName="TaxCatchAll" ma:showField="CatchAllData" ma:web="bcc3595b-d9fa-431b-a480-d19cb01515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cc3595b-d9fa-431b-a480-d19cb01515aa" xsi:nil="true"/>
    <lcf76f155ced4ddcb4097134ff3c332f xmlns="fe376a51-17b9-4c55-a5b6-8ffc5745b8e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8FC68-2125-714E-831F-E4131FEDA9C8}">
  <ds:schemaRefs>
    <ds:schemaRef ds:uri="http://schemas.openxmlformats.org/officeDocument/2006/bibliography"/>
  </ds:schemaRefs>
</ds:datastoreItem>
</file>

<file path=customXml/itemProps2.xml><?xml version="1.0" encoding="utf-8"?>
<ds:datastoreItem xmlns:ds="http://schemas.openxmlformats.org/officeDocument/2006/customXml" ds:itemID="{78D71BCD-32EC-4896-B8E2-861BF75B9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76a51-17b9-4c55-a5b6-8ffc5745b8e3"/>
    <ds:schemaRef ds:uri="b69d6eb0-2036-4abd-b4b9-b0b27f619093"/>
    <ds:schemaRef ds:uri="bcc3595b-d9fa-431b-a480-d19cb015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62306-41E2-42CE-9076-584F0B782375}">
  <ds:schemaRefs>
    <ds:schemaRef ds:uri="http://schemas.microsoft.com/office/2006/metadata/properties"/>
    <ds:schemaRef ds:uri="http://schemas.microsoft.com/office/infopath/2007/PartnerControls"/>
    <ds:schemaRef ds:uri="bcc3595b-d9fa-431b-a480-d19cb01515aa"/>
    <ds:schemaRef ds:uri="fe376a51-17b9-4c55-a5b6-8ffc5745b8e3"/>
  </ds:schemaRefs>
</ds:datastoreItem>
</file>

<file path=customXml/itemProps4.xml><?xml version="1.0" encoding="utf-8"?>
<ds:datastoreItem xmlns:ds="http://schemas.openxmlformats.org/officeDocument/2006/customXml" ds:itemID="{33687B73-E93D-4BD5-B857-6ECCF12E6A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Interreg_Europe_letter_20150814_FINAL</Template>
  <TotalTime>24</TotalTime>
  <Pages>8</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Letterhead</vt:lpstr>
    </vt:vector>
  </TitlesOfParts>
  <Manager/>
  <Company/>
  <LinksUpToDate>false</LinksUpToDate>
  <CharactersWithSpaces>20467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Daniel Kurth</dc:creator>
  <cp:keywords/>
  <dc:description/>
  <cp:lastModifiedBy>Nicolas Singer</cp:lastModifiedBy>
  <cp:revision>30</cp:revision>
  <cp:lastPrinted>2022-09-13T22:17:00Z</cp:lastPrinted>
  <dcterms:created xsi:type="dcterms:W3CDTF">2022-12-08T00:04:00Z</dcterms:created>
  <dcterms:modified xsi:type="dcterms:W3CDTF">2022-12-20T10:45:00Z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y fmtid="{D5CDD505-2E9C-101B-9397-08002B2CF9AE}" pid="3" name="MediaServiceImageTags">
    <vt:lpwstr/>
  </property>
</Properties>
</file>