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3D12" w14:textId="314C8439" w:rsidR="00A96B16" w:rsidRDefault="00A96B16" w:rsidP="002F1719">
      <w:pPr>
        <w:pStyle w:val="Heading1"/>
      </w:pPr>
      <w:r w:rsidRPr="002F1719">
        <w:t>Tłumaczenie robocze na język polski projektu programu Interreg Południowy Bałtyk 2021-2027</w:t>
      </w:r>
    </w:p>
    <w:p w14:paraId="10B8D2AC" w14:textId="08113F72"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Kod CCI [15 znaków] </w:t>
      </w:r>
    </w:p>
    <w:p w14:paraId="1D76C670"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Tytuł</w:t>
      </w:r>
      <w:r w:rsidRPr="002F1719">
        <w:rPr>
          <w:rFonts w:asciiTheme="minorHAnsi" w:hAnsiTheme="minorHAnsi" w:cstheme="minorHAnsi"/>
        </w:rPr>
        <w:tab/>
        <w:t xml:space="preserve">[255] Interreg Południowy Bałtyk </w:t>
      </w:r>
    </w:p>
    <w:p w14:paraId="70A778C6" w14:textId="4C2BCA90"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Wersja </w:t>
      </w:r>
    </w:p>
    <w:p w14:paraId="63D125B6" w14:textId="42B1FDF2"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Pierwszy rok</w:t>
      </w:r>
      <w:r>
        <w:rPr>
          <w:rFonts w:asciiTheme="minorHAnsi" w:hAnsiTheme="minorHAnsi" w:cstheme="minorHAnsi"/>
        </w:rPr>
        <w:t xml:space="preserve"> </w:t>
      </w:r>
      <w:r w:rsidRPr="002F1719">
        <w:rPr>
          <w:rFonts w:asciiTheme="minorHAnsi" w:hAnsiTheme="minorHAnsi" w:cstheme="minorHAnsi"/>
        </w:rPr>
        <w:t>[4] 2021</w:t>
      </w:r>
    </w:p>
    <w:p w14:paraId="69A0929A"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Ostatni rok</w:t>
      </w:r>
      <w:r w:rsidRPr="002F1719">
        <w:rPr>
          <w:rFonts w:asciiTheme="minorHAnsi" w:hAnsiTheme="minorHAnsi" w:cstheme="minorHAnsi"/>
        </w:rPr>
        <w:tab/>
        <w:t>[4] 2027</w:t>
      </w:r>
    </w:p>
    <w:p w14:paraId="502515D4" w14:textId="6642D701"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Kwalifikowalny od </w:t>
      </w:r>
    </w:p>
    <w:p w14:paraId="39C357D5" w14:textId="40C1F06E"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Kwalifikowalny do</w:t>
      </w:r>
    </w:p>
    <w:p w14:paraId="160D5CD9" w14:textId="6C33C6D5"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Nr decyzji Komisji</w:t>
      </w:r>
    </w:p>
    <w:p w14:paraId="19AFBBD7" w14:textId="0A2E5D48"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Data decyzji Komisji</w:t>
      </w:r>
    </w:p>
    <w:p w14:paraId="05C5D3C4" w14:textId="273FF41C"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Nr decyzji zmieniającej program</w:t>
      </w:r>
      <w:r>
        <w:rPr>
          <w:rFonts w:asciiTheme="minorHAnsi" w:hAnsiTheme="minorHAnsi" w:cstheme="minorHAnsi"/>
        </w:rPr>
        <w:t xml:space="preserve"> </w:t>
      </w:r>
      <w:r w:rsidRPr="002F1719">
        <w:rPr>
          <w:rFonts w:asciiTheme="minorHAnsi" w:hAnsiTheme="minorHAnsi" w:cstheme="minorHAnsi"/>
        </w:rPr>
        <w:t xml:space="preserve">[20] </w:t>
      </w:r>
    </w:p>
    <w:p w14:paraId="1159C393" w14:textId="5B84A3B9"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Data wejścia w życie decyzji zmieniającej program</w:t>
      </w:r>
      <w:r w:rsidRPr="002F1719">
        <w:rPr>
          <w:rFonts w:asciiTheme="minorHAnsi" w:hAnsiTheme="minorHAnsi" w:cstheme="minorHAnsi"/>
        </w:rPr>
        <w:tab/>
      </w:r>
    </w:p>
    <w:p w14:paraId="62DCA267" w14:textId="77777777" w:rsidR="002F1719" w:rsidRDefault="002F1719" w:rsidP="002F1719">
      <w:pPr>
        <w:spacing w:after="120" w:line="362" w:lineRule="auto"/>
        <w:ind w:left="634" w:right="792"/>
        <w:rPr>
          <w:rFonts w:asciiTheme="minorHAnsi" w:hAnsiTheme="minorHAnsi" w:cstheme="minorHAnsi"/>
          <w:lang w:val="en-US"/>
        </w:rPr>
      </w:pPr>
      <w:proofErr w:type="spellStart"/>
      <w:r w:rsidRPr="002F1719">
        <w:rPr>
          <w:rFonts w:asciiTheme="minorHAnsi" w:hAnsiTheme="minorHAnsi" w:cstheme="minorHAnsi"/>
          <w:lang w:val="en-US"/>
        </w:rPr>
        <w:t>Regiony</w:t>
      </w:r>
      <w:proofErr w:type="spellEnd"/>
      <w:r w:rsidRPr="002F1719">
        <w:rPr>
          <w:rFonts w:asciiTheme="minorHAnsi" w:hAnsiTheme="minorHAnsi" w:cstheme="minorHAnsi"/>
          <w:lang w:val="en-US"/>
        </w:rPr>
        <w:t xml:space="preserve"> NUTS </w:t>
      </w:r>
      <w:proofErr w:type="spellStart"/>
      <w:r w:rsidRPr="002F1719">
        <w:rPr>
          <w:rFonts w:asciiTheme="minorHAnsi" w:hAnsiTheme="minorHAnsi" w:cstheme="minorHAnsi"/>
          <w:lang w:val="en-US"/>
        </w:rPr>
        <w:t>objęte</w:t>
      </w:r>
      <w:proofErr w:type="spellEnd"/>
      <w:r w:rsidRPr="002F1719">
        <w:rPr>
          <w:rFonts w:asciiTheme="minorHAnsi" w:hAnsiTheme="minorHAnsi" w:cstheme="minorHAnsi"/>
          <w:lang w:val="en-US"/>
        </w:rPr>
        <w:t xml:space="preserve"> </w:t>
      </w:r>
      <w:proofErr w:type="spellStart"/>
      <w:r w:rsidRPr="002F1719">
        <w:rPr>
          <w:rFonts w:asciiTheme="minorHAnsi" w:hAnsiTheme="minorHAnsi" w:cstheme="minorHAnsi"/>
          <w:lang w:val="en-US"/>
        </w:rPr>
        <w:t>programem</w:t>
      </w:r>
      <w:proofErr w:type="spellEnd"/>
    </w:p>
    <w:p w14:paraId="3BB088D0" w14:textId="63162029"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DE80N </w:t>
      </w:r>
      <w:proofErr w:type="spellStart"/>
      <w:r w:rsidRPr="002F1719">
        <w:rPr>
          <w:rFonts w:asciiTheme="minorHAnsi" w:hAnsiTheme="minorHAnsi" w:cstheme="minorHAnsi"/>
          <w:lang w:val="en-US"/>
        </w:rPr>
        <w:t>Vorpommern</w:t>
      </w:r>
      <w:proofErr w:type="spellEnd"/>
      <w:r w:rsidRPr="002F1719">
        <w:rPr>
          <w:rFonts w:asciiTheme="minorHAnsi" w:hAnsiTheme="minorHAnsi" w:cstheme="minorHAnsi"/>
          <w:lang w:val="en-US"/>
        </w:rPr>
        <w:t xml:space="preserve">-Greifswald </w:t>
      </w:r>
    </w:p>
    <w:p w14:paraId="7E7D660E"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DE803 Rostock, </w:t>
      </w:r>
      <w:proofErr w:type="spellStart"/>
      <w:r w:rsidRPr="002F1719">
        <w:rPr>
          <w:rFonts w:asciiTheme="minorHAnsi" w:hAnsiTheme="minorHAnsi" w:cstheme="minorHAnsi"/>
          <w:lang w:val="en-US"/>
        </w:rPr>
        <w:t>Kreisfreie</w:t>
      </w:r>
      <w:proofErr w:type="spellEnd"/>
      <w:r w:rsidRPr="002F1719">
        <w:rPr>
          <w:rFonts w:asciiTheme="minorHAnsi" w:hAnsiTheme="minorHAnsi" w:cstheme="minorHAnsi"/>
          <w:lang w:val="en-US"/>
        </w:rPr>
        <w:t xml:space="preserve"> Stadt </w:t>
      </w:r>
    </w:p>
    <w:p w14:paraId="2BC126C4"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DE80M </w:t>
      </w:r>
      <w:proofErr w:type="spellStart"/>
      <w:r w:rsidRPr="002F1719">
        <w:rPr>
          <w:rFonts w:asciiTheme="minorHAnsi" w:hAnsiTheme="minorHAnsi" w:cstheme="minorHAnsi"/>
          <w:lang w:val="en-US"/>
        </w:rPr>
        <w:t>Nordwestmecklenburg</w:t>
      </w:r>
      <w:proofErr w:type="spellEnd"/>
      <w:r w:rsidRPr="002F1719">
        <w:rPr>
          <w:rFonts w:asciiTheme="minorHAnsi" w:hAnsiTheme="minorHAnsi" w:cstheme="minorHAnsi"/>
          <w:lang w:val="en-US"/>
        </w:rPr>
        <w:t xml:space="preserve"> </w:t>
      </w:r>
    </w:p>
    <w:p w14:paraId="2BF8F476"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DE80L </w:t>
      </w:r>
      <w:proofErr w:type="spellStart"/>
      <w:r w:rsidRPr="002F1719">
        <w:rPr>
          <w:rFonts w:asciiTheme="minorHAnsi" w:hAnsiTheme="minorHAnsi" w:cstheme="minorHAnsi"/>
          <w:lang w:val="en-US"/>
        </w:rPr>
        <w:t>Vorpommern-Rügen</w:t>
      </w:r>
      <w:proofErr w:type="spellEnd"/>
      <w:r w:rsidRPr="002F1719">
        <w:rPr>
          <w:rFonts w:asciiTheme="minorHAnsi" w:hAnsiTheme="minorHAnsi" w:cstheme="minorHAnsi"/>
          <w:lang w:val="en-US"/>
        </w:rPr>
        <w:t xml:space="preserve"> </w:t>
      </w:r>
    </w:p>
    <w:p w14:paraId="08C722BF"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DE80K </w:t>
      </w:r>
      <w:proofErr w:type="spellStart"/>
      <w:r w:rsidRPr="002F1719">
        <w:rPr>
          <w:rFonts w:asciiTheme="minorHAnsi" w:hAnsiTheme="minorHAnsi" w:cstheme="minorHAnsi"/>
          <w:lang w:val="en-US"/>
        </w:rPr>
        <w:t>Lankreis</w:t>
      </w:r>
      <w:proofErr w:type="spellEnd"/>
      <w:r w:rsidRPr="002F1719">
        <w:rPr>
          <w:rFonts w:asciiTheme="minorHAnsi" w:hAnsiTheme="minorHAnsi" w:cstheme="minorHAnsi"/>
          <w:lang w:val="en-US"/>
        </w:rPr>
        <w:t xml:space="preserve"> Rostock </w:t>
      </w:r>
    </w:p>
    <w:p w14:paraId="5A8C9EA0"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DK014 Bornholm </w:t>
      </w:r>
    </w:p>
    <w:p w14:paraId="5FAE4487"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DK021 </w:t>
      </w:r>
      <w:proofErr w:type="spellStart"/>
      <w:r w:rsidRPr="002F1719">
        <w:rPr>
          <w:rFonts w:asciiTheme="minorHAnsi" w:hAnsiTheme="minorHAnsi" w:cstheme="minorHAnsi"/>
          <w:lang w:val="en-US"/>
        </w:rPr>
        <w:t>Østsjælland</w:t>
      </w:r>
      <w:proofErr w:type="spellEnd"/>
      <w:r w:rsidRPr="002F1719">
        <w:rPr>
          <w:rFonts w:asciiTheme="minorHAnsi" w:hAnsiTheme="minorHAnsi" w:cstheme="minorHAnsi"/>
          <w:lang w:val="en-US"/>
        </w:rPr>
        <w:t xml:space="preserve"> </w:t>
      </w:r>
    </w:p>
    <w:p w14:paraId="3B87D82B"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DK022 Vest- </w:t>
      </w:r>
      <w:proofErr w:type="spellStart"/>
      <w:r w:rsidRPr="002F1719">
        <w:rPr>
          <w:rFonts w:asciiTheme="minorHAnsi" w:hAnsiTheme="minorHAnsi" w:cstheme="minorHAnsi"/>
          <w:lang w:val="en-US"/>
        </w:rPr>
        <w:t>og</w:t>
      </w:r>
      <w:proofErr w:type="spellEnd"/>
      <w:r w:rsidRPr="002F1719">
        <w:rPr>
          <w:rFonts w:asciiTheme="minorHAnsi" w:hAnsiTheme="minorHAnsi" w:cstheme="minorHAnsi"/>
          <w:lang w:val="en-US"/>
        </w:rPr>
        <w:t xml:space="preserve"> </w:t>
      </w:r>
      <w:proofErr w:type="spellStart"/>
      <w:r w:rsidRPr="002F1719">
        <w:rPr>
          <w:rFonts w:asciiTheme="minorHAnsi" w:hAnsiTheme="minorHAnsi" w:cstheme="minorHAnsi"/>
          <w:lang w:val="en-US"/>
        </w:rPr>
        <w:t>Sydsjælland</w:t>
      </w:r>
      <w:proofErr w:type="spellEnd"/>
      <w:r w:rsidRPr="002F1719">
        <w:rPr>
          <w:rFonts w:asciiTheme="minorHAnsi" w:hAnsiTheme="minorHAnsi" w:cstheme="minorHAnsi"/>
          <w:lang w:val="en-US"/>
        </w:rPr>
        <w:t xml:space="preserve"> </w:t>
      </w:r>
    </w:p>
    <w:p w14:paraId="657CBD64"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LT023 </w:t>
      </w:r>
      <w:proofErr w:type="spellStart"/>
      <w:r w:rsidRPr="002F1719">
        <w:rPr>
          <w:rFonts w:asciiTheme="minorHAnsi" w:hAnsiTheme="minorHAnsi" w:cstheme="minorHAnsi"/>
          <w:lang w:val="en-US"/>
        </w:rPr>
        <w:t>Klaipėdos</w:t>
      </w:r>
      <w:proofErr w:type="spellEnd"/>
      <w:r w:rsidRPr="002F1719">
        <w:rPr>
          <w:rFonts w:asciiTheme="minorHAnsi" w:hAnsiTheme="minorHAnsi" w:cstheme="minorHAnsi"/>
          <w:lang w:val="en-US"/>
        </w:rPr>
        <w:t xml:space="preserve"> </w:t>
      </w:r>
      <w:proofErr w:type="spellStart"/>
      <w:r w:rsidRPr="002F1719">
        <w:rPr>
          <w:rFonts w:asciiTheme="minorHAnsi" w:hAnsiTheme="minorHAnsi" w:cstheme="minorHAnsi"/>
          <w:lang w:val="en-US"/>
        </w:rPr>
        <w:t>apskritis</w:t>
      </w:r>
      <w:proofErr w:type="spellEnd"/>
      <w:r w:rsidRPr="002F1719">
        <w:rPr>
          <w:rFonts w:asciiTheme="minorHAnsi" w:hAnsiTheme="minorHAnsi" w:cstheme="minorHAnsi"/>
          <w:lang w:val="en-US"/>
        </w:rPr>
        <w:t xml:space="preserve"> </w:t>
      </w:r>
    </w:p>
    <w:p w14:paraId="7D7A8203"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LT027 </w:t>
      </w:r>
      <w:proofErr w:type="spellStart"/>
      <w:r w:rsidRPr="002F1719">
        <w:rPr>
          <w:rFonts w:asciiTheme="minorHAnsi" w:hAnsiTheme="minorHAnsi" w:cstheme="minorHAnsi"/>
          <w:lang w:val="en-US"/>
        </w:rPr>
        <w:t>Tauragės</w:t>
      </w:r>
      <w:proofErr w:type="spellEnd"/>
      <w:r w:rsidRPr="002F1719">
        <w:rPr>
          <w:rFonts w:asciiTheme="minorHAnsi" w:hAnsiTheme="minorHAnsi" w:cstheme="minorHAnsi"/>
          <w:lang w:val="en-US"/>
        </w:rPr>
        <w:t xml:space="preserve"> </w:t>
      </w:r>
      <w:proofErr w:type="spellStart"/>
      <w:r w:rsidRPr="002F1719">
        <w:rPr>
          <w:rFonts w:asciiTheme="minorHAnsi" w:hAnsiTheme="minorHAnsi" w:cstheme="minorHAnsi"/>
          <w:lang w:val="en-US"/>
        </w:rPr>
        <w:t>apskritis</w:t>
      </w:r>
      <w:proofErr w:type="spellEnd"/>
      <w:r w:rsidRPr="002F1719">
        <w:rPr>
          <w:rFonts w:asciiTheme="minorHAnsi" w:hAnsiTheme="minorHAnsi" w:cstheme="minorHAnsi"/>
          <w:lang w:val="en-US"/>
        </w:rPr>
        <w:t xml:space="preserve"> </w:t>
      </w:r>
    </w:p>
    <w:p w14:paraId="5FDAA160"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LT028 </w:t>
      </w:r>
      <w:proofErr w:type="spellStart"/>
      <w:r w:rsidRPr="002F1719">
        <w:rPr>
          <w:rFonts w:asciiTheme="minorHAnsi" w:hAnsiTheme="minorHAnsi" w:cstheme="minorHAnsi"/>
        </w:rPr>
        <w:t>Telšių</w:t>
      </w:r>
      <w:proofErr w:type="spellEnd"/>
      <w:r w:rsidRPr="002F1719">
        <w:rPr>
          <w:rFonts w:asciiTheme="minorHAnsi" w:hAnsiTheme="minorHAnsi" w:cstheme="minorHAnsi"/>
        </w:rPr>
        <w:t xml:space="preserve"> </w:t>
      </w:r>
      <w:proofErr w:type="spellStart"/>
      <w:r w:rsidRPr="002F1719">
        <w:rPr>
          <w:rFonts w:asciiTheme="minorHAnsi" w:hAnsiTheme="minorHAnsi" w:cstheme="minorHAnsi"/>
        </w:rPr>
        <w:t>apskritis</w:t>
      </w:r>
      <w:proofErr w:type="spellEnd"/>
      <w:r w:rsidRPr="002F1719">
        <w:rPr>
          <w:rFonts w:asciiTheme="minorHAnsi" w:hAnsiTheme="minorHAnsi" w:cstheme="minorHAnsi"/>
        </w:rPr>
        <w:t xml:space="preserve"> </w:t>
      </w:r>
    </w:p>
    <w:p w14:paraId="616DDC7B"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lastRenderedPageBreak/>
        <w:t xml:space="preserve">PL424 Miasto Szczecin </w:t>
      </w:r>
    </w:p>
    <w:p w14:paraId="4EB03725"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PL426 Koszaliński </w:t>
      </w:r>
    </w:p>
    <w:p w14:paraId="594065D3"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PL427 Szczecinecko-pyrzycki </w:t>
      </w:r>
    </w:p>
    <w:p w14:paraId="168F3243"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PL428 Szczeciński </w:t>
      </w:r>
    </w:p>
    <w:p w14:paraId="0E87E951"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PL636 Słupski </w:t>
      </w:r>
    </w:p>
    <w:p w14:paraId="0F0E8C04"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PL637 Chojnicki </w:t>
      </w:r>
    </w:p>
    <w:p w14:paraId="3C1E22C9"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PL638 Starogardzki </w:t>
      </w:r>
    </w:p>
    <w:p w14:paraId="6B294EBC"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PL633 Trójmiejski </w:t>
      </w:r>
    </w:p>
    <w:p w14:paraId="2ABE7AB5"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PL634 Gdański </w:t>
      </w:r>
    </w:p>
    <w:p w14:paraId="687647B2"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PL621 Elbląski </w:t>
      </w:r>
    </w:p>
    <w:p w14:paraId="1CA95E9E" w14:textId="77777777" w:rsidR="002F1719" w:rsidRP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 xml:space="preserve">PL622 Olsztyński (proponowane rozszerzenie obszaru programowego) </w:t>
      </w:r>
    </w:p>
    <w:p w14:paraId="289F9CE8"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SE212 </w:t>
      </w:r>
      <w:proofErr w:type="spellStart"/>
      <w:r w:rsidRPr="002F1719">
        <w:rPr>
          <w:rFonts w:asciiTheme="minorHAnsi" w:hAnsiTheme="minorHAnsi" w:cstheme="minorHAnsi"/>
          <w:lang w:val="en-US"/>
        </w:rPr>
        <w:t>Kronobergs</w:t>
      </w:r>
      <w:proofErr w:type="spellEnd"/>
      <w:r w:rsidRPr="002F1719">
        <w:rPr>
          <w:rFonts w:asciiTheme="minorHAnsi" w:hAnsiTheme="minorHAnsi" w:cstheme="minorHAnsi"/>
          <w:lang w:val="en-US"/>
        </w:rPr>
        <w:t xml:space="preserve"> </w:t>
      </w:r>
      <w:proofErr w:type="spellStart"/>
      <w:r w:rsidRPr="002F1719">
        <w:rPr>
          <w:rFonts w:asciiTheme="minorHAnsi" w:hAnsiTheme="minorHAnsi" w:cstheme="minorHAnsi"/>
          <w:lang w:val="en-US"/>
        </w:rPr>
        <w:t>län</w:t>
      </w:r>
      <w:proofErr w:type="spellEnd"/>
      <w:r w:rsidRPr="002F1719">
        <w:rPr>
          <w:rFonts w:asciiTheme="minorHAnsi" w:hAnsiTheme="minorHAnsi" w:cstheme="minorHAnsi"/>
          <w:lang w:val="en-US"/>
        </w:rPr>
        <w:t xml:space="preserve"> </w:t>
      </w:r>
    </w:p>
    <w:p w14:paraId="0E532B07"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SE213 Kalmar </w:t>
      </w:r>
      <w:proofErr w:type="spellStart"/>
      <w:r w:rsidRPr="002F1719">
        <w:rPr>
          <w:rFonts w:asciiTheme="minorHAnsi" w:hAnsiTheme="minorHAnsi" w:cstheme="minorHAnsi"/>
          <w:lang w:val="en-US"/>
        </w:rPr>
        <w:t>län</w:t>
      </w:r>
      <w:proofErr w:type="spellEnd"/>
      <w:r w:rsidRPr="002F1719">
        <w:rPr>
          <w:rFonts w:asciiTheme="minorHAnsi" w:hAnsiTheme="minorHAnsi" w:cstheme="minorHAnsi"/>
          <w:lang w:val="en-US"/>
        </w:rPr>
        <w:t xml:space="preserve"> </w:t>
      </w:r>
    </w:p>
    <w:p w14:paraId="27A66E9B"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SE221 Blekinge </w:t>
      </w:r>
      <w:proofErr w:type="spellStart"/>
      <w:r w:rsidRPr="002F1719">
        <w:rPr>
          <w:rFonts w:asciiTheme="minorHAnsi" w:hAnsiTheme="minorHAnsi" w:cstheme="minorHAnsi"/>
          <w:lang w:val="en-US"/>
        </w:rPr>
        <w:t>län</w:t>
      </w:r>
      <w:proofErr w:type="spellEnd"/>
      <w:r w:rsidRPr="002F1719">
        <w:rPr>
          <w:rFonts w:asciiTheme="minorHAnsi" w:hAnsiTheme="minorHAnsi" w:cstheme="minorHAnsi"/>
          <w:lang w:val="en-US"/>
        </w:rPr>
        <w:t xml:space="preserve"> </w:t>
      </w:r>
    </w:p>
    <w:p w14:paraId="36EDF997" w14:textId="77777777" w:rsidR="002F1719" w:rsidRPr="002F1719" w:rsidRDefault="002F1719" w:rsidP="002F1719">
      <w:pPr>
        <w:spacing w:after="120" w:line="362" w:lineRule="auto"/>
        <w:ind w:left="634" w:right="792"/>
        <w:rPr>
          <w:rFonts w:asciiTheme="minorHAnsi" w:hAnsiTheme="minorHAnsi" w:cstheme="minorHAnsi"/>
          <w:lang w:val="en-US"/>
        </w:rPr>
      </w:pPr>
      <w:r w:rsidRPr="002F1719">
        <w:rPr>
          <w:rFonts w:asciiTheme="minorHAnsi" w:hAnsiTheme="minorHAnsi" w:cstheme="minorHAnsi"/>
          <w:lang w:val="en-US"/>
        </w:rPr>
        <w:t xml:space="preserve">SE224 </w:t>
      </w:r>
      <w:proofErr w:type="spellStart"/>
      <w:r w:rsidRPr="002F1719">
        <w:rPr>
          <w:rFonts w:asciiTheme="minorHAnsi" w:hAnsiTheme="minorHAnsi" w:cstheme="minorHAnsi"/>
          <w:lang w:val="en-US"/>
        </w:rPr>
        <w:t>Skåne</w:t>
      </w:r>
      <w:proofErr w:type="spellEnd"/>
      <w:r w:rsidRPr="002F1719">
        <w:rPr>
          <w:rFonts w:asciiTheme="minorHAnsi" w:hAnsiTheme="minorHAnsi" w:cstheme="minorHAnsi"/>
          <w:lang w:val="en-US"/>
        </w:rPr>
        <w:t xml:space="preserve"> </w:t>
      </w:r>
      <w:proofErr w:type="spellStart"/>
      <w:r w:rsidRPr="002F1719">
        <w:rPr>
          <w:rFonts w:asciiTheme="minorHAnsi" w:hAnsiTheme="minorHAnsi" w:cstheme="minorHAnsi"/>
          <w:lang w:val="en-US"/>
        </w:rPr>
        <w:t>län</w:t>
      </w:r>
      <w:proofErr w:type="spellEnd"/>
    </w:p>
    <w:p w14:paraId="5F793C12" w14:textId="01DC6100" w:rsidR="002F1719" w:rsidRDefault="002F1719" w:rsidP="002F1719">
      <w:pPr>
        <w:spacing w:after="120" w:line="362" w:lineRule="auto"/>
        <w:ind w:left="634" w:right="792"/>
        <w:rPr>
          <w:rFonts w:asciiTheme="minorHAnsi" w:hAnsiTheme="minorHAnsi" w:cstheme="minorHAnsi"/>
        </w:rPr>
      </w:pPr>
      <w:r w:rsidRPr="002F1719">
        <w:rPr>
          <w:rFonts w:asciiTheme="minorHAnsi" w:hAnsiTheme="minorHAnsi" w:cstheme="minorHAnsi"/>
        </w:rPr>
        <w:t>Komponent A</w:t>
      </w:r>
    </w:p>
    <w:p w14:paraId="7E81E4A2" w14:textId="77777777" w:rsidR="002F1719" w:rsidRDefault="002F1719">
      <w:pPr>
        <w:spacing w:after="160" w:line="259" w:lineRule="auto"/>
        <w:ind w:left="0" w:right="0" w:firstLine="0"/>
        <w:rPr>
          <w:rFonts w:asciiTheme="minorHAnsi" w:hAnsiTheme="minorHAnsi" w:cstheme="minorHAnsi"/>
        </w:rPr>
      </w:pPr>
      <w:r>
        <w:rPr>
          <w:rFonts w:asciiTheme="minorHAnsi" w:hAnsiTheme="minorHAnsi" w:cstheme="minorHAnsi"/>
        </w:rPr>
        <w:br w:type="page"/>
      </w:r>
    </w:p>
    <w:p w14:paraId="0E6131EC" w14:textId="679D08BA" w:rsidR="003D2012" w:rsidRPr="00FC6229" w:rsidRDefault="00EB395A" w:rsidP="000D773F">
      <w:pPr>
        <w:pStyle w:val="Heading2"/>
        <w:ind w:left="0"/>
      </w:pPr>
      <w:r w:rsidRPr="00FC6229">
        <w:t>Wspólna strategia programu: główne wyzwania w zakresie rozwoju oraz działania podejmowane w ramach polityki</w:t>
      </w:r>
      <w:r w:rsidR="00F2688D" w:rsidRPr="00FC6229">
        <w:t xml:space="preserve"> </w:t>
      </w:r>
    </w:p>
    <w:p w14:paraId="59597FBB" w14:textId="55BBC056" w:rsidR="00EB395A" w:rsidRPr="00FC6229" w:rsidRDefault="00EB395A" w:rsidP="00495F5D">
      <w:pPr>
        <w:pStyle w:val="Heading3"/>
      </w:pPr>
      <w:r w:rsidRPr="00FC6229">
        <w:t xml:space="preserve">Obszar objęty programem </w:t>
      </w:r>
    </w:p>
    <w:p w14:paraId="36BBE43E" w14:textId="017CC275" w:rsidR="003D2012" w:rsidRPr="00FC6229" w:rsidRDefault="00EB395A"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Podstawa prawna: art. 17 ust. 3 lit. a), art. 17 ust. 9 lit. a) </w:t>
      </w:r>
    </w:p>
    <w:p w14:paraId="7A1B8D40" w14:textId="0BEBDF2B" w:rsidR="00BF6530" w:rsidRPr="00FC6229" w:rsidRDefault="00BF6530" w:rsidP="00FC6229">
      <w:pPr>
        <w:pStyle w:val="BodyText"/>
        <w:spacing w:after="120" w:line="360" w:lineRule="auto"/>
        <w:rPr>
          <w:rFonts w:cstheme="minorHAnsi"/>
          <w:iCs/>
          <w:sz w:val="24"/>
          <w:szCs w:val="24"/>
        </w:rPr>
      </w:pPr>
      <w:r w:rsidRPr="00FC6229">
        <w:rPr>
          <w:rFonts w:cstheme="minorHAnsi"/>
          <w:iCs/>
          <w:sz w:val="24"/>
          <w:szCs w:val="24"/>
        </w:rPr>
        <w:t xml:space="preserve">Program obejmuje 25 regionów NUTS 3 </w:t>
      </w:r>
      <w:r w:rsidRPr="00FC6229">
        <w:rPr>
          <w:rFonts w:cstheme="minorHAnsi"/>
          <w:iCs/>
          <w:sz w:val="24"/>
          <w:szCs w:val="24"/>
          <w:highlight w:val="yellow"/>
        </w:rPr>
        <w:t>(</w:t>
      </w:r>
      <w:r w:rsidR="00EB395A" w:rsidRPr="00FC6229">
        <w:rPr>
          <w:rFonts w:cstheme="minorHAnsi"/>
          <w:iCs/>
          <w:sz w:val="24"/>
          <w:szCs w:val="24"/>
          <w:highlight w:val="yellow"/>
        </w:rPr>
        <w:t>do zmiany,</w:t>
      </w:r>
      <w:r w:rsidRPr="00FC6229">
        <w:rPr>
          <w:rFonts w:cstheme="minorHAnsi"/>
          <w:iCs/>
          <w:sz w:val="24"/>
          <w:szCs w:val="24"/>
          <w:highlight w:val="yellow"/>
        </w:rPr>
        <w:t xml:space="preserve"> w przypadku rozszerzenia </w:t>
      </w:r>
      <w:r w:rsidR="00EB395A" w:rsidRPr="00FC6229">
        <w:rPr>
          <w:rFonts w:cstheme="minorHAnsi"/>
          <w:iCs/>
          <w:sz w:val="24"/>
          <w:szCs w:val="24"/>
          <w:highlight w:val="yellow"/>
        </w:rPr>
        <w:t>o sub</w:t>
      </w:r>
      <w:r w:rsidRPr="00FC6229">
        <w:rPr>
          <w:rFonts w:cstheme="minorHAnsi"/>
          <w:iCs/>
          <w:sz w:val="24"/>
          <w:szCs w:val="24"/>
          <w:highlight w:val="yellow"/>
        </w:rPr>
        <w:t>region olsztyński)</w:t>
      </w:r>
      <w:r w:rsidRPr="00FC6229">
        <w:rPr>
          <w:rFonts w:cstheme="minorHAnsi"/>
          <w:iCs/>
          <w:sz w:val="24"/>
          <w:szCs w:val="24"/>
        </w:rPr>
        <w:t xml:space="preserve">, które stanowią część terytoriów pięciu krajów bałtyckich: Danii, Niemiec, Litwy, Polski i Szwecji. Obszar Południowego Bałtyku (SBA) ma wyraźny niebiesko-zielony charakter, obejmujący basen morza, krajobrazy wybrzeża i rozległe zielone obszary z licznymi jeziorami i strumieniami. Jednocześnie ma on w dużej mierze charakter nadmorski (większość obszaru Programu znajduje się w odległości 50 km od linii wybrzeża). Transgraniczny charakter południowego Bałtyku jest ściśle </w:t>
      </w:r>
      <w:r w:rsidR="00EA4786" w:rsidRPr="00FC6229">
        <w:rPr>
          <w:rFonts w:cstheme="minorHAnsi"/>
          <w:iCs/>
          <w:sz w:val="24"/>
          <w:szCs w:val="24"/>
        </w:rPr>
        <w:t>zdefiniowany</w:t>
      </w:r>
      <w:r w:rsidRPr="00FC6229">
        <w:rPr>
          <w:rFonts w:cstheme="minorHAnsi"/>
          <w:iCs/>
          <w:sz w:val="24"/>
          <w:szCs w:val="24"/>
        </w:rPr>
        <w:t xml:space="preserve"> przez Morze Bałtyckie położone centralnie w ramach obszaru kwalifikowalnego </w:t>
      </w:r>
      <w:r w:rsidR="009F2FD1" w:rsidRPr="00FC6229">
        <w:rPr>
          <w:rFonts w:cstheme="minorHAnsi"/>
          <w:iCs/>
          <w:sz w:val="24"/>
          <w:szCs w:val="24"/>
        </w:rPr>
        <w:t>Programu. Ten unikatowy</w:t>
      </w:r>
      <w:r w:rsidRPr="00FC6229">
        <w:rPr>
          <w:rFonts w:cstheme="minorHAnsi"/>
          <w:iCs/>
          <w:sz w:val="24"/>
          <w:szCs w:val="24"/>
        </w:rPr>
        <w:t xml:space="preserve"> geograficzny charakter regionu określa szczególne warunki współpracy. Z jednej strony Morze Bałtyckie stanowi naturalną barierę fizyczną dla współpracy, z drugiej strony, współpraca w ra</w:t>
      </w:r>
      <w:r w:rsidR="00EA4786" w:rsidRPr="00FC6229">
        <w:rPr>
          <w:rFonts w:cstheme="minorHAnsi"/>
          <w:iCs/>
          <w:sz w:val="24"/>
          <w:szCs w:val="24"/>
        </w:rPr>
        <w:t>ma</w:t>
      </w:r>
      <w:r w:rsidRPr="00FC6229">
        <w:rPr>
          <w:rFonts w:cstheme="minorHAnsi"/>
          <w:iCs/>
          <w:sz w:val="24"/>
          <w:szCs w:val="24"/>
        </w:rPr>
        <w:t xml:space="preserve">ch regionu ma długą tradycję, której korzenie sięgają średniowiecza. Jednakże pomimo wspólnej historii </w:t>
      </w:r>
      <w:r w:rsidR="00EA4786" w:rsidRPr="00FC6229">
        <w:rPr>
          <w:rFonts w:cstheme="minorHAnsi"/>
          <w:iCs/>
          <w:sz w:val="24"/>
          <w:szCs w:val="24"/>
        </w:rPr>
        <w:t>poziom uznania</w:t>
      </w:r>
      <w:r w:rsidRPr="00FC6229">
        <w:rPr>
          <w:rFonts w:cstheme="minorHAnsi"/>
          <w:iCs/>
          <w:sz w:val="24"/>
          <w:szCs w:val="24"/>
        </w:rPr>
        <w:t xml:space="preserve"> wspólnej tożsamości południowego Bałtyku w społecznościach lokalnych i regionalnych jest niewielki. Co więcej, w regionie występują silne </w:t>
      </w:r>
      <w:r w:rsidR="00EA4786" w:rsidRPr="00FC6229">
        <w:rPr>
          <w:rFonts w:cstheme="minorHAnsi"/>
          <w:iCs/>
          <w:sz w:val="24"/>
          <w:szCs w:val="24"/>
        </w:rPr>
        <w:t>rozbieżności</w:t>
      </w:r>
      <w:r w:rsidRPr="00FC6229">
        <w:rPr>
          <w:rFonts w:cstheme="minorHAnsi"/>
          <w:iCs/>
          <w:sz w:val="24"/>
          <w:szCs w:val="24"/>
        </w:rPr>
        <w:t xml:space="preserve"> społeczno-gospodarcze.</w:t>
      </w:r>
    </w:p>
    <w:p w14:paraId="0E06CDC2" w14:textId="282904DA" w:rsidR="00BF6530" w:rsidRPr="00FC6229" w:rsidRDefault="00BF6530" w:rsidP="00FC6229">
      <w:pPr>
        <w:pStyle w:val="BodyText"/>
        <w:spacing w:after="120" w:line="360" w:lineRule="auto"/>
        <w:rPr>
          <w:rFonts w:cstheme="minorHAnsi"/>
          <w:iCs/>
          <w:sz w:val="24"/>
          <w:szCs w:val="24"/>
        </w:rPr>
      </w:pPr>
      <w:r w:rsidRPr="00FC6229">
        <w:rPr>
          <w:rFonts w:cstheme="minorHAnsi"/>
          <w:iCs/>
          <w:sz w:val="24"/>
          <w:szCs w:val="24"/>
        </w:rPr>
        <w:t xml:space="preserve">Obszar południowego Bałtyku ma charakter niemetropolitalny, głównie wiejski, z rozproszonymi osadami. Ludność </w:t>
      </w:r>
      <w:r w:rsidR="00EA4786" w:rsidRPr="00FC6229">
        <w:rPr>
          <w:rFonts w:cstheme="minorHAnsi"/>
          <w:iCs/>
          <w:sz w:val="24"/>
          <w:szCs w:val="24"/>
        </w:rPr>
        <w:t>skupia się</w:t>
      </w:r>
      <w:r w:rsidRPr="00FC6229">
        <w:rPr>
          <w:rFonts w:cstheme="minorHAnsi"/>
          <w:iCs/>
          <w:sz w:val="24"/>
          <w:szCs w:val="24"/>
        </w:rPr>
        <w:t xml:space="preserve"> w kilku dużych ośrodkach miejskich</w:t>
      </w:r>
      <w:r w:rsidR="004937CC" w:rsidRPr="00FC6229">
        <w:rPr>
          <w:rFonts w:cstheme="minorHAnsi"/>
          <w:iCs/>
          <w:sz w:val="24"/>
          <w:szCs w:val="24"/>
        </w:rPr>
        <w:t xml:space="preserve"> </w:t>
      </w:r>
      <w:r w:rsidRPr="00FC6229">
        <w:rPr>
          <w:rFonts w:cstheme="minorHAnsi"/>
          <w:iCs/>
          <w:sz w:val="24"/>
          <w:szCs w:val="24"/>
        </w:rPr>
        <w:t>stanowią</w:t>
      </w:r>
      <w:r w:rsidR="004937CC" w:rsidRPr="00FC6229">
        <w:rPr>
          <w:rFonts w:cstheme="minorHAnsi"/>
          <w:iCs/>
          <w:sz w:val="24"/>
          <w:szCs w:val="24"/>
        </w:rPr>
        <w:t>cych</w:t>
      </w:r>
      <w:r w:rsidRPr="00FC6229">
        <w:rPr>
          <w:rFonts w:cstheme="minorHAnsi"/>
          <w:iCs/>
          <w:sz w:val="24"/>
          <w:szCs w:val="24"/>
        </w:rPr>
        <w:t xml:space="preserve"> główne bieguny rozwoju społecznego i gospodarczego. Obszar zamieszkuje ok. 8.9 mln osób (2019), z czego połowa ludności mieszka w polskich regionach nadmorskich. </w:t>
      </w:r>
    </w:p>
    <w:p w14:paraId="3610488B" w14:textId="2786CFDD" w:rsidR="00BF6530" w:rsidRPr="00FC6229" w:rsidRDefault="00BF6530" w:rsidP="00FC6229">
      <w:pPr>
        <w:pStyle w:val="BodyText"/>
        <w:spacing w:after="120" w:line="360" w:lineRule="auto"/>
        <w:rPr>
          <w:rFonts w:cstheme="minorHAnsi"/>
          <w:iCs/>
          <w:sz w:val="24"/>
          <w:szCs w:val="24"/>
        </w:rPr>
      </w:pPr>
      <w:r w:rsidRPr="00FC6229">
        <w:rPr>
          <w:rFonts w:cstheme="minorHAnsi"/>
          <w:iCs/>
          <w:sz w:val="24"/>
          <w:szCs w:val="24"/>
        </w:rPr>
        <w:t xml:space="preserve">Od początku lat dziewięćdziesiątych powstające więzi transgraniczne utworzone w ramach Euroregionów (Pomorze, Bałtyk) doprowadziły do </w:t>
      </w:r>
      <w:r w:rsidR="004937CC" w:rsidRPr="00FC6229">
        <w:rPr>
          <w:rFonts w:cstheme="minorHAnsi"/>
          <w:iCs/>
          <w:sz w:val="24"/>
          <w:szCs w:val="24"/>
        </w:rPr>
        <w:t>ustanowienia</w:t>
      </w:r>
      <w:r w:rsidRPr="00FC6229">
        <w:rPr>
          <w:rFonts w:cstheme="minorHAnsi"/>
          <w:iCs/>
          <w:sz w:val="24"/>
          <w:szCs w:val="24"/>
        </w:rPr>
        <w:t xml:space="preserve"> wielu różnych sieci współpracy rozciągających się na Obszarze Południowego Bałtyku</w:t>
      </w:r>
      <w:r w:rsidR="004937CC" w:rsidRPr="00FC6229">
        <w:rPr>
          <w:rFonts w:cstheme="minorHAnsi"/>
          <w:iCs/>
          <w:sz w:val="24"/>
          <w:szCs w:val="24"/>
        </w:rPr>
        <w:t xml:space="preserve"> i</w:t>
      </w:r>
      <w:r w:rsidRPr="00FC6229">
        <w:rPr>
          <w:rFonts w:cstheme="minorHAnsi"/>
          <w:iCs/>
          <w:sz w:val="24"/>
          <w:szCs w:val="24"/>
        </w:rPr>
        <w:t xml:space="preserve"> obejmujących: władze regionalne i lokalne, organizacje biznesowe, instytucje badawczo-rozwojowe i organizacje pozarządowe. T</w:t>
      </w:r>
      <w:r w:rsidR="004937CC" w:rsidRPr="00FC6229">
        <w:rPr>
          <w:rFonts w:cstheme="minorHAnsi"/>
          <w:iCs/>
          <w:sz w:val="24"/>
          <w:szCs w:val="24"/>
        </w:rPr>
        <w:t>aki</w:t>
      </w:r>
      <w:r w:rsidRPr="00FC6229">
        <w:rPr>
          <w:rFonts w:cstheme="minorHAnsi"/>
          <w:iCs/>
          <w:sz w:val="24"/>
          <w:szCs w:val="24"/>
        </w:rPr>
        <w:t xml:space="preserve">e sieci współpracy zostały wzmocnione dzięki wspólnym projektom w ramach Programu Południowy Bałtyk na lata 2007-2013 i 2014-2020 i zapewniły solidne podstawy na kolejne lata. </w:t>
      </w:r>
    </w:p>
    <w:p w14:paraId="29BBD7C3" w14:textId="4A538357" w:rsidR="00BF6530" w:rsidRPr="00FC6229" w:rsidRDefault="00BF6530" w:rsidP="00FC6229">
      <w:pPr>
        <w:pStyle w:val="BodyText"/>
        <w:spacing w:after="120" w:line="360" w:lineRule="auto"/>
        <w:rPr>
          <w:rFonts w:cstheme="minorHAnsi"/>
          <w:iCs/>
          <w:sz w:val="24"/>
          <w:szCs w:val="24"/>
        </w:rPr>
      </w:pPr>
      <w:r w:rsidRPr="00FC6229">
        <w:rPr>
          <w:rFonts w:cstheme="minorHAnsi"/>
          <w:iCs/>
          <w:sz w:val="24"/>
          <w:szCs w:val="24"/>
        </w:rPr>
        <w:t xml:space="preserve">Należy podkreślić, że trwają dyskusje między Państwami Członkowskimi Programu, które poparły </w:t>
      </w:r>
      <w:r w:rsidR="004937CC" w:rsidRPr="00FC6229">
        <w:rPr>
          <w:rFonts w:cstheme="minorHAnsi"/>
          <w:iCs/>
          <w:sz w:val="24"/>
          <w:szCs w:val="24"/>
        </w:rPr>
        <w:t>koncepcję</w:t>
      </w:r>
      <w:r w:rsidRPr="00FC6229">
        <w:rPr>
          <w:rFonts w:cstheme="minorHAnsi"/>
          <w:iCs/>
          <w:sz w:val="24"/>
          <w:szCs w:val="24"/>
        </w:rPr>
        <w:t xml:space="preserve"> rozszerzenia kwalifikowalnego obszaru Programu – w celu włączenia</w:t>
      </w:r>
      <w:r w:rsidR="004937CC" w:rsidRPr="00FC6229">
        <w:rPr>
          <w:rFonts w:cstheme="minorHAnsi"/>
          <w:iCs/>
          <w:sz w:val="24"/>
          <w:szCs w:val="24"/>
        </w:rPr>
        <w:t xml:space="preserve"> znajdującego się w Polsce</w:t>
      </w:r>
      <w:r w:rsidRPr="00FC6229">
        <w:rPr>
          <w:rFonts w:cstheme="minorHAnsi"/>
          <w:iCs/>
          <w:sz w:val="24"/>
          <w:szCs w:val="24"/>
        </w:rPr>
        <w:t xml:space="preserve"> podregionu olsztyńskiego do obszaru objętego programem.</w:t>
      </w:r>
    </w:p>
    <w:p w14:paraId="622AF2BF" w14:textId="77777777" w:rsidR="00EB395A" w:rsidRPr="002F1719" w:rsidRDefault="00EB395A" w:rsidP="00BF6530">
      <w:pPr>
        <w:pStyle w:val="BodyText"/>
        <w:jc w:val="both"/>
        <w:rPr>
          <w:rFonts w:cstheme="minorHAnsi"/>
          <w:sz w:val="24"/>
          <w:szCs w:val="24"/>
        </w:rPr>
      </w:pPr>
    </w:p>
    <w:p w14:paraId="2D1A35DC" w14:textId="2881D2D6" w:rsidR="00EB395A" w:rsidRPr="002F1719" w:rsidRDefault="00EB395A" w:rsidP="00495F5D">
      <w:pPr>
        <w:pStyle w:val="Heading3"/>
      </w:pPr>
      <w:r w:rsidRPr="002F1719">
        <w:t xml:space="preserve">Wspólna strategia programu: Podsumowanie głównych wspólnych wyzwań z uwzględnieniem różnic i nierówności gospodarczych, społecznych i terytorialnych, a także wspólnych potrzeb inwestycyjnych i komplementarności oraz synergii z innymi programami i instrumentami finansowania, wniosków z dotychczasowych doświadczeń oraz strategii makroregionalnych i strategii na rzecz basenu morskiego, w </w:t>
      </w:r>
      <w:proofErr w:type="gramStart"/>
      <w:r w:rsidRPr="002F1719">
        <w:t>przypadku</w:t>
      </w:r>
      <w:proofErr w:type="gramEnd"/>
      <w:r w:rsidRPr="002F1719">
        <w:t xml:space="preserve"> gdy obszar objęty programem w całości lub w części jest objęty co najmniej jedną strategią </w:t>
      </w:r>
    </w:p>
    <w:p w14:paraId="1BE50F53" w14:textId="77777777" w:rsidR="00EB395A" w:rsidRPr="00FC6229" w:rsidRDefault="00EB395A"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Podstawa prawna: art. 17 ust. 3 lit. b), art. 17 ust. 9 lit. b) </w:t>
      </w:r>
    </w:p>
    <w:p w14:paraId="31515BBB" w14:textId="3D899521"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Ogólna wizja Obszaru Południowego Bałtyku</w:t>
      </w:r>
    </w:p>
    <w:p w14:paraId="1938D3E0" w14:textId="7FAF6543"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Centralne położenie morza (</w:t>
      </w:r>
      <w:r w:rsidR="004937CC" w:rsidRPr="00FC6229">
        <w:rPr>
          <w:rFonts w:asciiTheme="minorHAnsi" w:hAnsiTheme="minorHAnsi" w:cstheme="minorHAnsi"/>
          <w:iCs/>
          <w:szCs w:val="24"/>
        </w:rPr>
        <w:t>mające wpływ</w:t>
      </w:r>
      <w:r w:rsidRPr="00FC6229">
        <w:rPr>
          <w:rFonts w:asciiTheme="minorHAnsi" w:hAnsiTheme="minorHAnsi" w:cstheme="minorHAnsi"/>
          <w:iCs/>
          <w:szCs w:val="24"/>
        </w:rPr>
        <w:t xml:space="preserve"> na wzorce transport</w:t>
      </w:r>
      <w:r w:rsidR="004937CC" w:rsidRPr="00FC6229">
        <w:rPr>
          <w:rFonts w:asciiTheme="minorHAnsi" w:hAnsiTheme="minorHAnsi" w:cstheme="minorHAnsi"/>
          <w:iCs/>
          <w:szCs w:val="24"/>
        </w:rPr>
        <w:t>owe</w:t>
      </w:r>
      <w:r w:rsidRPr="00FC6229">
        <w:rPr>
          <w:rFonts w:asciiTheme="minorHAnsi" w:hAnsiTheme="minorHAnsi" w:cstheme="minorHAnsi"/>
          <w:iCs/>
          <w:szCs w:val="24"/>
        </w:rPr>
        <w:t xml:space="preserve"> i procesy konwergencji społeczno-gospodarczej w ramach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morski charakter historycznych relacji handlowych, </w:t>
      </w:r>
      <w:r w:rsidR="004937CC" w:rsidRPr="00FC6229">
        <w:rPr>
          <w:rFonts w:asciiTheme="minorHAnsi" w:hAnsiTheme="minorHAnsi" w:cstheme="minorHAnsi"/>
          <w:iCs/>
          <w:szCs w:val="24"/>
        </w:rPr>
        <w:t>wspólne dobro w postaci</w:t>
      </w:r>
      <w:r w:rsidRPr="00FC6229">
        <w:rPr>
          <w:rFonts w:asciiTheme="minorHAnsi" w:hAnsiTheme="minorHAnsi" w:cstheme="minorHAnsi"/>
          <w:iCs/>
          <w:szCs w:val="24"/>
        </w:rPr>
        <w:t xml:space="preserve"> rozległych i relatywnie </w:t>
      </w:r>
      <w:r w:rsidR="004937CC" w:rsidRPr="00FC6229">
        <w:rPr>
          <w:rFonts w:asciiTheme="minorHAnsi" w:hAnsiTheme="minorHAnsi" w:cstheme="minorHAnsi"/>
          <w:iCs/>
          <w:szCs w:val="24"/>
        </w:rPr>
        <w:t>dziewiczych</w:t>
      </w:r>
      <w:r w:rsidRPr="00FC6229">
        <w:rPr>
          <w:rFonts w:asciiTheme="minorHAnsi" w:hAnsiTheme="minorHAnsi" w:cstheme="minorHAnsi"/>
          <w:iCs/>
          <w:szCs w:val="24"/>
        </w:rPr>
        <w:t xml:space="preserve"> obszarów naturalnych oraz wspólne znaczenie sektorów gospodarczych wykorzystujących bogate zasoby naturalne (zarówno lądowe, jak i morskie) określa rolę niebieskiej i zielonej gospodarki na rzecz zrównoważonego i innowacyjnego wzrostu regionalnego w Obszarze Południowego Bałtyku. Potencjał sieci współpracy między usługami </w:t>
      </w:r>
      <w:proofErr w:type="spellStart"/>
      <w:r w:rsidRPr="00FC6229">
        <w:rPr>
          <w:rFonts w:asciiTheme="minorHAnsi" w:hAnsiTheme="minorHAnsi" w:cstheme="minorHAnsi"/>
          <w:iCs/>
          <w:szCs w:val="24"/>
        </w:rPr>
        <w:t>wiedzochłonnymi</w:t>
      </w:r>
      <w:proofErr w:type="spellEnd"/>
      <w:r w:rsidRPr="00FC6229">
        <w:rPr>
          <w:rFonts w:asciiTheme="minorHAnsi" w:hAnsiTheme="minorHAnsi" w:cstheme="minorHAnsi"/>
          <w:iCs/>
          <w:szCs w:val="24"/>
        </w:rPr>
        <w:t xml:space="preserve"> w obszarze a przemysłem intensywnie wykorzystującym badania naukowe, dostępność przedsiębiorstw inwestujących w i promujących czyste, energooszczędne technologie oraz niewykorzystany zasób osób z wykształceniem wyższym stanowią przykładowe </w:t>
      </w:r>
      <w:r w:rsidR="00D92753" w:rsidRPr="00FC6229">
        <w:rPr>
          <w:rFonts w:asciiTheme="minorHAnsi" w:hAnsiTheme="minorHAnsi" w:cstheme="minorHAnsi"/>
          <w:iCs/>
          <w:szCs w:val="24"/>
        </w:rPr>
        <w:t>dobra</w:t>
      </w:r>
      <w:r w:rsidRPr="00FC6229">
        <w:rPr>
          <w:rFonts w:asciiTheme="minorHAnsi" w:hAnsiTheme="minorHAnsi" w:cstheme="minorHAnsi"/>
          <w:iCs/>
          <w:szCs w:val="24"/>
        </w:rPr>
        <w:t xml:space="preserve"> współdzielone przez regiony Południowego Bałtyku.</w:t>
      </w:r>
    </w:p>
    <w:p w14:paraId="34250208" w14:textId="77A0975F"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Jednocześnie regiony Południowego Bałtyku wykazują znaczne rozbieżności cech społeczno-gospodarczych,</w:t>
      </w:r>
      <w:r w:rsidR="00D92753" w:rsidRPr="00FC6229">
        <w:rPr>
          <w:rFonts w:asciiTheme="minorHAnsi" w:hAnsiTheme="minorHAnsi" w:cstheme="minorHAnsi"/>
          <w:iCs/>
          <w:szCs w:val="24"/>
        </w:rPr>
        <w:t xml:space="preserve"> w </w:t>
      </w:r>
      <w:proofErr w:type="gramStart"/>
      <w:r w:rsidR="00D92753" w:rsidRPr="00FC6229">
        <w:rPr>
          <w:rFonts w:asciiTheme="minorHAnsi" w:hAnsiTheme="minorHAnsi" w:cstheme="minorHAnsi"/>
          <w:iCs/>
          <w:szCs w:val="24"/>
        </w:rPr>
        <w:t>ramach</w:t>
      </w:r>
      <w:proofErr w:type="gramEnd"/>
      <w:r w:rsidR="00D92753" w:rsidRPr="00FC6229">
        <w:rPr>
          <w:rFonts w:asciiTheme="minorHAnsi" w:hAnsiTheme="minorHAnsi" w:cstheme="minorHAnsi"/>
          <w:iCs/>
          <w:szCs w:val="24"/>
        </w:rPr>
        <w:t xml:space="preserve"> których </w:t>
      </w:r>
      <w:r w:rsidRPr="00FC6229">
        <w:rPr>
          <w:rFonts w:asciiTheme="minorHAnsi" w:hAnsiTheme="minorHAnsi" w:cstheme="minorHAnsi"/>
          <w:iCs/>
          <w:szCs w:val="24"/>
        </w:rPr>
        <w:t>widoczn</w:t>
      </w:r>
      <w:r w:rsidR="005A0F49" w:rsidRPr="00FC6229">
        <w:rPr>
          <w:rFonts w:asciiTheme="minorHAnsi" w:hAnsiTheme="minorHAnsi" w:cstheme="minorHAnsi"/>
          <w:iCs/>
          <w:szCs w:val="24"/>
        </w:rPr>
        <w:t>a</w:t>
      </w:r>
      <w:r w:rsidRPr="00FC6229">
        <w:rPr>
          <w:rFonts w:asciiTheme="minorHAnsi" w:hAnsiTheme="minorHAnsi" w:cstheme="minorHAnsi"/>
          <w:iCs/>
          <w:szCs w:val="24"/>
        </w:rPr>
        <w:t xml:space="preserve"> </w:t>
      </w:r>
      <w:r w:rsidR="005A0F49" w:rsidRPr="00FC6229">
        <w:rPr>
          <w:rFonts w:asciiTheme="minorHAnsi" w:hAnsiTheme="minorHAnsi" w:cstheme="minorHAnsi"/>
          <w:iCs/>
          <w:szCs w:val="24"/>
        </w:rPr>
        <w:t>jest przepaść między miastem i wsią oraz zachodem i wschodem pod względem</w:t>
      </w:r>
      <w:r w:rsidR="00D92753" w:rsidRPr="00FC6229">
        <w:rPr>
          <w:rFonts w:asciiTheme="minorHAnsi" w:hAnsiTheme="minorHAnsi" w:cstheme="minorHAnsi"/>
          <w:iCs/>
          <w:szCs w:val="24"/>
        </w:rPr>
        <w:t xml:space="preserve"> </w:t>
      </w:r>
      <w:r w:rsidRPr="00FC6229">
        <w:rPr>
          <w:rFonts w:asciiTheme="minorHAnsi" w:hAnsiTheme="minorHAnsi" w:cstheme="minorHAnsi"/>
          <w:iCs/>
          <w:szCs w:val="24"/>
        </w:rPr>
        <w:t>gospodarczych osiągnię</w:t>
      </w:r>
      <w:r w:rsidR="00D92753" w:rsidRPr="00FC6229">
        <w:rPr>
          <w:rFonts w:asciiTheme="minorHAnsi" w:hAnsiTheme="minorHAnsi" w:cstheme="minorHAnsi"/>
          <w:iCs/>
          <w:szCs w:val="24"/>
        </w:rPr>
        <w:t>ć</w:t>
      </w:r>
      <w:r w:rsidRPr="00FC6229">
        <w:rPr>
          <w:rFonts w:asciiTheme="minorHAnsi" w:hAnsiTheme="minorHAnsi" w:cstheme="minorHAnsi"/>
          <w:iCs/>
          <w:szCs w:val="24"/>
        </w:rPr>
        <w:t xml:space="preserve"> MŚP, zdolności innowacyjnych w regionach, </w:t>
      </w:r>
      <w:r w:rsidR="00D92753" w:rsidRPr="00FC6229">
        <w:rPr>
          <w:rFonts w:asciiTheme="minorHAnsi" w:hAnsiTheme="minorHAnsi" w:cstheme="minorHAnsi"/>
          <w:iCs/>
          <w:szCs w:val="24"/>
        </w:rPr>
        <w:t>trendów</w:t>
      </w:r>
      <w:r w:rsidRPr="00FC6229">
        <w:rPr>
          <w:rFonts w:asciiTheme="minorHAnsi" w:hAnsiTheme="minorHAnsi" w:cstheme="minorHAnsi"/>
          <w:iCs/>
          <w:szCs w:val="24"/>
        </w:rPr>
        <w:t xml:space="preserve"> demograficznych, migracyjnych i rynku pracy lub wzorc</w:t>
      </w:r>
      <w:r w:rsidR="00D92753" w:rsidRPr="00FC6229">
        <w:rPr>
          <w:rFonts w:asciiTheme="minorHAnsi" w:hAnsiTheme="minorHAnsi" w:cstheme="minorHAnsi"/>
          <w:iCs/>
          <w:szCs w:val="24"/>
        </w:rPr>
        <w:t>ów</w:t>
      </w:r>
      <w:r w:rsidRPr="00FC6229">
        <w:rPr>
          <w:rFonts w:asciiTheme="minorHAnsi" w:hAnsiTheme="minorHAnsi" w:cstheme="minorHAnsi"/>
          <w:iCs/>
          <w:szCs w:val="24"/>
        </w:rPr>
        <w:t xml:space="preserve"> mobilności, które to </w:t>
      </w:r>
      <w:r w:rsidR="005A0F49" w:rsidRPr="00FC6229">
        <w:rPr>
          <w:rFonts w:asciiTheme="minorHAnsi" w:hAnsiTheme="minorHAnsi" w:cstheme="minorHAnsi"/>
          <w:iCs/>
          <w:szCs w:val="24"/>
        </w:rPr>
        <w:t>problemy</w:t>
      </w:r>
      <w:r w:rsidRPr="00FC6229">
        <w:rPr>
          <w:rFonts w:asciiTheme="minorHAnsi" w:hAnsiTheme="minorHAnsi" w:cstheme="minorHAnsi"/>
          <w:iCs/>
          <w:szCs w:val="24"/>
        </w:rPr>
        <w:t xml:space="preserve"> należy rozwiązać za pomocą wspólnych działań transgranicznych.</w:t>
      </w:r>
    </w:p>
    <w:p w14:paraId="1F27C222" w14:textId="1C52C7F0" w:rsidR="00BF6530" w:rsidRPr="00FC6229" w:rsidRDefault="005E37B2"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Obszar Programu Południowy Bałtyk jest wyjątkowy, ponieważ obejmuje regiony pięciu państw członkowskich, w większości bez bezpośrednich granic lądowych – granica między nimi znajduje się na Morzu Bałtyckim. Biorąc to wszystko pod uwagę, wizja Programu Południowy Bałtyk jest następująca: „Zjednoczeni przez Morze dla działań na rzecz niebieskiej i zielonej przyszłości – innowacyjny, zrównoważony, atrakcyjny i aktywny Południowy Bałtyk.” Gdzie: </w:t>
      </w:r>
    </w:p>
    <w:p w14:paraId="534F5E41" w14:textId="1AC8C1F0"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„Innowacyjny” – opisuje podejście do wzrostu gospodarczego, które wykorzystuje endogenny potencjał </w:t>
      </w:r>
      <w:r w:rsidR="00A7083E" w:rsidRPr="00FC6229">
        <w:rPr>
          <w:rFonts w:asciiTheme="minorHAnsi" w:hAnsiTheme="minorHAnsi" w:cstheme="minorHAnsi"/>
          <w:iCs/>
          <w:szCs w:val="24"/>
        </w:rPr>
        <w:t>Obszaru</w:t>
      </w:r>
      <w:r w:rsidRPr="00FC6229">
        <w:rPr>
          <w:rFonts w:asciiTheme="minorHAnsi" w:hAnsiTheme="minorHAnsi" w:cstheme="minorHAnsi"/>
          <w:iCs/>
          <w:szCs w:val="24"/>
        </w:rPr>
        <w:t xml:space="preserve"> (np. liczbę instytucji badawczych, uniwersytetów i nowoczesnych przedsiębiorstw). Podkreśla, że innowacja będzie stanowić </w:t>
      </w:r>
      <w:r w:rsidR="005A0F49" w:rsidRPr="00FC6229">
        <w:rPr>
          <w:rFonts w:asciiTheme="minorHAnsi" w:hAnsiTheme="minorHAnsi" w:cstheme="minorHAnsi"/>
          <w:iCs/>
          <w:szCs w:val="24"/>
        </w:rPr>
        <w:t>podstawę</w:t>
      </w:r>
      <w:r w:rsidRPr="00FC6229">
        <w:rPr>
          <w:rFonts w:asciiTheme="minorHAnsi" w:hAnsiTheme="minorHAnsi" w:cstheme="minorHAnsi"/>
          <w:iCs/>
          <w:szCs w:val="24"/>
        </w:rPr>
        <w:t xml:space="preserve"> i przewagę konkurencyjną regionów Południowego Bałtyku i będzie wspierać współpracę transgraniczną i wzrost najważniejszych dla </w:t>
      </w:r>
      <w:r w:rsidR="00A7083E" w:rsidRPr="00FC6229">
        <w:rPr>
          <w:rFonts w:asciiTheme="minorHAnsi" w:hAnsiTheme="minorHAnsi" w:cstheme="minorHAnsi"/>
          <w:iCs/>
          <w:szCs w:val="24"/>
        </w:rPr>
        <w:t>Obszaru</w:t>
      </w:r>
      <w:r w:rsidR="002368D7" w:rsidRPr="00FC6229">
        <w:rPr>
          <w:rFonts w:asciiTheme="minorHAnsi" w:hAnsiTheme="minorHAnsi" w:cstheme="minorHAnsi"/>
          <w:iCs/>
          <w:szCs w:val="24"/>
        </w:rPr>
        <w:t xml:space="preserve"> sektorów</w:t>
      </w:r>
      <w:r w:rsidRPr="00FC6229">
        <w:rPr>
          <w:rFonts w:asciiTheme="minorHAnsi" w:hAnsiTheme="minorHAnsi" w:cstheme="minorHAnsi"/>
          <w:iCs/>
          <w:szCs w:val="24"/>
        </w:rPr>
        <w:t>, m.in.</w:t>
      </w:r>
      <w:r w:rsidR="002368D7" w:rsidRPr="00FC6229">
        <w:rPr>
          <w:rFonts w:asciiTheme="minorHAnsi" w:hAnsiTheme="minorHAnsi" w:cstheme="minorHAnsi"/>
          <w:iCs/>
          <w:szCs w:val="24"/>
        </w:rPr>
        <w:t>,</w:t>
      </w:r>
      <w:r w:rsidRPr="00FC6229">
        <w:rPr>
          <w:rFonts w:asciiTheme="minorHAnsi" w:hAnsiTheme="minorHAnsi" w:cstheme="minorHAnsi"/>
          <w:iCs/>
          <w:szCs w:val="24"/>
        </w:rPr>
        <w:t xml:space="preserve"> energ</w:t>
      </w:r>
      <w:r w:rsidR="002368D7" w:rsidRPr="00FC6229">
        <w:rPr>
          <w:rFonts w:asciiTheme="minorHAnsi" w:hAnsiTheme="minorHAnsi" w:cstheme="minorHAnsi"/>
          <w:iCs/>
          <w:szCs w:val="24"/>
        </w:rPr>
        <w:t>etyki</w:t>
      </w:r>
      <w:r w:rsidRPr="00FC6229">
        <w:rPr>
          <w:rFonts w:asciiTheme="minorHAnsi" w:hAnsiTheme="minorHAnsi" w:cstheme="minorHAnsi"/>
          <w:iCs/>
          <w:szCs w:val="24"/>
        </w:rPr>
        <w:t>, budownictwa, transportu, rolnictwa i leśnictwa, produkcji i przetwórstwa żywności, a także bardzo pożądanych w dziedzinie turystyki i kultury, jak również innych branż.</w:t>
      </w:r>
    </w:p>
    <w:p w14:paraId="039D2688" w14:textId="77777777" w:rsidR="00161ACE" w:rsidRPr="00FC6229" w:rsidRDefault="00161ACE" w:rsidP="00FC6229">
      <w:pPr>
        <w:spacing w:after="120" w:line="360" w:lineRule="auto"/>
        <w:ind w:left="-5" w:right="0" w:hanging="10"/>
        <w:rPr>
          <w:rFonts w:asciiTheme="minorHAnsi" w:hAnsiTheme="minorHAnsi" w:cstheme="minorHAnsi"/>
          <w:iCs/>
          <w:szCs w:val="24"/>
        </w:rPr>
      </w:pPr>
    </w:p>
    <w:p w14:paraId="7076BCAE" w14:textId="7257B47D"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„Zrównoważony” – oznacza, że działania, które zostaną podjęte w ramach Programu, będą miały pozytywny wpływ na regiony w zakresie rozwoju środowiskowego, społecznego i gospodarczego. </w:t>
      </w:r>
      <w:r w:rsidRPr="00FC6229">
        <w:rPr>
          <w:rFonts w:asciiTheme="minorHAnsi" w:hAnsiTheme="minorHAnsi" w:cstheme="minorHAnsi"/>
          <w:iCs/>
          <w:szCs w:val="24"/>
        </w:rPr>
        <w:br/>
        <w:t xml:space="preserve">Zrównoważone podejście jest silnie </w:t>
      </w:r>
      <w:r w:rsidR="002368D7" w:rsidRPr="00FC6229">
        <w:rPr>
          <w:rFonts w:asciiTheme="minorHAnsi" w:hAnsiTheme="minorHAnsi" w:cstheme="minorHAnsi"/>
          <w:iCs/>
          <w:szCs w:val="24"/>
        </w:rPr>
        <w:t>po</w:t>
      </w:r>
      <w:r w:rsidRPr="00FC6229">
        <w:rPr>
          <w:rFonts w:asciiTheme="minorHAnsi" w:hAnsiTheme="minorHAnsi" w:cstheme="minorHAnsi"/>
          <w:iCs/>
          <w:szCs w:val="24"/>
        </w:rPr>
        <w:t>wiązane z zieloną i niebieską gospodarką, która jest istotna dla regionów Południowego Bałtyku. Zielona gospodarka</w:t>
      </w:r>
      <w:r w:rsidR="00394A8A" w:rsidRPr="00FC6229">
        <w:rPr>
          <w:rFonts w:asciiTheme="minorHAnsi" w:hAnsiTheme="minorHAnsi" w:cstheme="minorHAnsi"/>
          <w:iCs/>
          <w:szCs w:val="24"/>
        </w:rPr>
        <w:t>/</w:t>
      </w:r>
      <w:r w:rsidRPr="00FC6229">
        <w:rPr>
          <w:rFonts w:asciiTheme="minorHAnsi" w:hAnsiTheme="minorHAnsi" w:cstheme="minorHAnsi"/>
          <w:iCs/>
          <w:szCs w:val="24"/>
        </w:rPr>
        <w:t>technologie odnoszą się do rozwiązań przyjaznych dla środowiska</w:t>
      </w:r>
      <w:r w:rsidR="002368D7" w:rsidRPr="00FC6229">
        <w:rPr>
          <w:rFonts w:asciiTheme="minorHAnsi" w:hAnsiTheme="minorHAnsi" w:cstheme="minorHAnsi"/>
          <w:iCs/>
          <w:szCs w:val="24"/>
        </w:rPr>
        <w:t xml:space="preserve"> promujących</w:t>
      </w:r>
      <w:r w:rsidRPr="00FC6229">
        <w:rPr>
          <w:rFonts w:asciiTheme="minorHAnsi" w:hAnsiTheme="minorHAnsi" w:cstheme="minorHAnsi"/>
          <w:iCs/>
          <w:szCs w:val="24"/>
        </w:rPr>
        <w:t xml:space="preserve"> zrównoważone zarządzanie zasobami i uwzględniają</w:t>
      </w:r>
      <w:r w:rsidR="002368D7" w:rsidRPr="00FC6229">
        <w:rPr>
          <w:rFonts w:asciiTheme="minorHAnsi" w:hAnsiTheme="minorHAnsi" w:cstheme="minorHAnsi"/>
          <w:iCs/>
          <w:szCs w:val="24"/>
        </w:rPr>
        <w:t>cych</w:t>
      </w:r>
      <w:r w:rsidRPr="00FC6229">
        <w:rPr>
          <w:rFonts w:asciiTheme="minorHAnsi" w:hAnsiTheme="minorHAnsi" w:cstheme="minorHAnsi"/>
          <w:iCs/>
          <w:szCs w:val="24"/>
        </w:rPr>
        <w:t xml:space="preserve"> efektywność energetyczną, recykling, kwestie związane z bezpieczeństwem i zdrowiem itp. Termin dotyczy metod, podejść, rozwiązań, materiałów, urządzeń, produktów i usług stosowanych w szerokim zakresie działań. Obejmują one zazwyczaj: produkcję i przesyłanie energii odnawialnej, oczyszczanie wody i powietrza, oczyszczanie ścieków, rekultywację środowiska, gospodarkę odpadami stałymi, rozwiązania w zakresie oszczędzania energii i cyklu życia, chemię, produkcję i przetwórstwo żywności, budownictwo mieszkaniowe i wiele innych. Jednocześnie niebieską gospodarkę definiuje się jako wszystkie rodzaje działalności gospodarczej związane z oceanami, morzami i wybrzeżami i może ona obejmować następujące sektory: niebieską energię – morską energię wiatrową, energię przypływów i fal, przekształcanie energii cieplnej oceanów, akwakulturę, turystykę morską, nadmorską i rejsową; żeglugę dalekomorską i bliskiego zasięgu, morskie zasoby mineralne (wydobywanie zasobów z dna morskiego), biotechnologię morską (np. zasoby w przemyśle farmaceutycznym i kosmetycznym), odsalanie, ochronę wybrzeża, bezpieczeństwo i nadzór morski oraz monitorowanie środowiska. W celu zapewnienia właściwego niebieskiego i zielonego wzrostu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w:t>
      </w:r>
      <w:r w:rsidR="002368D7" w:rsidRPr="00FC6229">
        <w:rPr>
          <w:rFonts w:asciiTheme="minorHAnsi" w:hAnsiTheme="minorHAnsi" w:cstheme="minorHAnsi"/>
          <w:iCs/>
          <w:szCs w:val="24"/>
        </w:rPr>
        <w:t xml:space="preserve">nieodzowne jest </w:t>
      </w:r>
      <w:r w:rsidRPr="00FC6229">
        <w:rPr>
          <w:rFonts w:asciiTheme="minorHAnsi" w:hAnsiTheme="minorHAnsi" w:cstheme="minorHAnsi"/>
          <w:iCs/>
          <w:szCs w:val="24"/>
        </w:rPr>
        <w:t>zrównoważone podejście.</w:t>
      </w:r>
    </w:p>
    <w:p w14:paraId="6E5521BB" w14:textId="77777777" w:rsidR="00BF6530" w:rsidRPr="00FC6229" w:rsidRDefault="00BF6530" w:rsidP="00FC6229">
      <w:pPr>
        <w:spacing w:after="120" w:line="360" w:lineRule="auto"/>
        <w:ind w:left="-5" w:right="0" w:hanging="10"/>
        <w:rPr>
          <w:rFonts w:asciiTheme="minorHAnsi" w:hAnsiTheme="minorHAnsi" w:cstheme="minorHAnsi"/>
          <w:iCs/>
          <w:szCs w:val="24"/>
        </w:rPr>
      </w:pPr>
    </w:p>
    <w:p w14:paraId="16315AD8" w14:textId="2DB39123"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„Atrakcyjny” – podkreśla naturalne i kulturowe wartości Obszaru Południowego Bałtyku. Regiony te mają nie tylko piękne krajobrazy, ale także bogactwo roślinności i terenów zielonych. Ponadto </w:t>
      </w:r>
      <w:r w:rsidR="00A7083E" w:rsidRPr="00FC6229">
        <w:rPr>
          <w:rFonts w:asciiTheme="minorHAnsi" w:hAnsiTheme="minorHAnsi" w:cstheme="minorHAnsi"/>
          <w:iCs/>
          <w:szCs w:val="24"/>
        </w:rPr>
        <w:t>Obszar Południowego Bałtyku</w:t>
      </w:r>
      <w:r w:rsidRPr="00FC6229">
        <w:rPr>
          <w:rFonts w:asciiTheme="minorHAnsi" w:hAnsiTheme="minorHAnsi" w:cstheme="minorHAnsi"/>
          <w:iCs/>
          <w:szCs w:val="24"/>
        </w:rPr>
        <w:t xml:space="preserve"> posiada również głęboko zakorzenione dziedzictwo kulturowe, które od wieków jest widoczne w przemyśle i handlu. Słowo „atrakcyjny” podkreśla niezwykle </w:t>
      </w:r>
      <w:r w:rsidR="002368D7" w:rsidRPr="00FC6229">
        <w:rPr>
          <w:rFonts w:asciiTheme="minorHAnsi" w:hAnsiTheme="minorHAnsi" w:cstheme="minorHAnsi"/>
          <w:iCs/>
          <w:szCs w:val="24"/>
        </w:rPr>
        <w:t>istotną</w:t>
      </w:r>
      <w:r w:rsidRPr="00FC6229">
        <w:rPr>
          <w:rFonts w:asciiTheme="minorHAnsi" w:hAnsiTheme="minorHAnsi" w:cstheme="minorHAnsi"/>
          <w:iCs/>
          <w:szCs w:val="24"/>
        </w:rPr>
        <w:t xml:space="preserve"> rolę turystyki, dziedzictwa kulturowego i </w:t>
      </w:r>
      <w:r w:rsidR="002368D7" w:rsidRPr="00FC6229">
        <w:rPr>
          <w:rFonts w:asciiTheme="minorHAnsi" w:hAnsiTheme="minorHAnsi" w:cstheme="minorHAnsi"/>
          <w:iCs/>
          <w:szCs w:val="24"/>
        </w:rPr>
        <w:t>przyrodniczego</w:t>
      </w:r>
      <w:r w:rsidRPr="00FC6229">
        <w:rPr>
          <w:rFonts w:asciiTheme="minorHAnsi" w:hAnsiTheme="minorHAnsi" w:cstheme="minorHAnsi"/>
          <w:iCs/>
          <w:szCs w:val="24"/>
        </w:rPr>
        <w:t xml:space="preserve"> dla regionów Południowego Bałtyku.</w:t>
      </w:r>
    </w:p>
    <w:p w14:paraId="7E76DF37" w14:textId="77777777" w:rsidR="00BF6530" w:rsidRPr="00FC6229" w:rsidRDefault="00BF6530" w:rsidP="00FC6229">
      <w:pPr>
        <w:spacing w:after="120" w:line="360" w:lineRule="auto"/>
        <w:ind w:left="-5" w:right="0" w:hanging="10"/>
        <w:rPr>
          <w:rFonts w:asciiTheme="minorHAnsi" w:hAnsiTheme="minorHAnsi" w:cstheme="minorHAnsi"/>
          <w:iCs/>
          <w:szCs w:val="24"/>
        </w:rPr>
      </w:pPr>
    </w:p>
    <w:p w14:paraId="315E3D83" w14:textId="3F29F9FB"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„Aktywny” – kładzie nacisk na potrzebę działań mających na celu zapewnienie wzrostu gospodarczego </w:t>
      </w:r>
      <w:r w:rsidR="00A7083E" w:rsidRPr="00FC6229">
        <w:rPr>
          <w:rFonts w:asciiTheme="minorHAnsi" w:hAnsiTheme="minorHAnsi" w:cstheme="minorHAnsi"/>
          <w:iCs/>
          <w:szCs w:val="24"/>
        </w:rPr>
        <w:t>Obszaru</w:t>
      </w:r>
      <w:r w:rsidRPr="00FC6229">
        <w:rPr>
          <w:rFonts w:asciiTheme="minorHAnsi" w:hAnsiTheme="minorHAnsi" w:cstheme="minorHAnsi"/>
          <w:iCs/>
          <w:szCs w:val="24"/>
        </w:rPr>
        <w:t xml:space="preserve">, a także poprawę jakości życia mieszkańców regionów Południowego Bałtyku. Ponadto „aktywny” odnosi się również do kwestii współpracy między różnymi grupami zainteresowanych </w:t>
      </w:r>
      <w:r w:rsidR="007272A8" w:rsidRPr="00FC6229">
        <w:rPr>
          <w:rFonts w:asciiTheme="minorHAnsi" w:hAnsiTheme="minorHAnsi" w:cstheme="minorHAnsi"/>
          <w:iCs/>
          <w:szCs w:val="24"/>
        </w:rPr>
        <w:t>stron</w:t>
      </w:r>
      <w:r w:rsidRPr="00FC6229">
        <w:rPr>
          <w:rFonts w:asciiTheme="minorHAnsi" w:hAnsiTheme="minorHAnsi" w:cstheme="minorHAnsi"/>
          <w:iCs/>
          <w:szCs w:val="24"/>
        </w:rPr>
        <w:t xml:space="preserve"> z różnych regionów. </w:t>
      </w:r>
      <w:r w:rsidR="002368D7" w:rsidRPr="00FC6229">
        <w:rPr>
          <w:rFonts w:asciiTheme="minorHAnsi" w:hAnsiTheme="minorHAnsi" w:cstheme="minorHAnsi"/>
          <w:iCs/>
          <w:szCs w:val="24"/>
        </w:rPr>
        <w:t xml:space="preserve">Na </w:t>
      </w:r>
      <w:r w:rsidRPr="00FC6229">
        <w:rPr>
          <w:rFonts w:asciiTheme="minorHAnsi" w:hAnsiTheme="minorHAnsi" w:cstheme="minorHAnsi"/>
          <w:iCs/>
          <w:szCs w:val="24"/>
        </w:rPr>
        <w:t>Obszar</w:t>
      </w:r>
      <w:r w:rsidR="002368D7" w:rsidRPr="00FC6229">
        <w:rPr>
          <w:rFonts w:asciiTheme="minorHAnsi" w:hAnsiTheme="minorHAnsi" w:cstheme="minorHAnsi"/>
          <w:iCs/>
          <w:szCs w:val="24"/>
        </w:rPr>
        <w:t>ze</w:t>
      </w:r>
      <w:r w:rsidRPr="00FC6229">
        <w:rPr>
          <w:rFonts w:asciiTheme="minorHAnsi" w:hAnsiTheme="minorHAnsi" w:cstheme="minorHAnsi"/>
          <w:iCs/>
          <w:szCs w:val="24"/>
        </w:rPr>
        <w:t xml:space="preserve"> Południowego Bałtyku </w:t>
      </w:r>
      <w:r w:rsidR="002368D7" w:rsidRPr="00FC6229">
        <w:rPr>
          <w:rFonts w:asciiTheme="minorHAnsi" w:hAnsiTheme="minorHAnsi" w:cstheme="minorHAnsi"/>
          <w:iCs/>
          <w:szCs w:val="24"/>
        </w:rPr>
        <w:t>istnieje</w:t>
      </w:r>
      <w:r w:rsidRPr="00FC6229">
        <w:rPr>
          <w:rFonts w:asciiTheme="minorHAnsi" w:hAnsiTheme="minorHAnsi" w:cstheme="minorHAnsi"/>
          <w:iCs/>
          <w:szCs w:val="24"/>
        </w:rPr>
        <w:t xml:space="preserve"> zróżnicowan</w:t>
      </w:r>
      <w:r w:rsidR="002368D7" w:rsidRPr="00FC6229">
        <w:rPr>
          <w:rFonts w:asciiTheme="minorHAnsi" w:hAnsiTheme="minorHAnsi" w:cstheme="minorHAnsi"/>
          <w:iCs/>
          <w:szCs w:val="24"/>
        </w:rPr>
        <w:t>a</w:t>
      </w:r>
      <w:r w:rsidRPr="00FC6229">
        <w:rPr>
          <w:rFonts w:asciiTheme="minorHAnsi" w:hAnsiTheme="minorHAnsi" w:cstheme="minorHAnsi"/>
          <w:iCs/>
          <w:szCs w:val="24"/>
        </w:rPr>
        <w:t xml:space="preserve"> gam</w:t>
      </w:r>
      <w:r w:rsidR="002368D7" w:rsidRPr="00FC6229">
        <w:rPr>
          <w:rFonts w:asciiTheme="minorHAnsi" w:hAnsiTheme="minorHAnsi" w:cstheme="minorHAnsi"/>
          <w:iCs/>
          <w:szCs w:val="24"/>
        </w:rPr>
        <w:t>a</w:t>
      </w:r>
      <w:r w:rsidRPr="00FC6229">
        <w:rPr>
          <w:rFonts w:asciiTheme="minorHAnsi" w:hAnsiTheme="minorHAnsi" w:cstheme="minorHAnsi"/>
          <w:iCs/>
          <w:szCs w:val="24"/>
        </w:rPr>
        <w:t xml:space="preserve"> podmiotów </w:t>
      </w:r>
      <w:r w:rsidR="002368D7" w:rsidRPr="00FC6229">
        <w:rPr>
          <w:rFonts w:asciiTheme="minorHAnsi" w:hAnsiTheme="minorHAnsi" w:cstheme="minorHAnsi"/>
          <w:iCs/>
          <w:szCs w:val="24"/>
        </w:rPr>
        <w:t>dysponujących</w:t>
      </w:r>
      <w:r w:rsidRPr="00FC6229">
        <w:rPr>
          <w:rFonts w:asciiTheme="minorHAnsi" w:hAnsiTheme="minorHAnsi" w:cstheme="minorHAnsi"/>
          <w:iCs/>
          <w:szCs w:val="24"/>
        </w:rPr>
        <w:t xml:space="preserve"> ogromnym potencja</w:t>
      </w:r>
      <w:r w:rsidR="002368D7" w:rsidRPr="00FC6229">
        <w:rPr>
          <w:rFonts w:asciiTheme="minorHAnsi" w:hAnsiTheme="minorHAnsi" w:cstheme="minorHAnsi"/>
          <w:iCs/>
          <w:szCs w:val="24"/>
        </w:rPr>
        <w:t>łem</w:t>
      </w:r>
      <w:r w:rsidRPr="00FC6229">
        <w:rPr>
          <w:rFonts w:asciiTheme="minorHAnsi" w:hAnsiTheme="minorHAnsi" w:cstheme="minorHAnsi"/>
          <w:iCs/>
          <w:szCs w:val="24"/>
        </w:rPr>
        <w:t xml:space="preserve"> w zakresie udoskonalenia </w:t>
      </w:r>
      <w:proofErr w:type="gramStart"/>
      <w:r w:rsidR="004A4486" w:rsidRPr="00FC6229">
        <w:rPr>
          <w:rFonts w:asciiTheme="minorHAnsi" w:hAnsiTheme="minorHAnsi" w:cstheme="minorHAnsi"/>
          <w:iCs/>
          <w:szCs w:val="24"/>
        </w:rPr>
        <w:t xml:space="preserve">wzajemnej </w:t>
      </w:r>
      <w:r w:rsidRPr="00FC6229">
        <w:rPr>
          <w:rFonts w:asciiTheme="minorHAnsi" w:hAnsiTheme="minorHAnsi" w:cstheme="minorHAnsi"/>
          <w:iCs/>
          <w:szCs w:val="24"/>
        </w:rPr>
        <w:t>współpracy</w:t>
      </w:r>
      <w:proofErr w:type="gramEnd"/>
      <w:r w:rsidRPr="00FC6229">
        <w:rPr>
          <w:rFonts w:asciiTheme="minorHAnsi" w:hAnsiTheme="minorHAnsi" w:cstheme="minorHAnsi"/>
          <w:iCs/>
          <w:szCs w:val="24"/>
        </w:rPr>
        <w:t xml:space="preserve"> </w:t>
      </w:r>
      <w:r w:rsidR="004A4486" w:rsidRPr="00FC6229">
        <w:rPr>
          <w:rFonts w:asciiTheme="minorHAnsi" w:hAnsiTheme="minorHAnsi" w:cstheme="minorHAnsi"/>
          <w:iCs/>
          <w:szCs w:val="24"/>
        </w:rPr>
        <w:t>na szczeblu</w:t>
      </w:r>
      <w:r w:rsidRPr="00FC6229">
        <w:rPr>
          <w:rFonts w:asciiTheme="minorHAnsi" w:hAnsiTheme="minorHAnsi" w:cstheme="minorHAnsi"/>
          <w:iCs/>
          <w:szCs w:val="24"/>
        </w:rPr>
        <w:t xml:space="preserve"> transgranicznym. „Aktywny”</w:t>
      </w:r>
      <w:r w:rsidR="004A4486" w:rsidRPr="00FC6229">
        <w:rPr>
          <w:rFonts w:asciiTheme="minorHAnsi" w:hAnsiTheme="minorHAnsi" w:cstheme="minorHAnsi"/>
          <w:iCs/>
          <w:szCs w:val="24"/>
        </w:rPr>
        <w:t>, zwłaszcza</w:t>
      </w:r>
      <w:r w:rsidRPr="00FC6229">
        <w:rPr>
          <w:rFonts w:asciiTheme="minorHAnsi" w:hAnsiTheme="minorHAnsi" w:cstheme="minorHAnsi"/>
          <w:iCs/>
          <w:szCs w:val="24"/>
        </w:rPr>
        <w:t xml:space="preserve"> w połączeniu z „innowacyjnym” i „zrównoważonym”</w:t>
      </w:r>
      <w:r w:rsidR="004A4486" w:rsidRPr="00FC6229">
        <w:rPr>
          <w:rFonts w:asciiTheme="minorHAnsi" w:hAnsiTheme="minorHAnsi" w:cstheme="minorHAnsi"/>
          <w:iCs/>
          <w:szCs w:val="24"/>
        </w:rPr>
        <w:t>,</w:t>
      </w:r>
      <w:r w:rsidRPr="00FC6229">
        <w:rPr>
          <w:rFonts w:asciiTheme="minorHAnsi" w:hAnsiTheme="minorHAnsi" w:cstheme="minorHAnsi"/>
          <w:iCs/>
          <w:szCs w:val="24"/>
        </w:rPr>
        <w:t xml:space="preserve"> kładą szczególny nacisk na wzmocnienie współpracy między podmiotami w modelu poczwórnej helisy, który określa relacje między przemysłem, środowiskiem akademickim, podmiotami publicznymi i społeczeństwem obywatelskim. Częś</w:t>
      </w:r>
      <w:r w:rsidR="004A4486" w:rsidRPr="00FC6229">
        <w:rPr>
          <w:rFonts w:asciiTheme="minorHAnsi" w:hAnsiTheme="minorHAnsi" w:cstheme="minorHAnsi"/>
          <w:iCs/>
          <w:szCs w:val="24"/>
        </w:rPr>
        <w:t>ć</w:t>
      </w:r>
      <w:r w:rsidRPr="00FC6229">
        <w:rPr>
          <w:rFonts w:asciiTheme="minorHAnsi" w:hAnsiTheme="minorHAnsi" w:cstheme="minorHAnsi"/>
          <w:iCs/>
          <w:szCs w:val="24"/>
        </w:rPr>
        <w:t xml:space="preserve"> zrównoważonego rozwoju społecznego </w:t>
      </w:r>
      <w:r w:rsidR="004A4486" w:rsidRPr="00FC6229">
        <w:rPr>
          <w:rFonts w:asciiTheme="minorHAnsi" w:hAnsiTheme="minorHAnsi" w:cstheme="minorHAnsi"/>
          <w:iCs/>
          <w:szCs w:val="24"/>
        </w:rPr>
        <w:t>stanowi</w:t>
      </w:r>
      <w:r w:rsidRPr="00FC6229">
        <w:rPr>
          <w:rFonts w:asciiTheme="minorHAnsi" w:hAnsiTheme="minorHAnsi" w:cstheme="minorHAnsi"/>
          <w:iCs/>
          <w:szCs w:val="24"/>
        </w:rPr>
        <w:t xml:space="preserve"> zaangażowanie obywateli, co doprowadzi do </w:t>
      </w:r>
      <w:r w:rsidR="004A4486" w:rsidRPr="00FC6229">
        <w:rPr>
          <w:rFonts w:asciiTheme="minorHAnsi" w:hAnsiTheme="minorHAnsi" w:cstheme="minorHAnsi"/>
          <w:iCs/>
          <w:szCs w:val="24"/>
        </w:rPr>
        <w:t>większego</w:t>
      </w:r>
      <w:r w:rsidRPr="00FC6229">
        <w:rPr>
          <w:rFonts w:asciiTheme="minorHAnsi" w:hAnsiTheme="minorHAnsi" w:cstheme="minorHAnsi"/>
          <w:iCs/>
          <w:szCs w:val="24"/>
        </w:rPr>
        <w:t xml:space="preserve"> zrozumienia, wiedzy i zaangażowania. Równe zaangażowanie obywateli i społeczeństwa obywatelskiego poprawi jakość życia w regionie.</w:t>
      </w:r>
    </w:p>
    <w:p w14:paraId="2091E8E1"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Obszar gospodarczy | Kluczowe wyzwania</w:t>
      </w:r>
    </w:p>
    <w:p w14:paraId="189FB35E" w14:textId="5EFB045F"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W ostatnich latach Obszar Południowego Bałtyku odnotowuje stały wzrost gospodarczy, jednakże poziom rozwoju gospodarczego znacznie różni się w zależności od kraju i regionu. Pomimo znacznych zasobów przydzielonych z polityki spójności UE nie udało się w pełni zniwelować </w:t>
      </w:r>
      <w:r w:rsidR="004A4486" w:rsidRPr="00FC6229">
        <w:rPr>
          <w:rFonts w:asciiTheme="minorHAnsi" w:hAnsiTheme="minorHAnsi" w:cstheme="minorHAnsi"/>
          <w:iCs/>
          <w:szCs w:val="24"/>
        </w:rPr>
        <w:t xml:space="preserve">tych </w:t>
      </w:r>
      <w:r w:rsidRPr="00FC6229">
        <w:rPr>
          <w:rFonts w:asciiTheme="minorHAnsi" w:hAnsiTheme="minorHAnsi" w:cstheme="minorHAnsi"/>
          <w:iCs/>
          <w:szCs w:val="24"/>
        </w:rPr>
        <w:t xml:space="preserve">nierówności. </w:t>
      </w:r>
      <w:r w:rsidR="004A4486" w:rsidRPr="00FC6229">
        <w:rPr>
          <w:rFonts w:asciiTheme="minorHAnsi" w:hAnsiTheme="minorHAnsi" w:cstheme="minorHAnsi"/>
          <w:iCs/>
          <w:szCs w:val="24"/>
        </w:rPr>
        <w:t>Istnieją d</w:t>
      </w:r>
      <w:r w:rsidRPr="00FC6229">
        <w:rPr>
          <w:rFonts w:asciiTheme="minorHAnsi" w:hAnsiTheme="minorHAnsi" w:cstheme="minorHAnsi"/>
          <w:iCs/>
          <w:szCs w:val="24"/>
        </w:rPr>
        <w:t>uże rozbieżności między regionami Obszaru Południowego Bałtyku pod względem dochodów ludności, jak również w kategoriach PKB na mieszkańca i dochod</w:t>
      </w:r>
      <w:r w:rsidR="004A4486" w:rsidRPr="00FC6229">
        <w:rPr>
          <w:rFonts w:asciiTheme="minorHAnsi" w:hAnsiTheme="minorHAnsi" w:cstheme="minorHAnsi"/>
          <w:iCs/>
          <w:szCs w:val="24"/>
        </w:rPr>
        <w:t>ów</w:t>
      </w:r>
      <w:r w:rsidRPr="00FC6229">
        <w:rPr>
          <w:rFonts w:asciiTheme="minorHAnsi" w:hAnsiTheme="minorHAnsi" w:cstheme="minorHAnsi"/>
          <w:iCs/>
          <w:szCs w:val="24"/>
        </w:rPr>
        <w:t xml:space="preserve"> do dyspozycji. Bogatsze regiony Danii i Szwecji (oraz mniej zamożne regiony niemieckie) są nieproporcjonalnie bogatsze niż regiony polskie i litewskie. Dochody między regionami są rozdzielone nierównomiernie, co wskazuje na brak wspólnego trendu. Poza różnicami między krajami i regionami, rozbieżności te mają silny charakter miejsko-wiejski.</w:t>
      </w:r>
    </w:p>
    <w:p w14:paraId="41B0D665" w14:textId="53B16C8D"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W Obszarze Południowego Bałtyku dominuje sektor usług, zgodnie z tendencją europejską. Warto jednak zauważyć, że sektor rolnictwa, leśnictwa i rybołówstwa cieszy się jednak silną pozycją w kwalifikowalnym Obszarze Programu w porównaniu z odpowiednimi średnimi krajowymi. Sektor ten </w:t>
      </w:r>
      <w:r w:rsidR="004A4486" w:rsidRPr="00FC6229">
        <w:rPr>
          <w:rFonts w:asciiTheme="minorHAnsi" w:hAnsiTheme="minorHAnsi" w:cstheme="minorHAnsi"/>
          <w:iCs/>
          <w:szCs w:val="24"/>
        </w:rPr>
        <w:t>nadal stanowi</w:t>
      </w:r>
      <w:r w:rsidRPr="00FC6229">
        <w:rPr>
          <w:rFonts w:asciiTheme="minorHAnsi" w:hAnsiTheme="minorHAnsi" w:cstheme="minorHAnsi"/>
          <w:iCs/>
          <w:szCs w:val="24"/>
        </w:rPr>
        <w:t xml:space="preserve"> </w:t>
      </w:r>
      <w:r w:rsidR="004A4486" w:rsidRPr="00FC6229">
        <w:rPr>
          <w:rFonts w:asciiTheme="minorHAnsi" w:hAnsiTheme="minorHAnsi" w:cstheme="minorHAnsi"/>
          <w:iCs/>
          <w:szCs w:val="24"/>
        </w:rPr>
        <w:t>ważne</w:t>
      </w:r>
      <w:r w:rsidRPr="00FC6229">
        <w:rPr>
          <w:rFonts w:asciiTheme="minorHAnsi" w:hAnsiTheme="minorHAnsi" w:cstheme="minorHAnsi"/>
          <w:iCs/>
          <w:szCs w:val="24"/>
        </w:rPr>
        <w:t xml:space="preserve"> źródł</w:t>
      </w:r>
      <w:r w:rsidR="004A4486" w:rsidRPr="00FC6229">
        <w:rPr>
          <w:rFonts w:asciiTheme="minorHAnsi" w:hAnsiTheme="minorHAnsi" w:cstheme="minorHAnsi"/>
          <w:iCs/>
          <w:szCs w:val="24"/>
        </w:rPr>
        <w:t>o</w:t>
      </w:r>
      <w:r w:rsidRPr="00FC6229">
        <w:rPr>
          <w:rFonts w:asciiTheme="minorHAnsi" w:hAnsiTheme="minorHAnsi" w:cstheme="minorHAnsi"/>
          <w:iCs/>
          <w:szCs w:val="24"/>
        </w:rPr>
        <w:t xml:space="preserve"> zatrudnienia i średnio zatrudnia więcej osób niż w regionach poza kwalifikowalnym obszarem Programu. Warto również zauważyć, że sektory te wnoszą znaczną część wartości dodanej wytworzonej w ramach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a ich pozycja jest często silniejsza w porównaniu z pozycją na szczeblu krajowym w krajach kwalifikowalnego obszaru Programu. </w:t>
      </w:r>
    </w:p>
    <w:p w14:paraId="663C5414" w14:textId="0406C110"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Wyraźny wzorzec </w:t>
      </w:r>
      <w:r w:rsidR="004A4486" w:rsidRPr="00FC6229">
        <w:rPr>
          <w:rFonts w:asciiTheme="minorHAnsi" w:hAnsiTheme="minorHAnsi" w:cstheme="minorHAnsi"/>
          <w:iCs/>
          <w:szCs w:val="24"/>
        </w:rPr>
        <w:t xml:space="preserve">na </w:t>
      </w:r>
      <w:r w:rsidRPr="00FC6229">
        <w:rPr>
          <w:rFonts w:asciiTheme="minorHAnsi" w:hAnsiTheme="minorHAnsi" w:cstheme="minorHAnsi"/>
          <w:iCs/>
          <w:szCs w:val="24"/>
        </w:rPr>
        <w:t xml:space="preserve">całym kwalifikowalnym obszarze stanowi dominacja małych przedsiębiorstw, które zatrudniają 1-9 osób. Zgodnie z trendem na szczeblu europejskim małe przedsiębiorstwa stanowią przeważającą większość przedsiębiorstw, następne są średnie przedsiębiorstwa, natomiast przedsiębiorstwa zatrudniające ponad 50 pracowników </w:t>
      </w:r>
      <w:r w:rsidR="0004738D" w:rsidRPr="00FC6229">
        <w:rPr>
          <w:rFonts w:asciiTheme="minorHAnsi" w:hAnsiTheme="minorHAnsi" w:cstheme="minorHAnsi"/>
          <w:iCs/>
          <w:szCs w:val="24"/>
        </w:rPr>
        <w:t xml:space="preserve">to </w:t>
      </w:r>
      <w:r w:rsidRPr="00FC6229">
        <w:rPr>
          <w:rFonts w:asciiTheme="minorHAnsi" w:hAnsiTheme="minorHAnsi" w:cstheme="minorHAnsi"/>
          <w:iCs/>
          <w:szCs w:val="24"/>
        </w:rPr>
        <w:t xml:space="preserve">najczęściej jedynie ok. 2% wszystkich przedsiębiorstw. Dominacja małych przedsiębiorstw określa ich ważną rolę w gospodarce regionalnej. Należy jednak jeszcze bardziej wzmocnić współpracę transgraniczną w sektorze przedsiębiorstw w Obszarze Południowego Bałtyku, umożliwiając przedsiębiorstwom dalsze wzmacnianie kultury współpracy i czerpanie korzyści z dzielenia się wiedzą i podejmowania wspólnych działań. W szczególności wysiłki na rzecz wzmocnienia współpracy mogłyby </w:t>
      </w:r>
      <w:r w:rsidR="0004738D" w:rsidRPr="00FC6229">
        <w:rPr>
          <w:rFonts w:asciiTheme="minorHAnsi" w:hAnsiTheme="minorHAnsi" w:cstheme="minorHAnsi"/>
          <w:iCs/>
          <w:szCs w:val="24"/>
        </w:rPr>
        <w:t>umożliwić</w:t>
      </w:r>
      <w:r w:rsidRPr="00FC6229">
        <w:rPr>
          <w:rFonts w:asciiTheme="minorHAnsi" w:hAnsiTheme="minorHAnsi" w:cstheme="minorHAnsi"/>
          <w:iCs/>
          <w:szCs w:val="24"/>
        </w:rPr>
        <w:t xml:space="preserve"> MŚP uwolnienie swojego potencjału w zakresie transformacji technologicznej i interna</w:t>
      </w:r>
      <w:r w:rsidR="0004738D" w:rsidRPr="00FC6229">
        <w:rPr>
          <w:rFonts w:asciiTheme="minorHAnsi" w:hAnsiTheme="minorHAnsi" w:cstheme="minorHAnsi"/>
          <w:iCs/>
          <w:szCs w:val="24"/>
        </w:rPr>
        <w:t>cjona</w:t>
      </w:r>
      <w:r w:rsidRPr="00FC6229">
        <w:rPr>
          <w:rFonts w:asciiTheme="minorHAnsi" w:hAnsiTheme="minorHAnsi" w:cstheme="minorHAnsi"/>
          <w:iCs/>
          <w:szCs w:val="24"/>
        </w:rPr>
        <w:t>lizacji.</w:t>
      </w:r>
    </w:p>
    <w:p w14:paraId="33726E57" w14:textId="628D631F"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Turystyka to jeden z wiodących sektorów przemysłu w Obszarze Południowego Bałtyku. Niemniej jednak, pomimo obecności różnorodnych atrakcji turystycznych, </w:t>
      </w:r>
      <w:r w:rsidR="0004738D" w:rsidRPr="00FC6229">
        <w:rPr>
          <w:rFonts w:asciiTheme="minorHAnsi" w:hAnsiTheme="minorHAnsi" w:cstheme="minorHAnsi"/>
          <w:iCs/>
          <w:szCs w:val="24"/>
        </w:rPr>
        <w:t>nieskażonych</w:t>
      </w:r>
      <w:r w:rsidRPr="00FC6229">
        <w:rPr>
          <w:rFonts w:asciiTheme="minorHAnsi" w:hAnsiTheme="minorHAnsi" w:cstheme="minorHAnsi"/>
          <w:iCs/>
          <w:szCs w:val="24"/>
        </w:rPr>
        <w:t xml:space="preserve"> i </w:t>
      </w:r>
      <w:r w:rsidR="0004738D" w:rsidRPr="00FC6229">
        <w:rPr>
          <w:rFonts w:asciiTheme="minorHAnsi" w:hAnsiTheme="minorHAnsi" w:cstheme="minorHAnsi"/>
          <w:iCs/>
          <w:szCs w:val="24"/>
        </w:rPr>
        <w:t>fascynujących</w:t>
      </w:r>
      <w:r w:rsidRPr="00FC6229">
        <w:rPr>
          <w:rFonts w:asciiTheme="minorHAnsi" w:hAnsiTheme="minorHAnsi" w:cstheme="minorHAnsi"/>
          <w:iCs/>
          <w:szCs w:val="24"/>
        </w:rPr>
        <w:t xml:space="preserve"> krajobrazów </w:t>
      </w:r>
      <w:r w:rsidR="0004738D" w:rsidRPr="00FC6229">
        <w:rPr>
          <w:rFonts w:asciiTheme="minorHAnsi" w:hAnsiTheme="minorHAnsi" w:cstheme="minorHAnsi"/>
          <w:iCs/>
          <w:szCs w:val="24"/>
        </w:rPr>
        <w:t>przyrodniczych</w:t>
      </w:r>
      <w:r w:rsidRPr="00FC6229">
        <w:rPr>
          <w:rFonts w:asciiTheme="minorHAnsi" w:hAnsiTheme="minorHAnsi" w:cstheme="minorHAnsi"/>
          <w:iCs/>
          <w:szCs w:val="24"/>
        </w:rPr>
        <w:t xml:space="preserve"> oraz przyzwoitej bazy noclegowej, odnotowano </w:t>
      </w:r>
      <w:r w:rsidR="0004738D" w:rsidRPr="00FC6229">
        <w:rPr>
          <w:rFonts w:asciiTheme="minorHAnsi" w:hAnsiTheme="minorHAnsi" w:cstheme="minorHAnsi"/>
          <w:iCs/>
          <w:szCs w:val="24"/>
        </w:rPr>
        <w:t>relatywnie</w:t>
      </w:r>
      <w:r w:rsidRPr="00FC6229">
        <w:rPr>
          <w:rFonts w:asciiTheme="minorHAnsi" w:hAnsiTheme="minorHAnsi" w:cstheme="minorHAnsi"/>
          <w:iCs/>
          <w:szCs w:val="24"/>
        </w:rPr>
        <w:t xml:space="preserve"> duże rozbieżności między regionami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w:t>
      </w:r>
      <w:r w:rsidR="0004738D" w:rsidRPr="00FC6229">
        <w:rPr>
          <w:rFonts w:asciiTheme="minorHAnsi" w:hAnsiTheme="minorHAnsi" w:cstheme="minorHAnsi"/>
          <w:iCs/>
          <w:szCs w:val="24"/>
        </w:rPr>
        <w:t>pod względem poziomu</w:t>
      </w:r>
      <w:r w:rsidRPr="00FC6229">
        <w:rPr>
          <w:rFonts w:asciiTheme="minorHAnsi" w:hAnsiTheme="minorHAnsi" w:cstheme="minorHAnsi"/>
          <w:iCs/>
          <w:szCs w:val="24"/>
        </w:rPr>
        <w:t xml:space="preserve"> rozwoju infrastruktury turystycznej. Warunki środowiskowe i klimatyczne </w:t>
      </w:r>
      <w:r w:rsidR="00A7083E" w:rsidRPr="00FC6229">
        <w:rPr>
          <w:rFonts w:asciiTheme="minorHAnsi" w:hAnsiTheme="minorHAnsi" w:cstheme="minorHAnsi"/>
          <w:iCs/>
          <w:szCs w:val="24"/>
        </w:rPr>
        <w:t>Obszaru</w:t>
      </w:r>
      <w:r w:rsidRPr="00FC6229">
        <w:rPr>
          <w:rFonts w:asciiTheme="minorHAnsi" w:hAnsiTheme="minorHAnsi" w:cstheme="minorHAnsi"/>
          <w:iCs/>
          <w:szCs w:val="24"/>
        </w:rPr>
        <w:t xml:space="preserve">, </w:t>
      </w:r>
      <w:r w:rsidR="0004738D" w:rsidRPr="00FC6229">
        <w:rPr>
          <w:rFonts w:asciiTheme="minorHAnsi" w:hAnsiTheme="minorHAnsi" w:cstheme="minorHAnsi"/>
          <w:iCs/>
          <w:szCs w:val="24"/>
        </w:rPr>
        <w:t>s</w:t>
      </w:r>
      <w:r w:rsidRPr="00FC6229">
        <w:rPr>
          <w:rFonts w:asciiTheme="minorHAnsi" w:hAnsiTheme="minorHAnsi" w:cstheme="minorHAnsi"/>
          <w:iCs/>
          <w:szCs w:val="24"/>
        </w:rPr>
        <w:t xml:space="preserve">tworzone </w:t>
      </w:r>
      <w:r w:rsidR="0004738D" w:rsidRPr="00FC6229">
        <w:rPr>
          <w:rFonts w:asciiTheme="minorHAnsi" w:hAnsiTheme="minorHAnsi" w:cstheme="minorHAnsi"/>
          <w:iCs/>
          <w:szCs w:val="24"/>
        </w:rPr>
        <w:t>dzięki</w:t>
      </w:r>
      <w:r w:rsidRPr="00FC6229">
        <w:rPr>
          <w:rFonts w:asciiTheme="minorHAnsi" w:hAnsiTheme="minorHAnsi" w:cstheme="minorHAnsi"/>
          <w:iCs/>
          <w:szCs w:val="24"/>
        </w:rPr>
        <w:t xml:space="preserve"> wpływ</w:t>
      </w:r>
      <w:r w:rsidR="0004738D" w:rsidRPr="00FC6229">
        <w:rPr>
          <w:rFonts w:asciiTheme="minorHAnsi" w:hAnsiTheme="minorHAnsi" w:cstheme="minorHAnsi"/>
          <w:iCs/>
          <w:szCs w:val="24"/>
        </w:rPr>
        <w:t>owi</w:t>
      </w:r>
      <w:r w:rsidRPr="00FC6229">
        <w:rPr>
          <w:rFonts w:asciiTheme="minorHAnsi" w:hAnsiTheme="minorHAnsi" w:cstheme="minorHAnsi"/>
          <w:iCs/>
          <w:szCs w:val="24"/>
        </w:rPr>
        <w:t xml:space="preserve"> wody morskiej, plaż i terenów zielonych, są obecnie wykorzystywane </w:t>
      </w:r>
      <w:r w:rsidR="0004738D" w:rsidRPr="00FC6229">
        <w:rPr>
          <w:rFonts w:asciiTheme="minorHAnsi" w:hAnsiTheme="minorHAnsi" w:cstheme="minorHAnsi"/>
          <w:iCs/>
          <w:szCs w:val="24"/>
        </w:rPr>
        <w:t xml:space="preserve">do tworzenia całorocznych ofert turystycznych </w:t>
      </w:r>
      <w:r w:rsidRPr="00FC6229">
        <w:rPr>
          <w:rFonts w:asciiTheme="minorHAnsi" w:hAnsiTheme="minorHAnsi" w:cstheme="minorHAnsi"/>
          <w:iCs/>
          <w:szCs w:val="24"/>
        </w:rPr>
        <w:t xml:space="preserve">jedynie w ograniczonym zakresie. Zrównoważone wykorzystanie </w:t>
      </w:r>
      <w:r w:rsidR="0004738D" w:rsidRPr="00FC6229">
        <w:rPr>
          <w:rFonts w:asciiTheme="minorHAnsi" w:hAnsiTheme="minorHAnsi" w:cstheme="minorHAnsi"/>
          <w:iCs/>
          <w:szCs w:val="24"/>
        </w:rPr>
        <w:t>dóbr</w:t>
      </w:r>
      <w:r w:rsidRPr="00FC6229">
        <w:rPr>
          <w:rFonts w:asciiTheme="minorHAnsi" w:hAnsiTheme="minorHAnsi" w:cstheme="minorHAnsi"/>
          <w:iCs/>
          <w:szCs w:val="24"/>
        </w:rPr>
        <w:t xml:space="preserve"> środowiskowych do budowania oferty turystycznej</w:t>
      </w:r>
      <w:r w:rsidR="0004738D" w:rsidRPr="00FC6229">
        <w:rPr>
          <w:rFonts w:asciiTheme="minorHAnsi" w:hAnsiTheme="minorHAnsi" w:cstheme="minorHAnsi"/>
          <w:iCs/>
          <w:szCs w:val="24"/>
        </w:rPr>
        <w:t xml:space="preserve"> przełamującej</w:t>
      </w:r>
      <w:r w:rsidRPr="00FC6229">
        <w:rPr>
          <w:rFonts w:asciiTheme="minorHAnsi" w:hAnsiTheme="minorHAnsi" w:cstheme="minorHAnsi"/>
          <w:iCs/>
          <w:szCs w:val="24"/>
        </w:rPr>
        <w:t xml:space="preserve"> sezonowoś</w:t>
      </w:r>
      <w:r w:rsidR="0004738D" w:rsidRPr="00FC6229">
        <w:rPr>
          <w:rFonts w:asciiTheme="minorHAnsi" w:hAnsiTheme="minorHAnsi" w:cstheme="minorHAnsi"/>
          <w:iCs/>
          <w:szCs w:val="24"/>
        </w:rPr>
        <w:t xml:space="preserve">ć </w:t>
      </w:r>
      <w:r w:rsidRPr="00FC6229">
        <w:rPr>
          <w:rFonts w:asciiTheme="minorHAnsi" w:hAnsiTheme="minorHAnsi" w:cstheme="minorHAnsi"/>
          <w:iCs/>
          <w:szCs w:val="24"/>
        </w:rPr>
        <w:t>w dziedzinie turystyki</w:t>
      </w:r>
      <w:r w:rsidR="0004738D" w:rsidRPr="00FC6229">
        <w:rPr>
          <w:rFonts w:asciiTheme="minorHAnsi" w:hAnsiTheme="minorHAnsi" w:cstheme="minorHAnsi"/>
          <w:iCs/>
          <w:szCs w:val="24"/>
        </w:rPr>
        <w:t xml:space="preserve"> </w:t>
      </w:r>
      <w:r w:rsidRPr="00FC6229">
        <w:rPr>
          <w:rFonts w:asciiTheme="minorHAnsi" w:hAnsiTheme="minorHAnsi" w:cstheme="minorHAnsi"/>
          <w:iCs/>
          <w:szCs w:val="24"/>
        </w:rPr>
        <w:t xml:space="preserve">może przyczynić się do rozwoju całego obszaru Programu. Obszar Południowego Bałtyku nie posiada wspólnego podejścia względem budowania zrównoważonego i innowacyjnego sektora turystyki, co pozwoliłoby w pełniejszym stopniu czerpać korzyści z turystycznego potencjału regionu. Dlatego też obszar Programu mógłby korzystać ze współpracy przy opracowywaniu wspólnego produktu turystycznego. Przyniosłoby to nie tylko korzyści ekonomiczne, ale także podniosłoby rangę </w:t>
      </w:r>
      <w:r w:rsidR="00A7083E" w:rsidRPr="00FC6229">
        <w:rPr>
          <w:rFonts w:asciiTheme="minorHAnsi" w:hAnsiTheme="minorHAnsi" w:cstheme="minorHAnsi"/>
          <w:iCs/>
          <w:szCs w:val="24"/>
        </w:rPr>
        <w:t xml:space="preserve">Obszaru Południowego Bałtyku </w:t>
      </w:r>
      <w:r w:rsidRPr="00FC6229">
        <w:rPr>
          <w:rFonts w:asciiTheme="minorHAnsi" w:hAnsiTheme="minorHAnsi" w:cstheme="minorHAnsi"/>
          <w:iCs/>
          <w:szCs w:val="24"/>
        </w:rPr>
        <w:t>jako bardziej atrakcyjnego miejsca docelowego dla turystów i – umożliwiając wprowadzenie bardziej zrównoważonych praktyk – przyczyniłoby się do zachowania wyjątkowego środowiska regionu.</w:t>
      </w:r>
    </w:p>
    <w:p w14:paraId="3AC4B8ED" w14:textId="2E44DCBC"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Obszar Południowego Bałtyku posiada strefę nadbrzeżną, a znaczne </w:t>
      </w:r>
      <w:r w:rsidR="0004738D" w:rsidRPr="00FC6229">
        <w:rPr>
          <w:rFonts w:asciiTheme="minorHAnsi" w:hAnsiTheme="minorHAnsi" w:cstheme="minorHAnsi"/>
          <w:iCs/>
          <w:szCs w:val="24"/>
        </w:rPr>
        <w:t>odcinki</w:t>
      </w:r>
      <w:r w:rsidRPr="00FC6229">
        <w:rPr>
          <w:rFonts w:asciiTheme="minorHAnsi" w:hAnsiTheme="minorHAnsi" w:cstheme="minorHAnsi"/>
          <w:iCs/>
          <w:szCs w:val="24"/>
        </w:rPr>
        <w:t xml:space="preserve"> kwalifikowalnego obszaru Programu mają dostęp do morza. Cechy te decydują o ogromnym potencjale regionu w zakresie rozwoju niebieskiej gospodarki w zrównoważony sposób, który umożliwia zachowanie równowagi ekosystemu Południowego Bałtyku. Niebieska gospodarka obejmuje wiele różnych sektorów (w tym transport morski, wydobywanie zasobów, turystykę i inne), z których wiele generuje znaczną wartość dodaną i zatrudnia znaczną część ludności krajów. </w:t>
      </w:r>
      <w:r w:rsidR="00940A56" w:rsidRPr="00FC6229">
        <w:rPr>
          <w:rFonts w:asciiTheme="minorHAnsi" w:hAnsiTheme="minorHAnsi" w:cstheme="minorHAnsi"/>
          <w:iCs/>
          <w:szCs w:val="24"/>
        </w:rPr>
        <w:t>Choć</w:t>
      </w:r>
      <w:r w:rsidRPr="00FC6229">
        <w:rPr>
          <w:rFonts w:asciiTheme="minorHAnsi" w:hAnsiTheme="minorHAnsi" w:cstheme="minorHAnsi"/>
          <w:iCs/>
          <w:szCs w:val="24"/>
        </w:rPr>
        <w:t xml:space="preserve"> niebieska gospodarka odgrywa ważną rolę w gospodarkach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w:t>
      </w:r>
      <w:r w:rsidR="00940A56" w:rsidRPr="00FC6229">
        <w:rPr>
          <w:rFonts w:asciiTheme="minorHAnsi" w:hAnsiTheme="minorHAnsi" w:cstheme="minorHAnsi"/>
          <w:iCs/>
          <w:szCs w:val="24"/>
        </w:rPr>
        <w:t xml:space="preserve">to </w:t>
      </w:r>
      <w:r w:rsidRPr="00FC6229">
        <w:rPr>
          <w:rFonts w:asciiTheme="minorHAnsi" w:hAnsiTheme="minorHAnsi" w:cstheme="minorHAnsi"/>
          <w:iCs/>
          <w:szCs w:val="24"/>
        </w:rPr>
        <w:t xml:space="preserve">praktykuje się również </w:t>
      </w:r>
      <w:r w:rsidR="00940A56" w:rsidRPr="00FC6229">
        <w:rPr>
          <w:rFonts w:asciiTheme="minorHAnsi" w:hAnsiTheme="minorHAnsi" w:cstheme="minorHAnsi"/>
          <w:iCs/>
          <w:szCs w:val="24"/>
        </w:rPr>
        <w:t>wiele</w:t>
      </w:r>
      <w:r w:rsidRPr="00FC6229">
        <w:rPr>
          <w:rFonts w:asciiTheme="minorHAnsi" w:hAnsiTheme="minorHAnsi" w:cstheme="minorHAnsi"/>
          <w:iCs/>
          <w:szCs w:val="24"/>
        </w:rPr>
        <w:t xml:space="preserve"> działań niezgodnych z zasadami zrównoważonego rozwoju. Jednym z nich jest nadmierna eksploatacja bałtyckich zasobów połowowych. Wzmocniona współpraca w celu rozwiązania tego problemu mogłaby umożliwić temu sektorowi czerpanie korzyści ze zrównoważonego rozwoju. Należy jednak zauważyć, że nadmierna eksploatacja bałtyckich zasobów połowowych wchodzi w zakres interwencji Europejskiego Funduszu Morskiego i Rybackiego.</w:t>
      </w:r>
    </w:p>
    <w:p w14:paraId="5189AD9C" w14:textId="42CBD6B8"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Obszar społeczny | Kluczowe wyzwania</w:t>
      </w:r>
    </w:p>
    <w:p w14:paraId="29D6177C" w14:textId="0BC696EC"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Ogólnie rzecz biorąc, obszar kwalifikowalny wykaz</w:t>
      </w:r>
      <w:r w:rsidR="00940A56" w:rsidRPr="00FC6229">
        <w:rPr>
          <w:rFonts w:asciiTheme="minorHAnsi" w:hAnsiTheme="minorHAnsi" w:cstheme="minorHAnsi"/>
          <w:iCs/>
          <w:szCs w:val="24"/>
        </w:rPr>
        <w:t>uje</w:t>
      </w:r>
      <w:r w:rsidRPr="00FC6229">
        <w:rPr>
          <w:rFonts w:asciiTheme="minorHAnsi" w:hAnsiTheme="minorHAnsi" w:cstheme="minorHAnsi"/>
          <w:iCs/>
          <w:szCs w:val="24"/>
        </w:rPr>
        <w:t xml:space="preserve"> tendencję wzrostową w zakresie liczby ludności. Jednocześnie </w:t>
      </w:r>
      <w:r w:rsidR="00940A56" w:rsidRPr="00FC6229">
        <w:rPr>
          <w:rFonts w:asciiTheme="minorHAnsi" w:hAnsiTheme="minorHAnsi" w:cstheme="minorHAnsi"/>
          <w:iCs/>
          <w:szCs w:val="24"/>
        </w:rPr>
        <w:t xml:space="preserve">obszar </w:t>
      </w:r>
      <w:r w:rsidRPr="00FC6229">
        <w:rPr>
          <w:rFonts w:asciiTheme="minorHAnsi" w:hAnsiTheme="minorHAnsi" w:cstheme="minorHAnsi"/>
          <w:iCs/>
          <w:szCs w:val="24"/>
        </w:rPr>
        <w:t xml:space="preserve">kwalifikowalny doświadczył napływu imigrantów, a średni wskaźnik migracji netto kształtuje się na poziomie 2.08%. Najwyższy poziom migracji wewnętrznej można zaobserwować w dwóch szwedzkich regionach (wskaźnik 10.3). Średni wskaźnik przyrostu naturalnego na obszarze </w:t>
      </w:r>
      <w:r w:rsidR="00940A56" w:rsidRPr="00FC6229">
        <w:rPr>
          <w:rFonts w:asciiTheme="minorHAnsi" w:hAnsiTheme="minorHAnsi" w:cstheme="minorHAnsi"/>
          <w:iCs/>
          <w:szCs w:val="24"/>
        </w:rPr>
        <w:t xml:space="preserve">kwalifikowalnym </w:t>
      </w:r>
      <w:r w:rsidRPr="00FC6229">
        <w:rPr>
          <w:rFonts w:asciiTheme="minorHAnsi" w:hAnsiTheme="minorHAnsi" w:cstheme="minorHAnsi"/>
          <w:iCs/>
          <w:szCs w:val="24"/>
        </w:rPr>
        <w:t>pozostaje jednak ujemny (-1.92%). Jednakże tendencje w poszczególnych regionach były zróżnicowane, a niektóre podregiony wykazują ujemne wskaźniki wzrostu. Regiony wiejskie mają tendencję do najsilniejszego wyludniania się – jest to tendencja bezpośrednio związana z ciągłą migracją z obszarów wiejsko-miejskich do ośrodków miejskich, w tym do kluczowych miast na obszarze</w:t>
      </w:r>
      <w:r w:rsidR="00940A56" w:rsidRPr="00FC6229">
        <w:rPr>
          <w:rFonts w:asciiTheme="minorHAnsi" w:hAnsiTheme="minorHAnsi" w:cstheme="minorHAnsi"/>
          <w:iCs/>
          <w:szCs w:val="24"/>
        </w:rPr>
        <w:t xml:space="preserve"> kwalifikowalnym</w:t>
      </w:r>
      <w:r w:rsidRPr="00FC6229">
        <w:rPr>
          <w:rFonts w:asciiTheme="minorHAnsi" w:hAnsiTheme="minorHAnsi" w:cstheme="minorHAnsi"/>
          <w:iCs/>
          <w:szCs w:val="24"/>
        </w:rPr>
        <w:t>, które odnotowały dodatni wzrost.</w:t>
      </w:r>
    </w:p>
    <w:p w14:paraId="154FB369" w14:textId="0DF36F56"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Struktura społeczeństwa w Obszarze Południowego Bałtyku ulega zmianie. Z jednej strony, ze względu na rozwój nauk medycznych i niższą wartość wskaźnika urodzeń, jego społeczeństwo starzeje się. Jest to wyzwanie, które pociąga za sobą obowiązek dostosowania rynku pracy, polityki społecznej, a także przestrzeni publicznych i budynków mieszkalnych. Obejmuje również aspekty związane z rosnącą liczbą osób </w:t>
      </w:r>
      <w:r w:rsidR="00940A56" w:rsidRPr="00FC6229">
        <w:rPr>
          <w:rFonts w:asciiTheme="minorHAnsi" w:hAnsiTheme="minorHAnsi" w:cstheme="minorHAnsi"/>
          <w:iCs/>
          <w:szCs w:val="24"/>
        </w:rPr>
        <w:t xml:space="preserve">z </w:t>
      </w:r>
      <w:r w:rsidRPr="00FC6229">
        <w:rPr>
          <w:rFonts w:asciiTheme="minorHAnsi" w:hAnsiTheme="minorHAnsi" w:cstheme="minorHAnsi"/>
          <w:iCs/>
          <w:szCs w:val="24"/>
        </w:rPr>
        <w:t>niepełnosprawn</w:t>
      </w:r>
      <w:r w:rsidR="00940A56" w:rsidRPr="00FC6229">
        <w:rPr>
          <w:rFonts w:asciiTheme="minorHAnsi" w:hAnsiTheme="minorHAnsi" w:cstheme="minorHAnsi"/>
          <w:iCs/>
          <w:szCs w:val="24"/>
        </w:rPr>
        <w:t>ościami</w:t>
      </w:r>
      <w:r w:rsidRPr="00FC6229">
        <w:rPr>
          <w:rFonts w:asciiTheme="minorHAnsi" w:hAnsiTheme="minorHAnsi" w:cstheme="minorHAnsi"/>
          <w:iCs/>
          <w:szCs w:val="24"/>
        </w:rPr>
        <w:footnoteReference w:id="2"/>
      </w:r>
      <w:r w:rsidRPr="00FC6229">
        <w:rPr>
          <w:rFonts w:asciiTheme="minorHAnsi" w:hAnsiTheme="minorHAnsi" w:cstheme="minorHAnsi"/>
          <w:iCs/>
          <w:szCs w:val="24"/>
        </w:rPr>
        <w:t xml:space="preserve">. Z drugiej strony exodus studentów z Obszaru Południowego Bałtyku do innych regionów, które często oferują lepsze możliwości finansowe i rozwojowe, powoduje utratę dobrze wykształconych młodych ludzi, którzy mogą potencjalnie wzmocnić lokalny rynek pracy. Zjawisko to jest szczególnie widoczne na obszarach wiejskich, jak również w podregionach położonych w pobliżu większych ośrodków miejskich. </w:t>
      </w:r>
    </w:p>
    <w:p w14:paraId="2DA281F0" w14:textId="597A7283"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Choć </w:t>
      </w:r>
      <w:r w:rsidR="00940A56" w:rsidRPr="00FC6229">
        <w:rPr>
          <w:rFonts w:asciiTheme="minorHAnsi" w:hAnsiTheme="minorHAnsi" w:cstheme="minorHAnsi"/>
          <w:iCs/>
          <w:szCs w:val="24"/>
        </w:rPr>
        <w:t xml:space="preserve">w dziedzinie edukacji </w:t>
      </w:r>
      <w:r w:rsidRPr="00FC6229">
        <w:rPr>
          <w:rFonts w:asciiTheme="minorHAnsi" w:hAnsiTheme="minorHAnsi" w:cstheme="minorHAnsi"/>
          <w:iCs/>
          <w:szCs w:val="24"/>
        </w:rPr>
        <w:t xml:space="preserve">istnieje znaczne pole do współpracy, systemy edukacyjne w Obszarze Południowego Bałtyku różnią się w dużej mierze w zależności od rozwiązań przyjętych na szczeblu krajowym. W szczególności koncepcja kształcenia ustawicznego nie jest </w:t>
      </w:r>
      <w:r w:rsidR="00745562" w:rsidRPr="00FC6229">
        <w:rPr>
          <w:rFonts w:asciiTheme="minorHAnsi" w:hAnsiTheme="minorHAnsi" w:cstheme="minorHAnsi"/>
          <w:iCs/>
          <w:szCs w:val="24"/>
        </w:rPr>
        <w:t>w spójny sposób</w:t>
      </w:r>
      <w:r w:rsidRPr="00FC6229">
        <w:rPr>
          <w:rFonts w:asciiTheme="minorHAnsi" w:hAnsiTheme="minorHAnsi" w:cstheme="minorHAnsi"/>
          <w:iCs/>
          <w:szCs w:val="24"/>
        </w:rPr>
        <w:t xml:space="preserve"> popularna w całym regionie, a poziom wykształcenia wyższego jest zróżnicowany, chociaż nadal przekracza średnią UE wynoszącą 40%. Obszar kwalifikowalny to siedziba wielu renomowanych instytucji edukacyjnych, które – choć w ograniczonym zakresie – są już powiązane </w:t>
      </w:r>
      <w:r w:rsidR="00745562" w:rsidRPr="00FC6229">
        <w:rPr>
          <w:rFonts w:asciiTheme="minorHAnsi" w:hAnsiTheme="minorHAnsi" w:cstheme="minorHAnsi"/>
          <w:iCs/>
          <w:szCs w:val="24"/>
        </w:rPr>
        <w:t>dzięki</w:t>
      </w:r>
      <w:r w:rsidRPr="00FC6229">
        <w:rPr>
          <w:rFonts w:asciiTheme="minorHAnsi" w:hAnsiTheme="minorHAnsi" w:cstheme="minorHAnsi"/>
          <w:iCs/>
          <w:szCs w:val="24"/>
        </w:rPr>
        <w:t xml:space="preserve"> regionaln</w:t>
      </w:r>
      <w:r w:rsidR="00745562" w:rsidRPr="00FC6229">
        <w:rPr>
          <w:rFonts w:asciiTheme="minorHAnsi" w:hAnsiTheme="minorHAnsi" w:cstheme="minorHAnsi"/>
          <w:iCs/>
          <w:szCs w:val="24"/>
        </w:rPr>
        <w:t>ym</w:t>
      </w:r>
      <w:r w:rsidRPr="00FC6229">
        <w:rPr>
          <w:rFonts w:asciiTheme="minorHAnsi" w:hAnsiTheme="minorHAnsi" w:cstheme="minorHAnsi"/>
          <w:iCs/>
          <w:szCs w:val="24"/>
        </w:rPr>
        <w:t xml:space="preserve"> i międzynarodow</w:t>
      </w:r>
      <w:r w:rsidR="00745562" w:rsidRPr="00FC6229">
        <w:rPr>
          <w:rFonts w:asciiTheme="minorHAnsi" w:hAnsiTheme="minorHAnsi" w:cstheme="minorHAnsi"/>
          <w:iCs/>
          <w:szCs w:val="24"/>
        </w:rPr>
        <w:t>ym</w:t>
      </w:r>
      <w:r w:rsidRPr="00FC6229">
        <w:rPr>
          <w:rFonts w:asciiTheme="minorHAnsi" w:hAnsiTheme="minorHAnsi" w:cstheme="minorHAnsi"/>
          <w:iCs/>
          <w:szCs w:val="24"/>
        </w:rPr>
        <w:t xml:space="preserve"> sieci</w:t>
      </w:r>
      <w:r w:rsidR="00745562" w:rsidRPr="00FC6229">
        <w:rPr>
          <w:rFonts w:asciiTheme="minorHAnsi" w:hAnsiTheme="minorHAnsi" w:cstheme="minorHAnsi"/>
          <w:iCs/>
          <w:szCs w:val="24"/>
        </w:rPr>
        <w:t xml:space="preserve">om </w:t>
      </w:r>
      <w:r w:rsidRPr="00FC6229">
        <w:rPr>
          <w:rFonts w:asciiTheme="minorHAnsi" w:hAnsiTheme="minorHAnsi" w:cstheme="minorHAnsi"/>
          <w:iCs/>
          <w:szCs w:val="24"/>
        </w:rPr>
        <w:t xml:space="preserve">współpracy. Współpraca i relatywnie silna spójność oferty edukacyjnej (zwłaszcza w dziedzinach związanych z niebieskim i zielonym przemysłem, które mają duże znaczenie dla gospodarki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stanowią istotny atut w rozwoju współpracy transgranicznej.</w:t>
      </w:r>
    </w:p>
    <w:p w14:paraId="4E5F8FE8" w14:textId="00FA564A"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Choć Obszar Południowego Bałtyku charakteryzuje się różnorodnością kulturową, to region ten posiada jednak ważne wspólne dziedzictwo, odciskające swoje piętno na wspólnych doświadczeniach i wpływach historycznych w dalszym ciągu kształtujących współczesny profil kulturowy regionu. Wspólne doświadczenia historyczne i bliskość morza doprowadziły do rozwoju wspólnych elementów kulturowych, a także do położenia nacisku na doświadczenia historyczne związane z rozwojem sektora morskiego w niemal wszystkich podregionach </w:t>
      </w:r>
      <w:r w:rsidR="00A7083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Co więcej, </w:t>
      </w:r>
      <w:r w:rsidR="00745562" w:rsidRPr="00FC6229">
        <w:rPr>
          <w:rFonts w:asciiTheme="minorHAnsi" w:hAnsiTheme="minorHAnsi" w:cstheme="minorHAnsi"/>
          <w:iCs/>
          <w:szCs w:val="24"/>
        </w:rPr>
        <w:t xml:space="preserve">obszar </w:t>
      </w:r>
      <w:r w:rsidRPr="00FC6229">
        <w:rPr>
          <w:rFonts w:asciiTheme="minorHAnsi" w:hAnsiTheme="minorHAnsi" w:cstheme="minorHAnsi"/>
          <w:iCs/>
          <w:szCs w:val="24"/>
        </w:rPr>
        <w:t>kwalifikowalny Programu to siedziba wielu renomowanych instytucji kulturalnych, które przyciągają uwagę zarówno na poziomie regionalnym, jak i międzynarodowym</w:t>
      </w:r>
      <w:r w:rsidR="00745562" w:rsidRPr="00FC6229">
        <w:rPr>
          <w:rFonts w:asciiTheme="minorHAnsi" w:hAnsiTheme="minorHAnsi" w:cstheme="minorHAnsi"/>
          <w:iCs/>
          <w:szCs w:val="24"/>
        </w:rPr>
        <w:t xml:space="preserve">, a także </w:t>
      </w:r>
      <w:r w:rsidRPr="00FC6229">
        <w:rPr>
          <w:rFonts w:asciiTheme="minorHAnsi" w:hAnsiTheme="minorHAnsi" w:cstheme="minorHAnsi"/>
          <w:iCs/>
          <w:szCs w:val="24"/>
        </w:rPr>
        <w:t>odwiedzających, zwiększając potencjał turystyczny podregionów.</w:t>
      </w:r>
    </w:p>
    <w:p w14:paraId="43208834"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Obszar środowiskowy i infrastrukturalny | Kluczowe wyzwania</w:t>
      </w:r>
    </w:p>
    <w:p w14:paraId="52161353" w14:textId="0216BD8D"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Mimo że osiągnięto znaczne postępy w celu sprostania najpilniejszym wyzwaniom w zakresie ochrony środowiska, przed którymi stoją Obszary Południowego Bałtyku, zwiększona współpraca ma kluczowe znaczenie dla ochrony wyjątkowego środowiska regionu i wyeliminowania praktyk niezgodnych </w:t>
      </w:r>
      <w:r w:rsidR="005845F1" w:rsidRPr="00FC6229">
        <w:rPr>
          <w:rFonts w:asciiTheme="minorHAnsi" w:hAnsiTheme="minorHAnsi" w:cstheme="minorHAnsi"/>
          <w:iCs/>
          <w:szCs w:val="24"/>
        </w:rPr>
        <w:t>z zasadami</w:t>
      </w:r>
      <w:r w:rsidRPr="00FC6229">
        <w:rPr>
          <w:rFonts w:asciiTheme="minorHAnsi" w:hAnsiTheme="minorHAnsi" w:cstheme="minorHAnsi"/>
          <w:iCs/>
          <w:szCs w:val="24"/>
        </w:rPr>
        <w:t xml:space="preserve"> zrównoważon</w:t>
      </w:r>
      <w:r w:rsidR="005845F1" w:rsidRPr="00FC6229">
        <w:rPr>
          <w:rFonts w:asciiTheme="minorHAnsi" w:hAnsiTheme="minorHAnsi" w:cstheme="minorHAnsi"/>
          <w:iCs/>
          <w:szCs w:val="24"/>
        </w:rPr>
        <w:t>ego</w:t>
      </w:r>
      <w:r w:rsidRPr="00FC6229">
        <w:rPr>
          <w:rFonts w:asciiTheme="minorHAnsi" w:hAnsiTheme="minorHAnsi" w:cstheme="minorHAnsi"/>
          <w:iCs/>
          <w:szCs w:val="24"/>
        </w:rPr>
        <w:t xml:space="preserve"> rozwoj</w:t>
      </w:r>
      <w:r w:rsidR="005845F1" w:rsidRPr="00FC6229">
        <w:rPr>
          <w:rFonts w:asciiTheme="minorHAnsi" w:hAnsiTheme="minorHAnsi" w:cstheme="minorHAnsi"/>
          <w:iCs/>
          <w:szCs w:val="24"/>
        </w:rPr>
        <w:t>u</w:t>
      </w:r>
      <w:r w:rsidRPr="00FC6229">
        <w:rPr>
          <w:rFonts w:asciiTheme="minorHAnsi" w:hAnsiTheme="minorHAnsi" w:cstheme="minorHAnsi"/>
          <w:iCs/>
          <w:szCs w:val="24"/>
        </w:rPr>
        <w:t xml:space="preserve">. </w:t>
      </w:r>
      <w:r w:rsidR="005845F1" w:rsidRPr="00FC6229">
        <w:rPr>
          <w:rFonts w:asciiTheme="minorHAnsi" w:hAnsiTheme="minorHAnsi" w:cstheme="minorHAnsi"/>
          <w:iCs/>
          <w:szCs w:val="24"/>
        </w:rPr>
        <w:t>Z</w:t>
      </w:r>
      <w:r w:rsidRPr="00FC6229">
        <w:rPr>
          <w:rFonts w:asciiTheme="minorHAnsi" w:hAnsiTheme="minorHAnsi" w:cstheme="minorHAnsi"/>
          <w:iCs/>
          <w:szCs w:val="24"/>
        </w:rPr>
        <w:t xml:space="preserve">miana klimatu stanowi </w:t>
      </w:r>
      <w:r w:rsidR="005845F1" w:rsidRPr="00FC6229">
        <w:rPr>
          <w:rFonts w:asciiTheme="minorHAnsi" w:hAnsiTheme="minorHAnsi" w:cstheme="minorHAnsi"/>
          <w:iCs/>
          <w:szCs w:val="24"/>
        </w:rPr>
        <w:t xml:space="preserve">szczególnie </w:t>
      </w:r>
      <w:r w:rsidRPr="00FC6229">
        <w:rPr>
          <w:rFonts w:asciiTheme="minorHAnsi" w:hAnsiTheme="minorHAnsi" w:cstheme="minorHAnsi"/>
          <w:iCs/>
          <w:szCs w:val="24"/>
        </w:rPr>
        <w:t xml:space="preserve">poważne zagrożenie dla regionu. Oprócz innych negatywnych skutków przyczynia się ona do wzrostu poziomu morza, co może prowadzić do powodzi na nizinach i obniżonych obszarach w regionie. Ponadto </w:t>
      </w:r>
      <w:r w:rsidR="005845F1" w:rsidRPr="00FC6229">
        <w:rPr>
          <w:rFonts w:asciiTheme="minorHAnsi" w:hAnsiTheme="minorHAnsi" w:cstheme="minorHAnsi"/>
          <w:iCs/>
          <w:szCs w:val="24"/>
        </w:rPr>
        <w:t xml:space="preserve">co dziesięć lat </w:t>
      </w:r>
      <w:r w:rsidRPr="00FC6229">
        <w:rPr>
          <w:rFonts w:asciiTheme="minorHAnsi" w:hAnsiTheme="minorHAnsi" w:cstheme="minorHAnsi"/>
          <w:iCs/>
          <w:szCs w:val="24"/>
        </w:rPr>
        <w:t xml:space="preserve">średnia temperatura wody w Morzu Bałtyckim wzrasta średnio o około 0.40°C, zagrażając bioróżnorodności. W istocie większość Morza Bałtyckiego została oceniona jako „Umiarkowana” lub „Słaba” w odniesieniu do bioróżnorodności i dlatego została zaklasyfikowana jako obszar problematyczny. Jednocześnie Morze Bałtyckie znajduje się w krytycznej sytuacji pod względem eutrofizacji i poziomów zanieczyszczenia. Poziom eutrofizacji wynosi 87%, jest to najwyższy poziom eutrofizacji wśród mórz europejskich </w:t>
      </w:r>
      <w:r w:rsidR="005845F1" w:rsidRPr="00FC6229">
        <w:rPr>
          <w:rFonts w:asciiTheme="minorHAnsi" w:hAnsiTheme="minorHAnsi" w:cstheme="minorHAnsi"/>
          <w:iCs/>
          <w:szCs w:val="24"/>
        </w:rPr>
        <w:t xml:space="preserve">stwierdzony </w:t>
      </w:r>
      <w:r w:rsidRPr="00FC6229">
        <w:rPr>
          <w:rFonts w:asciiTheme="minorHAnsi" w:hAnsiTheme="minorHAnsi" w:cstheme="minorHAnsi"/>
          <w:iCs/>
          <w:szCs w:val="24"/>
        </w:rPr>
        <w:t xml:space="preserve">w 2019. Choć zanieczyszczenia są przede wszystkim odprowadzane do morza z brzegu, to zanieczyszczenia skumulowane w morzu – w tym odprowadzane ze statków morskich i spowodowane przez zatopioną amunicję – nadal stanowią poważny problem. Takie problemy środowiskowe stanowią znaczące wspólne wyzwania stojące przed tym regionem. Poziom morza i powodzie to nie tylko zagrożenia dla bezpieczeństwa środowiskowego w regionie – widoczne są również inne negatywne zjawiska, np. wpływ zmian klimatu na uprawy, susza, niedobory </w:t>
      </w:r>
      <w:r w:rsidR="005845F1" w:rsidRPr="00FC6229">
        <w:rPr>
          <w:rFonts w:asciiTheme="minorHAnsi" w:hAnsiTheme="minorHAnsi" w:cstheme="minorHAnsi"/>
          <w:iCs/>
          <w:szCs w:val="24"/>
        </w:rPr>
        <w:t>dostaw wody</w:t>
      </w:r>
      <w:r w:rsidRPr="00FC6229">
        <w:rPr>
          <w:rFonts w:asciiTheme="minorHAnsi" w:hAnsiTheme="minorHAnsi" w:cstheme="minorHAnsi"/>
          <w:iCs/>
          <w:szCs w:val="24"/>
        </w:rPr>
        <w:t xml:space="preserve"> oraz zanieczyszczenie substancjami chemicznymi i tworzywami sztucznymi.</w:t>
      </w:r>
    </w:p>
    <w:p w14:paraId="33F0283A" w14:textId="59C6EAD6"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Mimo że na kwalifikowalnym obszarze eksploatowane są różne źródła produkcji odnawialnej, warto zauważyć znaczny potencjał regionu w zakresie rozwoju sektorów wytwarzających (i) energię wiatrową, (ii) bioenergię oraz (iii) energię słoneczną. Ponadto </w:t>
      </w:r>
      <w:r w:rsidR="00A7083E" w:rsidRPr="00FC6229">
        <w:rPr>
          <w:rFonts w:asciiTheme="minorHAnsi" w:hAnsiTheme="minorHAnsi" w:cstheme="minorHAnsi"/>
          <w:iCs/>
          <w:szCs w:val="24"/>
        </w:rPr>
        <w:t>Obszar Południowego Bałtyku</w:t>
      </w:r>
      <w:r w:rsidRPr="00FC6229">
        <w:rPr>
          <w:rFonts w:asciiTheme="minorHAnsi" w:hAnsiTheme="minorHAnsi" w:cstheme="minorHAnsi"/>
          <w:iCs/>
          <w:szCs w:val="24"/>
        </w:rPr>
        <w:t xml:space="preserve"> </w:t>
      </w:r>
      <w:r w:rsidR="00684EB1" w:rsidRPr="00FC6229">
        <w:rPr>
          <w:rFonts w:asciiTheme="minorHAnsi" w:hAnsiTheme="minorHAnsi" w:cstheme="minorHAnsi"/>
          <w:iCs/>
          <w:szCs w:val="24"/>
        </w:rPr>
        <w:t>dysponuje</w:t>
      </w:r>
      <w:r w:rsidRPr="00FC6229">
        <w:rPr>
          <w:rFonts w:asciiTheme="minorHAnsi" w:hAnsiTheme="minorHAnsi" w:cstheme="minorHAnsi"/>
          <w:iCs/>
          <w:szCs w:val="24"/>
        </w:rPr>
        <w:t xml:space="preserve"> potencjał</w:t>
      </w:r>
      <w:r w:rsidR="00684EB1" w:rsidRPr="00FC6229">
        <w:rPr>
          <w:rFonts w:asciiTheme="minorHAnsi" w:hAnsiTheme="minorHAnsi" w:cstheme="minorHAnsi"/>
          <w:iCs/>
          <w:szCs w:val="24"/>
        </w:rPr>
        <w:t>em w zakresie</w:t>
      </w:r>
      <w:r w:rsidRPr="00FC6229">
        <w:rPr>
          <w:rFonts w:asciiTheme="minorHAnsi" w:hAnsiTheme="minorHAnsi" w:cstheme="minorHAnsi"/>
          <w:iCs/>
          <w:szCs w:val="24"/>
        </w:rPr>
        <w:t xml:space="preserve"> wytwarzania energii fal. Jednakże zróżnicowane i często niestabilne warunki panujące na Morzu Bałtyckim – które różnią się zarówno pod względem regionalnym, jak i w zależności od pory roku – tworzą przeszkody dla rozwoju w tym zakresie. Wybór odpowiedniego rodzaju technologii i dostosowanie jej do warunków lokalnych może zapewnić optymalną produkcję energii fal. Niemniej jednak, choć zdolności produkcyjne w zakresie energii odnawialnej w całym regionie regularnie rosną, to nadal </w:t>
      </w:r>
      <w:r w:rsidR="00684EB1" w:rsidRPr="00FC6229">
        <w:rPr>
          <w:rFonts w:asciiTheme="minorHAnsi" w:hAnsiTheme="minorHAnsi" w:cstheme="minorHAnsi"/>
          <w:iCs/>
          <w:szCs w:val="24"/>
        </w:rPr>
        <w:t>jest</w:t>
      </w:r>
      <w:r w:rsidRPr="00FC6229">
        <w:rPr>
          <w:rFonts w:asciiTheme="minorHAnsi" w:hAnsiTheme="minorHAnsi" w:cstheme="minorHAnsi"/>
          <w:iCs/>
          <w:szCs w:val="24"/>
        </w:rPr>
        <w:t xml:space="preserve"> miejsce na dalszy rozwój i wspólne działania. W szczególności brak odpowiednich zdolności i obiektów do magazynowania energii odnawialnej w kilku regionach może spowolnić tempo wzrostu produkcji czystej energii. Istnieje również </w:t>
      </w:r>
      <w:r w:rsidR="00684EB1" w:rsidRPr="00FC6229">
        <w:rPr>
          <w:rFonts w:asciiTheme="minorHAnsi" w:hAnsiTheme="minorHAnsi" w:cstheme="minorHAnsi"/>
          <w:iCs/>
          <w:szCs w:val="24"/>
        </w:rPr>
        <w:t>konieczność obsługiwania przez</w:t>
      </w:r>
      <w:r w:rsidRPr="00FC6229">
        <w:rPr>
          <w:rFonts w:asciiTheme="minorHAnsi" w:hAnsiTheme="minorHAnsi" w:cstheme="minorHAnsi"/>
          <w:iCs/>
          <w:szCs w:val="24"/>
        </w:rPr>
        <w:t xml:space="preserve"> system nieregularn</w:t>
      </w:r>
      <w:r w:rsidR="00684EB1" w:rsidRPr="00FC6229">
        <w:rPr>
          <w:rFonts w:asciiTheme="minorHAnsi" w:hAnsiTheme="minorHAnsi" w:cstheme="minorHAnsi"/>
          <w:iCs/>
          <w:szCs w:val="24"/>
        </w:rPr>
        <w:t>ych</w:t>
      </w:r>
      <w:r w:rsidRPr="00FC6229">
        <w:rPr>
          <w:rFonts w:asciiTheme="minorHAnsi" w:hAnsiTheme="minorHAnsi" w:cstheme="minorHAnsi"/>
          <w:iCs/>
          <w:szCs w:val="24"/>
        </w:rPr>
        <w:t xml:space="preserve"> przepływ</w:t>
      </w:r>
      <w:r w:rsidR="00684EB1" w:rsidRPr="00FC6229">
        <w:rPr>
          <w:rFonts w:asciiTheme="minorHAnsi" w:hAnsiTheme="minorHAnsi" w:cstheme="minorHAnsi"/>
          <w:iCs/>
          <w:szCs w:val="24"/>
        </w:rPr>
        <w:t>ów</w:t>
      </w:r>
      <w:r w:rsidRPr="00FC6229">
        <w:rPr>
          <w:rFonts w:asciiTheme="minorHAnsi" w:hAnsiTheme="minorHAnsi" w:cstheme="minorHAnsi"/>
          <w:iCs/>
          <w:szCs w:val="24"/>
        </w:rPr>
        <w:t xml:space="preserve"> </w:t>
      </w:r>
      <w:r w:rsidR="00684EB1" w:rsidRPr="00FC6229">
        <w:rPr>
          <w:rFonts w:asciiTheme="minorHAnsi" w:hAnsiTheme="minorHAnsi" w:cstheme="minorHAnsi"/>
          <w:iCs/>
          <w:szCs w:val="24"/>
        </w:rPr>
        <w:t>energii</w:t>
      </w:r>
      <w:r w:rsidRPr="00FC6229">
        <w:rPr>
          <w:rFonts w:asciiTheme="minorHAnsi" w:hAnsiTheme="minorHAnsi" w:cstheme="minorHAnsi"/>
          <w:iCs/>
          <w:szCs w:val="24"/>
        </w:rPr>
        <w:t xml:space="preserve"> z wielu małych jednostek produkcyjnych, zwłaszcza na obszarach wiejskich. </w:t>
      </w:r>
    </w:p>
    <w:p w14:paraId="1F440114" w14:textId="145ED6B0"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Każdy region w ramach </w:t>
      </w:r>
      <w:r w:rsidR="00A3526E" w:rsidRPr="00FC6229">
        <w:rPr>
          <w:rFonts w:asciiTheme="minorHAnsi" w:hAnsiTheme="minorHAnsi" w:cstheme="minorHAnsi"/>
          <w:iCs/>
          <w:szCs w:val="24"/>
        </w:rPr>
        <w:t xml:space="preserve">Obszaru Południowego Bałtyku </w:t>
      </w:r>
      <w:r w:rsidRPr="00FC6229">
        <w:rPr>
          <w:rFonts w:asciiTheme="minorHAnsi" w:hAnsiTheme="minorHAnsi" w:cstheme="minorHAnsi"/>
          <w:iCs/>
          <w:szCs w:val="24"/>
        </w:rPr>
        <w:t xml:space="preserve">posiada odrębną politykę w zakresie kwestii środowiskowych. Utrudnia to możliwości </w:t>
      </w:r>
      <w:r w:rsidR="00684EB1" w:rsidRPr="00FC6229">
        <w:rPr>
          <w:rFonts w:asciiTheme="minorHAnsi" w:hAnsiTheme="minorHAnsi" w:cstheme="minorHAnsi"/>
          <w:iCs/>
          <w:szCs w:val="24"/>
        </w:rPr>
        <w:t>wykorzystywania</w:t>
      </w:r>
      <w:r w:rsidRPr="00FC6229">
        <w:rPr>
          <w:rFonts w:asciiTheme="minorHAnsi" w:hAnsiTheme="minorHAnsi" w:cstheme="minorHAnsi"/>
          <w:iCs/>
          <w:szCs w:val="24"/>
        </w:rPr>
        <w:t xml:space="preserve"> efektu synergii wynikającego z sąsiadującego położenia regionów oraz przeprowadzania wspólnych działań na rzecz ochrony środowiska i budowania marki </w:t>
      </w:r>
      <w:r w:rsidR="00A3526E" w:rsidRPr="00FC6229">
        <w:rPr>
          <w:rFonts w:asciiTheme="minorHAnsi" w:hAnsiTheme="minorHAnsi" w:cstheme="minorHAnsi"/>
          <w:iCs/>
          <w:szCs w:val="24"/>
        </w:rPr>
        <w:t xml:space="preserve">Obszaru Południowego Bałtyku </w:t>
      </w:r>
      <w:r w:rsidRPr="00FC6229">
        <w:rPr>
          <w:rFonts w:asciiTheme="minorHAnsi" w:hAnsiTheme="minorHAnsi" w:cstheme="minorHAnsi"/>
          <w:iCs/>
          <w:szCs w:val="24"/>
        </w:rPr>
        <w:t xml:space="preserve">(jako lidera we wdrażaniu ekologicznych i zielonych rozwiązań). Wyzwanie wiąże się również z koniecznością udoskonalenia produkcji i dystrybucji paliw odnawialnych, w tym budowy odpowiedniej infrastruktury (np. stacji ładowania). </w:t>
      </w:r>
    </w:p>
    <w:p w14:paraId="0EEA2519" w14:textId="515A8799"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Obszar Programu charakteryzuje się dobrze rozwiniętą krajową i regionalną siecią komunikacyjną, a także obecnością kilku węzłów transportu multimodalnego, zapewniających dostęp do transportu morskiego, lądowego i lotniczego. W latach 2006-2016 </w:t>
      </w:r>
      <w:r w:rsidR="00A3526E" w:rsidRPr="00FC6229">
        <w:rPr>
          <w:rFonts w:asciiTheme="minorHAnsi" w:hAnsiTheme="minorHAnsi" w:cstheme="minorHAnsi"/>
          <w:iCs/>
          <w:szCs w:val="24"/>
        </w:rPr>
        <w:t xml:space="preserve">Obszar Południowego Bałtyku </w:t>
      </w:r>
      <w:r w:rsidRPr="00FC6229">
        <w:rPr>
          <w:rFonts w:asciiTheme="minorHAnsi" w:hAnsiTheme="minorHAnsi" w:cstheme="minorHAnsi"/>
          <w:iCs/>
          <w:szCs w:val="24"/>
        </w:rPr>
        <w:t xml:space="preserve">odnotował wzrost poziomów dostępności, </w:t>
      </w:r>
      <w:r w:rsidR="00684EB1" w:rsidRPr="00FC6229">
        <w:rPr>
          <w:rFonts w:asciiTheme="minorHAnsi" w:hAnsiTheme="minorHAnsi" w:cstheme="minorHAnsi"/>
          <w:iCs/>
          <w:szCs w:val="24"/>
        </w:rPr>
        <w:t>choć</w:t>
      </w:r>
      <w:r w:rsidRPr="00FC6229">
        <w:rPr>
          <w:rFonts w:asciiTheme="minorHAnsi" w:hAnsiTheme="minorHAnsi" w:cstheme="minorHAnsi"/>
          <w:iCs/>
          <w:szCs w:val="24"/>
        </w:rPr>
        <w:t xml:space="preserve"> wskaźniki dostępności nadal różnią się w zależności od regionu. Kluczowe wyzwania związane z transportem i dostępnością obejmują rozbieżności między systemami </w:t>
      </w:r>
      <w:r w:rsidR="00684EB1" w:rsidRPr="00FC6229">
        <w:rPr>
          <w:rFonts w:asciiTheme="minorHAnsi" w:hAnsiTheme="minorHAnsi" w:cstheme="minorHAnsi"/>
          <w:iCs/>
          <w:szCs w:val="24"/>
        </w:rPr>
        <w:t>transportowymi</w:t>
      </w:r>
      <w:r w:rsidRPr="00FC6229">
        <w:rPr>
          <w:rFonts w:asciiTheme="minorHAnsi" w:hAnsiTheme="minorHAnsi" w:cstheme="minorHAnsi"/>
          <w:iCs/>
          <w:szCs w:val="24"/>
        </w:rPr>
        <w:t xml:space="preserve"> w zachodniej i wschodniej części obszaru Programu i słabymi połączeniami transportu publicznego między obszarami wiejskimi i miejskimi, który to trend </w:t>
      </w:r>
      <w:r w:rsidR="00684EB1" w:rsidRPr="00FC6229">
        <w:rPr>
          <w:rFonts w:asciiTheme="minorHAnsi" w:hAnsiTheme="minorHAnsi" w:cstheme="minorHAnsi"/>
          <w:iCs/>
          <w:szCs w:val="24"/>
        </w:rPr>
        <w:t>pokrywa się z</w:t>
      </w:r>
      <w:r w:rsidRPr="00FC6229">
        <w:rPr>
          <w:rFonts w:asciiTheme="minorHAnsi" w:hAnsiTheme="minorHAnsi" w:cstheme="minorHAnsi"/>
          <w:iCs/>
          <w:szCs w:val="24"/>
        </w:rPr>
        <w:t xml:space="preserve"> ciąg</w:t>
      </w:r>
      <w:r w:rsidR="00684EB1" w:rsidRPr="00FC6229">
        <w:rPr>
          <w:rFonts w:asciiTheme="minorHAnsi" w:hAnsiTheme="minorHAnsi" w:cstheme="minorHAnsi"/>
          <w:iCs/>
          <w:szCs w:val="24"/>
        </w:rPr>
        <w:t>łym</w:t>
      </w:r>
      <w:r w:rsidRPr="00FC6229">
        <w:rPr>
          <w:rFonts w:asciiTheme="minorHAnsi" w:hAnsiTheme="minorHAnsi" w:cstheme="minorHAnsi"/>
          <w:iCs/>
          <w:szCs w:val="24"/>
        </w:rPr>
        <w:t xml:space="preserve"> wzrost</w:t>
      </w:r>
      <w:r w:rsidR="00684EB1" w:rsidRPr="00FC6229">
        <w:rPr>
          <w:rFonts w:asciiTheme="minorHAnsi" w:hAnsiTheme="minorHAnsi" w:cstheme="minorHAnsi"/>
          <w:iCs/>
          <w:szCs w:val="24"/>
        </w:rPr>
        <w:t>em</w:t>
      </w:r>
      <w:r w:rsidRPr="00FC6229">
        <w:rPr>
          <w:rFonts w:asciiTheme="minorHAnsi" w:hAnsiTheme="minorHAnsi" w:cstheme="minorHAnsi"/>
          <w:iCs/>
          <w:szCs w:val="24"/>
        </w:rPr>
        <w:t xml:space="preserve"> mobilności samochodowej. Co więcej, istnieje </w:t>
      </w:r>
      <w:r w:rsidR="00684EB1" w:rsidRPr="00FC6229">
        <w:rPr>
          <w:rFonts w:asciiTheme="minorHAnsi" w:hAnsiTheme="minorHAnsi" w:cstheme="minorHAnsi"/>
          <w:iCs/>
          <w:szCs w:val="24"/>
        </w:rPr>
        <w:t>konieczność</w:t>
      </w:r>
      <w:r w:rsidRPr="00FC6229">
        <w:rPr>
          <w:rFonts w:asciiTheme="minorHAnsi" w:hAnsiTheme="minorHAnsi" w:cstheme="minorHAnsi"/>
          <w:iCs/>
          <w:szCs w:val="24"/>
        </w:rPr>
        <w:t xml:space="preserve"> </w:t>
      </w:r>
      <w:r w:rsidR="00684EB1" w:rsidRPr="00FC6229">
        <w:rPr>
          <w:rFonts w:asciiTheme="minorHAnsi" w:hAnsiTheme="minorHAnsi" w:cstheme="minorHAnsi"/>
          <w:iCs/>
          <w:szCs w:val="24"/>
        </w:rPr>
        <w:t>rozwoju</w:t>
      </w:r>
      <w:r w:rsidRPr="00FC6229">
        <w:rPr>
          <w:rFonts w:asciiTheme="minorHAnsi" w:hAnsiTheme="minorHAnsi" w:cstheme="minorHAnsi"/>
          <w:iCs/>
          <w:szCs w:val="24"/>
        </w:rPr>
        <w:t xml:space="preserve"> infrastruktury dla paliw odnawialnych, stacji ładowania samochodów elektrycznych itp.</w:t>
      </w:r>
    </w:p>
    <w:p w14:paraId="479DF8D6" w14:textId="3B30F94F" w:rsidR="00BF6530" w:rsidRPr="00FC6229" w:rsidRDefault="00A93BFC"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Pomimo szeregu inwestycji infrastrukturalnych, które znacznie udoskonaliły krajowe i regionalne systemy </w:t>
      </w:r>
      <w:r w:rsidR="004D59A5" w:rsidRPr="00FC6229">
        <w:rPr>
          <w:rFonts w:asciiTheme="minorHAnsi" w:hAnsiTheme="minorHAnsi" w:cstheme="minorHAnsi"/>
          <w:iCs/>
          <w:szCs w:val="24"/>
        </w:rPr>
        <w:t>transportowe</w:t>
      </w:r>
      <w:r w:rsidRPr="00FC6229">
        <w:rPr>
          <w:rFonts w:asciiTheme="minorHAnsi" w:hAnsiTheme="minorHAnsi" w:cstheme="minorHAnsi"/>
          <w:iCs/>
          <w:szCs w:val="24"/>
        </w:rPr>
        <w:t xml:space="preserve">, nadal istnieją potrzeby w zakresie połączeń wewnętrznych z obszarów wiejskich do ośrodków miejskich, biorąc również pod uwagę włączenie społeczne wszystkich grup (m.in. dostępność dla osób z niepełnosprawnościami). Postępy w zakresie takich potrzeb </w:t>
      </w:r>
      <w:r w:rsidR="004D59A5" w:rsidRPr="00FC6229">
        <w:rPr>
          <w:rFonts w:asciiTheme="minorHAnsi" w:hAnsiTheme="minorHAnsi" w:cstheme="minorHAnsi"/>
          <w:iCs/>
          <w:szCs w:val="24"/>
        </w:rPr>
        <w:t>mogłyby</w:t>
      </w:r>
      <w:r w:rsidRPr="00FC6229">
        <w:rPr>
          <w:rFonts w:asciiTheme="minorHAnsi" w:hAnsiTheme="minorHAnsi" w:cstheme="minorHAnsi"/>
          <w:iCs/>
          <w:szCs w:val="24"/>
        </w:rPr>
        <w:t xml:space="preserve"> mieć pozytywny wpływ, m.in. na strukturę rynku pracy i strukturę osadnictwa. Takie działania stanowiłyby również środki przeciwdziałania obecnej tendencji zwiększania mobilności samochodowej.</w:t>
      </w:r>
    </w:p>
    <w:p w14:paraId="126011E5"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Obszar technologiczny | Kluczowe wyzwania</w:t>
      </w:r>
    </w:p>
    <w:p w14:paraId="0A9B441A" w14:textId="724B032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Choć </w:t>
      </w:r>
      <w:r w:rsidR="00A3526E" w:rsidRPr="00FC6229">
        <w:rPr>
          <w:rFonts w:asciiTheme="minorHAnsi" w:hAnsiTheme="minorHAnsi" w:cstheme="minorHAnsi"/>
          <w:iCs/>
          <w:szCs w:val="24"/>
        </w:rPr>
        <w:t>Obszar Południowego Bałtyku</w:t>
      </w:r>
      <w:r w:rsidRPr="00FC6229">
        <w:rPr>
          <w:rFonts w:asciiTheme="minorHAnsi" w:hAnsiTheme="minorHAnsi" w:cstheme="minorHAnsi"/>
          <w:iCs/>
          <w:szCs w:val="24"/>
        </w:rPr>
        <w:t xml:space="preserve"> charakteryzuje się relatywne wysokim poziomem dostępu do infrastruktury IT/telekomunikacyjnej, </w:t>
      </w:r>
      <w:r w:rsidR="002C30F8" w:rsidRPr="00FC6229">
        <w:rPr>
          <w:rFonts w:asciiTheme="minorHAnsi" w:hAnsiTheme="minorHAnsi" w:cstheme="minorHAnsi"/>
          <w:iCs/>
          <w:szCs w:val="24"/>
        </w:rPr>
        <w:t xml:space="preserve">to </w:t>
      </w:r>
      <w:r w:rsidRPr="00FC6229">
        <w:rPr>
          <w:rFonts w:asciiTheme="minorHAnsi" w:hAnsiTheme="minorHAnsi" w:cstheme="minorHAnsi"/>
          <w:iCs/>
          <w:szCs w:val="24"/>
        </w:rPr>
        <w:t>nadal istnieją duże rozbieżności między krajami i regionami w zakresie dostępu do zaawansowanych usług ICT (np. chmur obliczeniowych), co wpływa na rozwój technologiczny poszczególnych regionów, na przykład w zakresie cyfryzacji usług sektora publicznego. Ponadto obecny model skoncentrowanego rozwoju infrastruktury i usług ICT w ośrodkach wzrostu przynosi korzyści obszarom miejskim, jednocześnie stawiając obszary wiejskie w niekorzystnej sytuacji, co dodatkowo pogłębia przepaść między obszarami wiejskimi a miejskimi. Konieczne jest wprowadzenie programów mających na celu wyeliminowanie istniejących nieprawidłowości w funkcjonowaniu rynku oraz poprawę dostępu do infrastruktury i usług ICT.</w:t>
      </w:r>
    </w:p>
    <w:p w14:paraId="01905EFC" w14:textId="39D0A0F6"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Znaczny odsetek badanych przedsiębiorstw znajdujących się w Obszarze Południowego Bałtyku stoi w obliczu problemu niewystarczającej liczby odpowiednio wykwalifikowanych specjalistów w dziedzinie ICT. Rosnące potrzeby gospodarki i sektora publicznego, jak również niewystarczająca podaż siły roboczej w tym obszarze mogą stanowić istotną przeszkodę dla rozwoju. Stąd też </w:t>
      </w:r>
      <w:r w:rsidR="002C30F8" w:rsidRPr="00FC6229">
        <w:rPr>
          <w:rFonts w:asciiTheme="minorHAnsi" w:hAnsiTheme="minorHAnsi" w:cstheme="minorHAnsi"/>
          <w:iCs/>
          <w:szCs w:val="24"/>
        </w:rPr>
        <w:t>istnieje konieczność</w:t>
      </w:r>
      <w:r w:rsidRPr="00FC6229">
        <w:rPr>
          <w:rFonts w:asciiTheme="minorHAnsi" w:hAnsiTheme="minorHAnsi" w:cstheme="minorHAnsi"/>
          <w:iCs/>
          <w:szCs w:val="24"/>
        </w:rPr>
        <w:t>, oprócz kształcenia nowych specjalistów w dziedzinie ICT, stworzenia szeroko zakrojonego programu szkoleniowego dla obecnie zatrudnionych pracowników oraz zwiększenia ich kompetencji w dziedzinie technologii cyfrowych. Utrzymująca się tendencja niskiego zatrudnienia kobiet w branży ICT nie sprzyja zlikwidowaniu luki w zatrudnieniu w branży ICT i zwiększeniu kompetencji kobiet w tej dziedzinie. Może to prowadzić do pogłębienia cyfrowej przepaści i nierówności w dostępie do miejsc pracy oraz do ryzyka dyskryminacji. Przeciwdziałanie temu zjawisku wymaga podjęcia szeroko zakrojonych działań edukacyjnych i motywowania kobiet do pracy w sektorze ICT.</w:t>
      </w:r>
    </w:p>
    <w:p w14:paraId="1A988C3E" w14:textId="17ACE66F" w:rsidR="00BF6530" w:rsidRPr="00FC6229" w:rsidRDefault="00A93BFC"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Jeśli chodzi o innowacje, wyniki najnowszego badania Europejskiego Rankingu Innowacyjności za rok 2020 ujawniają rozbieżność między zachodnimi i wschodnimi częściami obszaru Programu. Niemieckie, szwedzkie i duńskie regiony </w:t>
      </w:r>
      <w:r w:rsidR="00A3526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zostały zaklasyfikowane jako liderzy innowacji lub silni innowatorzy w porównaniu z regionami litewskimi i polskimi, które są uważane za skromnych lub umiarkowanych innowatorów.</w:t>
      </w:r>
    </w:p>
    <w:p w14:paraId="6948DDD2" w14:textId="34FBD1CF"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Wydatki na badania i rozwój (B&amp;R) w ramach </w:t>
      </w:r>
      <w:r w:rsidR="002C30F8" w:rsidRPr="00FC6229">
        <w:rPr>
          <w:rFonts w:asciiTheme="minorHAnsi" w:hAnsiTheme="minorHAnsi" w:cstheme="minorHAnsi"/>
          <w:iCs/>
          <w:szCs w:val="24"/>
        </w:rPr>
        <w:t xml:space="preserve">obszaru </w:t>
      </w:r>
      <w:r w:rsidRPr="00FC6229">
        <w:rPr>
          <w:rFonts w:asciiTheme="minorHAnsi" w:hAnsiTheme="minorHAnsi" w:cstheme="minorHAnsi"/>
          <w:iCs/>
          <w:szCs w:val="24"/>
        </w:rPr>
        <w:t xml:space="preserve">kwalifikowalnego nadal są relatywnie niskie w porównaniu ze średnią europejską i różnią się w skali regionalnej. Tylko w mniejszości regionów wydatki publiczne i prywatne na B&amp;R przekraczają średnią unijną, natomiast pozostała część obszaru pozostaje w tym zakresie w tyle za innymi regionami europejskimi. Ponadto, chociaż na szczeblu krajowym wzorzec wydatków na B&amp;R </w:t>
      </w:r>
      <w:r w:rsidR="002C30F8" w:rsidRPr="00FC6229">
        <w:rPr>
          <w:rFonts w:asciiTheme="minorHAnsi" w:hAnsiTheme="minorHAnsi" w:cstheme="minorHAnsi"/>
          <w:iCs/>
          <w:szCs w:val="24"/>
        </w:rPr>
        <w:t>stanowi jedną</w:t>
      </w:r>
      <w:r w:rsidRPr="00FC6229">
        <w:rPr>
          <w:rFonts w:asciiTheme="minorHAnsi" w:hAnsiTheme="minorHAnsi" w:cstheme="minorHAnsi"/>
          <w:iCs/>
          <w:szCs w:val="24"/>
        </w:rPr>
        <w:t xml:space="preserve"> z cech dominacji wydatków sektora prywatnego nad wydatkami publiczny</w:t>
      </w:r>
      <w:r w:rsidR="002C30F8" w:rsidRPr="00FC6229">
        <w:rPr>
          <w:rFonts w:asciiTheme="minorHAnsi" w:hAnsiTheme="minorHAnsi" w:cstheme="minorHAnsi"/>
          <w:iCs/>
          <w:szCs w:val="24"/>
        </w:rPr>
        <w:t>mi</w:t>
      </w:r>
      <w:r w:rsidRPr="00FC6229">
        <w:rPr>
          <w:rFonts w:asciiTheme="minorHAnsi" w:hAnsiTheme="minorHAnsi" w:cstheme="minorHAnsi"/>
          <w:iCs/>
          <w:szCs w:val="24"/>
        </w:rPr>
        <w:t xml:space="preserve">, to zgodnie z szerszą europejską tendencją, wzorzec ten </w:t>
      </w:r>
      <w:r w:rsidR="002C30F8" w:rsidRPr="00FC6229">
        <w:rPr>
          <w:rFonts w:asciiTheme="minorHAnsi" w:hAnsiTheme="minorHAnsi" w:cstheme="minorHAnsi"/>
          <w:iCs/>
          <w:szCs w:val="24"/>
        </w:rPr>
        <w:t>ulega odwróceniu</w:t>
      </w:r>
      <w:r w:rsidRPr="00FC6229">
        <w:rPr>
          <w:rFonts w:asciiTheme="minorHAnsi" w:hAnsiTheme="minorHAnsi" w:cstheme="minorHAnsi"/>
          <w:iCs/>
          <w:szCs w:val="24"/>
        </w:rPr>
        <w:t xml:space="preserve"> w ramach </w:t>
      </w:r>
      <w:r w:rsidR="00A3526E" w:rsidRPr="00FC6229">
        <w:rPr>
          <w:rFonts w:asciiTheme="minorHAnsi" w:hAnsiTheme="minorHAnsi" w:cstheme="minorHAnsi"/>
          <w:iCs/>
          <w:szCs w:val="24"/>
        </w:rPr>
        <w:t>Obszaru Południowego Bałtyku</w:t>
      </w:r>
      <w:r w:rsidRPr="00FC6229">
        <w:rPr>
          <w:rFonts w:asciiTheme="minorHAnsi" w:hAnsiTheme="minorHAnsi" w:cstheme="minorHAnsi"/>
          <w:iCs/>
          <w:szCs w:val="24"/>
        </w:rPr>
        <w:t xml:space="preserve">, gdy analizuje się go na szczeblu NUTS 2, gdzie dominują wydatki publiczne na B&amp;R. Małe i średnie przedsiębiorstwa z siedzibą w </w:t>
      </w:r>
      <w:r w:rsidR="00A3526E" w:rsidRPr="00FC6229">
        <w:rPr>
          <w:rFonts w:asciiTheme="minorHAnsi" w:hAnsiTheme="minorHAnsi" w:cstheme="minorHAnsi"/>
          <w:iCs/>
          <w:szCs w:val="24"/>
        </w:rPr>
        <w:t>Obszarze Południowego Bałtyku</w:t>
      </w:r>
      <w:r w:rsidRPr="00FC6229">
        <w:rPr>
          <w:rFonts w:asciiTheme="minorHAnsi" w:hAnsiTheme="minorHAnsi" w:cstheme="minorHAnsi"/>
          <w:iCs/>
          <w:szCs w:val="24"/>
        </w:rPr>
        <w:t xml:space="preserve"> podjęły różnorodne działania innowacyjne, z różnym powodzeniem. Jak dotąd firmy z </w:t>
      </w:r>
      <w:r w:rsidR="00A3526E" w:rsidRPr="00FC6229">
        <w:rPr>
          <w:rFonts w:asciiTheme="minorHAnsi" w:hAnsiTheme="minorHAnsi" w:cstheme="minorHAnsi"/>
          <w:iCs/>
          <w:szCs w:val="24"/>
        </w:rPr>
        <w:t xml:space="preserve">Obszaru Południowego Bałtyku </w:t>
      </w:r>
      <w:r w:rsidRPr="00FC6229">
        <w:rPr>
          <w:rFonts w:asciiTheme="minorHAnsi" w:hAnsiTheme="minorHAnsi" w:cstheme="minorHAnsi"/>
          <w:iCs/>
          <w:szCs w:val="24"/>
        </w:rPr>
        <w:t xml:space="preserve">preferowały niezależną pracę nad innowacyjnymi rozwiązaniami niż współpracę z innymi podmiotami w tej dziedzinie. Podejście to poważnie ogranicza perspektywę rozwoju innowacji i nie skłania przedsiębiorstw do korzystania z zasobów zewnętrznych dostępnych w ich sąsiedztwie. Nie sprzyja to procesowi tworzenia sieci i dzielenia się endogennymi zasobami </w:t>
      </w:r>
      <w:r w:rsidR="00A3526E" w:rsidRPr="00FC6229">
        <w:rPr>
          <w:rFonts w:asciiTheme="minorHAnsi" w:hAnsiTheme="minorHAnsi" w:cstheme="minorHAnsi"/>
          <w:iCs/>
          <w:szCs w:val="24"/>
        </w:rPr>
        <w:t>Obszaru</w:t>
      </w:r>
      <w:r w:rsidRPr="00FC6229">
        <w:rPr>
          <w:rFonts w:asciiTheme="minorHAnsi" w:hAnsiTheme="minorHAnsi" w:cstheme="minorHAnsi"/>
          <w:iCs/>
          <w:szCs w:val="24"/>
        </w:rPr>
        <w:t xml:space="preserve"> oraz budowania kultury zaufania i współpracy.</w:t>
      </w:r>
    </w:p>
    <w:p w14:paraId="68BA0B7B"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Uwagi na temat pandemii COVID-19</w:t>
      </w:r>
    </w:p>
    <w:p w14:paraId="44576618" w14:textId="2736CB84"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Światowa pandemia choroby COVID-19 wywarła znaczący wpływ na gospodarkę i społeczeństwo Obszaru Południowego Bałtyku. Pandemia spowodowała globalny lockdown </w:t>
      </w:r>
      <w:r w:rsidR="004B083F" w:rsidRPr="00FC6229">
        <w:rPr>
          <w:rFonts w:asciiTheme="minorHAnsi" w:hAnsiTheme="minorHAnsi" w:cstheme="minorHAnsi"/>
          <w:iCs/>
          <w:szCs w:val="24"/>
        </w:rPr>
        <w:t>zamykający</w:t>
      </w:r>
      <w:r w:rsidRPr="00FC6229">
        <w:rPr>
          <w:rFonts w:asciiTheme="minorHAnsi" w:hAnsiTheme="minorHAnsi" w:cstheme="minorHAnsi"/>
          <w:iCs/>
          <w:szCs w:val="24"/>
        </w:rPr>
        <w:t xml:space="preserve"> miliony przedsiębiorstw w ciągu jednej nocy, a ograniczenia związane z pandemią w znacznym stopniu wpłynęły na sytuację finansową przedsiębiorstw i sprawiły, że wiele osób pozostało bez pracy. Zamknięcie gospodarek krajowych lub przebudowa organizacji procesów gospodarczych miały negatywny wpływ na wiele sektorów istotnych dla </w:t>
      </w:r>
      <w:r w:rsidR="00A3526E" w:rsidRPr="00FC6229">
        <w:rPr>
          <w:rFonts w:asciiTheme="minorHAnsi" w:hAnsiTheme="minorHAnsi" w:cstheme="minorHAnsi"/>
          <w:iCs/>
          <w:szCs w:val="24"/>
        </w:rPr>
        <w:t xml:space="preserve">Obszaru Południowego Bałtyku </w:t>
      </w:r>
      <w:r w:rsidRPr="00FC6229">
        <w:rPr>
          <w:rFonts w:asciiTheme="minorHAnsi" w:hAnsiTheme="minorHAnsi" w:cstheme="minorHAnsi"/>
          <w:iCs/>
          <w:szCs w:val="24"/>
        </w:rPr>
        <w:t>(np. turystyka, kultura), a także spowodowały spowolnienie funkcjonowania MŚP (np. spadek eksportu). Pandemia COVID-19 spowodowała również szybką transformację rynku w kierunku rozwiązań on-line i edukacji społeczeństwa w dziedzinie umiejętności cyfrowych. Przemysł ICT stanął w obliczu ogromnego wyzwania związanego z rosnącym popytem na usługi i produkty w niemal wszystkich dziedzinach życia. Nastąpił wzrost zapotrzebowania na rozwiązania umożliwiające pracę na odległość, korzystanie z usług telemedycyny i e-medycyny, e-learning, e-administrację, e-handel, a w dziedzinie kultury – wzrost zainteresowania cyfryzacją zasobów i przeniesieniem programów instytucjonalnych do sieci.</w:t>
      </w:r>
    </w:p>
    <w:p w14:paraId="67F47C96" w14:textId="1E0B9DEB"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Mimo pewnych pozytywnych zmian (związanych z szybkim rozwojem kilku sektorów) wywołanych przez COVID-19, w czasie przygotowywania Programu pandemia nadal stanowiła realne zagrożenie, a władze publiczne podejmują działania mające na celu zmniejszenie jej skutków na bieżąco. Skutki pandemii, które będą widoczne w dłuższej perspektywie, nie są jeszcze w pełni znane. Z tego powodu tendencje obserwowane w perspektywie historycznej podlegają zmianie, zwłaszcza w odniesieniu do aspektów najbardziej dotkniętych pandemią. Przedstawiony dokument, w miarę możliwości, uwzględnia wpływ pandemii. Działania przedstawione w Strategii w możliwie największym stopniu wspierają nie tylko najbardziej dotknięte sektory, ale także mają na celu zbudowanie odpornej na kryzys gospodarki i uwzględnienie zmian pojawiających się w sposobie życia mieszkańców </w:t>
      </w:r>
      <w:r w:rsidR="00A3526E" w:rsidRPr="00FC6229">
        <w:rPr>
          <w:rFonts w:asciiTheme="minorHAnsi" w:hAnsiTheme="minorHAnsi" w:cstheme="minorHAnsi"/>
          <w:iCs/>
          <w:szCs w:val="24"/>
        </w:rPr>
        <w:t xml:space="preserve">Obszaru Południowego Bałtyku </w:t>
      </w:r>
      <w:r w:rsidRPr="00FC6229">
        <w:rPr>
          <w:rFonts w:asciiTheme="minorHAnsi" w:hAnsiTheme="minorHAnsi" w:cstheme="minorHAnsi"/>
          <w:iCs/>
          <w:szCs w:val="24"/>
        </w:rPr>
        <w:t xml:space="preserve">(np. praca, spędzanie wolnego czasu itp.). Niemniej jednak, ze względu na dynamikę sytuacji i długotrwały wpływ, Strategia programu nie jest w stanie uwzględnić wszystkich skutków pandemii. </w:t>
      </w:r>
      <w:r w:rsidR="004B083F" w:rsidRPr="00FC6229">
        <w:rPr>
          <w:rFonts w:asciiTheme="minorHAnsi" w:hAnsiTheme="minorHAnsi" w:cstheme="minorHAnsi"/>
          <w:iCs/>
          <w:szCs w:val="24"/>
        </w:rPr>
        <w:t>Walkę z</w:t>
      </w:r>
      <w:r w:rsidRPr="00FC6229">
        <w:rPr>
          <w:rFonts w:asciiTheme="minorHAnsi" w:hAnsiTheme="minorHAnsi" w:cstheme="minorHAnsi"/>
          <w:iCs/>
          <w:szCs w:val="24"/>
        </w:rPr>
        <w:t xml:space="preserve"> negatywny</w:t>
      </w:r>
      <w:r w:rsidR="004B083F" w:rsidRPr="00FC6229">
        <w:rPr>
          <w:rFonts w:asciiTheme="minorHAnsi" w:hAnsiTheme="minorHAnsi" w:cstheme="minorHAnsi"/>
          <w:iCs/>
          <w:szCs w:val="24"/>
        </w:rPr>
        <w:t>mi</w:t>
      </w:r>
      <w:r w:rsidRPr="00FC6229">
        <w:rPr>
          <w:rFonts w:asciiTheme="minorHAnsi" w:hAnsiTheme="minorHAnsi" w:cstheme="minorHAnsi"/>
          <w:iCs/>
          <w:szCs w:val="24"/>
        </w:rPr>
        <w:t xml:space="preserve"> skutk</w:t>
      </w:r>
      <w:r w:rsidR="004B083F" w:rsidRPr="00FC6229">
        <w:rPr>
          <w:rFonts w:asciiTheme="minorHAnsi" w:hAnsiTheme="minorHAnsi" w:cstheme="minorHAnsi"/>
          <w:iCs/>
          <w:szCs w:val="24"/>
        </w:rPr>
        <w:t>ami</w:t>
      </w:r>
      <w:r w:rsidRPr="00FC6229">
        <w:rPr>
          <w:rFonts w:asciiTheme="minorHAnsi" w:hAnsiTheme="minorHAnsi" w:cstheme="minorHAnsi"/>
          <w:iCs/>
          <w:szCs w:val="24"/>
        </w:rPr>
        <w:t xml:space="preserve"> pandemii COVID-19 można podjąć we wszystkich programach współfinansowanych ze środków UE w celu odzyskania dotychczasowego charakteru regionów europejskich. </w:t>
      </w:r>
      <w:r w:rsidR="004B083F" w:rsidRPr="00FC6229">
        <w:rPr>
          <w:rFonts w:asciiTheme="minorHAnsi" w:hAnsiTheme="minorHAnsi" w:cstheme="minorHAnsi"/>
          <w:iCs/>
          <w:szCs w:val="24"/>
        </w:rPr>
        <w:t>R</w:t>
      </w:r>
      <w:r w:rsidRPr="00FC6229">
        <w:rPr>
          <w:rFonts w:asciiTheme="minorHAnsi" w:hAnsiTheme="minorHAnsi" w:cstheme="minorHAnsi"/>
          <w:iCs/>
          <w:szCs w:val="24"/>
        </w:rPr>
        <w:t xml:space="preserve">adzenie sobie z jej negatywnym wpływem na gospodarkę lokalną i społeczeństwo to jedno z najważniejszych wyzwań dla decydentów i liderów projektów. Stworzenie całorocznych ofert turystycznych przełamujących sezonowość turystyki w </w:t>
      </w:r>
      <w:r w:rsidR="00A3526E" w:rsidRPr="00FC6229">
        <w:rPr>
          <w:rFonts w:asciiTheme="minorHAnsi" w:hAnsiTheme="minorHAnsi" w:cstheme="minorHAnsi"/>
          <w:iCs/>
          <w:szCs w:val="24"/>
        </w:rPr>
        <w:t>Obszarze Południowego Bałtyku</w:t>
      </w:r>
      <w:r w:rsidRPr="00FC6229">
        <w:rPr>
          <w:rFonts w:asciiTheme="minorHAnsi" w:hAnsiTheme="minorHAnsi" w:cstheme="minorHAnsi"/>
          <w:iCs/>
          <w:szCs w:val="24"/>
        </w:rPr>
        <w:t xml:space="preserve"> oraz naturalnego i klimatycznie atrakcyjnego środowiska i jego rzeczywistej roli dla turystów i mieszkańców może pomóc w podniesieniu się po pandemii COVID-19. </w:t>
      </w:r>
    </w:p>
    <w:p w14:paraId="58D423F2"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Spójność z zasadami horyzontalnymi</w:t>
      </w:r>
    </w:p>
    <w:p w14:paraId="5D73DBA5" w14:textId="2E024E0E"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Rozwijanie polityki współpracy regionalnej, krajowej i transgranicznej wymaga zwrócenia szczególnej uwagi na zasady horyzontalne Unii Europejskiej. Główne wartości, takie jak zrównoważony rozwój, równość szans i niedyskryminacja oraz równość płci stanowią </w:t>
      </w:r>
      <w:r w:rsidR="004B083F" w:rsidRPr="00FC6229">
        <w:rPr>
          <w:rFonts w:asciiTheme="minorHAnsi" w:hAnsiTheme="minorHAnsi" w:cstheme="minorHAnsi"/>
          <w:iCs/>
          <w:szCs w:val="24"/>
        </w:rPr>
        <w:t>podstawy</w:t>
      </w:r>
      <w:r w:rsidRPr="00FC6229">
        <w:rPr>
          <w:rFonts w:asciiTheme="minorHAnsi" w:hAnsiTheme="minorHAnsi" w:cstheme="minorHAnsi"/>
          <w:iCs/>
          <w:szCs w:val="24"/>
        </w:rPr>
        <w:t xml:space="preserve"> zrównoważonego i zdrowego wzrostu gospodarczego, społecznego i kulturowego oraz </w:t>
      </w:r>
      <w:r w:rsidR="0052052F" w:rsidRPr="00FC6229">
        <w:rPr>
          <w:rFonts w:asciiTheme="minorHAnsi" w:hAnsiTheme="minorHAnsi" w:cstheme="minorHAnsi"/>
          <w:iCs/>
          <w:szCs w:val="24"/>
        </w:rPr>
        <w:t>zapewniają</w:t>
      </w:r>
      <w:r w:rsidRPr="00FC6229">
        <w:rPr>
          <w:rFonts w:asciiTheme="minorHAnsi" w:hAnsiTheme="minorHAnsi" w:cstheme="minorHAnsi"/>
          <w:iCs/>
          <w:szCs w:val="24"/>
        </w:rPr>
        <w:t xml:space="preserve"> spójność między wszystkimi krajami i obywatelami Unii Europejskiej. </w:t>
      </w:r>
    </w:p>
    <w:p w14:paraId="40BE35E3" w14:textId="68890FA8"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Zasady horyzontalne uwzględnione </w:t>
      </w:r>
      <w:r w:rsidR="0052052F" w:rsidRPr="00FC6229">
        <w:rPr>
          <w:rFonts w:asciiTheme="minorHAnsi" w:hAnsiTheme="minorHAnsi" w:cstheme="minorHAnsi"/>
          <w:iCs/>
          <w:szCs w:val="24"/>
        </w:rPr>
        <w:t xml:space="preserve">są </w:t>
      </w:r>
      <w:r w:rsidRPr="00FC6229">
        <w:rPr>
          <w:rFonts w:asciiTheme="minorHAnsi" w:hAnsiTheme="minorHAnsi" w:cstheme="minorHAnsi"/>
          <w:iCs/>
          <w:szCs w:val="24"/>
        </w:rPr>
        <w:t xml:space="preserve">we wszystkich programach współfinansowanych ze środków UE. W związku z tym włączenie ich w trakcie tworzenia Strategii programu gwarantuje spójność i komplementarność z innymi programami współfinansowanymi przez UE, niezależnie od szczebla interwencji – państwa, regionu lub gminy lokalnej. </w:t>
      </w:r>
    </w:p>
    <w:p w14:paraId="5C262359" w14:textId="36CF0522"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Zasady horyzontalne </w:t>
      </w:r>
      <w:r w:rsidR="0052052F" w:rsidRPr="00FC6229">
        <w:rPr>
          <w:rFonts w:asciiTheme="minorHAnsi" w:hAnsiTheme="minorHAnsi" w:cstheme="minorHAnsi"/>
          <w:iCs/>
          <w:szCs w:val="24"/>
        </w:rPr>
        <w:t>analizowano</w:t>
      </w:r>
      <w:r w:rsidRPr="00FC6229">
        <w:rPr>
          <w:rFonts w:asciiTheme="minorHAnsi" w:hAnsiTheme="minorHAnsi" w:cstheme="minorHAnsi"/>
          <w:iCs/>
          <w:szCs w:val="24"/>
        </w:rPr>
        <w:t xml:space="preserve"> podczas procesu programowania i będą one stanowić ważny element całego cyklu wdrażania, monitorowania i oceny Programu. Zasady niedyskryminacji i równe</w:t>
      </w:r>
      <w:r w:rsidR="00A62B86" w:rsidRPr="00FC6229">
        <w:rPr>
          <w:rFonts w:asciiTheme="minorHAnsi" w:hAnsiTheme="minorHAnsi" w:cstheme="minorHAnsi"/>
          <w:iCs/>
          <w:szCs w:val="24"/>
        </w:rPr>
        <w:t>go traktowania</w:t>
      </w:r>
      <w:r w:rsidRPr="00FC6229">
        <w:rPr>
          <w:rFonts w:asciiTheme="minorHAnsi" w:hAnsiTheme="minorHAnsi" w:cstheme="minorHAnsi"/>
          <w:iCs/>
          <w:szCs w:val="24"/>
        </w:rPr>
        <w:t xml:space="preserve"> </w:t>
      </w:r>
      <w:r w:rsidR="0052052F" w:rsidRPr="00FC6229">
        <w:rPr>
          <w:rFonts w:asciiTheme="minorHAnsi" w:hAnsiTheme="minorHAnsi" w:cstheme="minorHAnsi"/>
          <w:iCs/>
          <w:szCs w:val="24"/>
        </w:rPr>
        <w:t>zostaną ujęte</w:t>
      </w:r>
      <w:r w:rsidRPr="00FC6229">
        <w:rPr>
          <w:rFonts w:asciiTheme="minorHAnsi" w:hAnsiTheme="minorHAnsi" w:cstheme="minorHAnsi"/>
          <w:iCs/>
          <w:szCs w:val="24"/>
        </w:rPr>
        <w:t xml:space="preserve"> w procedurze wyboru projektów, natomiast potencjalni beneficjenci powinni zapewnić promowanie zrównoważonego rozwoju, równości płci i niedyskryminacji podczas wdrażania projektów finansowanych z Interreg. Wszystkie projekty finansowane w ramach SBP będą musiały wykazać zgodność z tą zasadą. </w:t>
      </w:r>
    </w:p>
    <w:p w14:paraId="3E26FE06"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Zrównoważony rozwój</w:t>
      </w:r>
    </w:p>
    <w:p w14:paraId="78EC0D35" w14:textId="34333524"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Zrównoważony rozwój, który należy rozumieć jako zaspokajanie potrzeb obecnego pokolenia bez uszczerbku dla przyszłych pokoleń, to jedna z najważniejszych zasad promowanych przez Unię Europejską. SBP zachęca partnerów projektu do promowania innowacyjnych, przyjaznych dla środowiska rozwiązań, które przyczyniają się do budowania odporności na zmiany klimatu i mają pozytywny wpływ na bezpieczeństwo środowiskowe (np. zmniejszenie śladu węglowego). </w:t>
      </w:r>
    </w:p>
    <w:p w14:paraId="12C3B313"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Równość płci</w:t>
      </w:r>
    </w:p>
    <w:p w14:paraId="78B9AD73" w14:textId="6AFDC121"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Zgodnie z zasadą horyzontalną równości płci, każdy może korzystać z wyników projektów finansowanych przez Unię Europejską, a dostęp do tych wyników nie może być ograniczony. SBP powinien promować działania i środki, które mają wpływ </w:t>
      </w:r>
      <w:r w:rsidR="00A62B86" w:rsidRPr="00FC6229">
        <w:rPr>
          <w:rFonts w:asciiTheme="minorHAnsi" w:hAnsiTheme="minorHAnsi" w:cstheme="minorHAnsi"/>
          <w:iCs/>
          <w:szCs w:val="24"/>
        </w:rPr>
        <w:t>na realizację zasady równości. p</w:t>
      </w:r>
      <w:r w:rsidRPr="00FC6229">
        <w:rPr>
          <w:rFonts w:asciiTheme="minorHAnsi" w:hAnsiTheme="minorHAnsi" w:cstheme="minorHAnsi"/>
          <w:iCs/>
          <w:szCs w:val="24"/>
        </w:rPr>
        <w:t xml:space="preserve">olityka horyzontalna ma na celu rozwiązanie problemów związanych z różnicami w społeczeństwie ze względu na płeć i stereotypami, które determinują segregację płci, współczynniki aktywności zawodowej, różnice w płacach itp. </w:t>
      </w:r>
    </w:p>
    <w:p w14:paraId="064014E9"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Równe szanse i niedyskryminacja</w:t>
      </w:r>
    </w:p>
    <w:p w14:paraId="636ED322"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Niedyskryminacja obejmuje nie tylko równość płci, ale także wszelkie inne formy dyskryminacji ze względu na pochodzenie rasowe lub etniczne, niepełnosprawność, wiek, orientację seksualną, religię lub światopogląd itp. SBP kładzie szczególny nacisk na równy dostęp do korzystania ze środków w ramach programu, niezależnie od cech osobistych lub grupowych.</w:t>
      </w:r>
    </w:p>
    <w:p w14:paraId="2DA6AACD"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Spójność z Europejskim Zielonym Ładem</w:t>
      </w:r>
    </w:p>
    <w:p w14:paraId="6DF34014"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UE zobowiązała się do osiągnięcia neutralności klimatycznej do 2050 r. Osiągnięcie tego celu pociągnie za sobą transformację europejskiego społeczeństwa i gospodarki, która będzie musiała być opłacalna i sprawiedliwa, a także zrównoważona społecznie. W komunikacie Komisji Europejskiej w sprawie Europejskiego Zielonego Ładu przedstawiono inicjatywy polityczne mające na celu wsparcie UE w osiągnięciu jej celu w zakresie neutralności klimatycznej na 2050 r.</w:t>
      </w:r>
    </w:p>
    <w:p w14:paraId="788D2134" w14:textId="28DBC7BB"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Europejski Zielony Ład </w:t>
      </w:r>
      <w:r w:rsidR="0052052F" w:rsidRPr="00FC6229">
        <w:rPr>
          <w:rFonts w:asciiTheme="minorHAnsi" w:hAnsiTheme="minorHAnsi" w:cstheme="minorHAnsi"/>
          <w:iCs/>
          <w:szCs w:val="24"/>
        </w:rPr>
        <w:t>przedstawia</w:t>
      </w:r>
      <w:r w:rsidRPr="00FC6229">
        <w:rPr>
          <w:rFonts w:asciiTheme="minorHAnsi" w:hAnsiTheme="minorHAnsi" w:cstheme="minorHAnsi"/>
          <w:iCs/>
          <w:szCs w:val="24"/>
        </w:rPr>
        <w:t xml:space="preserve"> plan działania mający na celu zwiększenie efektywnego wykorzystania zasobów </w:t>
      </w:r>
      <w:r w:rsidR="0052052F" w:rsidRPr="00FC6229">
        <w:rPr>
          <w:rFonts w:asciiTheme="minorHAnsi" w:hAnsiTheme="minorHAnsi" w:cstheme="minorHAnsi"/>
          <w:iCs/>
          <w:szCs w:val="24"/>
        </w:rPr>
        <w:t>dzięki</w:t>
      </w:r>
      <w:r w:rsidRPr="00FC6229">
        <w:rPr>
          <w:rFonts w:asciiTheme="minorHAnsi" w:hAnsiTheme="minorHAnsi" w:cstheme="minorHAnsi"/>
          <w:iCs/>
          <w:szCs w:val="24"/>
        </w:rPr>
        <w:t xml:space="preserve"> przejści</w:t>
      </w:r>
      <w:r w:rsidR="0052052F" w:rsidRPr="00FC6229">
        <w:rPr>
          <w:rFonts w:asciiTheme="minorHAnsi" w:hAnsiTheme="minorHAnsi" w:cstheme="minorHAnsi"/>
          <w:iCs/>
          <w:szCs w:val="24"/>
        </w:rPr>
        <w:t>u</w:t>
      </w:r>
      <w:r w:rsidRPr="00FC6229">
        <w:rPr>
          <w:rFonts w:asciiTheme="minorHAnsi" w:hAnsiTheme="minorHAnsi" w:cstheme="minorHAnsi"/>
          <w:iCs/>
          <w:szCs w:val="24"/>
        </w:rPr>
        <w:t xml:space="preserve"> na czystą gospodarkę o obiegu zamkniętym oraz przywróceni</w:t>
      </w:r>
      <w:r w:rsidR="0052052F" w:rsidRPr="00FC6229">
        <w:rPr>
          <w:rFonts w:asciiTheme="minorHAnsi" w:hAnsiTheme="minorHAnsi" w:cstheme="minorHAnsi"/>
          <w:iCs/>
          <w:szCs w:val="24"/>
        </w:rPr>
        <w:t>u</w:t>
      </w:r>
      <w:r w:rsidRPr="00FC6229">
        <w:rPr>
          <w:rFonts w:asciiTheme="minorHAnsi" w:hAnsiTheme="minorHAnsi" w:cstheme="minorHAnsi"/>
          <w:iCs/>
          <w:szCs w:val="24"/>
        </w:rPr>
        <w:t xml:space="preserve"> bioróżnorodności i ograniczeni</w:t>
      </w:r>
      <w:r w:rsidR="0052052F" w:rsidRPr="00FC6229">
        <w:rPr>
          <w:rFonts w:asciiTheme="minorHAnsi" w:hAnsiTheme="minorHAnsi" w:cstheme="minorHAnsi"/>
          <w:iCs/>
          <w:szCs w:val="24"/>
        </w:rPr>
        <w:t>u</w:t>
      </w:r>
      <w:r w:rsidRPr="00FC6229">
        <w:rPr>
          <w:rFonts w:asciiTheme="minorHAnsi" w:hAnsiTheme="minorHAnsi" w:cstheme="minorHAnsi"/>
          <w:iCs/>
          <w:szCs w:val="24"/>
        </w:rPr>
        <w:t xml:space="preserve"> zanieczyszczenia. W planie przedstawiono niezbędne inwestycje i dostępne narzędzia finansowe. Wyjaśnia on, w jaki sposób zapewnić sprawiedliwą i sprzyjającą włączeniu społecznemu transformację. Osiągnięcie celu wyznaczonego na rok 2050 r. będzie wymagało działań ze strony wszystkich sektorów gospodarki europejskiej, w tym:</w:t>
      </w:r>
    </w:p>
    <w:p w14:paraId="593FCA6A"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inwestowania w technologie przyjazne dla środowiska,</w:t>
      </w:r>
    </w:p>
    <w:p w14:paraId="7F452E87"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wspierania przemysłu, aby wprowadzał innowacje,</w:t>
      </w:r>
    </w:p>
    <w:p w14:paraId="1C16F212" w14:textId="77777777"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rozwoju czystszych, tańszych i zdrowszych form transportu prywatnego i publicznego,</w:t>
      </w:r>
    </w:p>
    <w:p w14:paraId="37516E49" w14:textId="4C905300"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dekarbonizacji sektora energetycznego,</w:t>
      </w:r>
    </w:p>
    <w:p w14:paraId="4A00C6E1" w14:textId="12042DAB"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zapewnienia</w:t>
      </w:r>
      <w:r w:rsidR="0052052F" w:rsidRPr="00FC6229">
        <w:rPr>
          <w:rFonts w:asciiTheme="minorHAnsi" w:hAnsiTheme="minorHAnsi" w:cstheme="minorHAnsi"/>
          <w:iCs/>
          <w:szCs w:val="24"/>
        </w:rPr>
        <w:t xml:space="preserve"> większej</w:t>
      </w:r>
      <w:r w:rsidRPr="00FC6229">
        <w:rPr>
          <w:rFonts w:asciiTheme="minorHAnsi" w:hAnsiTheme="minorHAnsi" w:cstheme="minorHAnsi"/>
          <w:iCs/>
          <w:szCs w:val="24"/>
        </w:rPr>
        <w:t xml:space="preserve"> energooszczędn</w:t>
      </w:r>
      <w:r w:rsidR="0052052F" w:rsidRPr="00FC6229">
        <w:rPr>
          <w:rFonts w:asciiTheme="minorHAnsi" w:hAnsiTheme="minorHAnsi" w:cstheme="minorHAnsi"/>
          <w:iCs/>
          <w:szCs w:val="24"/>
        </w:rPr>
        <w:t>ości budynków</w:t>
      </w:r>
      <w:r w:rsidRPr="00FC6229">
        <w:rPr>
          <w:rFonts w:asciiTheme="minorHAnsi" w:hAnsiTheme="minorHAnsi" w:cstheme="minorHAnsi"/>
          <w:iCs/>
          <w:szCs w:val="24"/>
        </w:rPr>
        <w:t>,</w:t>
      </w:r>
    </w:p>
    <w:p w14:paraId="1ADA6FD8" w14:textId="5D7A8551"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t>
      </w:r>
      <w:r w:rsidR="0052052F" w:rsidRPr="00FC6229">
        <w:rPr>
          <w:rFonts w:asciiTheme="minorHAnsi" w:hAnsiTheme="minorHAnsi" w:cstheme="minorHAnsi"/>
          <w:iCs/>
          <w:szCs w:val="24"/>
        </w:rPr>
        <w:t xml:space="preserve"> współ</w:t>
      </w:r>
      <w:r w:rsidRPr="00FC6229">
        <w:rPr>
          <w:rFonts w:asciiTheme="minorHAnsi" w:hAnsiTheme="minorHAnsi" w:cstheme="minorHAnsi"/>
          <w:iCs/>
          <w:szCs w:val="24"/>
        </w:rPr>
        <w:t xml:space="preserve">pracy z partnerami międzynarodowymi w celu poprawy globalnych standardów ochrony środowiska. </w:t>
      </w:r>
    </w:p>
    <w:p w14:paraId="49017D98" w14:textId="65F0F6A6" w:rsidR="00BF6530" w:rsidRPr="00FC6229" w:rsidRDefault="00CD79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Biorąc pod uwagę wszystkie wyżej wymienione informacje, należy podkreślić, że program </w:t>
      </w:r>
      <w:r w:rsidR="00A3526E" w:rsidRPr="00FC6229">
        <w:rPr>
          <w:rFonts w:asciiTheme="minorHAnsi" w:hAnsiTheme="minorHAnsi" w:cstheme="minorHAnsi"/>
          <w:iCs/>
          <w:szCs w:val="24"/>
        </w:rPr>
        <w:t>Południowy Bałtyk</w:t>
      </w:r>
      <w:r w:rsidRPr="00FC6229">
        <w:rPr>
          <w:rFonts w:asciiTheme="minorHAnsi" w:hAnsiTheme="minorHAnsi" w:cstheme="minorHAnsi"/>
          <w:iCs/>
          <w:szCs w:val="24"/>
        </w:rPr>
        <w:t xml:space="preserve"> posiada wszystkie niezbędne </w:t>
      </w:r>
      <w:r w:rsidR="00D92E68" w:rsidRPr="00FC6229">
        <w:rPr>
          <w:rFonts w:asciiTheme="minorHAnsi" w:hAnsiTheme="minorHAnsi" w:cstheme="minorHAnsi"/>
          <w:iCs/>
          <w:szCs w:val="24"/>
        </w:rPr>
        <w:t>zalety</w:t>
      </w:r>
      <w:r w:rsidRPr="00FC6229">
        <w:rPr>
          <w:rFonts w:asciiTheme="minorHAnsi" w:hAnsiTheme="minorHAnsi" w:cstheme="minorHAnsi"/>
          <w:iCs/>
          <w:szCs w:val="24"/>
        </w:rPr>
        <w:t xml:space="preserve"> (niebieski i zielony charakter, wysoko rozwinięta gospodarka niebieska i zielona itp.), aby przyczynić się do realizacji Europejskiego Zielonego Ładu. Ponieważ proponowane inicjatywy polityczne UE koncentrują się, m.in. na czystej energii, zrównoważonych gałęziach przemysłu, eliminowaniu zanieczyszczenia, zrównoważonej mobilności lub bioróżnorodności, proponowana logika interwencji i projekty, które mogą być finansowane w ramach niniejszego Programu, będą bezpośrednio lub pośrednio przyczyniać się do większości wskazanych obszarów w </w:t>
      </w:r>
      <w:r w:rsidR="00D92E68" w:rsidRPr="00FC6229">
        <w:rPr>
          <w:rFonts w:asciiTheme="minorHAnsi" w:hAnsiTheme="minorHAnsi" w:cstheme="minorHAnsi"/>
          <w:iCs/>
          <w:szCs w:val="24"/>
        </w:rPr>
        <w:t>zakresie</w:t>
      </w:r>
      <w:r w:rsidRPr="00FC6229">
        <w:rPr>
          <w:rFonts w:asciiTheme="minorHAnsi" w:hAnsiTheme="minorHAnsi" w:cstheme="minorHAnsi"/>
          <w:iCs/>
          <w:szCs w:val="24"/>
        </w:rPr>
        <w:t xml:space="preserve"> Europejskiego Zielonego Ładu, a tym samym do procesów transformacji energetycznej we wszystkich regionach Południowego Bałtyku. Wybrane działania w ramach Programu wnoszą wysoki lub umiarkowany wkład w osiągnięcie celów Europejskiego Zielonego Ładu.</w:t>
      </w:r>
    </w:p>
    <w:p w14:paraId="593C1F09" w14:textId="668CFFE1" w:rsidR="00BF6530" w:rsidRPr="00FC6229" w:rsidRDefault="00A62B86"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Istotny</w:t>
      </w:r>
      <w:r w:rsidR="00BF6530" w:rsidRPr="00FC6229">
        <w:rPr>
          <w:rFonts w:asciiTheme="minorHAnsi" w:hAnsiTheme="minorHAnsi" w:cstheme="minorHAnsi"/>
          <w:iCs/>
          <w:szCs w:val="24"/>
        </w:rPr>
        <w:t xml:space="preserve"> wkład:</w:t>
      </w:r>
    </w:p>
    <w:p w14:paraId="727F8EE8" w14:textId="54EF7B1A" w:rsidR="00BF6530" w:rsidRPr="00FC6229" w:rsidRDefault="003A43A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Działanie Programu 1.1 Cyfryzacja regionu</w:t>
      </w:r>
    </w:p>
    <w:p w14:paraId="229A570A" w14:textId="435186E8" w:rsidR="00BF6530" w:rsidRPr="00FC6229" w:rsidRDefault="003A43A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Działanie Programu 2.1 </w:t>
      </w:r>
      <w:r w:rsidR="00D92E68" w:rsidRPr="00FC6229">
        <w:rPr>
          <w:rFonts w:asciiTheme="minorHAnsi" w:hAnsiTheme="minorHAnsi" w:cstheme="minorHAnsi"/>
          <w:iCs/>
          <w:szCs w:val="24"/>
        </w:rPr>
        <w:t>Wsparcie</w:t>
      </w:r>
      <w:r w:rsidRPr="00FC6229">
        <w:rPr>
          <w:rFonts w:asciiTheme="minorHAnsi" w:hAnsiTheme="minorHAnsi" w:cstheme="minorHAnsi"/>
          <w:iCs/>
          <w:szCs w:val="24"/>
        </w:rPr>
        <w:t xml:space="preserve"> przejścia na zieloną energię</w:t>
      </w:r>
    </w:p>
    <w:p w14:paraId="1C911F27" w14:textId="0B9E3ED1" w:rsidR="00D83552" w:rsidRPr="00FC6229" w:rsidRDefault="003A43A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Działanie Programu 2.2 Promowanie zrównoważonego wykorzystania wody </w:t>
      </w:r>
    </w:p>
    <w:p w14:paraId="06CA5701" w14:textId="13DB9AC1" w:rsidR="00FA6ADD" w:rsidRPr="00FC6229" w:rsidRDefault="003A43A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Działanie Programu 2.3 Wspieranie rozwoju o obiegu zamkniętym i bardziej </w:t>
      </w:r>
      <w:proofErr w:type="spellStart"/>
      <w:r w:rsidRPr="00FC6229">
        <w:rPr>
          <w:rFonts w:asciiTheme="minorHAnsi" w:hAnsiTheme="minorHAnsi" w:cstheme="minorHAnsi"/>
          <w:iCs/>
          <w:szCs w:val="24"/>
        </w:rPr>
        <w:t>zasobooszczędnego</w:t>
      </w:r>
      <w:proofErr w:type="spellEnd"/>
    </w:p>
    <w:p w14:paraId="4E7D9BB6" w14:textId="01278586" w:rsidR="007429E0" w:rsidRPr="00FC6229" w:rsidRDefault="003A43A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Działanie Programu 3.1 Rozwój zrównoważonej, odpornej i innowacyjnej turystyki</w:t>
      </w:r>
    </w:p>
    <w:p w14:paraId="7AA5AF28" w14:textId="43CB79BF" w:rsidR="00BF6530" w:rsidRPr="00FC6229" w:rsidRDefault="00BF653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Umiarkowany wkład:</w:t>
      </w:r>
    </w:p>
    <w:p w14:paraId="413D9B79" w14:textId="5602E2AE" w:rsidR="00BF6530" w:rsidRPr="00FC6229" w:rsidRDefault="003A43A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Działanie Programu 1.2 Budowanie łączności regionu poprzez internacjonalizację</w:t>
      </w:r>
    </w:p>
    <w:p w14:paraId="73825A3A" w14:textId="0F0051C2" w:rsidR="00BF6530" w:rsidRPr="00FC6229" w:rsidRDefault="00B91B0A"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Działanie Programu 4.1 Wzmocnienie zdolności współpracy podmiotów z siedzibą w Obszarze Południowego Bałtyku (w tym społeczeństwa obywatelskiego)</w:t>
      </w:r>
    </w:p>
    <w:p w14:paraId="6ECC3CAF" w14:textId="7394D369" w:rsidR="000E57D5" w:rsidRPr="00FC6229" w:rsidRDefault="000E57D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Spójność ze Strategią Unii Europejskiej dla Regionu Morza Bałtyckiego (EUSBSR)</w:t>
      </w:r>
    </w:p>
    <w:p w14:paraId="4FDE338F" w14:textId="06B714AE" w:rsidR="000E57D5" w:rsidRPr="00FC6229" w:rsidRDefault="00D604A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Skorygowany plan działania EUSBSR </w:t>
      </w:r>
      <w:r w:rsidR="00D92E68" w:rsidRPr="00FC6229">
        <w:rPr>
          <w:rFonts w:asciiTheme="minorHAnsi" w:hAnsiTheme="minorHAnsi" w:cstheme="minorHAnsi"/>
          <w:iCs/>
          <w:szCs w:val="24"/>
        </w:rPr>
        <w:t>roz</w:t>
      </w:r>
      <w:r w:rsidRPr="00FC6229">
        <w:rPr>
          <w:rFonts w:asciiTheme="minorHAnsi" w:hAnsiTheme="minorHAnsi" w:cstheme="minorHAnsi"/>
          <w:iCs/>
          <w:szCs w:val="24"/>
        </w:rPr>
        <w:t xml:space="preserve">różnia trzy cele (ochrona morza, rozwój połączeń w regionie, wzrost dobrobytu). Ponadto w ramach celów cząstkowych opracowano 14 </w:t>
      </w:r>
      <w:r w:rsidR="009B0275" w:rsidRPr="00FC6229">
        <w:rPr>
          <w:rFonts w:asciiTheme="minorHAnsi" w:hAnsiTheme="minorHAnsi" w:cstheme="minorHAnsi"/>
          <w:iCs/>
          <w:szCs w:val="24"/>
        </w:rPr>
        <w:t xml:space="preserve">Obszarów Polityki </w:t>
      </w:r>
      <w:r w:rsidRPr="00FC6229">
        <w:rPr>
          <w:rFonts w:asciiTheme="minorHAnsi" w:hAnsiTheme="minorHAnsi" w:cstheme="minorHAnsi"/>
          <w:iCs/>
          <w:szCs w:val="24"/>
        </w:rPr>
        <w:t>(podzielonych na 44 działa</w:t>
      </w:r>
      <w:r w:rsidR="009B0275" w:rsidRPr="00FC6229">
        <w:rPr>
          <w:rFonts w:asciiTheme="minorHAnsi" w:hAnsiTheme="minorHAnsi" w:cstheme="minorHAnsi"/>
          <w:iCs/>
          <w:szCs w:val="24"/>
        </w:rPr>
        <w:t>nia</w:t>
      </w:r>
      <w:r w:rsidRPr="00FC6229">
        <w:rPr>
          <w:rFonts w:asciiTheme="minorHAnsi" w:hAnsiTheme="minorHAnsi" w:cstheme="minorHAnsi"/>
          <w:iCs/>
          <w:szCs w:val="24"/>
        </w:rPr>
        <w:t xml:space="preserve">). Są to główne obszary, w których EUSBSR może przyczynić się do udoskonaleń, zarówno </w:t>
      </w:r>
      <w:r w:rsidR="009B0275" w:rsidRPr="00FC6229">
        <w:rPr>
          <w:rFonts w:asciiTheme="minorHAnsi" w:hAnsiTheme="minorHAnsi" w:cstheme="minorHAnsi"/>
          <w:iCs/>
          <w:szCs w:val="24"/>
        </w:rPr>
        <w:t>dzięki</w:t>
      </w:r>
      <w:r w:rsidRPr="00FC6229">
        <w:rPr>
          <w:rFonts w:asciiTheme="minorHAnsi" w:hAnsiTheme="minorHAnsi" w:cstheme="minorHAnsi"/>
          <w:iCs/>
          <w:szCs w:val="24"/>
        </w:rPr>
        <w:t xml:space="preserve"> sprostani</w:t>
      </w:r>
      <w:r w:rsidR="009B0275" w:rsidRPr="00FC6229">
        <w:rPr>
          <w:rFonts w:asciiTheme="minorHAnsi" w:hAnsiTheme="minorHAnsi" w:cstheme="minorHAnsi"/>
          <w:iCs/>
          <w:szCs w:val="24"/>
        </w:rPr>
        <w:t>u</w:t>
      </w:r>
      <w:r w:rsidRPr="00FC6229">
        <w:rPr>
          <w:rFonts w:asciiTheme="minorHAnsi" w:hAnsiTheme="minorHAnsi" w:cstheme="minorHAnsi"/>
          <w:iCs/>
          <w:szCs w:val="24"/>
        </w:rPr>
        <w:t xml:space="preserve"> głównym wyzwaniom, jak i wykorzystani</w:t>
      </w:r>
      <w:r w:rsidR="009B0275" w:rsidRPr="00FC6229">
        <w:rPr>
          <w:rFonts w:asciiTheme="minorHAnsi" w:hAnsiTheme="minorHAnsi" w:cstheme="minorHAnsi"/>
          <w:iCs/>
          <w:szCs w:val="24"/>
        </w:rPr>
        <w:t>u</w:t>
      </w:r>
      <w:r w:rsidRPr="00FC6229">
        <w:rPr>
          <w:rFonts w:asciiTheme="minorHAnsi" w:hAnsiTheme="minorHAnsi" w:cstheme="minorHAnsi"/>
          <w:iCs/>
          <w:szCs w:val="24"/>
        </w:rPr>
        <w:t xml:space="preserve"> kluczowych możliwości. W okresie 2007-2013 ówczesny Program Południowy Bałtyk przyczynił się w znacznym stopniu do wdrożenia EUSBSR dzięki wspólnym działaniom, zwiększając konkurencyjność regionów i wzmacniając integrację ludzi i instytucji. Projekty współfinansowane w ramach </w:t>
      </w:r>
      <w:r w:rsidR="009B0275" w:rsidRPr="00FC6229">
        <w:rPr>
          <w:rFonts w:asciiTheme="minorHAnsi" w:hAnsiTheme="minorHAnsi" w:cstheme="minorHAnsi"/>
          <w:iCs/>
          <w:szCs w:val="24"/>
        </w:rPr>
        <w:t>P</w:t>
      </w:r>
      <w:r w:rsidRPr="00FC6229">
        <w:rPr>
          <w:rFonts w:asciiTheme="minorHAnsi" w:hAnsiTheme="minorHAnsi" w:cstheme="minorHAnsi"/>
          <w:iCs/>
          <w:szCs w:val="24"/>
        </w:rPr>
        <w:t>rogramu 2007-2013 dotyczyły aż 12 obszarów priorytetowych w ramach poprzednie</w:t>
      </w:r>
      <w:r w:rsidR="009B0275" w:rsidRPr="00FC6229">
        <w:rPr>
          <w:rFonts w:asciiTheme="minorHAnsi" w:hAnsiTheme="minorHAnsi" w:cstheme="minorHAnsi"/>
          <w:iCs/>
          <w:szCs w:val="24"/>
        </w:rPr>
        <w:t>j</w:t>
      </w:r>
      <w:r w:rsidRPr="00FC6229">
        <w:rPr>
          <w:rFonts w:asciiTheme="minorHAnsi" w:hAnsiTheme="minorHAnsi" w:cstheme="minorHAnsi"/>
          <w:iCs/>
          <w:szCs w:val="24"/>
        </w:rPr>
        <w:t xml:space="preserve"> Strategii, </w:t>
      </w:r>
      <w:r w:rsidR="009B0275" w:rsidRPr="00FC6229">
        <w:rPr>
          <w:rFonts w:asciiTheme="minorHAnsi" w:hAnsiTheme="minorHAnsi" w:cstheme="minorHAnsi"/>
          <w:iCs/>
          <w:szCs w:val="24"/>
        </w:rPr>
        <w:t>a</w:t>
      </w:r>
      <w:r w:rsidRPr="00FC6229">
        <w:rPr>
          <w:rFonts w:asciiTheme="minorHAnsi" w:hAnsiTheme="minorHAnsi" w:cstheme="minorHAnsi"/>
          <w:iCs/>
          <w:szCs w:val="24"/>
        </w:rPr>
        <w:t xml:space="preserve"> szczególn</w:t>
      </w:r>
      <w:r w:rsidR="009B0275" w:rsidRPr="00FC6229">
        <w:rPr>
          <w:rFonts w:asciiTheme="minorHAnsi" w:hAnsiTheme="minorHAnsi" w:cstheme="minorHAnsi"/>
          <w:iCs/>
          <w:szCs w:val="24"/>
        </w:rPr>
        <w:t>ym</w:t>
      </w:r>
      <w:r w:rsidRPr="00FC6229">
        <w:rPr>
          <w:rFonts w:asciiTheme="minorHAnsi" w:hAnsiTheme="minorHAnsi" w:cstheme="minorHAnsi"/>
          <w:iCs/>
          <w:szCs w:val="24"/>
        </w:rPr>
        <w:t xml:space="preserve"> zainteresowani</w:t>
      </w:r>
      <w:r w:rsidR="009B0275" w:rsidRPr="00FC6229">
        <w:rPr>
          <w:rFonts w:asciiTheme="minorHAnsi" w:hAnsiTheme="minorHAnsi" w:cstheme="minorHAnsi"/>
          <w:iCs/>
          <w:szCs w:val="24"/>
        </w:rPr>
        <w:t>em cieszyły się</w:t>
      </w:r>
      <w:r w:rsidRPr="00FC6229">
        <w:rPr>
          <w:rFonts w:asciiTheme="minorHAnsi" w:hAnsiTheme="minorHAnsi" w:cstheme="minorHAnsi"/>
          <w:iCs/>
          <w:szCs w:val="24"/>
        </w:rPr>
        <w:t xml:space="preserve"> działania</w:t>
      </w:r>
      <w:r w:rsidR="009B0275" w:rsidRPr="00FC6229">
        <w:rPr>
          <w:rFonts w:asciiTheme="minorHAnsi" w:hAnsiTheme="minorHAnsi" w:cstheme="minorHAnsi"/>
          <w:iCs/>
          <w:szCs w:val="24"/>
        </w:rPr>
        <w:t xml:space="preserve"> </w:t>
      </w:r>
      <w:r w:rsidRPr="00FC6229">
        <w:rPr>
          <w:rFonts w:asciiTheme="minorHAnsi" w:hAnsiTheme="minorHAnsi" w:cstheme="minorHAnsi"/>
          <w:iCs/>
          <w:szCs w:val="24"/>
        </w:rPr>
        <w:t>promując</w:t>
      </w:r>
      <w:r w:rsidR="009B0275" w:rsidRPr="00FC6229">
        <w:rPr>
          <w:rFonts w:asciiTheme="minorHAnsi" w:hAnsiTheme="minorHAnsi" w:cstheme="minorHAnsi"/>
          <w:iCs/>
          <w:szCs w:val="24"/>
        </w:rPr>
        <w:t>e</w:t>
      </w:r>
      <w:r w:rsidRPr="00FC6229">
        <w:rPr>
          <w:rFonts w:asciiTheme="minorHAnsi" w:hAnsiTheme="minorHAnsi" w:cstheme="minorHAnsi"/>
          <w:iCs/>
          <w:szCs w:val="24"/>
        </w:rPr>
        <w:t xml:space="preserve"> atrakcyjność i przedsiębiorczość w Regionie Morza Bałtyckiego. </w:t>
      </w:r>
      <w:r w:rsidR="009B0275" w:rsidRPr="00FC6229">
        <w:rPr>
          <w:rFonts w:asciiTheme="minorHAnsi" w:hAnsiTheme="minorHAnsi" w:cstheme="minorHAnsi"/>
          <w:iCs/>
          <w:szCs w:val="24"/>
        </w:rPr>
        <w:t>Do wdrożenia planu działania strategii przyczyniło się bezpośrednio s</w:t>
      </w:r>
      <w:r w:rsidRPr="00FC6229">
        <w:rPr>
          <w:rFonts w:asciiTheme="minorHAnsi" w:hAnsiTheme="minorHAnsi" w:cstheme="minorHAnsi"/>
          <w:iCs/>
          <w:szCs w:val="24"/>
        </w:rPr>
        <w:t>ześć projektów Programu Południowy Bałtyk 2007-2013 (</w:t>
      </w:r>
      <w:proofErr w:type="spellStart"/>
      <w:r w:rsidRPr="00FC6229">
        <w:rPr>
          <w:rFonts w:asciiTheme="minorHAnsi" w:hAnsiTheme="minorHAnsi" w:cstheme="minorHAnsi"/>
          <w:iCs/>
          <w:szCs w:val="24"/>
        </w:rPr>
        <w:t>MarTechLNG</w:t>
      </w:r>
      <w:proofErr w:type="spellEnd"/>
      <w:r w:rsidRPr="00FC6229">
        <w:rPr>
          <w:rFonts w:asciiTheme="minorHAnsi" w:hAnsiTheme="minorHAnsi" w:cstheme="minorHAnsi"/>
          <w:iCs/>
          <w:szCs w:val="24"/>
        </w:rPr>
        <w:t xml:space="preserve">, Art Line, </w:t>
      </w:r>
      <w:proofErr w:type="spellStart"/>
      <w:r w:rsidRPr="00FC6229">
        <w:rPr>
          <w:rFonts w:asciiTheme="minorHAnsi" w:hAnsiTheme="minorHAnsi" w:cstheme="minorHAnsi"/>
          <w:iCs/>
          <w:szCs w:val="24"/>
        </w:rPr>
        <w:t>Enjoy</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South</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Baltic</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Hardwoods</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are</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good</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South</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Baltic</w:t>
      </w:r>
      <w:proofErr w:type="spellEnd"/>
      <w:r w:rsidRPr="00FC6229">
        <w:rPr>
          <w:rFonts w:asciiTheme="minorHAnsi" w:hAnsiTheme="minorHAnsi" w:cstheme="minorHAnsi"/>
          <w:iCs/>
          <w:szCs w:val="24"/>
        </w:rPr>
        <w:t xml:space="preserve"> Training oraz SEASIDE). </w:t>
      </w:r>
    </w:p>
    <w:p w14:paraId="42E89F7C" w14:textId="36EA9C44" w:rsidR="00B30DFE" w:rsidRPr="00FC6229" w:rsidRDefault="00D604A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W ramach kontynuacji tego podejścia Program Interreg Południowy Bałtyk 2014-2020 wspierał działania bezpośrednio wzmacniające rozwój makroregionu Morza Bałtyckiego. </w:t>
      </w:r>
      <w:r w:rsidRPr="00126BD7">
        <w:rPr>
          <w:rFonts w:asciiTheme="minorHAnsi" w:hAnsiTheme="minorHAnsi" w:cstheme="minorHAnsi"/>
          <w:iCs/>
          <w:szCs w:val="24"/>
          <w:lang w:val="en-US"/>
        </w:rPr>
        <w:t xml:space="preserve">W </w:t>
      </w:r>
      <w:proofErr w:type="spellStart"/>
      <w:r w:rsidRPr="00126BD7">
        <w:rPr>
          <w:rFonts w:asciiTheme="minorHAnsi" w:hAnsiTheme="minorHAnsi" w:cstheme="minorHAnsi"/>
          <w:iCs/>
          <w:szCs w:val="24"/>
          <w:lang w:val="en-US"/>
        </w:rPr>
        <w:t>ramach</w:t>
      </w:r>
      <w:proofErr w:type="spellEnd"/>
      <w:r w:rsidRPr="00126BD7">
        <w:rPr>
          <w:rFonts w:asciiTheme="minorHAnsi" w:hAnsiTheme="minorHAnsi" w:cstheme="minorHAnsi"/>
          <w:iCs/>
          <w:szCs w:val="24"/>
          <w:lang w:val="en-US"/>
        </w:rPr>
        <w:t xml:space="preserve"> EUSBSR </w:t>
      </w:r>
      <w:proofErr w:type="spellStart"/>
      <w:r w:rsidRPr="00126BD7">
        <w:rPr>
          <w:rFonts w:asciiTheme="minorHAnsi" w:hAnsiTheme="minorHAnsi" w:cstheme="minorHAnsi"/>
          <w:iCs/>
          <w:szCs w:val="24"/>
          <w:lang w:val="en-US"/>
        </w:rPr>
        <w:t>flagowy</w:t>
      </w:r>
      <w:proofErr w:type="spellEnd"/>
      <w:r w:rsidRPr="00126BD7">
        <w:rPr>
          <w:rFonts w:asciiTheme="minorHAnsi" w:hAnsiTheme="minorHAnsi" w:cstheme="minorHAnsi"/>
          <w:iCs/>
          <w:szCs w:val="24"/>
          <w:lang w:val="en-US"/>
        </w:rPr>
        <w:t xml:space="preserve"> </w:t>
      </w:r>
      <w:r w:rsidR="009B0275" w:rsidRPr="00126BD7">
        <w:rPr>
          <w:rFonts w:asciiTheme="minorHAnsi" w:hAnsiTheme="minorHAnsi" w:cstheme="minorHAnsi"/>
          <w:iCs/>
          <w:szCs w:val="24"/>
          <w:lang w:val="en-US"/>
        </w:rPr>
        <w:t xml:space="preserve">status </w:t>
      </w:r>
      <w:proofErr w:type="spellStart"/>
      <w:r w:rsidRPr="00126BD7">
        <w:rPr>
          <w:rFonts w:asciiTheme="minorHAnsi" w:hAnsiTheme="minorHAnsi" w:cstheme="minorHAnsi"/>
          <w:iCs/>
          <w:szCs w:val="24"/>
          <w:lang w:val="en-US"/>
        </w:rPr>
        <w:t>przypisano</w:t>
      </w:r>
      <w:proofErr w:type="spellEnd"/>
      <w:r w:rsidRPr="00126BD7">
        <w:rPr>
          <w:rFonts w:asciiTheme="minorHAnsi" w:hAnsiTheme="minorHAnsi" w:cstheme="minorHAnsi"/>
          <w:iCs/>
          <w:szCs w:val="24"/>
          <w:lang w:val="en-US"/>
        </w:rPr>
        <w:t xml:space="preserve"> </w:t>
      </w:r>
      <w:proofErr w:type="spellStart"/>
      <w:r w:rsidRPr="00126BD7">
        <w:rPr>
          <w:rFonts w:asciiTheme="minorHAnsi" w:hAnsiTheme="minorHAnsi" w:cstheme="minorHAnsi"/>
          <w:iCs/>
          <w:szCs w:val="24"/>
          <w:lang w:val="en-US"/>
        </w:rPr>
        <w:t>siedmiu</w:t>
      </w:r>
      <w:proofErr w:type="spellEnd"/>
      <w:r w:rsidRPr="00126BD7">
        <w:rPr>
          <w:rFonts w:asciiTheme="minorHAnsi" w:hAnsiTheme="minorHAnsi" w:cstheme="minorHAnsi"/>
          <w:iCs/>
          <w:szCs w:val="24"/>
          <w:lang w:val="en-US"/>
        </w:rPr>
        <w:t xml:space="preserve"> </w:t>
      </w:r>
      <w:proofErr w:type="spellStart"/>
      <w:r w:rsidRPr="00126BD7">
        <w:rPr>
          <w:rFonts w:asciiTheme="minorHAnsi" w:hAnsiTheme="minorHAnsi" w:cstheme="minorHAnsi"/>
          <w:iCs/>
          <w:szCs w:val="24"/>
          <w:lang w:val="en-US"/>
        </w:rPr>
        <w:t>projektom</w:t>
      </w:r>
      <w:proofErr w:type="spellEnd"/>
      <w:r w:rsidRPr="00126BD7">
        <w:rPr>
          <w:rFonts w:asciiTheme="minorHAnsi" w:hAnsiTheme="minorHAnsi" w:cstheme="minorHAnsi"/>
          <w:iCs/>
          <w:szCs w:val="24"/>
          <w:lang w:val="en-US"/>
        </w:rPr>
        <w:t xml:space="preserve">: INTERCONNECT, </w:t>
      </w:r>
      <w:proofErr w:type="spellStart"/>
      <w:r w:rsidRPr="00126BD7">
        <w:rPr>
          <w:rFonts w:asciiTheme="minorHAnsi" w:hAnsiTheme="minorHAnsi" w:cstheme="minorHAnsi"/>
          <w:iCs/>
          <w:szCs w:val="24"/>
          <w:lang w:val="en-US"/>
        </w:rPr>
        <w:t>BioBiGG</w:t>
      </w:r>
      <w:proofErr w:type="spellEnd"/>
      <w:r w:rsidRPr="00126BD7">
        <w:rPr>
          <w:rFonts w:asciiTheme="minorHAnsi" w:hAnsiTheme="minorHAnsi" w:cstheme="minorHAnsi"/>
          <w:iCs/>
          <w:szCs w:val="24"/>
          <w:lang w:val="en-US"/>
        </w:rPr>
        <w:t xml:space="preserve">, MORPHEUS, Baltic Sea Tourism Center, </w:t>
      </w:r>
      <w:proofErr w:type="spellStart"/>
      <w:r w:rsidRPr="00126BD7">
        <w:rPr>
          <w:rFonts w:asciiTheme="minorHAnsi" w:hAnsiTheme="minorHAnsi" w:cstheme="minorHAnsi"/>
          <w:iCs/>
          <w:szCs w:val="24"/>
          <w:lang w:val="en-US"/>
        </w:rPr>
        <w:t>InnoAquaTech</w:t>
      </w:r>
      <w:proofErr w:type="spellEnd"/>
      <w:r w:rsidRPr="00126BD7">
        <w:rPr>
          <w:rFonts w:asciiTheme="minorHAnsi" w:hAnsiTheme="minorHAnsi" w:cstheme="minorHAnsi"/>
          <w:iCs/>
          <w:szCs w:val="24"/>
          <w:lang w:val="en-US"/>
        </w:rPr>
        <w:t xml:space="preserve">, Attractive Hardwoods, BBVET. </w:t>
      </w:r>
      <w:r w:rsidRPr="00FC6229">
        <w:rPr>
          <w:rFonts w:asciiTheme="minorHAnsi" w:hAnsiTheme="minorHAnsi" w:cstheme="minorHAnsi"/>
          <w:iCs/>
          <w:szCs w:val="24"/>
        </w:rPr>
        <w:t xml:space="preserve">Większość z 64 </w:t>
      </w:r>
      <w:r w:rsidR="00A62B86" w:rsidRPr="00FC6229">
        <w:rPr>
          <w:rFonts w:asciiTheme="minorHAnsi" w:hAnsiTheme="minorHAnsi" w:cstheme="minorHAnsi"/>
          <w:iCs/>
          <w:szCs w:val="24"/>
        </w:rPr>
        <w:t>regularnych</w:t>
      </w:r>
      <w:r w:rsidRPr="00FC6229">
        <w:rPr>
          <w:rFonts w:asciiTheme="minorHAnsi" w:hAnsiTheme="minorHAnsi" w:cstheme="minorHAnsi"/>
          <w:iCs/>
          <w:szCs w:val="24"/>
        </w:rPr>
        <w:t xml:space="preserve"> projektów wdrażanych w ramach Programu Interreg Południowy Bałtyk 2014-2020 przyczynia się do realizacji celów Strategii. </w:t>
      </w:r>
    </w:p>
    <w:p w14:paraId="718DB183" w14:textId="72CED07A" w:rsidR="00BE6691" w:rsidRPr="00FC6229" w:rsidRDefault="00B30DFE"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Program operacyjny Interreg Południowy Bałtyk 2021-2027 pozostaje w synergii ze skorygowaną Strategią i będzie odgrywał aktywną rolę w jej wdrażaniu. Działania w ramach Programu są ściśle powiązane z głównymi celami EUSBSR Ochrona morza (działania Programu 2.1, 2.2, 2.3, 3.1), </w:t>
      </w:r>
      <w:r w:rsidR="009B0275" w:rsidRPr="00FC6229">
        <w:rPr>
          <w:rFonts w:asciiTheme="minorHAnsi" w:hAnsiTheme="minorHAnsi" w:cstheme="minorHAnsi"/>
          <w:iCs/>
          <w:szCs w:val="24"/>
        </w:rPr>
        <w:t>R</w:t>
      </w:r>
      <w:r w:rsidRPr="00FC6229">
        <w:rPr>
          <w:rFonts w:asciiTheme="minorHAnsi" w:hAnsiTheme="minorHAnsi" w:cstheme="minorHAnsi"/>
          <w:iCs/>
          <w:szCs w:val="24"/>
        </w:rPr>
        <w:t xml:space="preserve">ozwój połączeń w regionie (działania Programu 4.1) i Wzrost dobrobytu (działania Programu 1.1, 1.2). </w:t>
      </w:r>
    </w:p>
    <w:p w14:paraId="757A090B" w14:textId="292625C9" w:rsidR="000E57D5" w:rsidRPr="00FC6229" w:rsidRDefault="00B30DFE"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Obserwuje się silne powiązania z obszarami polityki EUSBSR i oczekuje się komplementarności Celów Szczegółowych Programu:</w:t>
      </w:r>
    </w:p>
    <w:p w14:paraId="340E6112" w14:textId="0B33CAD1" w:rsidR="000C300C" w:rsidRPr="00FC6229" w:rsidRDefault="00EF37B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OP</w:t>
      </w:r>
      <w:r w:rsidR="000C300C" w:rsidRPr="00FC6229">
        <w:rPr>
          <w:rFonts w:asciiTheme="minorHAnsi" w:hAnsiTheme="minorHAnsi" w:cstheme="minorHAnsi"/>
          <w:iCs/>
          <w:szCs w:val="24"/>
        </w:rPr>
        <w:t xml:space="preserve"> Energia – działanie Programu 2.1. </w:t>
      </w:r>
      <w:r w:rsidRPr="00FC6229">
        <w:rPr>
          <w:rFonts w:asciiTheme="minorHAnsi" w:hAnsiTheme="minorHAnsi" w:cstheme="minorHAnsi"/>
          <w:iCs/>
          <w:szCs w:val="24"/>
        </w:rPr>
        <w:t>Wsparcie</w:t>
      </w:r>
      <w:r w:rsidR="000C300C" w:rsidRPr="00FC6229">
        <w:rPr>
          <w:rFonts w:asciiTheme="minorHAnsi" w:hAnsiTheme="minorHAnsi" w:cstheme="minorHAnsi"/>
          <w:iCs/>
          <w:szCs w:val="24"/>
        </w:rPr>
        <w:t xml:space="preserve"> przejścia na zieloną energię </w:t>
      </w:r>
      <w:r w:rsidRPr="00FC6229">
        <w:rPr>
          <w:rFonts w:asciiTheme="minorHAnsi" w:hAnsiTheme="minorHAnsi" w:cstheme="minorHAnsi"/>
          <w:iCs/>
          <w:szCs w:val="24"/>
        </w:rPr>
        <w:t>dedykowane jest</w:t>
      </w:r>
      <w:r w:rsidR="000C300C" w:rsidRPr="00FC6229">
        <w:rPr>
          <w:rFonts w:asciiTheme="minorHAnsi" w:hAnsiTheme="minorHAnsi" w:cstheme="minorHAnsi"/>
          <w:iCs/>
          <w:szCs w:val="24"/>
        </w:rPr>
        <w:t xml:space="preserve"> projekt</w:t>
      </w:r>
      <w:r w:rsidRPr="00FC6229">
        <w:rPr>
          <w:rFonts w:asciiTheme="minorHAnsi" w:hAnsiTheme="minorHAnsi" w:cstheme="minorHAnsi"/>
          <w:iCs/>
          <w:szCs w:val="24"/>
        </w:rPr>
        <w:t>om</w:t>
      </w:r>
      <w:r w:rsidR="000C300C" w:rsidRPr="00FC6229">
        <w:rPr>
          <w:rFonts w:asciiTheme="minorHAnsi" w:hAnsiTheme="minorHAnsi" w:cstheme="minorHAnsi"/>
          <w:iCs/>
          <w:szCs w:val="24"/>
        </w:rPr>
        <w:t xml:space="preserve"> dotyczący</w:t>
      </w:r>
      <w:r w:rsidRPr="00FC6229">
        <w:rPr>
          <w:rFonts w:asciiTheme="minorHAnsi" w:hAnsiTheme="minorHAnsi" w:cstheme="minorHAnsi"/>
          <w:iCs/>
          <w:szCs w:val="24"/>
        </w:rPr>
        <w:t>m</w:t>
      </w:r>
      <w:r w:rsidR="000C300C" w:rsidRPr="00FC6229">
        <w:rPr>
          <w:rFonts w:asciiTheme="minorHAnsi" w:hAnsiTheme="minorHAnsi" w:cstheme="minorHAnsi"/>
          <w:iCs/>
          <w:szCs w:val="24"/>
        </w:rPr>
        <w:t xml:space="preserve"> opracowywania, demonstrowania i wdrażania rozwiązań w zakresie zielonej energii w produkcji i magazynowaniu energii, a także opracowywania strategii zielonej polityki. Ma ono na celu ułatwienie i popularyzację wykorzystania alternatywnych źródeł energii, takich jak wiatr, energia słoneczna, biomasa, woda i inne odnawialne źródła energii.</w:t>
      </w:r>
    </w:p>
    <w:p w14:paraId="45CFF292" w14:textId="061A9518" w:rsidR="000C300C" w:rsidRPr="00FC6229" w:rsidRDefault="00EF37B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OP</w:t>
      </w:r>
      <w:r w:rsidR="000C300C" w:rsidRPr="00FC6229">
        <w:rPr>
          <w:rFonts w:asciiTheme="minorHAnsi" w:hAnsiTheme="minorHAnsi" w:cstheme="minorHAnsi"/>
          <w:iCs/>
          <w:szCs w:val="24"/>
        </w:rPr>
        <w:t xml:space="preserve"> Turystyka – działanie Programu 3.1. Rozwój zrównoważonej, odpornej i innowacyjnej turystyki kładzie nacisk na zrównoważony rozwój turystyki, który należy rozumieć na dwa sposoby: (1) zmniejszenie negatywnego wpływu turystyki na środowisko naturalne </w:t>
      </w:r>
      <w:r w:rsidRPr="00FC6229">
        <w:rPr>
          <w:rFonts w:asciiTheme="minorHAnsi" w:hAnsiTheme="minorHAnsi" w:cstheme="minorHAnsi"/>
          <w:iCs/>
          <w:szCs w:val="24"/>
        </w:rPr>
        <w:t>dzięki</w:t>
      </w:r>
      <w:r w:rsidR="000C300C" w:rsidRPr="00FC6229">
        <w:rPr>
          <w:rFonts w:asciiTheme="minorHAnsi" w:hAnsiTheme="minorHAnsi" w:cstheme="minorHAnsi"/>
          <w:iCs/>
          <w:szCs w:val="24"/>
        </w:rPr>
        <w:t xml:space="preserve"> prowadzeni</w:t>
      </w:r>
      <w:r w:rsidRPr="00FC6229">
        <w:rPr>
          <w:rFonts w:asciiTheme="minorHAnsi" w:hAnsiTheme="minorHAnsi" w:cstheme="minorHAnsi"/>
          <w:iCs/>
          <w:szCs w:val="24"/>
        </w:rPr>
        <w:t>u</w:t>
      </w:r>
      <w:r w:rsidR="000C300C" w:rsidRPr="00FC6229">
        <w:rPr>
          <w:rFonts w:asciiTheme="minorHAnsi" w:hAnsiTheme="minorHAnsi" w:cstheme="minorHAnsi"/>
          <w:iCs/>
          <w:szCs w:val="24"/>
        </w:rPr>
        <w:t xml:space="preserve"> projektów mających na celu zachowanie bioróżnorodności, ochronę bogatych i zróżnicowanych ofert </w:t>
      </w:r>
      <w:r w:rsidR="00562ED6" w:rsidRPr="00FC6229">
        <w:rPr>
          <w:rFonts w:asciiTheme="minorHAnsi" w:hAnsiTheme="minorHAnsi" w:cstheme="minorHAnsi"/>
          <w:iCs/>
          <w:szCs w:val="24"/>
        </w:rPr>
        <w:t>przyrodniczych</w:t>
      </w:r>
      <w:r w:rsidR="000C300C" w:rsidRPr="00FC6229">
        <w:rPr>
          <w:rFonts w:asciiTheme="minorHAnsi" w:hAnsiTheme="minorHAnsi" w:cstheme="minorHAnsi"/>
          <w:iCs/>
          <w:szCs w:val="24"/>
        </w:rPr>
        <w:t xml:space="preserve"> (jak również kultur</w:t>
      </w:r>
      <w:r w:rsidRPr="00FC6229">
        <w:rPr>
          <w:rFonts w:asciiTheme="minorHAnsi" w:hAnsiTheme="minorHAnsi" w:cstheme="minorHAnsi"/>
          <w:iCs/>
          <w:szCs w:val="24"/>
        </w:rPr>
        <w:t>owych</w:t>
      </w:r>
      <w:r w:rsidR="000C300C" w:rsidRPr="00FC6229">
        <w:rPr>
          <w:rFonts w:asciiTheme="minorHAnsi" w:hAnsiTheme="minorHAnsi" w:cstheme="minorHAnsi"/>
          <w:iCs/>
          <w:szCs w:val="24"/>
        </w:rPr>
        <w:t>) na tym obszarze, (2) zaspokojenie potrzeb potencjalnych turystów bez uszczerbku dla potrzeb obywateli regionu.</w:t>
      </w:r>
    </w:p>
    <w:p w14:paraId="78C09784" w14:textId="25056D1E" w:rsidR="000C300C" w:rsidRPr="00FC6229" w:rsidRDefault="00EF37B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OP</w:t>
      </w:r>
      <w:r w:rsidR="000C300C" w:rsidRPr="00FC6229">
        <w:rPr>
          <w:rFonts w:asciiTheme="minorHAnsi" w:hAnsiTheme="minorHAnsi" w:cstheme="minorHAnsi"/>
          <w:iCs/>
          <w:szCs w:val="24"/>
        </w:rPr>
        <w:t xml:space="preserve"> Kultura – działanie Programu 3.1. Rozwój zrównoważonej, odpornej i innowacyjnej turystyki umożliwia prowadzenie projektów mających na celu promowanie dziedzictwa kulturowego regionu, w szczególności szlaków kulturowych biegnących przez Obszar Południowego Bałtyku, ale także sektor</w:t>
      </w:r>
      <w:r w:rsidR="000E14E1" w:rsidRPr="00FC6229">
        <w:rPr>
          <w:rFonts w:asciiTheme="minorHAnsi" w:hAnsiTheme="minorHAnsi" w:cstheme="minorHAnsi"/>
          <w:iCs/>
          <w:szCs w:val="24"/>
        </w:rPr>
        <w:t>a</w:t>
      </w:r>
      <w:r w:rsidR="000C300C" w:rsidRPr="00FC6229">
        <w:rPr>
          <w:rFonts w:asciiTheme="minorHAnsi" w:hAnsiTheme="minorHAnsi" w:cstheme="minorHAnsi"/>
          <w:iCs/>
          <w:szCs w:val="24"/>
        </w:rPr>
        <w:t xml:space="preserve"> kreatywn</w:t>
      </w:r>
      <w:r w:rsidR="000E14E1" w:rsidRPr="00FC6229">
        <w:rPr>
          <w:rFonts w:asciiTheme="minorHAnsi" w:hAnsiTheme="minorHAnsi" w:cstheme="minorHAnsi"/>
          <w:iCs/>
          <w:szCs w:val="24"/>
        </w:rPr>
        <w:t>ego</w:t>
      </w:r>
      <w:r w:rsidR="000C300C" w:rsidRPr="00FC6229">
        <w:rPr>
          <w:rFonts w:asciiTheme="minorHAnsi" w:hAnsiTheme="minorHAnsi" w:cstheme="minorHAnsi"/>
          <w:iCs/>
          <w:szCs w:val="24"/>
        </w:rPr>
        <w:t>. Działanie Programu 4.1. Wzmocnienie zdolności współpracy podmiotów z siedzibą w Obszarze Południowego Bałtyku (w tym społeczeństwa obywatelskiego) umożliwia organizowanie wspólnych działań związanych z wymianą wiedzy w dziedzinie ochrony wspólnego dziedzictwa i kultury.</w:t>
      </w:r>
    </w:p>
    <w:p w14:paraId="7673A15E" w14:textId="21B97593" w:rsidR="000C300C" w:rsidRPr="00FC6229" w:rsidRDefault="000E14E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OP</w:t>
      </w:r>
      <w:r w:rsidR="000C300C" w:rsidRPr="00FC6229">
        <w:rPr>
          <w:rFonts w:asciiTheme="minorHAnsi" w:hAnsiTheme="minorHAnsi" w:cstheme="minorHAnsi"/>
          <w:iCs/>
          <w:szCs w:val="24"/>
        </w:rPr>
        <w:t xml:space="preserve"> Innowacje – działanie Programu 1.1. Cyfryzacja regionu umożliwia opracowanie i wdrożenie transgranicznych rozwiązań w zakresie cyfryzacji usług publicznych, a także wsparcie dla procesu cyfryzacji w różnych sektorach. Może również przyczynić się do cyfrowej transformacji MŚP. Działanie Programu 1.2. Budowanie łączności </w:t>
      </w:r>
      <w:r w:rsidRPr="00FC6229">
        <w:rPr>
          <w:rFonts w:asciiTheme="minorHAnsi" w:hAnsiTheme="minorHAnsi" w:cstheme="minorHAnsi"/>
          <w:iCs/>
          <w:szCs w:val="24"/>
        </w:rPr>
        <w:t>regionu</w:t>
      </w:r>
      <w:r w:rsidR="000C300C" w:rsidRPr="00FC6229">
        <w:rPr>
          <w:rFonts w:asciiTheme="minorHAnsi" w:hAnsiTheme="minorHAnsi" w:cstheme="minorHAnsi"/>
          <w:iCs/>
          <w:szCs w:val="24"/>
        </w:rPr>
        <w:t xml:space="preserve"> poprzez internacjonalizację w dużym stopniu związane jest z transferem technologii i współpracą między przedsiębiorstwami, ośrodkami badawczymi i sektorem szkolnictwa wyższego.</w:t>
      </w:r>
    </w:p>
    <w:p w14:paraId="3FBFC018" w14:textId="383F0585" w:rsidR="002E0F20" w:rsidRPr="00FC6229" w:rsidRDefault="000C300C"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Ponieważ Program przyczynia się ze swej natury do wdrażania EUSBSR, powiązania i komplementarność są również określone we wszystkich pozostałych Celach Szczegółowych, o których mowa w Programie.</w:t>
      </w:r>
    </w:p>
    <w:p w14:paraId="3FD6C3CD" w14:textId="3AFF5D6C" w:rsidR="002E0F20" w:rsidRPr="00FC6229" w:rsidRDefault="00E77FA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Wyciągnięte wnioski</w:t>
      </w:r>
    </w:p>
    <w:p w14:paraId="212FDCEB" w14:textId="57202ECF" w:rsidR="00B46AB1" w:rsidRPr="00FC6229" w:rsidRDefault="00E77FA0"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Program Współpracy Transgranicznej Południowy Bałtyk </w:t>
      </w:r>
      <w:r w:rsidR="000E14E1" w:rsidRPr="00FC6229">
        <w:rPr>
          <w:rFonts w:asciiTheme="minorHAnsi" w:hAnsiTheme="minorHAnsi" w:cstheme="minorHAnsi"/>
          <w:iCs/>
          <w:szCs w:val="24"/>
        </w:rPr>
        <w:t>został uruchomiony</w:t>
      </w:r>
      <w:r w:rsidRPr="00FC6229">
        <w:rPr>
          <w:rFonts w:asciiTheme="minorHAnsi" w:hAnsiTheme="minorHAnsi" w:cstheme="minorHAnsi"/>
          <w:iCs/>
          <w:szCs w:val="24"/>
        </w:rPr>
        <w:t xml:space="preserve"> jako program pilotażowy</w:t>
      </w:r>
      <w:r w:rsidR="000E14E1" w:rsidRPr="00FC6229">
        <w:rPr>
          <w:rFonts w:asciiTheme="minorHAnsi" w:hAnsiTheme="minorHAnsi" w:cstheme="minorHAnsi"/>
          <w:iCs/>
          <w:szCs w:val="24"/>
        </w:rPr>
        <w:t xml:space="preserve"> w latach 2007-2013</w:t>
      </w:r>
      <w:r w:rsidRPr="00FC6229">
        <w:rPr>
          <w:rFonts w:asciiTheme="minorHAnsi" w:hAnsiTheme="minorHAnsi" w:cstheme="minorHAnsi"/>
          <w:iCs/>
          <w:szCs w:val="24"/>
        </w:rPr>
        <w:t xml:space="preserve">. Państwa Członkowskie zdecydowały, że głównym tematem Programu powinna być współpraca między regionami na szczeblu lokalnym. Ten zamiar uczestniczących zainteresowanych </w:t>
      </w:r>
      <w:r w:rsidR="007272A8" w:rsidRPr="00FC6229">
        <w:rPr>
          <w:rFonts w:asciiTheme="minorHAnsi" w:hAnsiTheme="minorHAnsi" w:cstheme="minorHAnsi"/>
          <w:iCs/>
          <w:szCs w:val="24"/>
        </w:rPr>
        <w:t>stron</w:t>
      </w:r>
      <w:r w:rsidRPr="00FC6229">
        <w:rPr>
          <w:rFonts w:asciiTheme="minorHAnsi" w:hAnsiTheme="minorHAnsi" w:cstheme="minorHAnsi"/>
          <w:iCs/>
          <w:szCs w:val="24"/>
        </w:rPr>
        <w:t xml:space="preserve"> znalazł odzwierciedlenie w motcie Programu: „</w:t>
      </w:r>
      <w:proofErr w:type="spellStart"/>
      <w:r w:rsidRPr="00FC6229">
        <w:rPr>
          <w:rFonts w:asciiTheme="minorHAnsi" w:hAnsiTheme="minorHAnsi" w:cstheme="minorHAnsi"/>
          <w:iCs/>
          <w:szCs w:val="24"/>
        </w:rPr>
        <w:t>Going</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local</w:t>
      </w:r>
      <w:proofErr w:type="spellEnd"/>
      <w:r w:rsidRPr="00FC6229">
        <w:rPr>
          <w:rFonts w:asciiTheme="minorHAnsi" w:hAnsiTheme="minorHAnsi" w:cstheme="minorHAnsi"/>
          <w:iCs/>
          <w:szCs w:val="24"/>
        </w:rPr>
        <w:t xml:space="preserve">. Meeting </w:t>
      </w:r>
      <w:proofErr w:type="spellStart"/>
      <w:r w:rsidRPr="00FC6229">
        <w:rPr>
          <w:rFonts w:asciiTheme="minorHAnsi" w:hAnsiTheme="minorHAnsi" w:cstheme="minorHAnsi"/>
          <w:iCs/>
          <w:szCs w:val="24"/>
        </w:rPr>
        <w:t>your</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needs</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Connecting</w:t>
      </w:r>
      <w:proofErr w:type="spellEnd"/>
      <w:r w:rsidRPr="00FC6229">
        <w:rPr>
          <w:rFonts w:asciiTheme="minorHAnsi" w:hAnsiTheme="minorHAnsi" w:cstheme="minorHAnsi"/>
          <w:iCs/>
          <w:szCs w:val="24"/>
        </w:rPr>
        <w:t xml:space="preserve"> </w:t>
      </w:r>
      <w:proofErr w:type="spellStart"/>
      <w:r w:rsidRPr="00FC6229">
        <w:rPr>
          <w:rFonts w:asciiTheme="minorHAnsi" w:hAnsiTheme="minorHAnsi" w:cstheme="minorHAnsi"/>
          <w:iCs/>
          <w:szCs w:val="24"/>
        </w:rPr>
        <w:t>people</w:t>
      </w:r>
      <w:proofErr w:type="spellEnd"/>
      <w:r w:rsidRPr="00FC6229">
        <w:rPr>
          <w:rFonts w:asciiTheme="minorHAnsi" w:hAnsiTheme="minorHAnsi" w:cstheme="minorHAnsi"/>
          <w:iCs/>
          <w:szCs w:val="24"/>
        </w:rPr>
        <w:t xml:space="preserve"> and </w:t>
      </w:r>
      <w:proofErr w:type="spellStart"/>
      <w:r w:rsidRPr="00FC6229">
        <w:rPr>
          <w:rFonts w:asciiTheme="minorHAnsi" w:hAnsiTheme="minorHAnsi" w:cstheme="minorHAnsi"/>
          <w:iCs/>
          <w:szCs w:val="24"/>
        </w:rPr>
        <w:t>ideas</w:t>
      </w:r>
      <w:proofErr w:type="spellEnd"/>
      <w:r w:rsidR="000E14E1" w:rsidRPr="00FC6229">
        <w:rPr>
          <w:rFonts w:asciiTheme="minorHAnsi" w:hAnsiTheme="minorHAnsi" w:cstheme="minorHAnsi"/>
          <w:iCs/>
          <w:szCs w:val="24"/>
        </w:rPr>
        <w:t>”</w:t>
      </w:r>
      <w:r w:rsidRPr="00FC6229">
        <w:rPr>
          <w:rFonts w:asciiTheme="minorHAnsi" w:hAnsiTheme="minorHAnsi" w:cstheme="minorHAnsi"/>
          <w:iCs/>
          <w:szCs w:val="24"/>
        </w:rPr>
        <w:t xml:space="preserve">. Kontynuacja Programu Interreg Południowy Bałtyk miała na celu uwolnienie potencjału Południowego Bałtyku w zakresie niebieskiego i zielonego wzrostu w drodze współpracy transgranicznej między podmiotami lokalnymi i regionalnymi. W oparciu o morski charakter Programu „niebieski wzrost” dotyczył potencjału gospodarczego Morza Bałtyckiego na rzecz wzrostu gospodarczego i zatrudnienia na całym wybrzeżu Południowego Bałtyku. Jednocześnie „zielony wzrost” podkreślił potrzebę realizowania ścieżki wzrostu gospodarczego w równowadze ze środowiskiem naturalnym, w szczególności poprzez wykorzystanie bogatego dziedzictwa przyrodniczego i kulturowego Południowego Bałtyku w zrównoważony i chroniący je sposób. Wdrożenie dwóch edycji Programu Południowy Bałtyk stanowiło pierwszą udaną próbę wykorzystania potencjału regionów położonych na południowych wybrzeżach regionu Morza Bałtyckiego w sojuszu z Euroregionami Bałtyk i Pomorze. </w:t>
      </w:r>
    </w:p>
    <w:p w14:paraId="653A48FC" w14:textId="6F0790CC" w:rsidR="00B46AB1" w:rsidRPr="00FC6229" w:rsidRDefault="00B46AB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Mając na uwadze geograficzny zakres obszaru Programu, obejmujący 25 regionów NUTS III z pięciu Państw Członkowskich UE oddzielonych granicą </w:t>
      </w:r>
      <w:proofErr w:type="gramStart"/>
      <w:r w:rsidRPr="00FC6229">
        <w:rPr>
          <w:rFonts w:asciiTheme="minorHAnsi" w:hAnsiTheme="minorHAnsi" w:cstheme="minorHAnsi"/>
          <w:iCs/>
          <w:szCs w:val="24"/>
        </w:rPr>
        <w:t>morską,</w:t>
      </w:r>
      <w:proofErr w:type="gramEnd"/>
      <w:r w:rsidRPr="00FC6229">
        <w:rPr>
          <w:rFonts w:asciiTheme="minorHAnsi" w:hAnsiTheme="minorHAnsi" w:cstheme="minorHAnsi"/>
          <w:iCs/>
          <w:szCs w:val="24"/>
        </w:rPr>
        <w:t xml:space="preserve"> oraz znaczne rozbieżności w rozwoju między nimi, realizacja wspólnych, innowacyjnych projektów transgranicznych, jak również wymiana wiedzy i dobrych praktyk doprowadziły do wymiernych wyników, przynosząc innowacje w tym obszarze i tym samym przyczyniając się do realizacji ogólnego celu Programu.</w:t>
      </w:r>
    </w:p>
    <w:p w14:paraId="433443B4" w14:textId="35E7FF7D" w:rsidR="00B46AB1" w:rsidRPr="00FC6229" w:rsidRDefault="00B46AB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Współpraca transgraniczna w ramach Programu w znacznym stopniu przyniosła korzyści sąsiednim regionom w zakresie sprostania wspólnym wyzwaniom i zwiększenia konkurencyjności dzięki wspólnym dzia</w:t>
      </w:r>
      <w:r w:rsidR="00A62B86" w:rsidRPr="00FC6229">
        <w:rPr>
          <w:rFonts w:asciiTheme="minorHAnsi" w:hAnsiTheme="minorHAnsi" w:cstheme="minorHAnsi"/>
          <w:iCs/>
          <w:szCs w:val="24"/>
        </w:rPr>
        <w:t>łaniom. Zrealizowano 134 udane projekty</w:t>
      </w:r>
      <w:r w:rsidRPr="00FC6229">
        <w:rPr>
          <w:rFonts w:asciiTheme="minorHAnsi" w:hAnsiTheme="minorHAnsi" w:cstheme="minorHAnsi"/>
          <w:iCs/>
          <w:szCs w:val="24"/>
        </w:rPr>
        <w:t xml:space="preserve"> oraz ponad 40 koncepcji kapitału początkowego skupiających ponad 500 instytucji partnerskich ze wszystkich uczestniczących regionów. Ponadto kilka instytucji z Obwodu Kaliningradzkiego Federacji Rosyjskiej i innych krajów UE było zaangażowanych jako partnerz</w:t>
      </w:r>
      <w:r w:rsidR="002E1FCF" w:rsidRPr="00FC6229">
        <w:rPr>
          <w:rFonts w:asciiTheme="minorHAnsi" w:hAnsiTheme="minorHAnsi" w:cstheme="minorHAnsi"/>
          <w:iCs/>
          <w:szCs w:val="24"/>
        </w:rPr>
        <w:t>y</w:t>
      </w:r>
      <w:r w:rsidRPr="00FC6229">
        <w:rPr>
          <w:rFonts w:asciiTheme="minorHAnsi" w:hAnsiTheme="minorHAnsi" w:cstheme="minorHAnsi"/>
          <w:iCs/>
          <w:szCs w:val="24"/>
        </w:rPr>
        <w:t xml:space="preserve"> stowarzyszeni, a tym samym miało możliwość zdobycia i wymiany wiedzy i doświadczeń.</w:t>
      </w:r>
    </w:p>
    <w:p w14:paraId="2BA6220F" w14:textId="53E2884B" w:rsidR="00FA57C9" w:rsidRPr="00FC6229" w:rsidRDefault="00DF0AC7"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Instrument</w:t>
      </w:r>
      <w:r w:rsidR="00FA57C9" w:rsidRPr="00FC6229">
        <w:rPr>
          <w:rFonts w:asciiTheme="minorHAnsi" w:hAnsiTheme="minorHAnsi" w:cstheme="minorHAnsi"/>
          <w:iCs/>
          <w:szCs w:val="24"/>
        </w:rPr>
        <w:t xml:space="preserve"> Kapitału Początkowego </w:t>
      </w:r>
      <w:r w:rsidRPr="00FC6229">
        <w:rPr>
          <w:rFonts w:asciiTheme="minorHAnsi" w:hAnsiTheme="minorHAnsi" w:cstheme="minorHAnsi"/>
          <w:iCs/>
          <w:szCs w:val="24"/>
        </w:rPr>
        <w:t xml:space="preserve">(ang. </w:t>
      </w:r>
      <w:proofErr w:type="spellStart"/>
      <w:r w:rsidRPr="00FC6229">
        <w:rPr>
          <w:rFonts w:asciiTheme="minorHAnsi" w:hAnsiTheme="minorHAnsi" w:cstheme="minorHAnsi"/>
          <w:iCs/>
          <w:szCs w:val="24"/>
        </w:rPr>
        <w:t>Seed</w:t>
      </w:r>
      <w:proofErr w:type="spellEnd"/>
      <w:r w:rsidRPr="00FC6229">
        <w:rPr>
          <w:rFonts w:asciiTheme="minorHAnsi" w:hAnsiTheme="minorHAnsi" w:cstheme="minorHAnsi"/>
          <w:iCs/>
          <w:szCs w:val="24"/>
        </w:rPr>
        <w:t xml:space="preserve"> Money) </w:t>
      </w:r>
      <w:r w:rsidR="00FA57C9" w:rsidRPr="00FC6229">
        <w:rPr>
          <w:rFonts w:asciiTheme="minorHAnsi" w:hAnsiTheme="minorHAnsi" w:cstheme="minorHAnsi"/>
          <w:iCs/>
          <w:szCs w:val="24"/>
        </w:rPr>
        <w:t xml:space="preserve">wykorzystany w poprzednich okresach programowania </w:t>
      </w:r>
      <w:r w:rsidR="002E1FCF" w:rsidRPr="00FC6229">
        <w:rPr>
          <w:rFonts w:asciiTheme="minorHAnsi" w:hAnsiTheme="minorHAnsi" w:cstheme="minorHAnsi"/>
          <w:iCs/>
          <w:szCs w:val="24"/>
        </w:rPr>
        <w:t>przyniósł</w:t>
      </w:r>
      <w:r w:rsidR="00FA57C9" w:rsidRPr="00FC6229">
        <w:rPr>
          <w:rFonts w:asciiTheme="minorHAnsi" w:hAnsiTheme="minorHAnsi" w:cstheme="minorHAnsi"/>
          <w:iCs/>
          <w:szCs w:val="24"/>
        </w:rPr>
        <w:t xml:space="preserve"> bardzo dobre </w:t>
      </w:r>
      <w:r w:rsidR="002E1FCF" w:rsidRPr="00FC6229">
        <w:rPr>
          <w:rFonts w:asciiTheme="minorHAnsi" w:hAnsiTheme="minorHAnsi" w:cstheme="minorHAnsi"/>
          <w:iCs/>
          <w:szCs w:val="24"/>
        </w:rPr>
        <w:t>wyniki</w:t>
      </w:r>
      <w:r w:rsidR="00FA57C9" w:rsidRPr="00FC6229">
        <w:rPr>
          <w:rFonts w:asciiTheme="minorHAnsi" w:hAnsiTheme="minorHAnsi" w:cstheme="minorHAnsi"/>
          <w:iCs/>
          <w:szCs w:val="24"/>
        </w:rPr>
        <w:t xml:space="preserve">. Beneficjenci ocenili to narzędzie jako bardzo przydatne i cenne, zwłaszcza dla małych instytucji. Udzielone wsparcie i możliwość przyniosły nowe propozycje projektów i zwiększyły możliwości instytucjonalne w zakresie współpracy transgranicznej. Dlatego też władze Programu zdecydowały o kontynuowaniu zaproszeń do składania </w:t>
      </w:r>
      <w:r w:rsidR="002E1FCF" w:rsidRPr="00FC6229">
        <w:rPr>
          <w:rFonts w:asciiTheme="minorHAnsi" w:hAnsiTheme="minorHAnsi" w:cstheme="minorHAnsi"/>
          <w:iCs/>
          <w:szCs w:val="24"/>
        </w:rPr>
        <w:t>wniosków</w:t>
      </w:r>
      <w:r w:rsidR="00FA57C9" w:rsidRPr="00FC6229">
        <w:rPr>
          <w:rFonts w:asciiTheme="minorHAnsi" w:hAnsiTheme="minorHAnsi" w:cstheme="minorHAnsi"/>
          <w:iCs/>
          <w:szCs w:val="24"/>
        </w:rPr>
        <w:t xml:space="preserve"> w ramach Kapitału Początkowego.</w:t>
      </w:r>
    </w:p>
    <w:p w14:paraId="242ABFA0" w14:textId="02F5A01F" w:rsidR="00B46AB1" w:rsidRPr="00FC6229" w:rsidRDefault="00FA57C9"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Działania związane z budowaniem potencjału zatwierdzone przez Komitet Monitorujący w ramach projektu parasolowego zostały bardzo dobrze ocenione przez grupy docelowe. Konieczność prowadzenia takich działań została również potwierdzona doświadczeniami z perspektywy 2007-2013 (wdrożony Projekt Budowania Potencjału) oraz wieloma ocenami i analizami. Jako że grupa docelowa została określona jako małe władze lokalne, gminy i organizacje pozarządowe, w ramach Programu okazało się, że zapewnione wsparcie przyniosło nowe propozycje projektów, nie tylko dla obszaru Południowego Bałtyku. W tym okresie trwania Programu nacisk </w:t>
      </w:r>
      <w:r w:rsidR="002E1FCF" w:rsidRPr="00FC6229">
        <w:rPr>
          <w:rFonts w:asciiTheme="minorHAnsi" w:hAnsiTheme="minorHAnsi" w:cstheme="minorHAnsi"/>
          <w:iCs/>
          <w:szCs w:val="24"/>
        </w:rPr>
        <w:t xml:space="preserve">na te aspekty </w:t>
      </w:r>
      <w:r w:rsidRPr="00FC6229">
        <w:rPr>
          <w:rFonts w:asciiTheme="minorHAnsi" w:hAnsiTheme="minorHAnsi" w:cstheme="minorHAnsi"/>
          <w:iCs/>
          <w:szCs w:val="24"/>
        </w:rPr>
        <w:t xml:space="preserve">zostanie utrzymany. W wymiarze społecznym szacuje się, że Program zgromadził ponadto 20 tys. uczestników bezpośrednio zaangażowanych w działalność transgraniczną i prawie 145 tys. </w:t>
      </w:r>
      <w:r w:rsidR="002E1FCF" w:rsidRPr="00FC6229">
        <w:rPr>
          <w:rFonts w:asciiTheme="minorHAnsi" w:hAnsiTheme="minorHAnsi" w:cstheme="minorHAnsi"/>
          <w:iCs/>
          <w:szCs w:val="24"/>
        </w:rPr>
        <w:t>o</w:t>
      </w:r>
      <w:r w:rsidRPr="00FC6229">
        <w:rPr>
          <w:rFonts w:asciiTheme="minorHAnsi" w:hAnsiTheme="minorHAnsi" w:cstheme="minorHAnsi"/>
          <w:iCs/>
          <w:szCs w:val="24"/>
        </w:rPr>
        <w:t>bywateli, których dotyczy Program, co stanowi około 1,5% ogólnej populacji Programu liczącej ok. 8,9 mln mieszkańców.</w:t>
      </w:r>
    </w:p>
    <w:p w14:paraId="412E7930" w14:textId="57922D09" w:rsidR="00B46AB1" w:rsidRPr="00FC6229" w:rsidRDefault="00B46AB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Jednym z najważniejszych asp</w:t>
      </w:r>
      <w:r w:rsidR="001D19B8" w:rsidRPr="00FC6229">
        <w:rPr>
          <w:rFonts w:asciiTheme="minorHAnsi" w:hAnsiTheme="minorHAnsi" w:cstheme="minorHAnsi"/>
          <w:iCs/>
          <w:szCs w:val="24"/>
        </w:rPr>
        <w:t>ektów podkreślanych przez instytucje</w:t>
      </w:r>
      <w:r w:rsidRPr="00FC6229">
        <w:rPr>
          <w:rFonts w:asciiTheme="minorHAnsi" w:hAnsiTheme="minorHAnsi" w:cstheme="minorHAnsi"/>
          <w:iCs/>
          <w:szCs w:val="24"/>
        </w:rPr>
        <w:t xml:space="preserve"> Programu była możliwość przenoszenia wyników projektów, które służyły jako „plany” dla instytucji i regionów nie zaangażowanych w projekty. Z ekonomicznego punktu widzenia Program wspólnie wspierał rozwój ponad 600 nowych innowacyjnych rozwiązań, narzędzi i koncepcji, co doprowadziło do intensyfikacji relacji między MŚP i wzmocnienia powiązań między szkolnictwem wyższym a rynkami pracy, jak również poprawy zarządzania środowiskiem i większego zaangażowania w odnawialne źródła energii i efektywność energetyczną, bardziej efektywnego wykorzystania dziedzictwa naturalnego i kulturowego, a także udoskonalenia połączeń i usług komunikacyjnych. </w:t>
      </w:r>
    </w:p>
    <w:p w14:paraId="587C1CDE" w14:textId="4516A61B" w:rsidR="00983FE2" w:rsidRPr="00FC6229" w:rsidRDefault="00983FE2"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Propozycje projektów opracowane w ramach Celu Szczegółowego 2.2: Zwiększone wykorzystanie zielonych technologii w celu zmniejszenia zrzutów zanieczyszczeń w Obszarze Południowego Bałtyku Programu 2014-2020 wymagał</w:t>
      </w:r>
      <w:r w:rsidR="006870C4" w:rsidRPr="00FC6229">
        <w:rPr>
          <w:rFonts w:asciiTheme="minorHAnsi" w:hAnsiTheme="minorHAnsi" w:cstheme="minorHAnsi"/>
          <w:iCs/>
          <w:szCs w:val="24"/>
        </w:rPr>
        <w:t>y</w:t>
      </w:r>
      <w:r w:rsidRPr="00FC6229">
        <w:rPr>
          <w:rFonts w:asciiTheme="minorHAnsi" w:hAnsiTheme="minorHAnsi" w:cstheme="minorHAnsi"/>
          <w:iCs/>
          <w:szCs w:val="24"/>
        </w:rPr>
        <w:t xml:space="preserve"> większej ilości czasu na przygotowanie w porównaniu z koncepcjami w ramach innych CS. Organy wdrażające zauważyły, że wnioski są wysokiej jakości i bardziej dojrzałe, jednak większość z nich została złożona później. Doświadczenie to zostało uwzględnione w planie celów pośrednich do wdrożenia.</w:t>
      </w:r>
    </w:p>
    <w:p w14:paraId="4F86D32E" w14:textId="71B11F13" w:rsidR="00983FE2" w:rsidRPr="00FC6229" w:rsidRDefault="00983FE2"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W ramach Celu Szczegółowego 3: Poprawa jakości i zrównoważenia środowiskowego usług transportowych na Obszarze Południowego Bałtyku Programu 2014-2020, beneficjenci napotkali barierę dla opracowania propozycji na międzynarodową, transgraniczną skalę w związku z wyjątkowością obszaru połączonego przez morze. Wydaje się, że środki finansowe dedykowane przez Program oraz komercyjny charakter usług transportowych również mają wpływ na zaobserwowane przeszkody. </w:t>
      </w:r>
      <w:r w:rsidR="006870C4" w:rsidRPr="00FC6229">
        <w:rPr>
          <w:rFonts w:asciiTheme="minorHAnsi" w:hAnsiTheme="minorHAnsi" w:cstheme="minorHAnsi"/>
          <w:iCs/>
          <w:szCs w:val="24"/>
        </w:rPr>
        <w:t xml:space="preserve">Oddzielna </w:t>
      </w:r>
      <w:r w:rsidRPr="00FC6229">
        <w:rPr>
          <w:rFonts w:asciiTheme="minorHAnsi" w:hAnsiTheme="minorHAnsi" w:cstheme="minorHAnsi"/>
          <w:iCs/>
          <w:szCs w:val="24"/>
        </w:rPr>
        <w:t>oś priorytetowa lub działanie dedykowane wyłącznie transportowi</w:t>
      </w:r>
      <w:r w:rsidR="006870C4" w:rsidRPr="00FC6229">
        <w:rPr>
          <w:rFonts w:asciiTheme="minorHAnsi" w:hAnsiTheme="minorHAnsi" w:cstheme="minorHAnsi"/>
          <w:iCs/>
          <w:szCs w:val="24"/>
        </w:rPr>
        <w:t xml:space="preserve"> nie będzie kontynuowane</w:t>
      </w:r>
      <w:r w:rsidRPr="00FC6229">
        <w:rPr>
          <w:rFonts w:asciiTheme="minorHAnsi" w:hAnsiTheme="minorHAnsi" w:cstheme="minorHAnsi"/>
          <w:iCs/>
          <w:szCs w:val="24"/>
        </w:rPr>
        <w:t>.</w:t>
      </w:r>
    </w:p>
    <w:p w14:paraId="14DE9E61" w14:textId="3302051A" w:rsidR="00983FE2" w:rsidRPr="00FC6229" w:rsidRDefault="00983FE2"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Organy Programu zauważyły, że Cel Szczegółowy 4: Zwiększenie udziału wykwalifikowanej siły roboczej w niebieskim i zielonym sektorze gospodarki Obszaru Południowego Bałtyku poprzez wspólne działania transgraniczne Programu 2014-2020 wymagał zaangażowania urzędów pracy/władz na szczeblu krajowym lub instytucji regionalnych</w:t>
      </w:r>
      <w:r w:rsidR="006870C4" w:rsidRPr="00FC6229">
        <w:rPr>
          <w:rFonts w:asciiTheme="minorHAnsi" w:hAnsiTheme="minorHAnsi" w:cstheme="minorHAnsi"/>
          <w:iCs/>
          <w:szCs w:val="24"/>
        </w:rPr>
        <w:t>,</w:t>
      </w:r>
      <w:r w:rsidRPr="00FC6229">
        <w:rPr>
          <w:rFonts w:asciiTheme="minorHAnsi" w:hAnsiTheme="minorHAnsi" w:cstheme="minorHAnsi"/>
          <w:iCs/>
          <w:szCs w:val="24"/>
        </w:rPr>
        <w:t xml:space="preserve"> ponieważ są one koordynowane na szczeblu krajowym. Fakt ten spowodował trudności w rozwoju projektu i wydawał się stanowić przeszkodę w dostarczaniu koncepcji projektowych wysokiej jakości. Pomimo zaproponowanych przez IZ, WS i KM środków ograniczających ryzyko, tylko kilka wniosków spełniło oczekiwany wysoki poziom jakości.</w:t>
      </w:r>
    </w:p>
    <w:p w14:paraId="43345083" w14:textId="1FF69DE3" w:rsidR="00B46AB1" w:rsidRPr="00FC6229" w:rsidRDefault="00B46AB1"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Mając raczej „miękki” niż infrastrukturalny charakter, Program wspierał również inwestycje na małą skalę, umożliwiając działania pilotażowe i testowanie opracowanych rozwiązań w praktyce, a także inwestycje niezbędne do rozwiązania wyzwań transgranicznych i integracji rozwiązań regionalnych (np. szlaki turystyczne). Wskaźniki wydajności i oceny przeprowadzone przez Komitet Monitorujący i Komisję Europejską również potwierdziły trwałość wyników i skuteczność współpracy transgranicznej Południowego Bałtyku. </w:t>
      </w:r>
    </w:p>
    <w:p w14:paraId="272D297B" w14:textId="77777777" w:rsidR="00711A20" w:rsidRPr="00FC6229" w:rsidRDefault="00711A20" w:rsidP="00FC6229">
      <w:pPr>
        <w:spacing w:after="120" w:line="360" w:lineRule="auto"/>
        <w:ind w:left="-5" w:right="0" w:hanging="10"/>
        <w:rPr>
          <w:rFonts w:asciiTheme="minorHAnsi" w:hAnsiTheme="minorHAnsi" w:cstheme="minorHAnsi"/>
          <w:iCs/>
          <w:szCs w:val="24"/>
        </w:rPr>
      </w:pPr>
    </w:p>
    <w:p w14:paraId="56E2B76A" w14:textId="2D226F3C" w:rsidR="00072FCE" w:rsidRPr="00FC6229" w:rsidRDefault="00072FCE"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Komplementarność z innymi programami Interreg</w:t>
      </w:r>
    </w:p>
    <w:p w14:paraId="63AED11A" w14:textId="07525281" w:rsidR="003E0AB5" w:rsidRPr="00FC6229" w:rsidRDefault="003E0AB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Program Interreg Południowy Bałtyk 2021-2027 pokrywa się geograficznie z transnarodowym programem Interreg Regionu Morza Bałtyckiego 2021-2027. Dzieli on również części obszaru lub może pokrywać się tematycznie z pięcioma programami Interreg na wewnętrznych granicach UE, a mianowicie:</w:t>
      </w:r>
    </w:p>
    <w:p w14:paraId="52A34EB9" w14:textId="0A0BDB2C" w:rsidR="00072FCE" w:rsidRPr="00FC6229" w:rsidRDefault="003E0AB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Interreg Region Środkowego Bałtyku</w:t>
      </w:r>
    </w:p>
    <w:p w14:paraId="432629DD" w14:textId="6536D30E" w:rsidR="003E0AB5" w:rsidRPr="00FC6229" w:rsidRDefault="003E0AB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Program Interreg Regionu Morza Północnego</w:t>
      </w:r>
    </w:p>
    <w:p w14:paraId="034BB02F" w14:textId="25D0B34C" w:rsidR="003E0AB5" w:rsidRPr="00FC6229" w:rsidRDefault="003E0AB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Program Interreg Niemcy/Meklemburgia Pomorze Przednie-Brandenburgia-Polska</w:t>
      </w:r>
    </w:p>
    <w:p w14:paraId="22ADFF7A" w14:textId="3D5CEE26" w:rsidR="003E0AB5" w:rsidRPr="00FC6229" w:rsidRDefault="003E0AB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Program Interreg </w:t>
      </w:r>
      <w:proofErr w:type="spellStart"/>
      <w:r w:rsidRPr="00FC6229">
        <w:rPr>
          <w:rFonts w:asciiTheme="minorHAnsi" w:hAnsiTheme="minorHAnsi" w:cstheme="minorHAnsi"/>
          <w:iCs/>
          <w:szCs w:val="24"/>
        </w:rPr>
        <w:t>Öresund</w:t>
      </w:r>
      <w:proofErr w:type="spellEnd"/>
      <w:r w:rsidRPr="00FC6229">
        <w:rPr>
          <w:rFonts w:asciiTheme="minorHAnsi" w:hAnsiTheme="minorHAnsi" w:cstheme="minorHAnsi"/>
          <w:iCs/>
          <w:szCs w:val="24"/>
        </w:rPr>
        <w:t>-Kattegat-Skagerrak</w:t>
      </w:r>
    </w:p>
    <w:p w14:paraId="58201022" w14:textId="527B41FA" w:rsidR="003E0AB5" w:rsidRPr="00FC6229" w:rsidRDefault="003E0AB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Program Interreg Polska-Rosja</w:t>
      </w:r>
    </w:p>
    <w:p w14:paraId="115928E9" w14:textId="25A2DE10" w:rsidR="00FE3295" w:rsidRPr="00FC6229" w:rsidRDefault="00FE329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Należy podkreślić, że zainteresowanie beneficjentów szybko wzrasta z każdym kolejnym </w:t>
      </w:r>
      <w:r w:rsidR="001D19B8" w:rsidRPr="00FC6229">
        <w:rPr>
          <w:rFonts w:asciiTheme="minorHAnsi" w:hAnsiTheme="minorHAnsi" w:cstheme="minorHAnsi"/>
          <w:iCs/>
          <w:szCs w:val="24"/>
        </w:rPr>
        <w:t>naborem</w:t>
      </w:r>
      <w:r w:rsidRPr="00FC6229">
        <w:rPr>
          <w:rFonts w:asciiTheme="minorHAnsi" w:hAnsiTheme="minorHAnsi" w:cstheme="minorHAnsi"/>
          <w:iCs/>
          <w:szCs w:val="24"/>
        </w:rPr>
        <w:t xml:space="preserve"> wniosków, a zatem w krótkim okresie Program Południowy Bałtyk stał się uznanym instrumentem finansowym w tej części Morza Bałtyckiego. Jednocześnie Program </w:t>
      </w:r>
      <w:r w:rsidR="006870C4" w:rsidRPr="00FC6229">
        <w:rPr>
          <w:rFonts w:asciiTheme="minorHAnsi" w:hAnsiTheme="minorHAnsi" w:cstheme="minorHAnsi"/>
          <w:iCs/>
          <w:szCs w:val="24"/>
        </w:rPr>
        <w:t>mocno</w:t>
      </w:r>
      <w:r w:rsidRPr="00FC6229">
        <w:rPr>
          <w:rFonts w:asciiTheme="minorHAnsi" w:hAnsiTheme="minorHAnsi" w:cstheme="minorHAnsi"/>
          <w:iCs/>
          <w:szCs w:val="24"/>
        </w:rPr>
        <w:t xml:space="preserve"> zakotwiczył się w istniejących strukturach, stanowiąc uzupełnienie innych instrumentów finansowych na różnych szczeblach (regionalnym, krajowym i międzynarodowym). </w:t>
      </w:r>
    </w:p>
    <w:p w14:paraId="260FC4A4" w14:textId="02E44147" w:rsidR="00072FCE" w:rsidRPr="00FC6229" w:rsidRDefault="00072FCE"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Interreg Region Morza Bałtyckiego </w:t>
      </w:r>
    </w:p>
    <w:p w14:paraId="09A90189" w14:textId="00417118" w:rsidR="00FE3295" w:rsidRPr="00FC6229" w:rsidRDefault="00FE3295"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Jednym ze znakomitych przykładów jest interakcja z transnarodowym Programem Region Morza Bałtyckiego, gdzie opracowane strategie i rozwiązania zostały przetestowane i wdrożone w ramach transgranicznego wymiaru Programu Południowy Bałtyk. Jednocześnie rozwiązania stworzone lub przetestowane w ograniczonym wymiarze transgranicznym zostały przeniesione na szczebel </w:t>
      </w:r>
      <w:proofErr w:type="spellStart"/>
      <w:r w:rsidRPr="00FC6229">
        <w:rPr>
          <w:rFonts w:asciiTheme="minorHAnsi" w:hAnsiTheme="minorHAnsi" w:cstheme="minorHAnsi"/>
          <w:iCs/>
          <w:szCs w:val="24"/>
        </w:rPr>
        <w:t>ogólnobałtycki</w:t>
      </w:r>
      <w:proofErr w:type="spellEnd"/>
      <w:r w:rsidRPr="00FC6229">
        <w:rPr>
          <w:rFonts w:asciiTheme="minorHAnsi" w:hAnsiTheme="minorHAnsi" w:cstheme="minorHAnsi"/>
          <w:iCs/>
          <w:szCs w:val="24"/>
        </w:rPr>
        <w:t>.</w:t>
      </w:r>
    </w:p>
    <w:p w14:paraId="745FE6E7" w14:textId="5134B73D" w:rsidR="00072FCE" w:rsidRPr="00FC6229" w:rsidRDefault="00072FCE"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Zarówno CP</w:t>
      </w:r>
      <w:r w:rsidR="00105F2D" w:rsidRPr="00FC6229">
        <w:rPr>
          <w:rFonts w:asciiTheme="minorHAnsi" w:hAnsiTheme="minorHAnsi" w:cstheme="minorHAnsi"/>
          <w:iCs/>
          <w:szCs w:val="24"/>
        </w:rPr>
        <w:t xml:space="preserve"> </w:t>
      </w:r>
      <w:r w:rsidRPr="00FC6229">
        <w:rPr>
          <w:rFonts w:asciiTheme="minorHAnsi" w:hAnsiTheme="minorHAnsi" w:cstheme="minorHAnsi"/>
          <w:iCs/>
          <w:szCs w:val="24"/>
        </w:rPr>
        <w:t>1, jak i CP</w:t>
      </w:r>
      <w:r w:rsidR="00105F2D" w:rsidRPr="00FC6229">
        <w:rPr>
          <w:rFonts w:asciiTheme="minorHAnsi" w:hAnsiTheme="minorHAnsi" w:cstheme="minorHAnsi"/>
          <w:iCs/>
          <w:szCs w:val="24"/>
        </w:rPr>
        <w:t xml:space="preserve"> </w:t>
      </w:r>
      <w:r w:rsidRPr="00FC6229">
        <w:rPr>
          <w:rFonts w:asciiTheme="minorHAnsi" w:hAnsiTheme="minorHAnsi" w:cstheme="minorHAnsi"/>
          <w:iCs/>
          <w:szCs w:val="24"/>
        </w:rPr>
        <w:t xml:space="preserve">2, jak i Szczegółowy Cel Interreg 1 </w:t>
      </w:r>
      <w:r w:rsidR="00105F2D" w:rsidRPr="00FC6229">
        <w:rPr>
          <w:rFonts w:asciiTheme="minorHAnsi" w:hAnsiTheme="minorHAnsi" w:cstheme="minorHAnsi"/>
          <w:iCs/>
          <w:szCs w:val="24"/>
        </w:rPr>
        <w:t>włączono</w:t>
      </w:r>
      <w:r w:rsidRPr="00FC6229">
        <w:rPr>
          <w:rFonts w:asciiTheme="minorHAnsi" w:hAnsiTheme="minorHAnsi" w:cstheme="minorHAnsi"/>
          <w:iCs/>
          <w:szCs w:val="24"/>
        </w:rPr>
        <w:t xml:space="preserve"> do Programu Południowy Bałtyk, co gwarantuje komplementarność między działaniami podejmowanymi pomiędzy tymi dwoma programami (na różnych szczeblach interwencji). Wspólne obszary interwencji obejmują: reagujące służby publiczne (w </w:t>
      </w:r>
      <w:r w:rsidR="00A3526E" w:rsidRPr="00FC6229">
        <w:rPr>
          <w:rFonts w:asciiTheme="minorHAnsi" w:hAnsiTheme="minorHAnsi" w:cstheme="minorHAnsi"/>
          <w:iCs/>
          <w:szCs w:val="24"/>
        </w:rPr>
        <w:t>PB</w:t>
      </w:r>
      <w:r w:rsidRPr="00FC6229">
        <w:rPr>
          <w:rFonts w:asciiTheme="minorHAnsi" w:hAnsiTheme="minorHAnsi" w:cstheme="minorHAnsi"/>
          <w:iCs/>
          <w:szCs w:val="24"/>
        </w:rPr>
        <w:t xml:space="preserve"> w zakresie cyfryzacji), zrównoważoną gospodarkę wodną, gospodarkę o obiegu zamkniętym oraz transformacje energetyczne.</w:t>
      </w:r>
    </w:p>
    <w:p w14:paraId="518FA2BB" w14:textId="2A73CAFA" w:rsidR="00072FCE" w:rsidRPr="00FC6229" w:rsidRDefault="00072FCE"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Interreg Region Środkowego Bałtyku </w:t>
      </w:r>
    </w:p>
    <w:p w14:paraId="21577737" w14:textId="7D0894E9" w:rsidR="005E625D" w:rsidRPr="00FC6229" w:rsidRDefault="00F73DCC"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Wybór Celów Polityki 1, 2 i 4 oraz Celu Szczegółowego Interreg 1 do Programu Południowy Bałtyk zapewnia możliwość współpracy międzyprogramowej pomiędzy działaniami podejmowanymi w tych dwóch programach (na różnych szczeblach interwencji). Wspólne obszary interwencji obejmują: promowanie rozwoju biznesu i zdolności eksportowych poza UE, gospodarkę o obiegu zamkniętym, bioróżnorodność i środowisko morskie, jak również wymianę doświadczeń między organami publicznymi i zwiększenie zdolności planowania.</w:t>
      </w:r>
    </w:p>
    <w:p w14:paraId="0EA799A3" w14:textId="5567D70B" w:rsidR="007A1DCD" w:rsidRPr="00FC6229" w:rsidRDefault="007A1DCD"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Wymiana informacji między SBP, Programem Środkowy Bałtyk i Programem BSR miała miejs</w:t>
      </w:r>
      <w:r w:rsidR="001D19B8" w:rsidRPr="00FC6229">
        <w:rPr>
          <w:rFonts w:asciiTheme="minorHAnsi" w:hAnsiTheme="minorHAnsi" w:cstheme="minorHAnsi"/>
          <w:iCs/>
          <w:szCs w:val="24"/>
        </w:rPr>
        <w:t>ce już na etapie przygotowania</w:t>
      </w:r>
      <w:r w:rsidRPr="00FC6229">
        <w:rPr>
          <w:rFonts w:asciiTheme="minorHAnsi" w:hAnsiTheme="minorHAnsi" w:cstheme="minorHAnsi"/>
          <w:iCs/>
          <w:szCs w:val="24"/>
        </w:rPr>
        <w:t xml:space="preserve"> dokumentów programowych. W procesie wdrażania organizowana będzie regularna wymiana informacji w celu zapewnienia komplementarności przy jednoczesnym uniknięciu podwójnego finansowania projektów.</w:t>
      </w:r>
    </w:p>
    <w:p w14:paraId="4EBDB338" w14:textId="065BDBB8" w:rsidR="007A1DCD" w:rsidRPr="00FC6229" w:rsidRDefault="007A1DCD"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Warto również wspomnieć o historii istniejącej współpracy. Program oraz Programy BSR i Środkowy Bałtyk uzupełniły działania ustanawiając transnarodowe ramy dla działań transgranicznych, tworząc, wykorzystując i opracowując wspó</w:t>
      </w:r>
      <w:r w:rsidR="001D19B8" w:rsidRPr="00FC6229">
        <w:rPr>
          <w:rFonts w:asciiTheme="minorHAnsi" w:hAnsiTheme="minorHAnsi" w:cstheme="minorHAnsi"/>
          <w:iCs/>
          <w:szCs w:val="24"/>
        </w:rPr>
        <w:t>lne wyniki, wzmacniając synergię</w:t>
      </w:r>
      <w:r w:rsidRPr="00FC6229">
        <w:rPr>
          <w:rFonts w:asciiTheme="minorHAnsi" w:hAnsiTheme="minorHAnsi" w:cstheme="minorHAnsi"/>
          <w:iCs/>
          <w:szCs w:val="24"/>
        </w:rPr>
        <w:t xml:space="preserve"> i sieci. Programy te były także komplementarne w odniesieniu do aspektu instytucjonalnego. Między strukturami wdrożeniowymi programów ustanowiono operacyjne sieci kontaktowe. Komplementarność projektów w aspekcie działań, które zostały wdrożone, stanowiła przedmiot dużego zainteresowania ze strony organów wdrażających program, ponieważ umożliwiła zapewnienie właściwej alokacji funduszy i tym samym wspieranie zrównoważonego rozwoju regionów. Aspekt ten oceniono podczas procedury oceny jakości. Programy były zróżnicowane nie tylko ze względu na określone tematy współpracy, ale także poprzez wyłączne partnerstwa projektowe, wynikające z obszaru kwalifikowalnego. Ponadto w trakcie procedury oceny oceniono ewentualne pokrywanie się oraz czynniki, które mogłyby spowodować ryzyko podwójnego finansowania. Podejście to będzie kontynuowane i rozwijane. </w:t>
      </w:r>
    </w:p>
    <w:p w14:paraId="7AD8AFA5" w14:textId="7BBD5264" w:rsidR="005E625D" w:rsidRPr="00FC6229" w:rsidRDefault="006A04CF" w:rsidP="00FC6229">
      <w:pPr>
        <w:spacing w:after="120" w:line="360" w:lineRule="auto"/>
        <w:ind w:left="-5" w:right="0" w:hanging="10"/>
        <w:rPr>
          <w:rFonts w:asciiTheme="minorHAnsi" w:hAnsiTheme="minorHAnsi" w:cstheme="minorHAnsi"/>
          <w:iCs/>
          <w:szCs w:val="24"/>
        </w:rPr>
      </w:pPr>
      <w:bookmarkStart w:id="0" w:name="_Hlk64985949"/>
      <w:r w:rsidRPr="00FC6229">
        <w:rPr>
          <w:rFonts w:asciiTheme="minorHAnsi" w:hAnsiTheme="minorHAnsi" w:cstheme="minorHAnsi"/>
          <w:iCs/>
          <w:szCs w:val="24"/>
        </w:rPr>
        <w:t>Program Interreg Niemcy/Meklemburgia Pomorze Przednie-Brandenburgia-Polska</w:t>
      </w:r>
    </w:p>
    <w:bookmarkEnd w:id="0"/>
    <w:p w14:paraId="56A585ED" w14:textId="24CB6215" w:rsidR="005E625D" w:rsidRPr="00FC6229" w:rsidRDefault="00DF0AC7"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Program Niemcy/Meklemburgia Pomorze Przednie-Brandenburgia-Polska również będzie wspierał te same cele polityki jak Program Południowy Bałtyk, lecz głównie w ramach innych celów szczegółowych: Cel Polityki 1 (cel szczegółowy 1.1), Cel Polityki 2 (cele szczegółowe 2.4 i 2.7), Cel Polityki 4 (cele polityki 4.2 i 4.6) oraz Cel Specyficzny Interreg 1 (cele szczegółowe 6.1 i 6.3). </w:t>
      </w:r>
      <w:r w:rsidR="00CA3DB2" w:rsidRPr="00FC6229">
        <w:rPr>
          <w:rFonts w:asciiTheme="minorHAnsi" w:hAnsiTheme="minorHAnsi" w:cstheme="minorHAnsi"/>
          <w:iCs/>
          <w:szCs w:val="24"/>
        </w:rPr>
        <w:t xml:space="preserve">Wybór dwóch wspólnych obszarów zainteresowania: w zrównoważonej turystyce i kulturze (cel szczegółowy 4.6) i wspierania zdolności współpracy (cel szczegółowy 6.1) w obu programach może przynosić komplementarność przedsiębranych interwencji, chociaż różnicowanych przez obszary programowe i charakter obu programów: </w:t>
      </w:r>
      <w:r w:rsidR="00E5612D" w:rsidRPr="00FC6229">
        <w:rPr>
          <w:rFonts w:asciiTheme="minorHAnsi" w:hAnsiTheme="minorHAnsi" w:cstheme="minorHAnsi"/>
          <w:iCs/>
          <w:szCs w:val="24"/>
        </w:rPr>
        <w:t xml:space="preserve">bilateralny (polsko-niemiecki) versus </w:t>
      </w:r>
      <w:r w:rsidR="00160DCD" w:rsidRPr="00FC6229">
        <w:rPr>
          <w:rFonts w:asciiTheme="minorHAnsi" w:hAnsiTheme="minorHAnsi" w:cstheme="minorHAnsi"/>
          <w:iCs/>
          <w:szCs w:val="24"/>
        </w:rPr>
        <w:t xml:space="preserve">współpracy multilateralnej. Różnica w charakterze granicy (lądowa vs. morska) jest również </w:t>
      </w:r>
      <w:r w:rsidR="00557623" w:rsidRPr="00FC6229">
        <w:rPr>
          <w:rFonts w:asciiTheme="minorHAnsi" w:hAnsiTheme="minorHAnsi" w:cstheme="minorHAnsi"/>
          <w:iCs/>
          <w:szCs w:val="24"/>
        </w:rPr>
        <w:t xml:space="preserve">zauważalna, szczególnie na poziomie zawartości przyszłych projektów, a komplementarność inicjatyw pomiędzy nimi będzie zapewniona. Koordynacja pomiędzy programami jest zapewniana zarówno na poziomie programowym, dzięki wymianie informacji i współpracy (Instytucje Zarządzające, Wspólne Sekretariaty) jak również poziomie krajowym, regionalnym i Euroregionów (współpraca władz krajowych i regionalnych po polskiej i niemieckiej stronie, Euroregionów). </w:t>
      </w:r>
    </w:p>
    <w:p w14:paraId="2351B559" w14:textId="1D01E47E" w:rsidR="005E625D" w:rsidRPr="00FC6229" w:rsidRDefault="006A04C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Program Interreg </w:t>
      </w:r>
      <w:proofErr w:type="spellStart"/>
      <w:r w:rsidRPr="00FC6229">
        <w:rPr>
          <w:rFonts w:asciiTheme="minorHAnsi" w:hAnsiTheme="minorHAnsi" w:cstheme="minorHAnsi"/>
          <w:iCs/>
          <w:szCs w:val="24"/>
        </w:rPr>
        <w:t>Öresund</w:t>
      </w:r>
      <w:proofErr w:type="spellEnd"/>
      <w:r w:rsidRPr="00FC6229">
        <w:rPr>
          <w:rFonts w:asciiTheme="minorHAnsi" w:hAnsiTheme="minorHAnsi" w:cstheme="minorHAnsi"/>
          <w:iCs/>
          <w:szCs w:val="24"/>
        </w:rPr>
        <w:t>-Kattegat-Skagerrak</w:t>
      </w:r>
    </w:p>
    <w:p w14:paraId="014B1020" w14:textId="2E6A4516" w:rsidR="005E625D" w:rsidRPr="00FC6229" w:rsidRDefault="005E625D"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Warto zauważyć, że podstawy programu są komplementarne z osiami priorytetowymi i celami szczegółowymi, zwłaszcza w dziedzinie wzmacniania innowacyjnych rozwiązań, promowania transformacji energetycznej i wspierania zrównoważonych rozwiązań w transporcie.</w:t>
      </w:r>
    </w:p>
    <w:p w14:paraId="6883E46D" w14:textId="70281D38" w:rsidR="005E625D" w:rsidRPr="00FC6229" w:rsidRDefault="006A04CF"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 xml:space="preserve">Program Interreg Polska-Rosja </w:t>
      </w:r>
    </w:p>
    <w:p w14:paraId="111D65D8" w14:textId="51AC1380" w:rsidR="005E625D" w:rsidRPr="00FC6229" w:rsidRDefault="00F73DCC" w:rsidP="00FC6229">
      <w:pPr>
        <w:spacing w:after="120" w:line="360" w:lineRule="auto"/>
        <w:ind w:left="-5" w:right="0" w:hanging="10"/>
        <w:rPr>
          <w:rFonts w:asciiTheme="minorHAnsi" w:hAnsiTheme="minorHAnsi" w:cstheme="minorHAnsi"/>
          <w:iCs/>
          <w:szCs w:val="24"/>
        </w:rPr>
      </w:pPr>
      <w:r w:rsidRPr="00FC6229">
        <w:rPr>
          <w:rFonts w:asciiTheme="minorHAnsi" w:hAnsiTheme="minorHAnsi" w:cstheme="minorHAnsi"/>
          <w:iCs/>
          <w:szCs w:val="24"/>
        </w:rPr>
        <w:t>Większość działań zaplanowanych w ramach Programu Południowy Bałtyk jest komplementarna i spójna z logiką interwencji zaproponowaną w ramach Programu Interreg Polska-Rosja na lata 2021-2027. Odnosi się to do zakresu CP 2, CP 4 i Celu Szczegółowego 1 Interreg wybranych w ramach obydwu Programów. W ramach CP 2, komplementarność odnosi się do Celów Szczegółowych: Promowanie dostępu do wody oraz zrównoważonej gospodarki wodnej i Promowanie przejścia na gospodarkę o obiegu zamkniętym. Jeśli chodzi o CP 4 komplementarność w ramach planowanych interwencji dotyczy działań zwiększających rolę turystyki i kultury w rozwoju gospodarczym, włączenia społecznego i innowacji, np. ochrony dziedzictwa naturalnego i kulturowego. Obserwuje się komplementarność podejścia w ramach CS</w:t>
      </w:r>
      <w:r w:rsidR="00776E54" w:rsidRPr="00FC6229">
        <w:rPr>
          <w:rFonts w:asciiTheme="minorHAnsi" w:hAnsiTheme="minorHAnsi" w:cstheme="minorHAnsi"/>
          <w:iCs/>
          <w:szCs w:val="24"/>
        </w:rPr>
        <w:t>I</w:t>
      </w:r>
      <w:r w:rsidRPr="00FC6229">
        <w:rPr>
          <w:rFonts w:asciiTheme="minorHAnsi" w:hAnsiTheme="minorHAnsi" w:cstheme="minorHAnsi"/>
          <w:iCs/>
          <w:szCs w:val="24"/>
        </w:rPr>
        <w:t xml:space="preserve"> 1, jednak Interreg PL-RU koncentruje się na kwestiach dotyczących współpracy prawnej i administracyjnej oraz budowania zaufania, natomiast Programu Południowy Bałtyk jako główne wyzwanie przewiduje wzmocnienie zdolności współpracy podmiotów w Obszarze Południowego Bałtyku.</w:t>
      </w:r>
    </w:p>
    <w:p w14:paraId="156DA056" w14:textId="77777777" w:rsidR="00161ACE" w:rsidRPr="002F1719" w:rsidRDefault="00161ACE" w:rsidP="005E625D">
      <w:pPr>
        <w:pStyle w:val="BodyText"/>
        <w:tabs>
          <w:tab w:val="left" w:pos="8724"/>
        </w:tabs>
        <w:spacing w:after="120"/>
        <w:jc w:val="both"/>
        <w:rPr>
          <w:rFonts w:cstheme="minorHAnsi"/>
          <w:sz w:val="24"/>
          <w:szCs w:val="24"/>
        </w:rPr>
      </w:pPr>
    </w:p>
    <w:p w14:paraId="4CF2694E" w14:textId="396DFFB8" w:rsidR="00776E54" w:rsidRPr="002F1719" w:rsidRDefault="00FE3F93" w:rsidP="00495F5D">
      <w:pPr>
        <w:pStyle w:val="Heading3"/>
      </w:pPr>
      <w:r w:rsidRPr="002F1719">
        <w:t xml:space="preserve">Uzasadnienie wybranych celów polityki oraz celów specyficznych Interreg, odpowiadających im priorytetów, celów szczegółowych oraz form wsparcia z uwzględnieniem, w stosownych przypadkach, kwestii brakujących połączeń w </w:t>
      </w:r>
      <w:r w:rsidR="00776E54" w:rsidRPr="002F1719">
        <w:t>infrastrukturze transgranicznej</w:t>
      </w:r>
    </w:p>
    <w:p w14:paraId="5FA330C7" w14:textId="0ABEB82C" w:rsidR="00CB6F9B" w:rsidRPr="00FC6229" w:rsidRDefault="00FE3F93" w:rsidP="00776E54">
      <w:pPr>
        <w:spacing w:before="240" w:after="240" w:line="240" w:lineRule="auto"/>
        <w:ind w:left="0" w:right="0" w:firstLine="0"/>
        <w:jc w:val="both"/>
        <w:rPr>
          <w:rFonts w:asciiTheme="minorHAnsi" w:hAnsiTheme="minorHAnsi" w:cstheme="minorHAnsi"/>
          <w:iCs/>
          <w:szCs w:val="24"/>
        </w:rPr>
      </w:pPr>
      <w:r w:rsidRPr="00FC6229">
        <w:rPr>
          <w:rFonts w:asciiTheme="minorHAnsi" w:hAnsiTheme="minorHAnsi" w:cstheme="minorHAnsi"/>
          <w:iCs/>
          <w:szCs w:val="24"/>
        </w:rPr>
        <w:t>Podstawa prawna: art. 17 ust. 3 lit. c)</w:t>
      </w:r>
    </w:p>
    <w:p w14:paraId="12933469" w14:textId="33D80F85" w:rsidR="00CB6F9B" w:rsidRPr="00533B4F" w:rsidRDefault="0085204E" w:rsidP="00A751C5">
      <w:pPr>
        <w:pStyle w:val="Heading4"/>
      </w:pPr>
      <w:r w:rsidRPr="00533B4F">
        <w:t>Tabela 1</w:t>
      </w:r>
    </w:p>
    <w:p w14:paraId="63EB391E"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51FB177A"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CP1 Bardziej inteligentna Europa</w:t>
      </w:r>
    </w:p>
    <w:p w14:paraId="28C08C85"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Bardziej konkurencyjna i inteligentna Europa dzięki wspieraniu innowacyjnej i inteligentnej transformacji gospodarczej oraz regionalnej łączności cyfrowej</w:t>
      </w:r>
    </w:p>
    <w:p w14:paraId="7DDBA50D"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6E57E2A6"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1.2 Czerpanie korzyści z cyfryzacji dla obywateli, przedsiębiorstw, organizacji badawczych i instytucji publicznych</w:t>
      </w:r>
    </w:p>
    <w:p w14:paraId="3C9EEF1E"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384832A2"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1 Innowacyjny Południowy Bałtyk – zwiększanie poziomu innowacji i internacjonalizacji podmiotów lokalnych</w:t>
      </w:r>
    </w:p>
    <w:p w14:paraId="44CB376F"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431A7B36"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Nadal występują rozbieżności terytorialne w poziomie zdolności innowacyjnych między północno-zachodnią i południowo-wschodnią częścią Obszaru Południowego Bałtyku, a także między obszarami miejskimi i wiejskimi. Sytuacja ta osłabia procesy konwergencji między gospodarkami lokalnymi.</w:t>
      </w:r>
    </w:p>
    <w:p w14:paraId="69F590F2"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Pandemia COVID-19 bardziej niż kiedykolwiek podkreśliła konieczność zwiększenia poziomu cyfryzacji podmiotów w lokalnej gospodarce w celu zapewnienia prawidłowego funkcjonowania różnych gałęzi gospodarki w szybko zmieniających się warunkach zewnętrznych. Obszar dysponuje znacznym potencjałem gospodarczym w zakresie współpracy transgranicznej, zwłaszcza w sektorach związanych z niebieską i zieloną gospodarką, niemniej jednak nadal wymaga stymulowania i wsparcia w celu zapewnienia, że odpowiednio rozwija się w opartym na wiedzy i innowacyjnym kierunku. Działanie to stwarza możliwości opracowania i wprowadzenia rozwiązań wspierających cyfryzację różnych sektorów gospodarek regionalnych. Jednocześnie wspiera transfer technologii między regionami oraz wzmacnianie współpracy między przedsiębiorstwami, uniwersytetami i innymi instytucjami badawczo-rozwojowymi w wymiarze transgranicznym.</w:t>
      </w:r>
    </w:p>
    <w:p w14:paraId="5893447C" w14:textId="77777777" w:rsidR="00126BD7" w:rsidRDefault="00126BD7"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p>
    <w:p w14:paraId="0CC674F3" w14:textId="6BDEACAC"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5F0EEBE9" w14:textId="24B72895"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CP1 Bardziej inteligentna Europa</w:t>
      </w:r>
    </w:p>
    <w:p w14:paraId="5A7D3BD5"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Bardziej konkurencyjna i inteligentna Europa dzięki wspieraniu innowacyjnej i inteligentnej transformacji gospodarczej oraz regionalnej łączności cyfrowej.</w:t>
      </w:r>
    </w:p>
    <w:p w14:paraId="116D53B1"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2A3063B3"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1.3 Wzmacnianie trwałego wzrostu i konkurencyjności MŚP oraz tworzenie miejsc pracy w MŚP, w tym poprzez inwestycje produkcyjne</w:t>
      </w:r>
    </w:p>
    <w:p w14:paraId="1D6D9EEC"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117695DC"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1 Innowacyjny Południowy Bałtyk – zwiększanie poziomu innowacji i internacjonalizacji podmiotów lokalnych</w:t>
      </w:r>
    </w:p>
    <w:p w14:paraId="0D5FCF66"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2FA4318E"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Gospodarka Obszaru Południowego Bałtyku jest uzależniona od małych i średnich przedsiębiorstw działających w wielu różnych gałęziach gospodarki, przy czym istotną rolę odgrywa niebieski i zielony sektor reprezentowany, m.in., przez przemysł morski, turystykę, gospodarkę leśną, produkcję żywności, zrównoważony transport itp. Jednocześnie jego szybki rozwój zależy w dużym stopniu od poziomu innowacji i internacjonalizacji, a także współpracy z instytucjami badawczo-rozwojowymi. Nadal istnieje niewykorzystany potencjał dla rozwoju gospodarczego dla Obszaru Południowego Bałtyku poprzez pobudzanie MŚP do transformacji technologicznej i internacjonalizacji. Ekspansja MŚP w ramach i poza Obszar Południowego Bałtyku wymaga efektywnych </w:t>
      </w:r>
      <w:proofErr w:type="gramStart"/>
      <w:r w:rsidRPr="00533B4F">
        <w:rPr>
          <w:rFonts w:asciiTheme="minorHAnsi" w:hAnsiTheme="minorHAnsi" w:cstheme="minorHAnsi"/>
          <w:iCs/>
          <w:szCs w:val="24"/>
        </w:rPr>
        <w:t>i  transgranicznych</w:t>
      </w:r>
      <w:proofErr w:type="gramEnd"/>
      <w:r w:rsidRPr="00533B4F">
        <w:rPr>
          <w:rFonts w:asciiTheme="minorHAnsi" w:hAnsiTheme="minorHAnsi" w:cstheme="minorHAnsi"/>
          <w:iCs/>
          <w:szCs w:val="24"/>
        </w:rPr>
        <w:t xml:space="preserve"> platform nauki i </w:t>
      </w:r>
      <w:proofErr w:type="spellStart"/>
      <w:r w:rsidRPr="00533B4F">
        <w:rPr>
          <w:rFonts w:asciiTheme="minorHAnsi" w:hAnsiTheme="minorHAnsi" w:cstheme="minorHAnsi"/>
          <w:iCs/>
          <w:szCs w:val="24"/>
        </w:rPr>
        <w:t>networkingu</w:t>
      </w:r>
      <w:proofErr w:type="spellEnd"/>
      <w:r w:rsidRPr="00533B4F">
        <w:rPr>
          <w:rFonts w:asciiTheme="minorHAnsi" w:hAnsiTheme="minorHAnsi" w:cstheme="minorHAnsi"/>
          <w:iCs/>
          <w:szCs w:val="24"/>
        </w:rPr>
        <w:t xml:space="preserve">, usług doradztwa biznesowego i działań </w:t>
      </w:r>
      <w:proofErr w:type="spellStart"/>
      <w:r w:rsidRPr="00533B4F">
        <w:rPr>
          <w:rFonts w:asciiTheme="minorHAnsi" w:hAnsiTheme="minorHAnsi" w:cstheme="minorHAnsi"/>
          <w:iCs/>
          <w:szCs w:val="24"/>
        </w:rPr>
        <w:t>match-makingowych</w:t>
      </w:r>
      <w:proofErr w:type="spellEnd"/>
      <w:r w:rsidRPr="00533B4F">
        <w:rPr>
          <w:rFonts w:asciiTheme="minorHAnsi" w:hAnsiTheme="minorHAnsi" w:cstheme="minorHAnsi"/>
          <w:iCs/>
          <w:szCs w:val="24"/>
        </w:rPr>
        <w:t xml:space="preserve">, aby pomagać im w przechodzeniu od działań biznesowych w wymiarze krajowym na międzynarodowe.  Zogniskowanie działań będzie na tworzeniu międzysektorowych </w:t>
      </w:r>
      <w:proofErr w:type="spellStart"/>
      <w:r w:rsidRPr="00533B4F">
        <w:rPr>
          <w:rFonts w:asciiTheme="minorHAnsi" w:hAnsiTheme="minorHAnsi" w:cstheme="minorHAnsi"/>
          <w:iCs/>
          <w:szCs w:val="24"/>
        </w:rPr>
        <w:t>parterstw</w:t>
      </w:r>
      <w:proofErr w:type="spellEnd"/>
      <w:r w:rsidRPr="00533B4F">
        <w:rPr>
          <w:rFonts w:asciiTheme="minorHAnsi" w:hAnsiTheme="minorHAnsi" w:cstheme="minorHAnsi"/>
          <w:iCs/>
          <w:szCs w:val="24"/>
        </w:rPr>
        <w:t xml:space="preserve"> i współpracy, silnie powiązanych z inteligentnymi specjalizacjami i głównymi silnymi stronami regionów. </w:t>
      </w:r>
    </w:p>
    <w:p w14:paraId="490DE296"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Działanie 1.2 wspiera Cel Polityki 1 „Bardziej inteligentna Europa” dzięki zwiększaniu konkurencyjności MŚP i podnoszeniu poziomu internacjonalizacji gospodarki regionalnej. Z jednej strony działania w ramach tego CS bezpośrednio ułatwią wzrost gospodarczy podmiotów lokalnych, natomiast z drugiej strony stworzą nowe platformy i możliwości w drodze współpracy transgranicznej. Ma on na celu wsparcie ograniczenia rosnących rozbieżności w sytuacji gospodarczej między obszarami miejskimi i wiejskimi Południowego Bałtyku, a także pomoże utrzymać odpowiedni wskaźnik wzrostu gospodarczego.</w:t>
      </w:r>
    </w:p>
    <w:p w14:paraId="00C31173" w14:textId="77777777" w:rsidR="00126BD7" w:rsidRDefault="00126BD7"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p>
    <w:p w14:paraId="34BA71B4" w14:textId="11A4F7CC"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3C758BB1" w14:textId="219CA64F"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CP 2 Bardziej przyjazna dla środowiska </w:t>
      </w:r>
      <w:proofErr w:type="spellStart"/>
      <w:r w:rsidRPr="00533B4F">
        <w:rPr>
          <w:rFonts w:asciiTheme="minorHAnsi" w:hAnsiTheme="minorHAnsi" w:cstheme="minorHAnsi"/>
          <w:iCs/>
          <w:szCs w:val="24"/>
        </w:rPr>
        <w:t>bezemisyjna</w:t>
      </w:r>
      <w:proofErr w:type="spellEnd"/>
      <w:r w:rsidRPr="00533B4F">
        <w:rPr>
          <w:rFonts w:asciiTheme="minorHAnsi" w:hAnsiTheme="minorHAnsi" w:cstheme="minorHAnsi"/>
          <w:iCs/>
          <w:szCs w:val="24"/>
        </w:rPr>
        <w:t xml:space="preserve"> Europa</w:t>
      </w:r>
    </w:p>
    <w:p w14:paraId="047CE48A"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zmiany klimatu i przystosowania się do niej, zapobiegania ryzyku i zarządzania ryzykiem, oraz zrównoważonej mobilności miejskiej</w:t>
      </w:r>
    </w:p>
    <w:p w14:paraId="46583070"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40471C44"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2.2 Wspieranie energii odnawialnej zgodnie z dyrektywą (UE) 2018/2001, w tym określonymi w niej kryteriami zrównoważonego rozwoju</w:t>
      </w:r>
    </w:p>
    <w:p w14:paraId="031445E8"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3BCA89A8"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2 Zrównoważony Południowy Bałtyk – promowanie zrównoważonego rozwoju oraz niebieskiej i zielonej gospodarki</w:t>
      </w:r>
    </w:p>
    <w:p w14:paraId="4CDC34E2"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36E5B21F"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Chociaż Obszar Południowego Bałtyku dysponuje istotnym potencjałem w zakresie produkcji zielonej energii, to nadal istnieją obszary wymagające dalszych udoskonaleń, jak również widoczne wyzwania związane z jej właściwym przechowywaniem i wydajnym transportem/dystrybucją. Ponadto, jeżeli Obszar Południowego </w:t>
      </w:r>
      <w:proofErr w:type="gramStart"/>
      <w:r w:rsidRPr="00533B4F">
        <w:rPr>
          <w:rFonts w:asciiTheme="minorHAnsi" w:hAnsiTheme="minorHAnsi" w:cstheme="minorHAnsi"/>
          <w:iCs/>
          <w:szCs w:val="24"/>
        </w:rPr>
        <w:t>Bałtyku  ma</w:t>
      </w:r>
      <w:proofErr w:type="gramEnd"/>
      <w:r w:rsidRPr="00533B4F">
        <w:rPr>
          <w:rFonts w:asciiTheme="minorHAnsi" w:hAnsiTheme="minorHAnsi" w:cstheme="minorHAnsi"/>
          <w:iCs/>
          <w:szCs w:val="24"/>
        </w:rPr>
        <w:t xml:space="preserve"> być postrzegany jako lider w dziedzinie zrównoważonego rozwoju, musi bardziej koncentrować się na wspólnych kwestiach związanych z nadmiernym zużyciem i produkcją energii. Działanie 2.1 stwarza możliwości dla różnych projektów mających na celu realizację Celu Polityki 2 „Bardziej przyjazna dla środowiska </w:t>
      </w:r>
      <w:proofErr w:type="spellStart"/>
      <w:r w:rsidRPr="00533B4F">
        <w:rPr>
          <w:rFonts w:asciiTheme="minorHAnsi" w:hAnsiTheme="minorHAnsi" w:cstheme="minorHAnsi"/>
          <w:iCs/>
          <w:szCs w:val="24"/>
        </w:rPr>
        <w:t>bezemisyjna</w:t>
      </w:r>
      <w:proofErr w:type="spellEnd"/>
      <w:r w:rsidRPr="00533B4F">
        <w:rPr>
          <w:rFonts w:asciiTheme="minorHAnsi" w:hAnsiTheme="minorHAnsi" w:cstheme="minorHAnsi"/>
          <w:iCs/>
          <w:szCs w:val="24"/>
        </w:rPr>
        <w:t xml:space="preserve"> Europa”. Umożliwi ono opracowanie i wprowadzenie rozwiązań wspierających przejście na zielone i odnawialne źródła energii za pomocą transgranicznych działań na rzecz opracowania rozwiązań wspierających to przejście.</w:t>
      </w:r>
    </w:p>
    <w:p w14:paraId="302BD20D" w14:textId="77777777" w:rsidR="00126BD7" w:rsidRDefault="00126BD7"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p>
    <w:p w14:paraId="24EF17F2" w14:textId="56810F11"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6E5D4B53" w14:textId="1C25F79E"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CP 2 Bardziej przyjazna dla środowiska </w:t>
      </w:r>
      <w:proofErr w:type="spellStart"/>
      <w:r w:rsidRPr="00533B4F">
        <w:rPr>
          <w:rFonts w:asciiTheme="minorHAnsi" w:hAnsiTheme="minorHAnsi" w:cstheme="minorHAnsi"/>
          <w:iCs/>
          <w:szCs w:val="24"/>
        </w:rPr>
        <w:t>bezemisyjna</w:t>
      </w:r>
      <w:proofErr w:type="spellEnd"/>
      <w:r w:rsidRPr="00533B4F">
        <w:rPr>
          <w:rFonts w:asciiTheme="minorHAnsi" w:hAnsiTheme="minorHAnsi" w:cstheme="minorHAnsi"/>
          <w:iCs/>
          <w:szCs w:val="24"/>
        </w:rPr>
        <w:t xml:space="preserve"> Europa</w:t>
      </w:r>
    </w:p>
    <w:p w14:paraId="0C1F9AAE"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Bardziej przyjazna dla środowiska, niskoemisyjna i przechodząca w </w:t>
      </w:r>
      <w:proofErr w:type="spellStart"/>
      <w:r w:rsidRPr="00533B4F">
        <w:rPr>
          <w:rFonts w:asciiTheme="minorHAnsi" w:hAnsiTheme="minorHAnsi" w:cstheme="minorHAnsi"/>
          <w:iCs/>
          <w:szCs w:val="24"/>
        </w:rPr>
        <w:t>kierunkuku</w:t>
      </w:r>
      <w:proofErr w:type="spellEnd"/>
      <w:r w:rsidRPr="00533B4F">
        <w:rPr>
          <w:rFonts w:asciiTheme="minorHAnsi" w:hAnsiTheme="minorHAnsi" w:cstheme="minorHAnsi"/>
          <w:iCs/>
          <w:szCs w:val="24"/>
        </w:rPr>
        <w:t xml:space="preserve"> gospodarki zeroemisyjnej oraz odporna Europa dzięki promowaniu czystej i sprawiedliwej transformacji energetycznej, zielonych i niebieskich inwestycji, gospodarki o obiegu zamkniętym, łagodzenia zmiany klimatu i przystosowania się do niej, zapobiegania ryzyku i zarządzania ryzykiem, oraz zrównoważonej mobilności miejskiej</w:t>
      </w:r>
    </w:p>
    <w:p w14:paraId="337DAB80"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7729205E"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2.5 Wspieranie dostępu do wody oraz zrównoważonej gospodarki wodnej</w:t>
      </w:r>
    </w:p>
    <w:p w14:paraId="7FCBB24D"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4484336D"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2 Zrównoważony Południowy Bałtyk – promowanie zrównoważonego rozwoju oraz niebieskiej i zielonej gospodarki</w:t>
      </w:r>
    </w:p>
    <w:p w14:paraId="1EB5B564"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3BFC7A2C"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Obszar Południowego Bałtyku zmaga się z szeregiem palących wyzwań takich jak skażenie gleby i wody przez </w:t>
      </w:r>
      <w:proofErr w:type="spellStart"/>
      <w:r w:rsidRPr="00533B4F">
        <w:rPr>
          <w:rFonts w:asciiTheme="minorHAnsi" w:hAnsiTheme="minorHAnsi" w:cstheme="minorHAnsi"/>
          <w:iCs/>
          <w:szCs w:val="24"/>
        </w:rPr>
        <w:t>mikroplastik</w:t>
      </w:r>
      <w:proofErr w:type="spellEnd"/>
      <w:r w:rsidRPr="00533B4F">
        <w:rPr>
          <w:rFonts w:asciiTheme="minorHAnsi" w:hAnsiTheme="minorHAnsi" w:cstheme="minorHAnsi"/>
          <w:iCs/>
          <w:szCs w:val="24"/>
        </w:rPr>
        <w:t xml:space="preserve">, a także zanieczyszczenie Morza Bałtyckiego przez, m.in. odprowadzanie substancji odżywczych i niebezpiecznych substancji z działalności prowadzonej na lądzie. Działanie 2.2 wspiera Cel Polityki „Bardziej przyjazna dla środowiska </w:t>
      </w:r>
      <w:proofErr w:type="spellStart"/>
      <w:r w:rsidRPr="00533B4F">
        <w:rPr>
          <w:rFonts w:asciiTheme="minorHAnsi" w:hAnsiTheme="minorHAnsi" w:cstheme="minorHAnsi"/>
          <w:iCs/>
          <w:szCs w:val="24"/>
        </w:rPr>
        <w:t>bezemisyjna</w:t>
      </w:r>
      <w:proofErr w:type="spellEnd"/>
      <w:r w:rsidRPr="00533B4F">
        <w:rPr>
          <w:rFonts w:asciiTheme="minorHAnsi" w:hAnsiTheme="minorHAnsi" w:cstheme="minorHAnsi"/>
          <w:iCs/>
          <w:szCs w:val="24"/>
        </w:rPr>
        <w:t xml:space="preserve"> Europa”. Będzie ono wspierać opracowanie transgranicznych rozwiązań na rzecz skutecznego i zrównoważonego użytkowania gruntów i gospodarki wodnej, zwłaszcza w dziedzinie ograniczania odprowadzania substancji odżywczych i niebezpiecznych do dorzeczy rzek, a następnie do Morza Bałtyckiego, w celu zwalczania eutrofizacji i różnych substancji niebezpiecznych (takich jak tworzywa sztuczne lub zatopiona broń chemiczna) w środowisku wodnym, w tym w środowisku morskim, a tym samym poprawy jakości wody.</w:t>
      </w:r>
    </w:p>
    <w:p w14:paraId="19FC9CDA" w14:textId="77777777" w:rsidR="00126BD7" w:rsidRDefault="00126BD7"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p>
    <w:p w14:paraId="5FE7B057" w14:textId="73302B5E"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784988F7" w14:textId="0B1A19A9"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CP 2 Bardziej przyjazna dla środowiska </w:t>
      </w:r>
      <w:proofErr w:type="spellStart"/>
      <w:r w:rsidRPr="00533B4F">
        <w:rPr>
          <w:rFonts w:asciiTheme="minorHAnsi" w:hAnsiTheme="minorHAnsi" w:cstheme="minorHAnsi"/>
          <w:iCs/>
          <w:szCs w:val="24"/>
        </w:rPr>
        <w:t>bezemisyjna</w:t>
      </w:r>
      <w:proofErr w:type="spellEnd"/>
      <w:r w:rsidRPr="00533B4F">
        <w:rPr>
          <w:rFonts w:asciiTheme="minorHAnsi" w:hAnsiTheme="minorHAnsi" w:cstheme="minorHAnsi"/>
          <w:iCs/>
          <w:szCs w:val="24"/>
        </w:rPr>
        <w:t xml:space="preserve"> Europa</w:t>
      </w:r>
    </w:p>
    <w:p w14:paraId="38187201"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zmiany klimatu i przystosowania się do niej, zapobiegania ryzyku i zarządzania ryzykiem, oraz zrównoważonej mobilności miejskiej</w:t>
      </w:r>
    </w:p>
    <w:p w14:paraId="1CDA5706"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7F493FAB"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2.6 Wspieranie transformacji w kierunku gospodarki o obiegu zamkniętym i gospodarki </w:t>
      </w:r>
      <w:proofErr w:type="spellStart"/>
      <w:r w:rsidRPr="00533B4F">
        <w:rPr>
          <w:rFonts w:asciiTheme="minorHAnsi" w:hAnsiTheme="minorHAnsi" w:cstheme="minorHAnsi"/>
          <w:iCs/>
          <w:szCs w:val="24"/>
        </w:rPr>
        <w:t>zasobooszczędnej</w:t>
      </w:r>
      <w:proofErr w:type="spellEnd"/>
    </w:p>
    <w:p w14:paraId="381C6FB1"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2F0B708F" w14:textId="0357204C"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2 Zrównoważony Południowy Bałtyk – promowanie zrównoważonego rozwoju oraz niebieskiej i zielonej gospodarki</w:t>
      </w:r>
    </w:p>
    <w:p w14:paraId="64E9F8FC"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240A7AEC" w14:textId="77777777" w:rsidR="00126BD7"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Niezrównoważone praktyki zagroziły środowisku i bogactwu dziedzictwa przyrodniczego regionu – są to wyzwania, które jeszcze się wzmogły z uwagi na problemy związane ze zmianami klimatu. Ponadto zasoby Morza Bałtyckiego są eksploatowane w sposób niezgodny z zasadami zrównoważonego rozwoju – dotyczy to również eksploatacji zasobów naturalnych. Działanie 2.3 ma także na celu promowanie transformacji w kierunku gospodarki o obiegu zamkniętym i koncentruje się na sposobach ustalania </w:t>
      </w:r>
      <w:proofErr w:type="spellStart"/>
      <w:r w:rsidRPr="00533B4F">
        <w:rPr>
          <w:rFonts w:asciiTheme="minorHAnsi" w:hAnsiTheme="minorHAnsi" w:cstheme="minorHAnsi"/>
          <w:iCs/>
          <w:szCs w:val="24"/>
        </w:rPr>
        <w:t>zachowań</w:t>
      </w:r>
      <w:proofErr w:type="spellEnd"/>
      <w:r w:rsidRPr="00533B4F">
        <w:rPr>
          <w:rFonts w:asciiTheme="minorHAnsi" w:hAnsiTheme="minorHAnsi" w:cstheme="minorHAnsi"/>
          <w:iCs/>
          <w:szCs w:val="24"/>
        </w:rPr>
        <w:t xml:space="preserve"> i postaw wspierających odpowiedzialną konsumpcję i produkcję. Osiągnięcie tego celu będzie wymagało gruntownego przeglądu modeli produkcji i konsumpcji typu „</w:t>
      </w:r>
      <w:proofErr w:type="spellStart"/>
      <w:r w:rsidRPr="00533B4F">
        <w:rPr>
          <w:rFonts w:asciiTheme="minorHAnsi" w:hAnsiTheme="minorHAnsi" w:cstheme="minorHAnsi"/>
          <w:iCs/>
          <w:szCs w:val="24"/>
        </w:rPr>
        <w:t>take</w:t>
      </w:r>
      <w:proofErr w:type="spellEnd"/>
      <w:r w:rsidRPr="00533B4F">
        <w:rPr>
          <w:rFonts w:asciiTheme="minorHAnsi" w:hAnsiTheme="minorHAnsi" w:cstheme="minorHAnsi"/>
          <w:iCs/>
          <w:szCs w:val="24"/>
        </w:rPr>
        <w:t>-</w:t>
      </w:r>
      <w:proofErr w:type="spellStart"/>
      <w:r w:rsidRPr="00533B4F">
        <w:rPr>
          <w:rFonts w:asciiTheme="minorHAnsi" w:hAnsiTheme="minorHAnsi" w:cstheme="minorHAnsi"/>
          <w:iCs/>
          <w:szCs w:val="24"/>
        </w:rPr>
        <w:t>make</w:t>
      </w:r>
      <w:proofErr w:type="spellEnd"/>
      <w:r w:rsidRPr="00533B4F">
        <w:rPr>
          <w:rFonts w:asciiTheme="minorHAnsi" w:hAnsiTheme="minorHAnsi" w:cstheme="minorHAnsi"/>
          <w:iCs/>
          <w:szCs w:val="24"/>
        </w:rPr>
        <w:t xml:space="preserve">-waste” na rzecz systemu o obiegu zamkniętym. W ramach bardziej przyjaznej dla środowiska, </w:t>
      </w:r>
      <w:proofErr w:type="spellStart"/>
      <w:r w:rsidRPr="00533B4F">
        <w:rPr>
          <w:rFonts w:asciiTheme="minorHAnsi" w:hAnsiTheme="minorHAnsi" w:cstheme="minorHAnsi"/>
          <w:iCs/>
          <w:szCs w:val="24"/>
        </w:rPr>
        <w:t>bezemisyjnej</w:t>
      </w:r>
      <w:proofErr w:type="spellEnd"/>
      <w:r w:rsidRPr="00533B4F">
        <w:rPr>
          <w:rFonts w:asciiTheme="minorHAnsi" w:hAnsiTheme="minorHAnsi" w:cstheme="minorHAnsi"/>
          <w:iCs/>
          <w:szCs w:val="24"/>
        </w:rPr>
        <w:t xml:space="preserve"> Europy Obszar Południowego Bałtyku będzie dążył do rozwoju swojej gospodarki w sposób zrównoważony, wspierając projekty na rzecz przejścia na przyjazne dla środowiska procesy produkcyjne, efektywną gospodarkę zasobami i odpadami.</w:t>
      </w:r>
    </w:p>
    <w:p w14:paraId="2D9BF1EF" w14:textId="77777777" w:rsidR="00126BD7" w:rsidRDefault="00126BD7"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p>
    <w:p w14:paraId="0394DABB" w14:textId="411A6B87"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5E5A3663" w14:textId="529D3A23" w:rsidR="00533B4F" w:rsidRPr="00533B4F" w:rsidRDefault="00533B4F" w:rsidP="00126BD7">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CP 4 Europa o silniejszym wymiarze społecznym</w:t>
      </w:r>
    </w:p>
    <w:p w14:paraId="45E54B68"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Europa o silniejszym wymiarze społecznym, sprzyjająca włączeniu społecznemu i wdrażająca Europejski filar praw socjalnych</w:t>
      </w:r>
    </w:p>
    <w:p w14:paraId="088AB91D"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4CEC4954"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4.6. Wzmacnianie roli kultury i zrównoważonej turystyki w rozwoju gospodarczym, włączeniu społecznym i innowacjach społecznych</w:t>
      </w:r>
    </w:p>
    <w:p w14:paraId="1FC5F369"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0817B919"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3 Atrakcyjny Południowy Bałtyk – aktywacja potencjału turystycznego Obszaru Południowego Bałtyku</w:t>
      </w:r>
    </w:p>
    <w:p w14:paraId="11249F2B"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44FAF91B"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Obszar Południowego Bałtyku charakteryzuje się obecnością unikatowych cech kulturowych i środowiskowych, w tym wielu obiektów wpisanych na listę światowego dziedzictwa UNESCO, morza, jezior, piaszczystych plaż, wysp i dużych kompleksów leśnych. Cechy te decydują o ogromnym potencjale turystycznym regionu. </w:t>
      </w:r>
    </w:p>
    <w:p w14:paraId="6B335B65"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Położenie geograficzne i klimatyczne Obszaru Południowego Bałtyku wymusza podkreślenie rozwoju ofert turystycznych, takich jak turystyka historyczna, turystyka religijna, turystyka kulinarna, turystyka przygodowa (w tym rybołówstwo, żeglarstwo, jazda na rowerze, turystyka piesza), wydarzenia sportowe o charakterze kulturowym i transgranicznym. Obszar dysponuje zarówno zorientowaną na potrzeby turystyki infrastrukturę wypoczynkową, typową dla obszarów nadmorskich, jak i bogactwem relatywnie nieskażonych obszarów przyrodniczych, w tym lasów, wzgórz, jezior, rzek, plaż i wysp.</w:t>
      </w:r>
    </w:p>
    <w:p w14:paraId="2C4622AF"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Ponadto turystyka (w tym turystyka kulturowa) ma bardzo duże znaczenie dla gospodarek regionalnych (jako istotne źródło dochodów i zatrudnienia) oraz społeczeństw regionów Obszaru Południowego Bałtyku, co ma wpływ na wiele innych sektorów gospodarki i codzienne życie mieszkańców. </w:t>
      </w:r>
    </w:p>
    <w:p w14:paraId="19AD6A1E"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Wzmocnienie i udoskonalenie warunków środowiska naturalnego, wraz z promowaniem aspektów kulturowych i obrazu regionu jako naturalnie pięknego miejsca stanowi sposób na uzyskanie konkurencyjnej, ale zrównoważonej turystyki w regionie. Działanie 3.1 będzie wspierać rozwój zrównoważonych i innowacyjnych produktów turystyki jako jednej z najważniejszych branż w ramach Obszaru. Prowadzone projekty będą miały na celu zwiększenie roli kultury i turystyki w rozwoju gospodarczym i innowacjach społecznych. Ponadto będzie ono miało bardzo istotny wymiar społeczny, ponieważ będzie się również koncentrować na włączeniu społecznym i może przyczynić się do ograniczenia negatywnych skutków pandemii COVID-19 na rynku pracy. Będzie to możliwe, m.in. dzięki wspólnym działaniom mającym na celu podniesienie poziomu atrakcyjności Obszaru, wspólnym działaniom mającym na celu rozwój produktów lub usług transgranicznych itp.</w:t>
      </w:r>
    </w:p>
    <w:p w14:paraId="564769BE" w14:textId="77777777" w:rsidR="00126BD7" w:rsidRDefault="00126BD7"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p>
    <w:p w14:paraId="2CCCD2DF" w14:textId="74CC2229"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polityki lub wybrany cel specyficzny Interreg</w:t>
      </w:r>
    </w:p>
    <w:p w14:paraId="48C283E9"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CS 1 Lepsze zarządzanie współpracą</w:t>
      </w:r>
    </w:p>
    <w:p w14:paraId="694B65BF"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Wybrany cel szczegółowy</w:t>
      </w:r>
    </w:p>
    <w:p w14:paraId="0C8B4401"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6.1. zwiększanie zdolności instytucjonalnych instytucji publicznych, w szczególności tych, którym powierzono zarządzanie konkretnym terytorium, i zainteresowanych stron</w:t>
      </w:r>
    </w:p>
    <w:p w14:paraId="55BC9841"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Priorytet</w:t>
      </w:r>
    </w:p>
    <w:p w14:paraId="3F29D0CD"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OP 4 Aktywny Południowy Bałtyk – poprawa zarządzania współpracą</w:t>
      </w:r>
    </w:p>
    <w:p w14:paraId="423C247C"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Uzasadnienie wyboru</w:t>
      </w:r>
    </w:p>
    <w:p w14:paraId="185084FD" w14:textId="77777777" w:rsidR="00533B4F" w:rsidRPr="00533B4F" w:rsidRDefault="00533B4F" w:rsidP="00533B4F">
      <w:pPr>
        <w:pBdr>
          <w:top w:val="single" w:sz="4" w:space="1" w:color="auto"/>
          <w:left w:val="single" w:sz="4" w:space="1" w:color="auto"/>
          <w:bottom w:val="single" w:sz="4" w:space="1" w:color="auto"/>
          <w:right w:val="single" w:sz="4" w:space="1" w:color="auto"/>
        </w:pBdr>
        <w:spacing w:after="120" w:line="360" w:lineRule="auto"/>
        <w:ind w:left="-5" w:right="0" w:hanging="10"/>
        <w:rPr>
          <w:rFonts w:asciiTheme="minorHAnsi" w:hAnsiTheme="minorHAnsi" w:cstheme="minorHAnsi"/>
          <w:iCs/>
          <w:szCs w:val="24"/>
        </w:rPr>
      </w:pPr>
      <w:r w:rsidRPr="00533B4F">
        <w:rPr>
          <w:rFonts w:asciiTheme="minorHAnsi" w:hAnsiTheme="minorHAnsi" w:cstheme="minorHAnsi"/>
          <w:iCs/>
          <w:szCs w:val="24"/>
        </w:rPr>
        <w:t xml:space="preserve">Na Obszarze Południowego Bałtyku istnieje zróżnicowana gama podmiotów dysponujących ogromnym potencjałem w zakresie udoskonalenia </w:t>
      </w:r>
      <w:proofErr w:type="gramStart"/>
      <w:r w:rsidRPr="00533B4F">
        <w:rPr>
          <w:rFonts w:asciiTheme="minorHAnsi" w:hAnsiTheme="minorHAnsi" w:cstheme="minorHAnsi"/>
          <w:iCs/>
          <w:szCs w:val="24"/>
        </w:rPr>
        <w:t>wzajemnej współpracy</w:t>
      </w:r>
      <w:proofErr w:type="gramEnd"/>
      <w:r w:rsidRPr="00533B4F">
        <w:rPr>
          <w:rFonts w:asciiTheme="minorHAnsi" w:hAnsiTheme="minorHAnsi" w:cstheme="minorHAnsi"/>
          <w:iCs/>
          <w:szCs w:val="24"/>
        </w:rPr>
        <w:t xml:space="preserve"> na szczeblu transgranicznym. Bolączką Obszaru Południowego Bałtyku jest niewystarczający poziom transferu wiedzy i technologii, a także niewystarczająca wymiana informacji między różnymi grupami zainteresowanych stron (np. podmioty publiczne, organy lokalne i </w:t>
      </w:r>
      <w:proofErr w:type="spellStart"/>
      <w:r w:rsidRPr="00533B4F">
        <w:rPr>
          <w:rFonts w:asciiTheme="minorHAnsi" w:hAnsiTheme="minorHAnsi" w:cstheme="minorHAnsi"/>
          <w:iCs/>
          <w:szCs w:val="24"/>
        </w:rPr>
        <w:t>organizac</w:t>
      </w:r>
      <w:proofErr w:type="spellEnd"/>
      <w:r w:rsidRPr="00533B4F">
        <w:rPr>
          <w:rFonts w:asciiTheme="minorHAnsi" w:hAnsiTheme="minorHAnsi" w:cstheme="minorHAnsi"/>
          <w:iCs/>
          <w:szCs w:val="24"/>
        </w:rPr>
        <w:t xml:space="preserve"> je pozarządowe). Jednocześnie istnieje niski poziom identyfikacji organów lokalnych i społeczności z Obszarem Południowego Bałtyku. W związku z tym region dysponuje znacznym niewykorzystanym potencjałem w tym względzie. Działanie to ma na celu nie tylko wykorzystanie tego potencjału, ale także usunięcie przeszkód we współpracy transgranicznej i zapewnienie, że korzyści płynące ze współpracy zostaną udostępnione różnym grupom podmiotów w całym regionie – od instytucji publicznych, poprzez organizacje pozarządowe, po podmioty gospodarcze. Ponadto Działanie kładzie szczególny nacisk na wzmocnienie pozycji społeczności lokalnych i udział społeczeństwa obywatelskiego, w tym młodzieży. Podkreśla wzmocnienie współpracy między podmiotami opisanymi w modelu poczwórnej (a nawet pięciokrotnej) helisy, który określa relacje między przemysłem, środowiskiem akademickim, podmiotami publicznymi, przedsiębiorcami społecznymi i społeczeństwem obywatelskim. Z jednej strony ta oś priorytetowa wzmocni zdolność zarządzania współpracą i zwiększy współpracę transgraniczną, natomiast z drugiej strony będzie budować świadomość korzyści płynących z takiej współpracy. Proponowane działania będą również miały wpływ na budowanie potencjału podmiotów i umożliwią wzmocnienie zaufania wśród uczestniczących zainteresowanych stron.</w:t>
      </w:r>
    </w:p>
    <w:p w14:paraId="4583E87E" w14:textId="77777777" w:rsidR="00F96038" w:rsidRDefault="00F96038">
      <w:pPr>
        <w:spacing w:after="160" w:line="259" w:lineRule="auto"/>
        <w:ind w:left="0" w:right="0" w:firstLine="0"/>
        <w:rPr>
          <w:rFonts w:asciiTheme="minorHAnsi" w:hAnsiTheme="minorHAnsi" w:cstheme="minorHAnsi"/>
          <w:b/>
          <w:iCs/>
          <w:sz w:val="28"/>
          <w:szCs w:val="24"/>
        </w:rPr>
      </w:pPr>
      <w:r>
        <w:br w:type="page"/>
      </w:r>
    </w:p>
    <w:p w14:paraId="6C1929F1" w14:textId="4DEE2EBD" w:rsidR="00CB6F9B" w:rsidRPr="002F1719" w:rsidRDefault="003F51E4" w:rsidP="000D773F">
      <w:pPr>
        <w:pStyle w:val="Heading2"/>
        <w:ind w:left="0"/>
      </w:pPr>
      <w:r w:rsidRPr="006D55CE">
        <w:t>Priorytety</w:t>
      </w:r>
      <w:r w:rsidRPr="002F1719">
        <w:t xml:space="preserve"> [300] </w:t>
      </w:r>
    </w:p>
    <w:p w14:paraId="1C6AEE86" w14:textId="7A34FA01" w:rsidR="00CB6F9B" w:rsidRPr="00126BD7" w:rsidRDefault="004B5DC5" w:rsidP="00126BD7">
      <w:pPr>
        <w:spacing w:after="120" w:line="360" w:lineRule="auto"/>
        <w:ind w:left="540" w:right="792" w:hanging="540"/>
        <w:rPr>
          <w:rFonts w:asciiTheme="minorHAnsi" w:hAnsiTheme="minorHAnsi" w:cstheme="minorHAnsi"/>
        </w:rPr>
      </w:pPr>
      <w:r w:rsidRPr="00126BD7">
        <w:rPr>
          <w:rFonts w:asciiTheme="minorHAnsi" w:hAnsiTheme="minorHAnsi" w:cstheme="minorHAnsi"/>
        </w:rPr>
        <w:t>Podstawa prawna: art. 17 ust. 3 lit. d) i e)</w:t>
      </w:r>
      <w:r w:rsidR="003F51E4" w:rsidRPr="00126BD7">
        <w:rPr>
          <w:rFonts w:asciiTheme="minorHAnsi" w:hAnsiTheme="minorHAnsi" w:cstheme="minorHAnsi"/>
        </w:rPr>
        <w:t xml:space="preserve"> </w:t>
      </w:r>
    </w:p>
    <w:p w14:paraId="0B3633E0" w14:textId="77777777" w:rsidR="000A48CD" w:rsidRDefault="000A48CD" w:rsidP="006D55CE">
      <w:pPr>
        <w:pStyle w:val="ListParagraph"/>
        <w:spacing w:after="218" w:line="259" w:lineRule="auto"/>
        <w:ind w:left="90" w:right="0" w:firstLine="0"/>
        <w:rPr>
          <w:rFonts w:asciiTheme="minorHAnsi" w:hAnsiTheme="minorHAnsi" w:cstheme="minorHAnsi"/>
          <w:bCs/>
        </w:rPr>
      </w:pPr>
    </w:p>
    <w:p w14:paraId="4D4D5AC7" w14:textId="58929A4C" w:rsidR="00CB6F9B" w:rsidRPr="000A48CD" w:rsidRDefault="00F96038" w:rsidP="00384D8D">
      <w:pPr>
        <w:pStyle w:val="ListParagraph"/>
        <w:numPr>
          <w:ilvl w:val="1"/>
          <w:numId w:val="12"/>
        </w:numPr>
        <w:spacing w:after="218" w:line="259" w:lineRule="auto"/>
        <w:ind w:left="90" w:right="0"/>
        <w:rPr>
          <w:rFonts w:asciiTheme="minorHAnsi" w:hAnsiTheme="minorHAnsi" w:cstheme="minorHAnsi"/>
          <w:b/>
        </w:rPr>
      </w:pPr>
      <w:r w:rsidRPr="000A48CD">
        <w:rPr>
          <w:rFonts w:asciiTheme="minorHAnsi" w:hAnsiTheme="minorHAnsi" w:cstheme="minorHAnsi"/>
          <w:b/>
        </w:rPr>
        <w:t xml:space="preserve"> </w:t>
      </w:r>
      <w:r w:rsidR="003F51E4" w:rsidRPr="000A48CD">
        <w:rPr>
          <w:rFonts w:asciiTheme="minorHAnsi" w:hAnsiTheme="minorHAnsi" w:cstheme="minorHAnsi"/>
          <w:b/>
        </w:rPr>
        <w:t>Priorytet 1</w:t>
      </w:r>
    </w:p>
    <w:p w14:paraId="2BA064CD" w14:textId="46A63920" w:rsidR="00CB6F9B" w:rsidRPr="002F1719" w:rsidRDefault="00DE559B" w:rsidP="006D55CE">
      <w:pPr>
        <w:spacing w:after="120" w:line="360" w:lineRule="auto"/>
        <w:ind w:left="0" w:right="792" w:firstLine="0"/>
        <w:rPr>
          <w:rFonts w:asciiTheme="minorHAnsi" w:hAnsiTheme="minorHAnsi" w:cstheme="minorHAnsi"/>
        </w:rPr>
      </w:pPr>
      <w:r w:rsidRPr="00126BD7">
        <w:rPr>
          <w:rFonts w:asciiTheme="minorHAnsi" w:hAnsiTheme="minorHAnsi" w:cstheme="minorHAnsi"/>
        </w:rPr>
        <w:t>Podstawa prawna: art. 17 ust. 3 lit. d)</w:t>
      </w:r>
      <w:r w:rsidR="003F51E4" w:rsidRPr="00126BD7">
        <w:rPr>
          <w:rFonts w:asciiTheme="minorHAnsi" w:hAnsiTheme="minorHAnsi" w:cstheme="minorHAnsi"/>
        </w:rPr>
        <w:t xml:space="preserve"> </w:t>
      </w:r>
    </w:p>
    <w:p w14:paraId="4347E483" w14:textId="77777777" w:rsidR="00CB6F9B" w:rsidRPr="002F1719" w:rsidRDefault="00CB6F9B" w:rsidP="004A0FF2">
      <w:pPr>
        <w:pStyle w:val="Heading2"/>
        <w:numPr>
          <w:ilvl w:val="0"/>
          <w:numId w:val="0"/>
        </w:numPr>
        <w:ind w:left="365"/>
      </w:pPr>
      <w:r w:rsidRPr="00126BD7">
        <w:t>OP 1 Innowacyjny Południowy Bałtyk – zwiększanie poziomu innowacji i internacjonalizacji podmiotów lokalnych</w:t>
      </w:r>
    </w:p>
    <w:p w14:paraId="38165FD7" w14:textId="16F8254D" w:rsidR="00CB6F9B" w:rsidRPr="000A48CD" w:rsidRDefault="003F51E4" w:rsidP="00384D8D">
      <w:pPr>
        <w:pStyle w:val="ListParagraph"/>
        <w:numPr>
          <w:ilvl w:val="2"/>
          <w:numId w:val="12"/>
        </w:numPr>
        <w:spacing w:after="218" w:line="259" w:lineRule="auto"/>
        <w:ind w:left="0" w:right="0"/>
        <w:rPr>
          <w:rFonts w:asciiTheme="minorHAnsi" w:hAnsiTheme="minorHAnsi" w:cstheme="minorHAnsi"/>
          <w:b/>
        </w:rPr>
      </w:pPr>
      <w:r w:rsidRPr="000A48CD">
        <w:rPr>
          <w:rFonts w:asciiTheme="minorHAnsi" w:hAnsiTheme="minorHAnsi" w:cstheme="minorHAnsi"/>
          <w:b/>
        </w:rPr>
        <w:t>Cel szczegółowy</w:t>
      </w:r>
    </w:p>
    <w:p w14:paraId="4D67844F" w14:textId="5BB80860" w:rsidR="00CB6F9B" w:rsidRPr="00495F5D" w:rsidRDefault="00CB6F9B" w:rsidP="00495F5D">
      <w:pPr>
        <w:pStyle w:val="Heading3"/>
      </w:pPr>
      <w:r w:rsidRPr="00495F5D">
        <w:t xml:space="preserve">1.2 Czerpanie korzyści z cyfryzacji dla obywateli, przedsiębiorstw, organizacji badawczych i </w:t>
      </w:r>
      <w:r w:rsidR="00B20416" w:rsidRPr="00495F5D">
        <w:t>instytucji</w:t>
      </w:r>
      <w:r w:rsidRPr="00495F5D">
        <w:t xml:space="preserve"> publicznych</w:t>
      </w:r>
    </w:p>
    <w:p w14:paraId="4E9D5527" w14:textId="27CFEA7D" w:rsidR="00CB6F9B" w:rsidRPr="002F1719" w:rsidRDefault="00DE559B" w:rsidP="00126BD7">
      <w:pPr>
        <w:spacing w:after="120" w:line="360" w:lineRule="auto"/>
        <w:ind w:left="0" w:right="792" w:firstLine="0"/>
        <w:rPr>
          <w:rFonts w:asciiTheme="minorHAnsi" w:hAnsiTheme="minorHAnsi" w:cstheme="minorHAnsi"/>
        </w:rPr>
      </w:pPr>
      <w:r w:rsidRPr="00126BD7">
        <w:rPr>
          <w:rFonts w:asciiTheme="minorHAnsi" w:hAnsiTheme="minorHAnsi" w:cstheme="minorHAnsi"/>
        </w:rPr>
        <w:t>Podstawa prawna: art. 17 ust. 3 lit. e)</w:t>
      </w:r>
    </w:p>
    <w:p w14:paraId="04D8A751" w14:textId="6C433734" w:rsidR="00CB6F9B" w:rsidRPr="00F96038" w:rsidRDefault="00DE559B" w:rsidP="00384D8D">
      <w:pPr>
        <w:pStyle w:val="ListParagraph"/>
        <w:numPr>
          <w:ilvl w:val="2"/>
          <w:numId w:val="12"/>
        </w:numPr>
        <w:spacing w:after="218" w:line="259" w:lineRule="auto"/>
        <w:ind w:left="0" w:right="0"/>
        <w:rPr>
          <w:rFonts w:asciiTheme="minorHAnsi" w:hAnsiTheme="minorHAnsi" w:cstheme="minorHAnsi"/>
          <w:b/>
        </w:rPr>
      </w:pPr>
      <w:r w:rsidRPr="00F96038">
        <w:rPr>
          <w:rFonts w:asciiTheme="minorHAnsi" w:hAnsiTheme="minorHAnsi" w:cstheme="minorHAnsi"/>
          <w:b/>
        </w:rPr>
        <w:t xml:space="preserve">Powiązane rodzaje działań oraz ich oczekiwany wkład w realizację wspomnianych celów szczegółowych </w:t>
      </w:r>
      <w:proofErr w:type="gramStart"/>
      <w:r w:rsidRPr="00F96038">
        <w:rPr>
          <w:rFonts w:asciiTheme="minorHAnsi" w:hAnsiTheme="minorHAnsi" w:cstheme="minorHAnsi"/>
          <w:b/>
        </w:rPr>
        <w:t>oraz,</w:t>
      </w:r>
      <w:proofErr w:type="gramEnd"/>
      <w:r w:rsidRPr="00F96038">
        <w:rPr>
          <w:rFonts w:asciiTheme="minorHAnsi" w:hAnsiTheme="minorHAnsi" w:cstheme="minorHAnsi"/>
          <w:b/>
        </w:rPr>
        <w:t xml:space="preserve"> w stosownych przypadkach, strategii makroregionalnych i strategii na rzecz basenu morskiego</w:t>
      </w:r>
      <w:r w:rsidR="003F51E4" w:rsidRPr="00F96038">
        <w:rPr>
          <w:rFonts w:asciiTheme="minorHAnsi" w:hAnsiTheme="minorHAnsi" w:cstheme="minorHAnsi"/>
          <w:b/>
        </w:rPr>
        <w:t xml:space="preserve"> </w:t>
      </w:r>
    </w:p>
    <w:p w14:paraId="0697825B" w14:textId="21E5501B" w:rsidR="00CB6F9B" w:rsidRPr="00126BD7" w:rsidRDefault="00DE559B" w:rsidP="00126BD7">
      <w:pPr>
        <w:spacing w:after="120" w:line="360" w:lineRule="auto"/>
        <w:ind w:left="0" w:right="792" w:firstLine="0"/>
        <w:rPr>
          <w:rFonts w:asciiTheme="minorHAnsi" w:hAnsiTheme="minorHAnsi" w:cstheme="minorHAnsi"/>
        </w:rPr>
      </w:pPr>
      <w:r w:rsidRPr="00126BD7">
        <w:rPr>
          <w:rFonts w:asciiTheme="minorHAnsi" w:hAnsiTheme="minorHAnsi" w:cstheme="minorHAnsi"/>
        </w:rPr>
        <w:t xml:space="preserve">Podstawa prawna: art. 17 ust. 3 lit. e) </w:t>
      </w:r>
      <w:proofErr w:type="spellStart"/>
      <w:r w:rsidRPr="00126BD7">
        <w:rPr>
          <w:rFonts w:asciiTheme="minorHAnsi" w:hAnsiTheme="minorHAnsi" w:cstheme="minorHAnsi"/>
        </w:rPr>
        <w:t>ppkt</w:t>
      </w:r>
      <w:proofErr w:type="spellEnd"/>
      <w:r w:rsidRPr="00126BD7">
        <w:rPr>
          <w:rFonts w:asciiTheme="minorHAnsi" w:hAnsiTheme="minorHAnsi" w:cstheme="minorHAnsi"/>
        </w:rPr>
        <w:t xml:space="preserve"> (i), art. 17 ust. 9 lit. c) </w:t>
      </w:r>
      <w:proofErr w:type="spellStart"/>
      <w:r w:rsidRPr="00126BD7">
        <w:rPr>
          <w:rFonts w:asciiTheme="minorHAnsi" w:hAnsiTheme="minorHAnsi" w:cstheme="minorHAnsi"/>
        </w:rPr>
        <w:t>ppkt</w:t>
      </w:r>
      <w:proofErr w:type="spellEnd"/>
      <w:r w:rsidRPr="00126BD7">
        <w:rPr>
          <w:rFonts w:asciiTheme="minorHAnsi" w:hAnsiTheme="minorHAnsi" w:cstheme="minorHAnsi"/>
        </w:rPr>
        <w:t xml:space="preserve"> (ii)</w:t>
      </w:r>
      <w:r w:rsidR="003F51E4" w:rsidRPr="00126BD7">
        <w:rPr>
          <w:rFonts w:asciiTheme="minorHAnsi" w:hAnsiTheme="minorHAnsi" w:cstheme="minorHAnsi"/>
        </w:rPr>
        <w:t xml:space="preserve"> </w:t>
      </w:r>
    </w:p>
    <w:p w14:paraId="7D708BCF" w14:textId="3BEDA241" w:rsidR="00CB6F9B" w:rsidRPr="002F1719" w:rsidRDefault="00CB6F9B"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Programu 1.1: </w:t>
      </w:r>
      <w:r w:rsidRPr="00126BD7">
        <w:rPr>
          <w:rFonts w:asciiTheme="minorHAnsi" w:hAnsiTheme="minorHAnsi" w:cstheme="minorHAnsi"/>
        </w:rPr>
        <w:t>Cyfryzacja regionu</w:t>
      </w:r>
    </w:p>
    <w:p w14:paraId="21EEC5AE" w14:textId="1FFDBBFE" w:rsidR="00CB6F9B" w:rsidRPr="002F1719" w:rsidRDefault="00A3526E"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Obszar Południowego Bałtyku</w:t>
      </w:r>
      <w:r w:rsidR="00CB6F9B" w:rsidRPr="002F1719">
        <w:rPr>
          <w:rFonts w:asciiTheme="minorHAnsi" w:hAnsiTheme="minorHAnsi" w:cstheme="minorHAnsi"/>
        </w:rPr>
        <w:t xml:space="preserve"> dysponuje znacznym potencjałem gospodarczym, zwłaszcza w sektorach związanych z niebieską i zieloną gospodarką, niemniej jednak </w:t>
      </w:r>
      <w:r w:rsidR="000069B2" w:rsidRPr="002F1719">
        <w:rPr>
          <w:rFonts w:asciiTheme="minorHAnsi" w:hAnsiTheme="minorHAnsi" w:cstheme="minorHAnsi"/>
        </w:rPr>
        <w:t xml:space="preserve">nadal wymaga stymulowania i wsparcia </w:t>
      </w:r>
      <w:r w:rsidR="00CB6F9B" w:rsidRPr="002F1719">
        <w:rPr>
          <w:rFonts w:asciiTheme="minorHAnsi" w:hAnsiTheme="minorHAnsi" w:cstheme="minorHAnsi"/>
        </w:rPr>
        <w:t xml:space="preserve">w celu zapewnienia, że odpowiednio rozwija się w opartym na wiedzy i innowacyjnym kierunku. Działania mające na celu zwiększenie poziomu cyfryzacji różnych sektorów gospodarki regionalnej mogą umożliwić zmniejszenie negatywnych skutków wynikających z relatywnie niskiego poziomu połączeń komunikacyjnych pomiędzy regionami </w:t>
      </w:r>
      <w:r w:rsidRPr="002F1719">
        <w:rPr>
          <w:rFonts w:asciiTheme="minorHAnsi" w:hAnsiTheme="minorHAnsi" w:cstheme="minorHAnsi"/>
        </w:rPr>
        <w:t>Obszaru</w:t>
      </w:r>
      <w:r w:rsidR="00CB6F9B" w:rsidRPr="002F1719">
        <w:rPr>
          <w:rFonts w:asciiTheme="minorHAnsi" w:hAnsiTheme="minorHAnsi" w:cstheme="minorHAnsi"/>
        </w:rPr>
        <w:t xml:space="preserve"> i rozbieżności w dostępie do transportu publicznego, zwłaszcza zwiększenie poziomu dostępu do usług publicznych (np. opieka zdrowotna itp.). Cyfryzacja w transporcie doprowadzi do silnego formalnego powiązania w działaniach na rzecz mobilności i zapotrzebowania na rozwój sektora morskiego oraz jego powiązania z transportem publicznym (w tym cyfryzacja portów i łańcuchów multimodalnych, planowanie transportu i indywidualne zachowania transportowe). Umożliwi to uwolnienie potencjału i przedstawienie korzyści płynących z otwartych danych w sektorze publicznym, a także harmonizacji danych w dziedzinie współpracy transgranicznej, wzmocnienia wymiaru zrównoważonego rozwoju poprzez poprawę dostępności na obszarach wiejskich, włączenia osób starszych i </w:t>
      </w:r>
      <w:r w:rsidR="0062208C" w:rsidRPr="002F1719">
        <w:rPr>
          <w:rFonts w:asciiTheme="minorHAnsi" w:hAnsiTheme="minorHAnsi" w:cstheme="minorHAnsi"/>
        </w:rPr>
        <w:t xml:space="preserve">osób z </w:t>
      </w:r>
      <w:r w:rsidR="00CB6F9B" w:rsidRPr="002F1719">
        <w:rPr>
          <w:rFonts w:asciiTheme="minorHAnsi" w:hAnsiTheme="minorHAnsi" w:cstheme="minorHAnsi"/>
        </w:rPr>
        <w:t>niepełnosprawn</w:t>
      </w:r>
      <w:r w:rsidR="0062208C" w:rsidRPr="002F1719">
        <w:rPr>
          <w:rFonts w:asciiTheme="minorHAnsi" w:hAnsiTheme="minorHAnsi" w:cstheme="minorHAnsi"/>
        </w:rPr>
        <w:t>ościami</w:t>
      </w:r>
      <w:r w:rsidR="00CB6F9B" w:rsidRPr="002F1719">
        <w:rPr>
          <w:rFonts w:asciiTheme="minorHAnsi" w:hAnsiTheme="minorHAnsi" w:cstheme="minorHAnsi"/>
        </w:rPr>
        <w:t xml:space="preserve"> oraz zmniejszenia różnic między płciami w sektorze pracy.</w:t>
      </w:r>
    </w:p>
    <w:p w14:paraId="2478DF59" w14:textId="45A383D2" w:rsidR="00CB6F9B" w:rsidRPr="002F1719" w:rsidRDefault="00CB6F9B"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Ponadto procesy cyfryzacji są ściśle powiązane z cyfrowymi filarami Komisji Europejskiej w zakresie wzmocnienia rozwiązań w dziedzinie m.in. sztucznej inteligencji, </w:t>
      </w:r>
      <w:proofErr w:type="spellStart"/>
      <w:r w:rsidRPr="002F1719">
        <w:rPr>
          <w:rFonts w:asciiTheme="minorHAnsi" w:hAnsiTheme="minorHAnsi" w:cstheme="minorHAnsi"/>
        </w:rPr>
        <w:t>cyberbezpieczeństwa</w:t>
      </w:r>
      <w:proofErr w:type="spellEnd"/>
      <w:r w:rsidRPr="002F1719">
        <w:rPr>
          <w:rFonts w:asciiTheme="minorHAnsi" w:hAnsiTheme="minorHAnsi" w:cstheme="minorHAnsi"/>
        </w:rPr>
        <w:t xml:space="preserve">, umiejętności cyfrowych, łączności itp. W związku z tym działania w ramach tego Celu Szczegółowego będą wspierać proces osiągania celów określonych przez KE. Ponadto warto podkreślić, że strategia cyfrowa UE ma </w:t>
      </w:r>
      <w:r w:rsidR="0062208C" w:rsidRPr="002F1719">
        <w:rPr>
          <w:rFonts w:asciiTheme="minorHAnsi" w:hAnsiTheme="minorHAnsi" w:cstheme="minorHAnsi"/>
        </w:rPr>
        <w:t>sprawić, aby ta</w:t>
      </w:r>
      <w:r w:rsidRPr="002F1719">
        <w:rPr>
          <w:rFonts w:asciiTheme="minorHAnsi" w:hAnsiTheme="minorHAnsi" w:cstheme="minorHAnsi"/>
        </w:rPr>
        <w:t xml:space="preserve"> transformacja przyniosła efekty dla ludzi i przedsiębiorstw, jednocześnie pomagając osiągnąć jej cel</w:t>
      </w:r>
      <w:r w:rsidR="0062208C" w:rsidRPr="002F1719">
        <w:rPr>
          <w:rFonts w:asciiTheme="minorHAnsi" w:hAnsiTheme="minorHAnsi" w:cstheme="minorHAnsi"/>
        </w:rPr>
        <w:t xml:space="preserve">, </w:t>
      </w:r>
      <w:r w:rsidRPr="002F1719">
        <w:rPr>
          <w:rFonts w:asciiTheme="minorHAnsi" w:hAnsiTheme="minorHAnsi" w:cstheme="minorHAnsi"/>
        </w:rPr>
        <w:t>czyli neutralną klimatycznie Europę do 2050</w:t>
      </w:r>
      <w:r w:rsidR="0062208C" w:rsidRPr="002F1719">
        <w:rPr>
          <w:rFonts w:asciiTheme="minorHAnsi" w:hAnsiTheme="minorHAnsi" w:cstheme="minorHAnsi"/>
        </w:rPr>
        <w:t xml:space="preserve"> r</w:t>
      </w:r>
      <w:r w:rsidRPr="002F1719">
        <w:rPr>
          <w:rFonts w:asciiTheme="minorHAnsi" w:hAnsiTheme="minorHAnsi" w:cstheme="minorHAnsi"/>
        </w:rPr>
        <w:t>.</w:t>
      </w:r>
    </w:p>
    <w:p w14:paraId="4C1D1BCB" w14:textId="0290DAC6" w:rsidR="00CB6F9B" w:rsidRPr="002F1719" w:rsidRDefault="007E2478"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Biorąc pod uwagę powyższe fakty, działania w ramach tego Celu Szczegółowego, silnie </w:t>
      </w:r>
      <w:r w:rsidR="0062208C" w:rsidRPr="002F1719">
        <w:rPr>
          <w:rFonts w:asciiTheme="minorHAnsi" w:hAnsiTheme="minorHAnsi" w:cstheme="minorHAnsi"/>
        </w:rPr>
        <w:t>po</w:t>
      </w:r>
      <w:r w:rsidRPr="002F1719">
        <w:rPr>
          <w:rFonts w:asciiTheme="minorHAnsi" w:hAnsiTheme="minorHAnsi" w:cstheme="minorHAnsi"/>
        </w:rPr>
        <w:t xml:space="preserve">wiązane z inteligentną specjalizacją i kluczowymi obszarami mocnych stron w regionach, dysponują znacznym potencjałem współpracy transgranicznej i mogą wspierać wiele różnych grup zainteresowanych </w:t>
      </w:r>
      <w:r w:rsidR="007272A8" w:rsidRPr="002F1719">
        <w:rPr>
          <w:rFonts w:asciiTheme="minorHAnsi" w:hAnsiTheme="minorHAnsi" w:cstheme="minorHAnsi"/>
        </w:rPr>
        <w:t>stron</w:t>
      </w:r>
      <w:r w:rsidRPr="002F1719">
        <w:rPr>
          <w:rFonts w:asciiTheme="minorHAnsi" w:hAnsiTheme="minorHAnsi" w:cstheme="minorHAnsi"/>
        </w:rPr>
        <w:t>.</w:t>
      </w:r>
    </w:p>
    <w:p w14:paraId="1537EC01" w14:textId="35BBF6F9" w:rsidR="00A065C2" w:rsidRPr="002F1719" w:rsidRDefault="00A065C2"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 jeżeli jest to uzasadnione.</w:t>
      </w:r>
    </w:p>
    <w:p w14:paraId="13C01902" w14:textId="77777777" w:rsidR="00CB6F9B" w:rsidRPr="00126BD7" w:rsidRDefault="00CB6F9B" w:rsidP="00126BD7">
      <w:pPr>
        <w:spacing w:after="120" w:line="360" w:lineRule="auto"/>
        <w:ind w:left="0" w:right="792" w:firstLine="0"/>
        <w:rPr>
          <w:rFonts w:asciiTheme="minorHAnsi" w:hAnsiTheme="minorHAnsi" w:cstheme="minorHAnsi"/>
        </w:rPr>
      </w:pPr>
      <w:r w:rsidRPr="00126BD7">
        <w:rPr>
          <w:rFonts w:asciiTheme="minorHAnsi" w:hAnsiTheme="minorHAnsi" w:cstheme="minorHAnsi"/>
        </w:rPr>
        <w:t>Przykładowe działania</w:t>
      </w:r>
    </w:p>
    <w:p w14:paraId="4B8C2889" w14:textId="1BD9830F"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opracowywanie, demonstrowanie i wdrażanie transgranicznych rozwiązań w zakresie cyfryzacji usług publicznych (np. opracowanie nowych e-usług sprzyjających włączeniu społecznemu: w transporcie (e-bilet), w opiece zdrowotnej (e-opieka) itp.),</w:t>
      </w:r>
    </w:p>
    <w:p w14:paraId="5AFBDC32" w14:textId="1F7AAE24"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opracow</w:t>
      </w:r>
      <w:r w:rsidR="0062208C" w:rsidRPr="00126BD7">
        <w:rPr>
          <w:rFonts w:asciiTheme="minorHAnsi" w:hAnsiTheme="minorHAnsi" w:cstheme="minorHAnsi"/>
        </w:rPr>
        <w:t>yw</w:t>
      </w:r>
      <w:r w:rsidRPr="00126BD7">
        <w:rPr>
          <w:rFonts w:asciiTheme="minorHAnsi" w:hAnsiTheme="minorHAnsi" w:cstheme="minorHAnsi"/>
        </w:rPr>
        <w:t>anie, demonstr</w:t>
      </w:r>
      <w:r w:rsidR="0062208C" w:rsidRPr="00126BD7">
        <w:rPr>
          <w:rFonts w:asciiTheme="minorHAnsi" w:hAnsiTheme="minorHAnsi" w:cstheme="minorHAnsi"/>
        </w:rPr>
        <w:t>owanie</w:t>
      </w:r>
      <w:r w:rsidRPr="00126BD7">
        <w:rPr>
          <w:rFonts w:asciiTheme="minorHAnsi" w:hAnsiTheme="minorHAnsi" w:cstheme="minorHAnsi"/>
        </w:rPr>
        <w:t xml:space="preserve"> i wdr</w:t>
      </w:r>
      <w:r w:rsidR="0062208C" w:rsidRPr="00126BD7">
        <w:rPr>
          <w:rFonts w:asciiTheme="minorHAnsi" w:hAnsiTheme="minorHAnsi" w:cstheme="minorHAnsi"/>
        </w:rPr>
        <w:t>a</w:t>
      </w:r>
      <w:r w:rsidRPr="00126BD7">
        <w:rPr>
          <w:rFonts w:asciiTheme="minorHAnsi" w:hAnsiTheme="minorHAnsi" w:cstheme="minorHAnsi"/>
        </w:rPr>
        <w:t>ż</w:t>
      </w:r>
      <w:r w:rsidR="0062208C" w:rsidRPr="00126BD7">
        <w:rPr>
          <w:rFonts w:asciiTheme="minorHAnsi" w:hAnsiTheme="minorHAnsi" w:cstheme="minorHAnsi"/>
        </w:rPr>
        <w:t>a</w:t>
      </w:r>
      <w:r w:rsidRPr="00126BD7">
        <w:rPr>
          <w:rFonts w:asciiTheme="minorHAnsi" w:hAnsiTheme="minorHAnsi" w:cstheme="minorHAnsi"/>
        </w:rPr>
        <w:t>nie transgranicznych rozwiązań w zakresie cyfryzacji procesów w różnych sektorach (np. morskim (wspólne standardy bezpieczeństwa i zastosowania dla małych portów), logistycznym (optymalizacja transportu pasażerów i towarów) itp.),</w:t>
      </w:r>
    </w:p>
    <w:p w14:paraId="0B3B4E7F" w14:textId="11184164" w:rsidR="00CB6F9B" w:rsidRPr="00126BD7" w:rsidRDefault="0062208C"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o</w:t>
      </w:r>
      <w:r w:rsidR="00CB6F9B" w:rsidRPr="00126BD7">
        <w:rPr>
          <w:rFonts w:asciiTheme="minorHAnsi" w:hAnsiTheme="minorHAnsi" w:cstheme="minorHAnsi"/>
        </w:rPr>
        <w:t>pracow</w:t>
      </w:r>
      <w:r w:rsidRPr="00126BD7">
        <w:rPr>
          <w:rFonts w:asciiTheme="minorHAnsi" w:hAnsiTheme="minorHAnsi" w:cstheme="minorHAnsi"/>
        </w:rPr>
        <w:t>yw</w:t>
      </w:r>
      <w:r w:rsidR="00CB6F9B" w:rsidRPr="00126BD7">
        <w:rPr>
          <w:rFonts w:asciiTheme="minorHAnsi" w:hAnsiTheme="minorHAnsi" w:cstheme="minorHAnsi"/>
        </w:rPr>
        <w:t>anie metod uczenia się, które koncentrują się na cyfryzacji (np. narzędzia internetowe, aplikacje itp.) w najbardziej istotnych sektorach (np. niebieska i zielona gospodarka, zrównoważony transport),</w:t>
      </w:r>
    </w:p>
    <w:p w14:paraId="7D3F19ED" w14:textId="3CB74D19"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działania mające na celu budowanie platform współpracy ośrodków innowacji cyfrowych</w:t>
      </w:r>
      <w:r w:rsidR="00394A8A" w:rsidRPr="00126BD7">
        <w:rPr>
          <w:rFonts w:asciiTheme="minorHAnsi" w:hAnsiTheme="minorHAnsi" w:cstheme="minorHAnsi"/>
        </w:rPr>
        <w:t>/</w:t>
      </w:r>
      <w:r w:rsidRPr="00126BD7">
        <w:rPr>
          <w:rFonts w:asciiTheme="minorHAnsi" w:hAnsiTheme="minorHAnsi" w:cstheme="minorHAnsi"/>
        </w:rPr>
        <w:t>uniwersytetów</w:t>
      </w:r>
      <w:r w:rsidR="00394A8A" w:rsidRPr="00126BD7">
        <w:rPr>
          <w:rFonts w:asciiTheme="minorHAnsi" w:hAnsiTheme="minorHAnsi" w:cstheme="minorHAnsi"/>
        </w:rPr>
        <w:t>/</w:t>
      </w:r>
      <w:r w:rsidRPr="00126BD7">
        <w:rPr>
          <w:rFonts w:asciiTheme="minorHAnsi" w:hAnsiTheme="minorHAnsi" w:cstheme="minorHAnsi"/>
        </w:rPr>
        <w:t>instytucji badawczo-rozwojowych i MŚP w celu wspiera</w:t>
      </w:r>
      <w:r w:rsidR="00A3526E" w:rsidRPr="00126BD7">
        <w:rPr>
          <w:rFonts w:asciiTheme="minorHAnsi" w:hAnsiTheme="minorHAnsi" w:cstheme="minorHAnsi"/>
        </w:rPr>
        <w:t xml:space="preserve">nia modernizacji i cyfryzacji na </w:t>
      </w:r>
      <w:r w:rsidR="00A3526E" w:rsidRPr="00126BD7">
        <w:rPr>
          <w:rFonts w:asciiTheme="minorHAnsi" w:hAnsiTheme="minorHAnsi" w:cstheme="minorHAnsi"/>
          <w:color w:val="auto"/>
        </w:rPr>
        <w:t>Obszarze Południowego Bałtyku</w:t>
      </w:r>
      <w:r w:rsidRPr="00126BD7">
        <w:rPr>
          <w:rFonts w:asciiTheme="minorHAnsi" w:hAnsiTheme="minorHAnsi" w:cstheme="minorHAnsi"/>
        </w:rPr>
        <w:t>,</w:t>
      </w:r>
    </w:p>
    <w:p w14:paraId="78D29759" w14:textId="77777777"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 xml:space="preserve">wspólne działania mające na celu promowanie procesów </w:t>
      </w:r>
      <w:proofErr w:type="spellStart"/>
      <w:r w:rsidRPr="00126BD7">
        <w:rPr>
          <w:rFonts w:asciiTheme="minorHAnsi" w:hAnsiTheme="minorHAnsi" w:cstheme="minorHAnsi"/>
        </w:rPr>
        <w:t>cyfryzacyjnych</w:t>
      </w:r>
      <w:proofErr w:type="spellEnd"/>
      <w:r w:rsidRPr="00126BD7">
        <w:rPr>
          <w:rFonts w:asciiTheme="minorHAnsi" w:hAnsiTheme="minorHAnsi" w:cstheme="minorHAnsi"/>
        </w:rPr>
        <w:t xml:space="preserve"> i nowych rozwiązań cyfrowych (np. transgraniczne kampanie promocyjne itp.) </w:t>
      </w:r>
    </w:p>
    <w:p w14:paraId="42053415" w14:textId="77777777"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wspólne działania mające na celu wzmocnienie społecznych aspektów cyfryzacji (tj. włączenia cyfrowego), w tym rozwój e-usług dla osób starszych i/lub osób z niepełnosprawnościami,</w:t>
      </w:r>
    </w:p>
    <w:p w14:paraId="5CABE21E" w14:textId="77777777"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126BD7">
        <w:rPr>
          <w:rFonts w:asciiTheme="minorHAnsi" w:hAnsiTheme="minorHAnsi" w:cstheme="minorHAnsi"/>
        </w:rPr>
        <w:t>wspieranie rozwoju kompetencji cyfrowych pracowników instytucji sektora publicznego, istotnych dla skutecznego funkcjonowania nowoczesnej administracji i wdrażania polityki publicznej</w:t>
      </w:r>
    </w:p>
    <w:p w14:paraId="4D4E4C0F" w14:textId="23D7B848" w:rsidR="00CB6F9B" w:rsidRPr="00126BD7" w:rsidRDefault="00CB6F9B" w:rsidP="00384D8D">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126BD7">
        <w:rPr>
          <w:rFonts w:asciiTheme="minorHAnsi" w:hAnsiTheme="minorHAnsi" w:cstheme="minorHAnsi"/>
        </w:rPr>
        <w:t>transfer wiedzy i wymiana najlepszych praktyk w zakresie standardów technicznych między regionami.</w:t>
      </w:r>
    </w:p>
    <w:p w14:paraId="25C564D8" w14:textId="77777777" w:rsidR="00126BD7" w:rsidRPr="00126BD7" w:rsidRDefault="00126BD7" w:rsidP="00126BD7">
      <w:pPr>
        <w:autoSpaceDE w:val="0"/>
        <w:autoSpaceDN w:val="0"/>
        <w:adjustRightInd w:val="0"/>
        <w:spacing w:before="60" w:after="120" w:line="360" w:lineRule="auto"/>
        <w:ind w:left="0" w:right="0" w:firstLine="0"/>
        <w:rPr>
          <w:rFonts w:asciiTheme="minorHAnsi" w:hAnsiTheme="minorHAnsi" w:cstheme="minorHAnsi"/>
          <w:szCs w:val="24"/>
        </w:rPr>
      </w:pPr>
    </w:p>
    <w:p w14:paraId="4FC8C94B" w14:textId="509BE1BC" w:rsidR="00CB6F9B" w:rsidRPr="002F1719" w:rsidRDefault="00CB6F9B"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Wkład w wybrany cel szczegółowy</w:t>
      </w:r>
    </w:p>
    <w:p w14:paraId="64DF2706" w14:textId="14E33018" w:rsidR="00CB6F9B" w:rsidRPr="00126BD7" w:rsidRDefault="00CB6F9B"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to wspiera działania ukierunkowane na Cel Szczegółowy 1.2 </w:t>
      </w:r>
      <w:r w:rsidRPr="00126BD7">
        <w:rPr>
          <w:rFonts w:asciiTheme="minorHAnsi" w:hAnsiTheme="minorHAnsi" w:cstheme="minorHAnsi"/>
        </w:rPr>
        <w:t>Czerpanie korzyści z cyfryzacji dla obywateli, przedsiębiorstw, organizacji badawczych i organów władz publicznych</w:t>
      </w:r>
      <w:r w:rsidRPr="002F1719">
        <w:rPr>
          <w:rFonts w:asciiTheme="minorHAnsi" w:hAnsiTheme="minorHAnsi" w:cstheme="minorHAnsi"/>
        </w:rPr>
        <w:t>. Umożliwi ono opracowanie i wprowadzenie rozwiązań wspierających cyfryzację różnych sektorów gospodarek regionalnych. Jednocześnie Działanie to wspiera transfer technologii między regionami oraz wzmacnianie współpracy i interakcji między przedsiębiorstwami, uniwersytetami i innymi instytucjami badawczo-rozwojowymi.</w:t>
      </w:r>
    </w:p>
    <w:p w14:paraId="5FE8F6C8" w14:textId="77777777" w:rsidR="00CB6F9B" w:rsidRPr="002F1719" w:rsidRDefault="00CB6F9B"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Wkład w strategię UE dla Regionu Morza Bałtyckiego</w:t>
      </w:r>
    </w:p>
    <w:p w14:paraId="07503C30" w14:textId="118F65FD" w:rsidR="00CB6F9B" w:rsidRPr="002F1719" w:rsidRDefault="00CB6F9B" w:rsidP="00126BD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1.1. </w:t>
      </w:r>
      <w:r w:rsidRPr="00126BD7">
        <w:rPr>
          <w:rFonts w:asciiTheme="minorHAnsi" w:hAnsiTheme="minorHAnsi" w:cstheme="minorHAnsi"/>
        </w:rPr>
        <w:t>Cyfryzacja regionu</w:t>
      </w:r>
      <w:r w:rsidRPr="002F1719">
        <w:rPr>
          <w:rFonts w:asciiTheme="minorHAnsi" w:hAnsiTheme="minorHAnsi" w:cstheme="minorHAnsi"/>
        </w:rPr>
        <w:t xml:space="preserve"> jest silnie powiązan</w:t>
      </w:r>
      <w:r w:rsidR="0062208C" w:rsidRPr="002F1719">
        <w:rPr>
          <w:rFonts w:asciiTheme="minorHAnsi" w:hAnsiTheme="minorHAnsi" w:cstheme="minorHAnsi"/>
        </w:rPr>
        <w:t>e</w:t>
      </w:r>
      <w:r w:rsidRPr="002F1719">
        <w:rPr>
          <w:rFonts w:asciiTheme="minorHAnsi" w:hAnsiTheme="minorHAnsi" w:cstheme="minorHAnsi"/>
        </w:rPr>
        <w:t xml:space="preserve"> z Obszarem Polityki Innowacje i umożliwia opracowanie i wdrożenie transgranicznych rozwiązań w zakresie cyfryzacji usług publicznych, a także wsparcie dla procesu cyfryzacji w różnych sektorach. Może również przyczynić się do cyfrowej transformacji MŚP. Dlatego też tworzy również powiązanie z OP Zdrowie</w:t>
      </w:r>
      <w:r w:rsidRPr="00126BD7">
        <w:rPr>
          <w:rFonts w:asciiTheme="minorHAnsi" w:hAnsiTheme="minorHAnsi" w:cstheme="minorHAnsi"/>
        </w:rPr>
        <w:t xml:space="preserve">, zwłaszcza z instytucjami zdrowia publicznego, umożliwiając opracowanie rozwiązań dotyczących cyfryzacji usług związanych z platformami telemedycyny i e-opieki, a także </w:t>
      </w:r>
      <w:r w:rsidR="0062208C" w:rsidRPr="00126BD7">
        <w:rPr>
          <w:rFonts w:asciiTheme="minorHAnsi" w:hAnsiTheme="minorHAnsi" w:cstheme="minorHAnsi"/>
        </w:rPr>
        <w:t xml:space="preserve">z </w:t>
      </w:r>
      <w:r w:rsidRPr="00126BD7">
        <w:rPr>
          <w:rFonts w:asciiTheme="minorHAnsi" w:hAnsiTheme="minorHAnsi" w:cstheme="minorHAnsi"/>
        </w:rPr>
        <w:t>OP Bezpieczeństwo, OP Żegluga, OP Transport i OP Umiejętności. Działanie to może zostać wykorzystane do opracowania mobilnych aplikacji systemu wczesnego ostrzegania, cyfryzacji sektora żeglugi morskiej, który pomaga ograniczać emisje, oraz innych projektów mających na celu cyfryzację sektora morskiego. W ramach OP Transport może umożliwić opracowanie rozwiązań dotyczących cyfryzacji usług mobilności. W ramach OP Umiejętności może być dedykowane wspólnym działaniom transgranicznym związanym z promowaniem rozwiązań cyfrowych i zwiększaniem poziomu świadomości konieczności rozwijania umiejętności cyfrowych.</w:t>
      </w:r>
    </w:p>
    <w:p w14:paraId="0688B8D5" w14:textId="77A5EB01" w:rsidR="00CB6F9B" w:rsidRPr="00F96038" w:rsidRDefault="0005478A" w:rsidP="00384D8D">
      <w:pPr>
        <w:pStyle w:val="ListParagraph"/>
        <w:numPr>
          <w:ilvl w:val="2"/>
          <w:numId w:val="12"/>
        </w:numPr>
        <w:spacing w:after="218" w:line="259" w:lineRule="auto"/>
        <w:ind w:left="0" w:right="0"/>
        <w:rPr>
          <w:rFonts w:asciiTheme="minorHAnsi" w:hAnsiTheme="minorHAnsi" w:cstheme="minorHAnsi"/>
          <w:b/>
        </w:rPr>
      </w:pPr>
      <w:r w:rsidRPr="00F96038">
        <w:rPr>
          <w:rFonts w:asciiTheme="minorHAnsi" w:hAnsiTheme="minorHAnsi" w:cstheme="minorHAnsi"/>
          <w:b/>
        </w:rPr>
        <w:t xml:space="preserve">Wskaźniki </w:t>
      </w:r>
    </w:p>
    <w:p w14:paraId="462774C2" w14:textId="5F58BE7D" w:rsidR="00CB6F9B" w:rsidRPr="002F1719" w:rsidRDefault="00DE559B" w:rsidP="00CB6F9B">
      <w:pPr>
        <w:spacing w:after="450" w:line="265" w:lineRule="auto"/>
        <w:ind w:left="-5" w:right="0" w:hanging="10"/>
        <w:rPr>
          <w:rFonts w:asciiTheme="minorHAnsi" w:hAnsiTheme="minorHAnsi" w:cstheme="minorHAnsi"/>
        </w:rPr>
      </w:pPr>
      <w:r w:rsidRPr="00126BD7">
        <w:rPr>
          <w:rFonts w:asciiTheme="minorHAnsi" w:hAnsiTheme="minorHAnsi" w:cstheme="minorHAnsi"/>
        </w:rPr>
        <w:t xml:space="preserve">Podstawa prawna: art. 17 ust. 3 lit. e) </w:t>
      </w:r>
      <w:proofErr w:type="spellStart"/>
      <w:r w:rsidRPr="00126BD7">
        <w:rPr>
          <w:rFonts w:asciiTheme="minorHAnsi" w:hAnsiTheme="minorHAnsi" w:cstheme="minorHAnsi"/>
        </w:rPr>
        <w:t>ppkt</w:t>
      </w:r>
      <w:proofErr w:type="spellEnd"/>
      <w:r w:rsidRPr="00126BD7">
        <w:rPr>
          <w:rFonts w:asciiTheme="minorHAnsi" w:hAnsiTheme="minorHAnsi" w:cstheme="minorHAnsi"/>
        </w:rPr>
        <w:t xml:space="preserve"> (ii), art. 17 ust. 9 lit. c) </w:t>
      </w:r>
      <w:proofErr w:type="spellStart"/>
      <w:r w:rsidRPr="00126BD7">
        <w:rPr>
          <w:rFonts w:asciiTheme="minorHAnsi" w:hAnsiTheme="minorHAnsi" w:cstheme="minorHAnsi"/>
        </w:rPr>
        <w:t>ppkt</w:t>
      </w:r>
      <w:proofErr w:type="spellEnd"/>
      <w:r w:rsidRPr="00126BD7">
        <w:rPr>
          <w:rFonts w:asciiTheme="minorHAnsi" w:hAnsiTheme="minorHAnsi" w:cstheme="minorHAnsi"/>
        </w:rPr>
        <w:t xml:space="preserve"> (iii)</w:t>
      </w:r>
      <w:r w:rsidR="00192B92" w:rsidRPr="00126BD7">
        <w:rPr>
          <w:rFonts w:asciiTheme="minorHAnsi" w:hAnsiTheme="minorHAnsi" w:cstheme="minorHAnsi"/>
        </w:rPr>
        <w:t xml:space="preserve"> </w:t>
      </w:r>
    </w:p>
    <w:p w14:paraId="72B704D9" w14:textId="00F5FA0D" w:rsidR="00CB6F9B" w:rsidRPr="00293553" w:rsidRDefault="00CB6F9B" w:rsidP="00293553">
      <w:pPr>
        <w:pStyle w:val="Heading5"/>
      </w:pPr>
      <w:r w:rsidRPr="00293553">
        <w:t>Tabela 2 Wskaźniki produktu</w:t>
      </w:r>
    </w:p>
    <w:p w14:paraId="7B276191"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Priorytet 1</w:t>
      </w:r>
    </w:p>
    <w:p w14:paraId="30D6FAE0"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szczegółowy 1.2</w:t>
      </w:r>
    </w:p>
    <w:p w14:paraId="42633F50"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84</w:t>
      </w:r>
    </w:p>
    <w:p w14:paraId="7480B507"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rozwinięte i wdrożone w projektach działania pilotażowe</w:t>
      </w:r>
    </w:p>
    <w:p w14:paraId="08ADCD00"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działań pilotażowych</w:t>
      </w:r>
    </w:p>
    <w:p w14:paraId="0E9E2B6E"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64F4D7CD"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końcowy (2029) [200] 7</w:t>
      </w:r>
    </w:p>
    <w:p w14:paraId="2007C032"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64650724"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116</w:t>
      </w:r>
    </w:p>
    <w:p w14:paraId="12CFED23"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opracowane rozwiązania</w:t>
      </w:r>
    </w:p>
    <w:p w14:paraId="4DC91142"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35A7FE00"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08C8047E" w14:textId="77777777" w:rsidR="00293553" w:rsidRPr="00293553" w:rsidRDefault="00293553"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końcowy (2029) [200] 14</w:t>
      </w:r>
    </w:p>
    <w:p w14:paraId="7CA176F3" w14:textId="77777777" w:rsidR="00192B92" w:rsidRPr="002F1719" w:rsidRDefault="00192B92"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77C12273" w14:textId="69346888" w:rsidR="00CB6F9B" w:rsidRPr="000A48CD" w:rsidRDefault="00CB6F9B" w:rsidP="00703E17">
      <w:pPr>
        <w:pStyle w:val="Heading5"/>
      </w:pPr>
      <w:r w:rsidRPr="000A48CD">
        <w:t>Tabela 3 Wskaźniki rezultatu</w:t>
      </w:r>
    </w:p>
    <w:p w14:paraId="62DE310E"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Priorytet 1</w:t>
      </w:r>
    </w:p>
    <w:p w14:paraId="010CCDCA"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Cel szczegółowy 1.2</w:t>
      </w:r>
    </w:p>
    <w:p w14:paraId="633F80D8"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Numer identyfikacyjny RCR 104</w:t>
      </w:r>
    </w:p>
    <w:p w14:paraId="163EBCBC"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Wskaźnik Rozwiązania podejmowane lub ulepszane przez organizacje</w:t>
      </w:r>
    </w:p>
    <w:p w14:paraId="7FDB2434"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1508C9AB"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0D2D5275"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referencyjny2020</w:t>
      </w:r>
    </w:p>
    <w:p w14:paraId="1EC101DC"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Cel końcowy (2029) 7</w:t>
      </w:r>
    </w:p>
    <w:p w14:paraId="6D7126F7"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28F0CDF7"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2A1F0C50" w14:textId="77777777" w:rsidR="00CB6F9B" w:rsidRPr="002F1719" w:rsidRDefault="00CB6F9B" w:rsidP="00CB6F9B">
      <w:pPr>
        <w:spacing w:after="0" w:line="259" w:lineRule="auto"/>
        <w:ind w:left="0" w:right="0" w:firstLine="0"/>
        <w:rPr>
          <w:rFonts w:asciiTheme="minorHAnsi" w:hAnsiTheme="minorHAnsi" w:cstheme="minorHAnsi"/>
        </w:rPr>
      </w:pPr>
      <w:r w:rsidRPr="002F1719">
        <w:rPr>
          <w:rFonts w:asciiTheme="minorHAnsi" w:hAnsiTheme="minorHAnsi" w:cstheme="minorHAnsi"/>
          <w:b/>
        </w:rPr>
        <w:t xml:space="preserve"> </w:t>
      </w:r>
    </w:p>
    <w:p w14:paraId="04282DA9" w14:textId="459E51B7" w:rsidR="00CB6F9B" w:rsidRPr="00CD424E" w:rsidRDefault="00192B92" w:rsidP="00384D8D">
      <w:pPr>
        <w:pStyle w:val="ListParagraph"/>
        <w:numPr>
          <w:ilvl w:val="2"/>
          <w:numId w:val="12"/>
        </w:numPr>
        <w:spacing w:after="218" w:line="259" w:lineRule="auto"/>
        <w:ind w:left="0" w:right="0"/>
        <w:rPr>
          <w:rFonts w:asciiTheme="minorHAnsi" w:hAnsiTheme="minorHAnsi" w:cstheme="minorHAnsi"/>
          <w:b/>
        </w:rPr>
      </w:pPr>
      <w:r w:rsidRPr="00CD424E">
        <w:rPr>
          <w:rFonts w:asciiTheme="minorHAnsi" w:hAnsiTheme="minorHAnsi" w:cstheme="minorHAnsi"/>
          <w:b/>
        </w:rPr>
        <w:t xml:space="preserve">Główne grupy docelowe </w:t>
      </w:r>
    </w:p>
    <w:p w14:paraId="146C62A5" w14:textId="78342964" w:rsidR="00CB6F9B" w:rsidRPr="00CD424E" w:rsidRDefault="00DE559B" w:rsidP="00CB6F9B">
      <w:pPr>
        <w:spacing w:after="241" w:line="265" w:lineRule="auto"/>
        <w:ind w:left="-5" w:right="0" w:hanging="10"/>
        <w:rPr>
          <w:rFonts w:asciiTheme="minorHAnsi" w:hAnsiTheme="minorHAnsi" w:cstheme="minorHAnsi"/>
        </w:rPr>
      </w:pPr>
      <w:r w:rsidRPr="00CD424E">
        <w:rPr>
          <w:rFonts w:asciiTheme="minorHAnsi" w:hAnsiTheme="minorHAnsi" w:cstheme="minorHAnsi"/>
        </w:rPr>
        <w:t xml:space="preserve">Podstawa prawna: art. 17 ust. 3 lit. e) </w:t>
      </w:r>
      <w:proofErr w:type="spellStart"/>
      <w:r w:rsidRPr="00CD424E">
        <w:rPr>
          <w:rFonts w:asciiTheme="minorHAnsi" w:hAnsiTheme="minorHAnsi" w:cstheme="minorHAnsi"/>
        </w:rPr>
        <w:t>ppkt</w:t>
      </w:r>
      <w:proofErr w:type="spellEnd"/>
      <w:r w:rsidRPr="00CD424E">
        <w:rPr>
          <w:rFonts w:asciiTheme="minorHAnsi" w:hAnsiTheme="minorHAnsi" w:cstheme="minorHAnsi"/>
        </w:rPr>
        <w:t xml:space="preserve"> (iii), art. 17 ust. 9 lit. c) </w:t>
      </w:r>
      <w:proofErr w:type="spellStart"/>
      <w:r w:rsidRPr="00CD424E">
        <w:rPr>
          <w:rFonts w:asciiTheme="minorHAnsi" w:hAnsiTheme="minorHAnsi" w:cstheme="minorHAnsi"/>
        </w:rPr>
        <w:t>ppkt</w:t>
      </w:r>
      <w:proofErr w:type="spellEnd"/>
      <w:r w:rsidRPr="00CD424E">
        <w:rPr>
          <w:rFonts w:asciiTheme="minorHAnsi" w:hAnsiTheme="minorHAnsi" w:cstheme="minorHAnsi"/>
        </w:rPr>
        <w:t xml:space="preserve"> (iv)</w:t>
      </w:r>
      <w:r w:rsidR="00CB6F9B" w:rsidRPr="00CD424E">
        <w:rPr>
          <w:rFonts w:asciiTheme="minorHAnsi" w:hAnsiTheme="minorHAnsi" w:cstheme="minorHAnsi"/>
        </w:rPr>
        <w:t xml:space="preserve"> </w:t>
      </w:r>
    </w:p>
    <w:p w14:paraId="1D111AE7" w14:textId="77777777" w:rsidR="00CB6F9B" w:rsidRPr="00CD424E" w:rsidRDefault="00CB6F9B" w:rsidP="00CB6F9B">
      <w:pPr>
        <w:ind w:left="0" w:firstLine="0"/>
        <w:jc w:val="both"/>
        <w:rPr>
          <w:rFonts w:asciiTheme="minorHAnsi" w:hAnsiTheme="minorHAnsi" w:cstheme="minorHAnsi"/>
        </w:rPr>
      </w:pPr>
      <w:r w:rsidRPr="002F1719">
        <w:rPr>
          <w:rFonts w:asciiTheme="minorHAnsi" w:hAnsiTheme="minorHAnsi" w:cstheme="minorHAnsi"/>
        </w:rPr>
        <w:t>Główne grupy docelowe</w:t>
      </w:r>
    </w:p>
    <w:p w14:paraId="3441C3EB"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CD424E">
        <w:rPr>
          <w:rFonts w:asciiTheme="minorHAnsi" w:hAnsiTheme="minorHAnsi" w:cstheme="minorHAnsi"/>
        </w:rPr>
        <w:t>MŚP reprezentujące sektor niebieski i zielony oraz opracowujące/przenoszące innowacyjne rozwiązania i usługi na Obszarze Południowego Bałtyku</w:t>
      </w:r>
    </w:p>
    <w:p w14:paraId="5A05EA75" w14:textId="5D8B58A6" w:rsidR="00CB6F9B" w:rsidRPr="00CD424E" w:rsidRDefault="00CB6F9B" w:rsidP="00384D8D">
      <w:pPr>
        <w:pStyle w:val="ListParagraph"/>
        <w:numPr>
          <w:ilvl w:val="0"/>
          <w:numId w:val="10"/>
        </w:numPr>
        <w:ind w:left="360"/>
        <w:jc w:val="both"/>
        <w:rPr>
          <w:rFonts w:asciiTheme="minorHAnsi" w:hAnsiTheme="minorHAnsi" w:cstheme="minorHAnsi"/>
        </w:rPr>
      </w:pPr>
      <w:r w:rsidRPr="00CD424E">
        <w:rPr>
          <w:rFonts w:asciiTheme="minorHAnsi" w:hAnsiTheme="minorHAnsi" w:cstheme="minorHAnsi"/>
        </w:rPr>
        <w:t xml:space="preserve">instytucje publiczne i równoważne podmioty publiczne w </w:t>
      </w:r>
      <w:r w:rsidR="00A3526E" w:rsidRPr="00CD424E">
        <w:rPr>
          <w:rFonts w:asciiTheme="minorHAnsi" w:hAnsiTheme="minorHAnsi" w:cstheme="minorHAnsi"/>
        </w:rPr>
        <w:t>Obszarze Południowego Bałtyku</w:t>
      </w:r>
    </w:p>
    <w:p w14:paraId="30006D69"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CD424E">
        <w:rPr>
          <w:rFonts w:asciiTheme="minorHAnsi" w:hAnsiTheme="minorHAnsi" w:cstheme="minorHAnsi"/>
        </w:rPr>
        <w:t>użytkownicy usług publicznych</w:t>
      </w:r>
    </w:p>
    <w:p w14:paraId="05285ABE" w14:textId="77777777" w:rsidR="00CB6F9B" w:rsidRPr="00CD424E" w:rsidRDefault="00CB6F9B" w:rsidP="00CB6F9B">
      <w:pPr>
        <w:ind w:left="0" w:firstLine="0"/>
        <w:jc w:val="both"/>
        <w:rPr>
          <w:rFonts w:asciiTheme="minorHAnsi" w:hAnsiTheme="minorHAnsi" w:cstheme="minorHAnsi"/>
        </w:rPr>
      </w:pPr>
      <w:r w:rsidRPr="002F1719">
        <w:rPr>
          <w:rFonts w:asciiTheme="minorHAnsi" w:hAnsiTheme="minorHAnsi" w:cstheme="minorHAnsi"/>
        </w:rPr>
        <w:t>Przykładowe rodzaje beneficjentów</w:t>
      </w:r>
    </w:p>
    <w:p w14:paraId="782DD9DA"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MŚP</w:t>
      </w:r>
    </w:p>
    <w:p w14:paraId="120B6E31" w14:textId="13595CD5"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 xml:space="preserve">formalne stowarzyszenia, klastry i sieci MŚP </w:t>
      </w:r>
    </w:p>
    <w:p w14:paraId="5B8F1A27"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 xml:space="preserve">władze lokalne i regionalne oraz ich stowarzyszenia </w:t>
      </w:r>
    </w:p>
    <w:p w14:paraId="1BEB2788"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instytucje zarządzające i obsługujące transport publiczny</w:t>
      </w:r>
    </w:p>
    <w:p w14:paraId="27584C52"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instytucje opieki zdrowotnej</w:t>
      </w:r>
    </w:p>
    <w:p w14:paraId="0174BD4F" w14:textId="154F5416"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instytucje morskie (w tym zarządzający portami</w:t>
      </w:r>
      <w:r w:rsidRPr="00CD424E">
        <w:rPr>
          <w:rFonts w:asciiTheme="minorHAnsi" w:hAnsiTheme="minorHAnsi" w:cstheme="minorHAnsi"/>
        </w:rPr>
        <w:t xml:space="preserve"> </w:t>
      </w:r>
      <w:r w:rsidR="00D56B05" w:rsidRPr="002F1719">
        <w:rPr>
          <w:rFonts w:asciiTheme="minorHAnsi" w:hAnsiTheme="minorHAnsi" w:cstheme="minorHAnsi"/>
        </w:rPr>
        <w:t>i władze portów</w:t>
      </w:r>
      <w:r w:rsidRPr="002F1719">
        <w:rPr>
          <w:rFonts w:asciiTheme="minorHAnsi" w:hAnsiTheme="minorHAnsi" w:cstheme="minorHAnsi"/>
        </w:rPr>
        <w:t>)</w:t>
      </w:r>
    </w:p>
    <w:p w14:paraId="768F392B" w14:textId="7514CEAB"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izby handlowe, agencje rozwoju biznesu, inkubatory biznesowe, parki technologiczne i inne organizacje wspierania biznesu</w:t>
      </w:r>
    </w:p>
    <w:p w14:paraId="6F910CAC"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szkoły, szkolnictwo wyższe i instytucje badawczo-rozwojowe</w:t>
      </w:r>
    </w:p>
    <w:p w14:paraId="2AA01700" w14:textId="77777777" w:rsidR="00CB6F9B" w:rsidRPr="00CD424E" w:rsidRDefault="00CB6F9B"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organizacje pozarządowe</w:t>
      </w:r>
    </w:p>
    <w:p w14:paraId="5A9F1FDC" w14:textId="5CCFF448" w:rsidR="00CB6F9B" w:rsidRPr="00CD424E" w:rsidRDefault="000479C9" w:rsidP="00384D8D">
      <w:pPr>
        <w:pStyle w:val="ListParagraph"/>
        <w:numPr>
          <w:ilvl w:val="0"/>
          <w:numId w:val="10"/>
        </w:numPr>
        <w:ind w:left="360"/>
        <w:jc w:val="both"/>
        <w:rPr>
          <w:rFonts w:asciiTheme="minorHAnsi" w:hAnsiTheme="minorHAnsi" w:cstheme="minorHAnsi"/>
        </w:rPr>
      </w:pPr>
      <w:r w:rsidRPr="002F1719">
        <w:rPr>
          <w:rFonts w:asciiTheme="minorHAnsi" w:hAnsiTheme="minorHAnsi" w:cstheme="minorHAnsi"/>
        </w:rPr>
        <w:t>Europejskie Ugrupowania Współpracy Terytorialnej</w:t>
      </w:r>
    </w:p>
    <w:p w14:paraId="65B1BEB5" w14:textId="77777777" w:rsidR="00192B92" w:rsidRPr="002F1719" w:rsidRDefault="00192B92" w:rsidP="00192B92">
      <w:pPr>
        <w:pStyle w:val="ListParagraph"/>
        <w:autoSpaceDE w:val="0"/>
        <w:autoSpaceDN w:val="0"/>
        <w:adjustRightInd w:val="0"/>
        <w:spacing w:before="60" w:after="60" w:line="276" w:lineRule="auto"/>
        <w:ind w:left="319" w:right="0" w:firstLine="0"/>
        <w:rPr>
          <w:rFonts w:asciiTheme="minorHAnsi" w:hAnsiTheme="minorHAnsi" w:cstheme="minorHAnsi"/>
          <w:szCs w:val="24"/>
          <w:lang w:val="en-GB" w:eastAsia="pl-PL"/>
        </w:rPr>
      </w:pPr>
    </w:p>
    <w:p w14:paraId="1D4CA897" w14:textId="289E18A2" w:rsidR="00D56B05" w:rsidRPr="002F1719" w:rsidRDefault="00192B92" w:rsidP="00384D8D">
      <w:pPr>
        <w:pStyle w:val="ListParagraph"/>
        <w:numPr>
          <w:ilvl w:val="2"/>
          <w:numId w:val="12"/>
        </w:numPr>
        <w:spacing w:after="218" w:line="259" w:lineRule="auto"/>
        <w:ind w:left="0" w:right="0"/>
        <w:rPr>
          <w:rFonts w:asciiTheme="minorHAnsi" w:hAnsiTheme="minorHAnsi" w:cstheme="minorHAnsi"/>
        </w:rPr>
      </w:pPr>
      <w:r w:rsidRPr="002F1719">
        <w:rPr>
          <w:rFonts w:asciiTheme="minorHAnsi" w:hAnsiTheme="minorHAnsi" w:cstheme="minorHAnsi"/>
          <w:b/>
        </w:rPr>
        <w:t xml:space="preserve">Indykatywny podział </w:t>
      </w:r>
      <w:r w:rsidR="00D56B05" w:rsidRPr="002F1719">
        <w:rPr>
          <w:rFonts w:asciiTheme="minorHAnsi" w:hAnsiTheme="minorHAnsi" w:cstheme="minorHAnsi"/>
          <w:b/>
        </w:rPr>
        <w:t>zasobów programu</w:t>
      </w:r>
      <w:r w:rsidRPr="002F1719">
        <w:rPr>
          <w:rFonts w:asciiTheme="minorHAnsi" w:hAnsiTheme="minorHAnsi" w:cstheme="minorHAnsi"/>
          <w:b/>
        </w:rPr>
        <w:t xml:space="preserve"> </w:t>
      </w:r>
      <w:r w:rsidR="00D56B05" w:rsidRPr="002F1719">
        <w:rPr>
          <w:rFonts w:asciiTheme="minorHAnsi" w:hAnsiTheme="minorHAnsi" w:cstheme="minorHAnsi"/>
          <w:b/>
        </w:rPr>
        <w:t>UE</w:t>
      </w:r>
      <w:r w:rsidRPr="002F1719">
        <w:rPr>
          <w:rFonts w:asciiTheme="minorHAnsi" w:hAnsiTheme="minorHAnsi" w:cstheme="minorHAnsi"/>
          <w:b/>
        </w:rPr>
        <w:t xml:space="preserve"> według </w:t>
      </w:r>
      <w:r w:rsidR="00D56B05" w:rsidRPr="002F1719">
        <w:rPr>
          <w:rFonts w:asciiTheme="minorHAnsi" w:hAnsiTheme="minorHAnsi" w:cstheme="minorHAnsi"/>
          <w:b/>
        </w:rPr>
        <w:t xml:space="preserve">rodzaju </w:t>
      </w:r>
      <w:r w:rsidRPr="002F1719">
        <w:rPr>
          <w:rFonts w:asciiTheme="minorHAnsi" w:hAnsiTheme="minorHAnsi" w:cstheme="minorHAnsi"/>
          <w:b/>
        </w:rPr>
        <w:t xml:space="preserve">interwencji </w:t>
      </w:r>
    </w:p>
    <w:p w14:paraId="76D452CA" w14:textId="3E366CDD" w:rsidR="00CB6F9B" w:rsidRPr="002F1719" w:rsidRDefault="00D56B05" w:rsidP="00CD424E">
      <w:pPr>
        <w:ind w:left="0" w:firstLine="0"/>
        <w:jc w:val="both"/>
        <w:rPr>
          <w:rFonts w:asciiTheme="minorHAnsi" w:hAnsiTheme="minorHAnsi" w:cstheme="minorHAnsi"/>
        </w:rPr>
      </w:pPr>
      <w:r w:rsidRPr="00CD424E">
        <w:rPr>
          <w:rFonts w:asciiTheme="minorHAnsi" w:hAnsiTheme="minorHAnsi" w:cstheme="minorHAnsi"/>
        </w:rPr>
        <w:t xml:space="preserve">Podstawa prawna: art. 17 ust. 3 lit. e) </w:t>
      </w:r>
      <w:proofErr w:type="spellStart"/>
      <w:r w:rsidRPr="00CD424E">
        <w:rPr>
          <w:rFonts w:asciiTheme="minorHAnsi" w:hAnsiTheme="minorHAnsi" w:cstheme="minorHAnsi"/>
        </w:rPr>
        <w:t>ppkt</w:t>
      </w:r>
      <w:proofErr w:type="spellEnd"/>
      <w:r w:rsidRPr="00CD424E">
        <w:rPr>
          <w:rFonts w:asciiTheme="minorHAnsi" w:hAnsiTheme="minorHAnsi" w:cstheme="minorHAnsi"/>
        </w:rPr>
        <w:t xml:space="preserve"> (vi), art. 17 ust. 9 lit. c) </w:t>
      </w:r>
      <w:proofErr w:type="spellStart"/>
      <w:r w:rsidRPr="00CD424E">
        <w:rPr>
          <w:rFonts w:asciiTheme="minorHAnsi" w:hAnsiTheme="minorHAnsi" w:cstheme="minorHAnsi"/>
        </w:rPr>
        <w:t>ppkt</w:t>
      </w:r>
      <w:proofErr w:type="spellEnd"/>
      <w:r w:rsidRPr="00CD424E">
        <w:rPr>
          <w:rFonts w:asciiTheme="minorHAnsi" w:hAnsiTheme="minorHAnsi" w:cstheme="minorHAnsi"/>
        </w:rPr>
        <w:t xml:space="preserve"> (v)</w:t>
      </w:r>
      <w:r w:rsidR="00192B92" w:rsidRPr="00CD424E">
        <w:rPr>
          <w:rFonts w:asciiTheme="minorHAnsi" w:hAnsiTheme="minorHAnsi" w:cstheme="minorHAnsi"/>
        </w:rPr>
        <w:t xml:space="preserve"> </w:t>
      </w:r>
    </w:p>
    <w:p w14:paraId="4A78F895" w14:textId="67B2C931" w:rsidR="00CB6F9B" w:rsidRDefault="00CB6F9B" w:rsidP="00CD424E">
      <w:pPr>
        <w:pStyle w:val="Heading5"/>
      </w:pPr>
      <w:r w:rsidRPr="002F1719">
        <w:t>Tabela 4</w:t>
      </w:r>
      <w:r w:rsidR="00CD424E">
        <w:t xml:space="preserve"> </w:t>
      </w:r>
      <w:r w:rsidRPr="002F1719">
        <w:t xml:space="preserve">Wymiar 1 – </w:t>
      </w:r>
      <w:r w:rsidR="00D56B05" w:rsidRPr="002F1719">
        <w:t>zakres</w:t>
      </w:r>
      <w:r w:rsidRPr="002F1719">
        <w:t xml:space="preserve"> interwencji</w:t>
      </w:r>
    </w:p>
    <w:p w14:paraId="077935BB"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Nr Priorytetu 1</w:t>
      </w:r>
    </w:p>
    <w:p w14:paraId="500EEAD3"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67537AB7"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Cel szczegółowy 1.2</w:t>
      </w:r>
    </w:p>
    <w:p w14:paraId="0897A510"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013</w:t>
      </w:r>
    </w:p>
    <w:p w14:paraId="3CA3FD7A"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Kwota (w EUR) 3 837 570,10</w:t>
      </w:r>
    </w:p>
    <w:p w14:paraId="7A4000AB"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018</w:t>
      </w:r>
    </w:p>
    <w:p w14:paraId="046687AD"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Kwota (w EUR) 2 741 121,50</w:t>
      </w:r>
    </w:p>
    <w:p w14:paraId="6C6FAC85"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019</w:t>
      </w:r>
    </w:p>
    <w:p w14:paraId="133A5EC2"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Kwota (w EUR) 2 741 121,50</w:t>
      </w:r>
    </w:p>
    <w:p w14:paraId="4151F671"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119</w:t>
      </w:r>
    </w:p>
    <w:p w14:paraId="00682F36" w14:textId="77777777" w:rsidR="00CD424E" w:rsidRPr="00CD424E"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Kwota (w EUR) 1 644 672,90</w:t>
      </w:r>
    </w:p>
    <w:p w14:paraId="50DD39F0" w14:textId="591648D9" w:rsidR="00CD424E" w:rsidRDefault="00CD424E" w:rsidP="00CD424E">
      <w:pPr>
        <w:ind w:left="0" w:firstLine="0"/>
      </w:pPr>
    </w:p>
    <w:p w14:paraId="46F59103" w14:textId="58A43855" w:rsidR="00CD424E" w:rsidRPr="00CD424E" w:rsidRDefault="00CD424E" w:rsidP="00CD424E">
      <w:pPr>
        <w:pStyle w:val="Heading5"/>
      </w:pPr>
      <w:r w:rsidRPr="002F1719">
        <w:t>Tabela 5 Wymiar 2 – forma finansowania</w:t>
      </w:r>
    </w:p>
    <w:p w14:paraId="1B9F25EF"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Nr Priorytetu 1</w:t>
      </w:r>
    </w:p>
    <w:p w14:paraId="437EFF44"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7A13AB71"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Cel szczegółowy 1.2</w:t>
      </w:r>
    </w:p>
    <w:p w14:paraId="5FA502CA"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19515AD6" w14:textId="5868D938"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Kwota (w EUR) 10 964 486,00</w:t>
      </w:r>
    </w:p>
    <w:p w14:paraId="6263C7F3" w14:textId="21450C5E" w:rsidR="00CD424E" w:rsidRDefault="00CD424E" w:rsidP="00CD424E">
      <w:pPr>
        <w:pStyle w:val="Heading5"/>
      </w:pPr>
      <w:r w:rsidRPr="00CD424E">
        <w:t>Tabela 6</w:t>
      </w:r>
      <w:r>
        <w:t xml:space="preserve"> </w:t>
      </w:r>
      <w:r w:rsidRPr="00CD424E">
        <w:t>Wymiar 3 – mechanizm wkładu terytorialnego i ukierunkowanie terytorialne</w:t>
      </w:r>
    </w:p>
    <w:p w14:paraId="2C802344"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Nr Priorytetu 1</w:t>
      </w:r>
    </w:p>
    <w:p w14:paraId="4AD5ADA5"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02736781"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Cel szczegółowy 1.2</w:t>
      </w:r>
    </w:p>
    <w:p w14:paraId="20565F7C" w14:textId="5C4060F1"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Kod </w:t>
      </w:r>
      <w:r w:rsidR="00CA0947" w:rsidRPr="000A48CD">
        <w:rPr>
          <w:rFonts w:asciiTheme="minorHAnsi" w:hAnsiTheme="minorHAnsi" w:cstheme="minorHAnsi"/>
        </w:rPr>
        <w:t>33</w:t>
      </w:r>
    </w:p>
    <w:p w14:paraId="2C99E48D" w14:textId="77777777" w:rsidR="00CD424E" w:rsidRPr="000A48CD" w:rsidRDefault="00CD424E"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Kwota (w EUR) 10 964 486,00</w:t>
      </w:r>
    </w:p>
    <w:p w14:paraId="71417B9E" w14:textId="2CA8DA62" w:rsidR="00F96038" w:rsidRPr="00495F5D" w:rsidRDefault="00495F5D" w:rsidP="00384D8D">
      <w:pPr>
        <w:pStyle w:val="ListParagraph"/>
        <w:numPr>
          <w:ilvl w:val="0"/>
          <w:numId w:val="11"/>
        </w:numPr>
        <w:spacing w:line="360" w:lineRule="auto"/>
        <w:rPr>
          <w:rFonts w:asciiTheme="minorHAnsi" w:hAnsiTheme="minorHAnsi" w:cstheme="minorHAnsi"/>
        </w:rPr>
      </w:pPr>
      <w:r w:rsidRPr="00495F5D">
        <w:rPr>
          <w:rFonts w:asciiTheme="minorHAnsi" w:hAnsiTheme="minorHAnsi" w:cstheme="minorHAnsi"/>
        </w:rPr>
        <w:t xml:space="preserve"> </w:t>
      </w:r>
    </w:p>
    <w:p w14:paraId="64CEB61E" w14:textId="154FC75D" w:rsidR="00495F5D" w:rsidRPr="00495F5D" w:rsidRDefault="00495F5D" w:rsidP="00384D8D">
      <w:pPr>
        <w:pStyle w:val="ListParagraph"/>
        <w:numPr>
          <w:ilvl w:val="0"/>
          <w:numId w:val="11"/>
        </w:numPr>
        <w:spacing w:line="360" w:lineRule="auto"/>
        <w:rPr>
          <w:rFonts w:asciiTheme="minorHAnsi" w:hAnsiTheme="minorHAnsi" w:cstheme="minorHAnsi"/>
        </w:rPr>
      </w:pPr>
      <w:r w:rsidRPr="00495F5D">
        <w:rPr>
          <w:rFonts w:asciiTheme="minorHAnsi" w:hAnsiTheme="minorHAnsi" w:cstheme="minorHAnsi"/>
        </w:rPr>
        <w:t xml:space="preserve"> </w:t>
      </w:r>
    </w:p>
    <w:p w14:paraId="309FEE69" w14:textId="0EE536DE" w:rsidR="00495F5D" w:rsidRPr="00495F5D" w:rsidRDefault="00495F5D" w:rsidP="00384D8D">
      <w:pPr>
        <w:pStyle w:val="ListParagraph"/>
        <w:numPr>
          <w:ilvl w:val="1"/>
          <w:numId w:val="11"/>
        </w:numPr>
        <w:spacing w:line="360" w:lineRule="auto"/>
        <w:ind w:left="450"/>
        <w:rPr>
          <w:rFonts w:asciiTheme="minorHAnsi" w:hAnsiTheme="minorHAnsi" w:cstheme="minorHAnsi"/>
        </w:rPr>
      </w:pPr>
      <w:r w:rsidRPr="00495F5D">
        <w:rPr>
          <w:rFonts w:asciiTheme="minorHAnsi" w:hAnsiTheme="minorHAnsi" w:cstheme="minorHAnsi"/>
        </w:rPr>
        <w:t xml:space="preserve"> </w:t>
      </w:r>
    </w:p>
    <w:p w14:paraId="237DE15B" w14:textId="77777777" w:rsidR="00495F5D" w:rsidRPr="00495F5D" w:rsidRDefault="00495F5D" w:rsidP="00384D8D">
      <w:pPr>
        <w:pStyle w:val="ListParagraph"/>
        <w:numPr>
          <w:ilvl w:val="1"/>
          <w:numId w:val="11"/>
        </w:numPr>
        <w:spacing w:line="360" w:lineRule="auto"/>
        <w:ind w:left="450"/>
        <w:rPr>
          <w:rFonts w:asciiTheme="minorHAnsi" w:hAnsiTheme="minorHAnsi" w:cstheme="minorHAnsi"/>
        </w:rPr>
      </w:pPr>
    </w:p>
    <w:p w14:paraId="79F7916C" w14:textId="0E66AACE" w:rsidR="00CB6F9B" w:rsidRPr="00495F5D" w:rsidRDefault="00495F5D" w:rsidP="00384D8D">
      <w:pPr>
        <w:pStyle w:val="ListParagraph"/>
        <w:numPr>
          <w:ilvl w:val="2"/>
          <w:numId w:val="11"/>
        </w:numPr>
        <w:ind w:left="450" w:hanging="450"/>
        <w:rPr>
          <w:rFonts w:asciiTheme="minorHAnsi" w:hAnsiTheme="minorHAnsi" w:cstheme="minorHAnsi"/>
          <w:b/>
          <w:bCs/>
        </w:rPr>
      </w:pPr>
      <w:r w:rsidRPr="00495F5D">
        <w:rPr>
          <w:rFonts w:asciiTheme="minorHAnsi" w:hAnsiTheme="minorHAnsi" w:cstheme="minorHAnsi"/>
          <w:b/>
          <w:bCs/>
        </w:rPr>
        <w:t xml:space="preserve"> </w:t>
      </w:r>
      <w:r w:rsidR="00E64B98" w:rsidRPr="00495F5D">
        <w:rPr>
          <w:rFonts w:asciiTheme="minorHAnsi" w:hAnsiTheme="minorHAnsi" w:cstheme="minorHAnsi"/>
          <w:b/>
          <w:bCs/>
        </w:rPr>
        <w:t xml:space="preserve">Cel szczegółowy </w:t>
      </w:r>
    </w:p>
    <w:p w14:paraId="2992C4D6" w14:textId="4E619DD0" w:rsidR="00CB6F9B" w:rsidRPr="002F1719" w:rsidRDefault="00CB6F9B" w:rsidP="00495F5D">
      <w:pPr>
        <w:pStyle w:val="Heading3"/>
      </w:pPr>
      <w:r w:rsidRPr="002F1719">
        <w:t>1.3 Wzmacnianie trwałego wzrostu i kon</w:t>
      </w:r>
      <w:r w:rsidR="00B20416" w:rsidRPr="002F1719">
        <w:t>kurencyjności MŚP oraz tworzenie</w:t>
      </w:r>
      <w:r w:rsidRPr="002F1719">
        <w:t xml:space="preserve"> miejsc pracy w MŚP, w tym poprzez inwestycje produkcyjne</w:t>
      </w:r>
    </w:p>
    <w:p w14:paraId="5DCE0540" w14:textId="43B68D54" w:rsidR="00CB6F9B" w:rsidRPr="002F1719" w:rsidRDefault="00D56B05" w:rsidP="00F96038">
      <w:pPr>
        <w:spacing w:after="120" w:line="360" w:lineRule="auto"/>
        <w:ind w:left="0" w:right="792" w:firstLine="0"/>
        <w:rPr>
          <w:rFonts w:asciiTheme="minorHAnsi" w:hAnsiTheme="minorHAnsi" w:cstheme="minorHAnsi"/>
        </w:rPr>
      </w:pPr>
      <w:r w:rsidRPr="00F96038">
        <w:rPr>
          <w:rFonts w:asciiTheme="minorHAnsi" w:hAnsiTheme="minorHAnsi" w:cstheme="minorHAnsi"/>
        </w:rPr>
        <w:t>Podstawa prawna: art. 17 ust. 3 lit. e</w:t>
      </w:r>
      <w:r w:rsidR="00E64B98" w:rsidRPr="00F96038">
        <w:rPr>
          <w:rFonts w:asciiTheme="minorHAnsi" w:hAnsiTheme="minorHAnsi" w:cstheme="minorHAnsi"/>
        </w:rPr>
        <w:t xml:space="preserve">) </w:t>
      </w:r>
    </w:p>
    <w:p w14:paraId="22F43F77" w14:textId="507DACEE" w:rsidR="00E64B98" w:rsidRPr="00495F5D" w:rsidRDefault="00D56B05" w:rsidP="00384D8D">
      <w:pPr>
        <w:pStyle w:val="ListParagraph"/>
        <w:numPr>
          <w:ilvl w:val="2"/>
          <w:numId w:val="11"/>
        </w:numPr>
        <w:ind w:left="450" w:hanging="450"/>
        <w:rPr>
          <w:rFonts w:asciiTheme="minorHAnsi" w:hAnsiTheme="minorHAnsi" w:cstheme="minorHAnsi"/>
          <w:b/>
          <w:bCs/>
        </w:rPr>
      </w:pPr>
      <w:r w:rsidRPr="00495F5D">
        <w:rPr>
          <w:rFonts w:asciiTheme="minorHAnsi" w:hAnsiTheme="minorHAnsi" w:cstheme="minorHAnsi"/>
          <w:b/>
          <w:bCs/>
        </w:rPr>
        <w:t xml:space="preserve">Powiązane rodzaje działań oraz ich oczekiwany wkład w realizację wspomnianych celów szczegółowych </w:t>
      </w:r>
      <w:proofErr w:type="gramStart"/>
      <w:r w:rsidRPr="00495F5D">
        <w:rPr>
          <w:rFonts w:asciiTheme="minorHAnsi" w:hAnsiTheme="minorHAnsi" w:cstheme="minorHAnsi"/>
          <w:b/>
          <w:bCs/>
        </w:rPr>
        <w:t>oraz,</w:t>
      </w:r>
      <w:proofErr w:type="gramEnd"/>
      <w:r w:rsidRPr="00495F5D">
        <w:rPr>
          <w:rFonts w:asciiTheme="minorHAnsi" w:hAnsiTheme="minorHAnsi" w:cstheme="minorHAnsi"/>
          <w:b/>
          <w:bCs/>
        </w:rPr>
        <w:t xml:space="preserve"> w stosownych przypadkach, strategii makroregionalnych i strategii na rzecz basenu morskiego</w:t>
      </w:r>
      <w:r w:rsidR="00E64B98" w:rsidRPr="00495F5D">
        <w:rPr>
          <w:rFonts w:asciiTheme="minorHAnsi" w:hAnsiTheme="minorHAnsi" w:cstheme="minorHAnsi"/>
          <w:b/>
          <w:bCs/>
        </w:rPr>
        <w:t xml:space="preserve"> </w:t>
      </w:r>
    </w:p>
    <w:p w14:paraId="460814A5" w14:textId="2AB518E5" w:rsidR="00CB6F9B" w:rsidRPr="00495F5D" w:rsidRDefault="00D56B05" w:rsidP="00495F5D">
      <w:pPr>
        <w:spacing w:after="120" w:line="360" w:lineRule="auto"/>
        <w:ind w:left="0" w:right="792" w:firstLine="0"/>
        <w:rPr>
          <w:rFonts w:asciiTheme="minorHAnsi" w:hAnsiTheme="minorHAnsi" w:cstheme="minorHAnsi"/>
        </w:rPr>
      </w:pPr>
      <w:r w:rsidRPr="00495F5D">
        <w:rPr>
          <w:rFonts w:asciiTheme="minorHAnsi" w:hAnsiTheme="minorHAnsi" w:cstheme="minorHAnsi"/>
        </w:rPr>
        <w:t xml:space="preserve">Podstawa prawna: art. 17 ust. 3 lit. e) </w:t>
      </w:r>
      <w:proofErr w:type="spellStart"/>
      <w:r w:rsidRPr="00495F5D">
        <w:rPr>
          <w:rFonts w:asciiTheme="minorHAnsi" w:hAnsiTheme="minorHAnsi" w:cstheme="minorHAnsi"/>
        </w:rPr>
        <w:t>ppkt</w:t>
      </w:r>
      <w:proofErr w:type="spellEnd"/>
      <w:r w:rsidRPr="00495F5D">
        <w:rPr>
          <w:rFonts w:asciiTheme="minorHAnsi" w:hAnsiTheme="minorHAnsi" w:cstheme="minorHAnsi"/>
        </w:rPr>
        <w:t xml:space="preserve"> (i), art. 17 ust. 9 lit. c) </w:t>
      </w:r>
      <w:proofErr w:type="spellStart"/>
      <w:r w:rsidRPr="00495F5D">
        <w:rPr>
          <w:rFonts w:asciiTheme="minorHAnsi" w:hAnsiTheme="minorHAnsi" w:cstheme="minorHAnsi"/>
        </w:rPr>
        <w:t>ppkt</w:t>
      </w:r>
      <w:proofErr w:type="spellEnd"/>
      <w:r w:rsidRPr="00495F5D">
        <w:rPr>
          <w:rFonts w:asciiTheme="minorHAnsi" w:hAnsiTheme="minorHAnsi" w:cstheme="minorHAnsi"/>
        </w:rPr>
        <w:t xml:space="preserve"> (ii)</w:t>
      </w:r>
      <w:r w:rsidR="00E64B98" w:rsidRPr="00495F5D">
        <w:rPr>
          <w:rFonts w:asciiTheme="minorHAnsi" w:hAnsiTheme="minorHAnsi" w:cstheme="minorHAnsi"/>
        </w:rPr>
        <w:t xml:space="preserve"> </w:t>
      </w:r>
    </w:p>
    <w:p w14:paraId="3F0CC8F2" w14:textId="7FFC24B7" w:rsidR="00CB6F9B" w:rsidRPr="002F1719" w:rsidRDefault="00542831"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Programu 1.2: </w:t>
      </w:r>
      <w:r w:rsidRPr="00495F5D">
        <w:rPr>
          <w:rFonts w:asciiTheme="minorHAnsi" w:hAnsiTheme="minorHAnsi" w:cstheme="minorHAnsi"/>
        </w:rPr>
        <w:t>Budowanie łączności regionu poprzez internacjonalizację</w:t>
      </w:r>
    </w:p>
    <w:p w14:paraId="6885BEEF" w14:textId="5CBD250F"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Wzrost gospodarczy </w:t>
      </w:r>
      <w:r w:rsidR="00A3526E" w:rsidRPr="00495F5D">
        <w:rPr>
          <w:rFonts w:asciiTheme="minorHAnsi" w:hAnsiTheme="minorHAnsi" w:cstheme="minorHAnsi"/>
        </w:rPr>
        <w:t>Obszaru Południowego Bałtyku</w:t>
      </w:r>
      <w:r w:rsidRPr="002F1719">
        <w:rPr>
          <w:rFonts w:asciiTheme="minorHAnsi" w:hAnsiTheme="minorHAnsi" w:cstheme="minorHAnsi"/>
        </w:rPr>
        <w:t xml:space="preserve"> wymaga działań dedykowanych zwiększeniu konkurencyjności </w:t>
      </w:r>
      <w:r w:rsidR="00394A8A" w:rsidRPr="002F1719">
        <w:rPr>
          <w:rFonts w:asciiTheme="minorHAnsi" w:hAnsiTheme="minorHAnsi" w:cstheme="minorHAnsi"/>
        </w:rPr>
        <w:t>i</w:t>
      </w:r>
      <w:r w:rsidRPr="002F1719">
        <w:rPr>
          <w:rFonts w:asciiTheme="minorHAnsi" w:hAnsiTheme="minorHAnsi" w:cstheme="minorHAnsi"/>
        </w:rPr>
        <w:t xml:space="preserve"> innowacyjności</w:t>
      </w:r>
      <w:r w:rsidR="00394A8A" w:rsidRPr="002F1719">
        <w:rPr>
          <w:rFonts w:asciiTheme="minorHAnsi" w:hAnsiTheme="minorHAnsi" w:cstheme="minorHAnsi"/>
        </w:rPr>
        <w:t xml:space="preserve"> MŚP</w:t>
      </w:r>
      <w:r w:rsidRPr="002F1719">
        <w:rPr>
          <w:rFonts w:asciiTheme="minorHAnsi" w:hAnsiTheme="minorHAnsi" w:cstheme="minorHAnsi"/>
        </w:rPr>
        <w:t xml:space="preserve">, a także ich obecności na rynku międzynarodowym. Bardzo często strach przed nieznanym rynkiem, niewystarczająca wiedza, zasoby finansowe i kadry, a nawet </w:t>
      </w:r>
      <w:r w:rsidR="00394A8A" w:rsidRPr="002F1719">
        <w:rPr>
          <w:rFonts w:asciiTheme="minorHAnsi" w:hAnsiTheme="minorHAnsi" w:cstheme="minorHAnsi"/>
        </w:rPr>
        <w:t>ograniczona</w:t>
      </w:r>
      <w:r w:rsidRPr="002F1719">
        <w:rPr>
          <w:rFonts w:asciiTheme="minorHAnsi" w:hAnsiTheme="minorHAnsi" w:cstheme="minorHAnsi"/>
        </w:rPr>
        <w:t xml:space="preserve"> pomoc ze strony organizacji wsparcia biznesu w uzyskaniu dostępu do informacji na temat możliwości, warunków i procedur operacji na rynku międzynarodowym stanowią kluczowe przeszkody dla internacjonalizacji biznesu. W związku z tym ekspansja MŚP w ramach i poza </w:t>
      </w:r>
      <w:r w:rsidR="00A3526E" w:rsidRPr="00495F5D">
        <w:rPr>
          <w:rFonts w:asciiTheme="minorHAnsi" w:hAnsiTheme="minorHAnsi" w:cstheme="minorHAnsi"/>
        </w:rPr>
        <w:t>Obszarem Południowego Bałtyku</w:t>
      </w:r>
      <w:r w:rsidR="00A3526E" w:rsidRPr="002F1719">
        <w:rPr>
          <w:rFonts w:asciiTheme="minorHAnsi" w:hAnsiTheme="minorHAnsi" w:cstheme="minorHAnsi"/>
        </w:rPr>
        <w:t xml:space="preserve"> </w:t>
      </w:r>
      <w:r w:rsidRPr="002F1719">
        <w:rPr>
          <w:rFonts w:asciiTheme="minorHAnsi" w:hAnsiTheme="minorHAnsi" w:cstheme="minorHAnsi"/>
        </w:rPr>
        <w:t>wymaga skutecznych transgranicznych platform kształcenia i tworzenia sieci, usług doradztwa biznesowego i działań w zakresie kojarzenia, aby pomóc im w przejściu z krajowych do międzynarodowych praktyk biznesowych.</w:t>
      </w:r>
    </w:p>
    <w:p w14:paraId="6DFABA8D" w14:textId="7A4E16A3"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Jednocześnie internacjonalizacja gospodarki </w:t>
      </w:r>
      <w:r w:rsidR="00A3526E" w:rsidRPr="002F1719">
        <w:rPr>
          <w:rFonts w:asciiTheme="minorHAnsi" w:hAnsiTheme="minorHAnsi" w:cstheme="minorHAnsi"/>
        </w:rPr>
        <w:t>Południowego Bałtyku</w:t>
      </w:r>
      <w:r w:rsidRPr="002F1719">
        <w:rPr>
          <w:rFonts w:asciiTheme="minorHAnsi" w:hAnsiTheme="minorHAnsi" w:cstheme="minorHAnsi"/>
        </w:rPr>
        <w:t xml:space="preserve"> stwarza nowe możliwości współpracy transgranicznej i promocji Obszaru poza jego granicami. Istnieje silny potencjał transferu technologii i współpracy między przedsiębiorstwami, ośrodkami badawczymi i sektorem szkolnictwa wyższego w celu wspierania innowacyjnych rozwiązań.</w:t>
      </w:r>
    </w:p>
    <w:p w14:paraId="46D3AA5C" w14:textId="168C50B0"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W ramach tego Celu Szczegółowego zachęca się beneficjentów do prowadzenia działań opartych na innowacjach we współpracy z różnymi zainteresowanymi </w:t>
      </w:r>
      <w:r w:rsidR="007272A8" w:rsidRPr="002F1719">
        <w:rPr>
          <w:rFonts w:asciiTheme="minorHAnsi" w:hAnsiTheme="minorHAnsi" w:cstheme="minorHAnsi"/>
        </w:rPr>
        <w:t>stronami</w:t>
      </w:r>
      <w:r w:rsidRPr="002F1719">
        <w:rPr>
          <w:rFonts w:asciiTheme="minorHAnsi" w:hAnsiTheme="minorHAnsi" w:cstheme="minorHAnsi"/>
        </w:rPr>
        <w:t xml:space="preserve"> (np. MŚP z uniwersytetami, instytucjami badawczo-rozwojowymi, organami publicznymi, organizacjami wsparcia biznesu). Zostanie położony nacisk na tworzenie międzysektorowych partnerstw i współpracy silnie związanych z inteligentną specjalizacją i kluczowymi obszarami mocnych stron w regionach.</w:t>
      </w:r>
    </w:p>
    <w:p w14:paraId="56B33375" w14:textId="0088D912" w:rsidR="00F46BEE" w:rsidRPr="002F1719" w:rsidRDefault="00A065C2" w:rsidP="000A48CD">
      <w:pPr>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w:t>
      </w:r>
      <w:r w:rsidR="00D56B05" w:rsidRPr="002F1719">
        <w:rPr>
          <w:rFonts w:asciiTheme="minorHAnsi" w:hAnsiTheme="minorHAnsi" w:cstheme="minorHAnsi"/>
        </w:rPr>
        <w:t>, gdy jest to uzasadnione</w:t>
      </w:r>
      <w:r w:rsidRPr="002F1719">
        <w:rPr>
          <w:rFonts w:asciiTheme="minorHAnsi" w:hAnsiTheme="minorHAnsi" w:cstheme="minorHAnsi"/>
        </w:rPr>
        <w:t>.</w:t>
      </w:r>
    </w:p>
    <w:p w14:paraId="413B5E11" w14:textId="33C9FA0E" w:rsidR="00CB6F9B" w:rsidRPr="002F1719" w:rsidRDefault="00CB6F9B" w:rsidP="000A48CD">
      <w:pPr>
        <w:spacing w:after="120" w:line="360" w:lineRule="auto"/>
        <w:ind w:left="0" w:right="792" w:firstLine="0"/>
        <w:rPr>
          <w:rFonts w:asciiTheme="minorHAnsi" w:hAnsiTheme="minorHAnsi" w:cstheme="minorHAnsi"/>
        </w:rPr>
      </w:pPr>
      <w:r w:rsidRPr="002F1719">
        <w:rPr>
          <w:rFonts w:asciiTheme="minorHAnsi" w:hAnsiTheme="minorHAnsi" w:cstheme="minorHAnsi"/>
        </w:rPr>
        <w:t>Przykładowe działania</w:t>
      </w:r>
    </w:p>
    <w:p w14:paraId="1D94996E"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promowanie i wspieranie współpracy transgranicznej między MŚP w celu tworzenia innowacyjnych rozwiązań w kluczowych obszarach mocnych stron, np. w sektorze niebieskim i zielonym (w tym w sektorze morskim/</w:t>
      </w:r>
      <w:proofErr w:type="spellStart"/>
      <w:r w:rsidRPr="002F1719">
        <w:rPr>
          <w:rFonts w:asciiTheme="minorHAnsi" w:hAnsiTheme="minorHAnsi" w:cstheme="minorHAnsi"/>
        </w:rPr>
        <w:t>offshore</w:t>
      </w:r>
      <w:proofErr w:type="spellEnd"/>
      <w:r w:rsidRPr="002F1719">
        <w:rPr>
          <w:rFonts w:asciiTheme="minorHAnsi" w:hAnsiTheme="minorHAnsi" w:cstheme="minorHAnsi"/>
        </w:rPr>
        <w:t>),</w:t>
      </w:r>
    </w:p>
    <w:p w14:paraId="68CECFF9" w14:textId="5748D4C7"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rozwój i promowanie na rynkach międzynarodowych wspólnych produktów/rozwiązań/usług w kluczowych obszarach mocnych stron, np. w sektorze niebieskim i zielonym (w tym w sektorze morskim/</w:t>
      </w:r>
      <w:proofErr w:type="spellStart"/>
      <w:r w:rsidRPr="002F1719">
        <w:rPr>
          <w:rFonts w:asciiTheme="minorHAnsi" w:hAnsiTheme="minorHAnsi" w:cstheme="minorHAnsi"/>
        </w:rPr>
        <w:t>offshore</w:t>
      </w:r>
      <w:proofErr w:type="spellEnd"/>
      <w:r w:rsidRPr="002F1719">
        <w:rPr>
          <w:rFonts w:asciiTheme="minorHAnsi" w:hAnsiTheme="minorHAnsi" w:cstheme="minorHAnsi"/>
        </w:rPr>
        <w:t>),</w:t>
      </w:r>
    </w:p>
    <w:p w14:paraId="610D7A71" w14:textId="19E19426"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 xml:space="preserve">inicjowanie i rozwój sieci sektorowych i międzysektorowych (klastrów) oraz ich ekspansja mająca na celu poprawę m.in. zdolności innowacyjnych, jakości usług i internacjonalizacji podmiotów lokalnych </w:t>
      </w:r>
      <w:r w:rsidR="00A3526E" w:rsidRPr="002F1719">
        <w:rPr>
          <w:rFonts w:asciiTheme="minorHAnsi" w:hAnsiTheme="minorHAnsi" w:cstheme="minorHAnsi"/>
        </w:rPr>
        <w:t>z</w:t>
      </w:r>
      <w:r w:rsidRPr="002F1719">
        <w:rPr>
          <w:rFonts w:asciiTheme="minorHAnsi" w:hAnsiTheme="minorHAnsi" w:cstheme="minorHAnsi"/>
        </w:rPr>
        <w:t xml:space="preserve"> </w:t>
      </w:r>
      <w:r w:rsidR="00A3526E" w:rsidRPr="002F1719">
        <w:rPr>
          <w:rFonts w:asciiTheme="minorHAnsi" w:hAnsiTheme="minorHAnsi" w:cstheme="minorHAnsi"/>
          <w:color w:val="auto"/>
        </w:rPr>
        <w:t>Obszaru Południowego Bałtyku</w:t>
      </w:r>
      <w:r w:rsidRPr="002F1719">
        <w:rPr>
          <w:rFonts w:asciiTheme="minorHAnsi" w:hAnsiTheme="minorHAnsi" w:cstheme="minorHAnsi"/>
        </w:rPr>
        <w:t xml:space="preserve"> w odpowiednich sektorach, np. w sektorze niebieskim i zielonym (w tym w sektorze morskim/</w:t>
      </w:r>
      <w:proofErr w:type="spellStart"/>
      <w:r w:rsidRPr="002F1719">
        <w:rPr>
          <w:rFonts w:asciiTheme="minorHAnsi" w:hAnsiTheme="minorHAnsi" w:cstheme="minorHAnsi"/>
        </w:rPr>
        <w:t>offshore</w:t>
      </w:r>
      <w:proofErr w:type="spellEnd"/>
      <w:r w:rsidRPr="002F1719">
        <w:rPr>
          <w:rFonts w:asciiTheme="minorHAnsi" w:hAnsiTheme="minorHAnsi" w:cstheme="minorHAnsi"/>
        </w:rPr>
        <w:t>),</w:t>
      </w:r>
    </w:p>
    <w:p w14:paraId="5D1F2BF9"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wspieranie wspólnych projektów badawczych między MŚP, uniwersytetami (lub innymi instytucjami badawczo-rozwojowymi), podmiotami publicznymi i organizacjami wsparcia biznesu,</w:t>
      </w:r>
    </w:p>
    <w:p w14:paraId="0FE6D104"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 xml:space="preserve">organizacja działań (np. targów, wystaw, kampanii marketingowych i wspólnych kampanii </w:t>
      </w:r>
      <w:proofErr w:type="spellStart"/>
      <w:r w:rsidRPr="002F1719">
        <w:rPr>
          <w:rFonts w:asciiTheme="minorHAnsi" w:hAnsiTheme="minorHAnsi" w:cstheme="minorHAnsi"/>
        </w:rPr>
        <w:t>brandingowych</w:t>
      </w:r>
      <w:proofErr w:type="spellEnd"/>
      <w:r w:rsidRPr="002F1719">
        <w:rPr>
          <w:rFonts w:asciiTheme="minorHAnsi" w:hAnsiTheme="minorHAnsi" w:cstheme="minorHAnsi"/>
        </w:rPr>
        <w:t xml:space="preserve"> itp.) promujących produkty i usługi z Obszaru Południowego Bałtyku na rynkach międzynarodowych.</w:t>
      </w:r>
    </w:p>
    <w:p w14:paraId="24ED4CF6" w14:textId="77777777" w:rsidR="00CB6F9B" w:rsidRPr="002F1719" w:rsidRDefault="00CB6F9B" w:rsidP="00CB6F9B">
      <w:pPr>
        <w:pStyle w:val="ListParagraph"/>
        <w:autoSpaceDE w:val="0"/>
        <w:autoSpaceDN w:val="0"/>
        <w:adjustRightInd w:val="0"/>
        <w:spacing w:before="60" w:after="60" w:line="276" w:lineRule="auto"/>
        <w:ind w:left="319" w:right="0" w:firstLine="0"/>
        <w:rPr>
          <w:rFonts w:asciiTheme="minorHAnsi" w:hAnsiTheme="minorHAnsi" w:cstheme="minorHAnsi"/>
          <w:szCs w:val="24"/>
          <w:lang w:eastAsia="pl-PL"/>
        </w:rPr>
      </w:pPr>
    </w:p>
    <w:p w14:paraId="3EAE5049" w14:textId="77777777"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Wkład w wybrany cel szczegółowy</w:t>
      </w:r>
    </w:p>
    <w:p w14:paraId="404ACEF8" w14:textId="43363329"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to będzie wspierać Cel Szczegółowy 1.3 </w:t>
      </w:r>
      <w:r w:rsidRPr="00495F5D">
        <w:rPr>
          <w:rFonts w:asciiTheme="minorHAnsi" w:hAnsiTheme="minorHAnsi" w:cstheme="minorHAnsi"/>
        </w:rPr>
        <w:t>Wzmacnianie trwałego wzrostu i konkurencyjności MŚP oraz tworzenia miejsc pracy w MŚP, w tym poprzez inwestycje produkcyjne</w:t>
      </w:r>
      <w:r w:rsidRPr="002F1719">
        <w:rPr>
          <w:rFonts w:asciiTheme="minorHAnsi" w:hAnsiTheme="minorHAnsi" w:cstheme="minorHAnsi"/>
        </w:rPr>
        <w:t xml:space="preserve"> poprzez zwiększanie konkurencyjności MŚP oraz zwiększanie poziomu internacjonalizacji gospodarki regionalnej. Z jednej strony działania w ramach tego Działania ułatwią bezpośrednio wzrost gospodarczy podmiotów lokalnych, a z drugiej strony stworzą nowe platformy i możliwości dla współpracy transgranicznej.</w:t>
      </w:r>
    </w:p>
    <w:p w14:paraId="50A50BBA" w14:textId="77777777"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Wkład w strategię UE dla Regionu Morza Bałtyckiego</w:t>
      </w:r>
    </w:p>
    <w:p w14:paraId="66BFC093" w14:textId="77777777" w:rsidR="00CB6F9B" w:rsidRPr="002F1719" w:rsidRDefault="00CB6F9B" w:rsidP="00495F5D">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1.2 </w:t>
      </w:r>
      <w:r w:rsidRPr="00495F5D">
        <w:rPr>
          <w:rFonts w:asciiTheme="minorHAnsi" w:hAnsiTheme="minorHAnsi" w:cstheme="minorHAnsi"/>
        </w:rPr>
        <w:t>Budowanie łączności w regionie poprzez internacjonalizację</w:t>
      </w:r>
      <w:r w:rsidRPr="002F1719">
        <w:rPr>
          <w:rFonts w:asciiTheme="minorHAnsi" w:hAnsiTheme="minorHAnsi" w:cstheme="minorHAnsi"/>
        </w:rPr>
        <w:t xml:space="preserve"> jest silnie powiązane z Obszarem Polityki Innowacje poprzez transfer technologii i współpracę między przedsiębiorstwami, ośrodkami badawczymi i sektorem szkolnictwa wyższego.</w:t>
      </w:r>
    </w:p>
    <w:p w14:paraId="5CC42B55" w14:textId="6FAFE56D" w:rsidR="00CB6F9B" w:rsidRPr="00495F5D" w:rsidRDefault="00F46BEE" w:rsidP="00384D8D">
      <w:pPr>
        <w:pStyle w:val="ListParagraph"/>
        <w:numPr>
          <w:ilvl w:val="2"/>
          <w:numId w:val="11"/>
        </w:numPr>
        <w:ind w:left="450" w:hanging="450"/>
        <w:rPr>
          <w:rFonts w:asciiTheme="minorHAnsi" w:hAnsiTheme="minorHAnsi" w:cstheme="minorHAnsi"/>
          <w:b/>
          <w:bCs/>
        </w:rPr>
      </w:pPr>
      <w:r w:rsidRPr="00495F5D">
        <w:rPr>
          <w:rFonts w:asciiTheme="minorHAnsi" w:hAnsiTheme="minorHAnsi" w:cstheme="minorHAnsi"/>
          <w:b/>
          <w:bCs/>
        </w:rPr>
        <w:t xml:space="preserve">Wskaźniki </w:t>
      </w:r>
    </w:p>
    <w:p w14:paraId="6CBF55A3" w14:textId="4CB6A4B5" w:rsidR="00CB6F9B" w:rsidRPr="002F1719" w:rsidRDefault="002A5896" w:rsidP="00CB6F9B">
      <w:pPr>
        <w:spacing w:after="450" w:line="265" w:lineRule="auto"/>
        <w:ind w:left="-5" w:right="0" w:hanging="10"/>
        <w:rPr>
          <w:rFonts w:asciiTheme="minorHAnsi" w:hAnsiTheme="minorHAnsi" w:cstheme="minorHAnsi"/>
        </w:rPr>
      </w:pPr>
      <w:r w:rsidRPr="00495F5D">
        <w:rPr>
          <w:rFonts w:asciiTheme="minorHAnsi" w:hAnsiTheme="minorHAnsi" w:cstheme="minorHAnsi"/>
        </w:rPr>
        <w:t xml:space="preserve">Podstawa prawna: art. 17 ust. 3 lit. e) </w:t>
      </w:r>
      <w:proofErr w:type="spellStart"/>
      <w:r w:rsidRPr="00495F5D">
        <w:rPr>
          <w:rFonts w:asciiTheme="minorHAnsi" w:hAnsiTheme="minorHAnsi" w:cstheme="minorHAnsi"/>
        </w:rPr>
        <w:t>ppkt</w:t>
      </w:r>
      <w:proofErr w:type="spellEnd"/>
      <w:r w:rsidRPr="00495F5D">
        <w:rPr>
          <w:rFonts w:asciiTheme="minorHAnsi" w:hAnsiTheme="minorHAnsi" w:cstheme="minorHAnsi"/>
        </w:rPr>
        <w:t xml:space="preserve"> (ii), art. 17 ust. 9 lit. c) </w:t>
      </w:r>
      <w:proofErr w:type="spellStart"/>
      <w:r w:rsidRPr="00495F5D">
        <w:rPr>
          <w:rFonts w:asciiTheme="minorHAnsi" w:hAnsiTheme="minorHAnsi" w:cstheme="minorHAnsi"/>
        </w:rPr>
        <w:t>ppkt</w:t>
      </w:r>
      <w:proofErr w:type="spellEnd"/>
      <w:r w:rsidRPr="00495F5D">
        <w:rPr>
          <w:rFonts w:asciiTheme="minorHAnsi" w:hAnsiTheme="minorHAnsi" w:cstheme="minorHAnsi"/>
        </w:rPr>
        <w:t xml:space="preserve"> (iii)</w:t>
      </w:r>
      <w:r w:rsidR="00F46BEE" w:rsidRPr="00495F5D">
        <w:rPr>
          <w:rFonts w:asciiTheme="minorHAnsi" w:hAnsiTheme="minorHAnsi" w:cstheme="minorHAnsi"/>
        </w:rPr>
        <w:t xml:space="preserve"> </w:t>
      </w:r>
    </w:p>
    <w:p w14:paraId="03452E6D" w14:textId="7D1790DC" w:rsidR="00CB6F9B" w:rsidRDefault="00CB6F9B" w:rsidP="000A48CD">
      <w:pPr>
        <w:pStyle w:val="Heading5"/>
      </w:pPr>
      <w:r w:rsidRPr="002F1719">
        <w:t>Tabela 2</w:t>
      </w:r>
      <w:r w:rsidR="000A48CD">
        <w:t xml:space="preserve"> </w:t>
      </w:r>
      <w:r w:rsidRPr="002F1719">
        <w:t>Wskaźniki produktu</w:t>
      </w:r>
    </w:p>
    <w:p w14:paraId="5691F45A"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Priorytet 1</w:t>
      </w:r>
    </w:p>
    <w:p w14:paraId="38580F97" w14:textId="4394B542"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szczegółowy 1.</w:t>
      </w:r>
      <w:r>
        <w:rPr>
          <w:rFonts w:asciiTheme="minorHAnsi" w:hAnsiTheme="minorHAnsi" w:cstheme="minorHAnsi"/>
        </w:rPr>
        <w:t>3</w:t>
      </w:r>
    </w:p>
    <w:p w14:paraId="255AE71A" w14:textId="376143C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8</w:t>
      </w:r>
      <w:r>
        <w:rPr>
          <w:rFonts w:asciiTheme="minorHAnsi" w:hAnsiTheme="minorHAnsi" w:cstheme="minorHAnsi"/>
        </w:rPr>
        <w:t>7</w:t>
      </w:r>
    </w:p>
    <w:p w14:paraId="2B60A2B8" w14:textId="0D7560AA"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0A48CD">
        <w:rPr>
          <w:rFonts w:asciiTheme="minorHAnsi" w:hAnsiTheme="minorHAnsi" w:cstheme="minorHAnsi"/>
        </w:rPr>
        <w:t>Organizacje współpracujące ponad granicami</w:t>
      </w:r>
    </w:p>
    <w:p w14:paraId="354F3141" w14:textId="15E1A823"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Jednostka miary [255] </w:t>
      </w:r>
      <w:r w:rsidRPr="000A48CD">
        <w:rPr>
          <w:rFonts w:asciiTheme="minorHAnsi" w:hAnsiTheme="minorHAnsi" w:cstheme="minorHAnsi"/>
        </w:rPr>
        <w:t>Liczba organizacji</w:t>
      </w:r>
    </w:p>
    <w:p w14:paraId="3A215E3C"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2D28F28C" w14:textId="0CFC04FC"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2</w:t>
      </w:r>
      <w:r w:rsidRPr="00293553">
        <w:rPr>
          <w:rFonts w:asciiTheme="minorHAnsi" w:hAnsiTheme="minorHAnsi" w:cstheme="minorHAnsi"/>
        </w:rPr>
        <w:t>7</w:t>
      </w:r>
    </w:p>
    <w:p w14:paraId="16EDBB08"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392CD109"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116</w:t>
      </w:r>
    </w:p>
    <w:p w14:paraId="075C29C7"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opracowane rozwiązania</w:t>
      </w:r>
    </w:p>
    <w:p w14:paraId="75BB7328"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333DCAC1" w14:textId="77777777"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64982674" w14:textId="4FDF83C1" w:rsidR="000A48CD" w:rsidRPr="00293553"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7</w:t>
      </w:r>
    </w:p>
    <w:p w14:paraId="3C080FE6" w14:textId="77777777" w:rsidR="000A48CD" w:rsidRPr="002F1719" w:rsidRDefault="000A48CD" w:rsidP="000A48CD">
      <w:pPr>
        <w:spacing w:after="0" w:line="259" w:lineRule="auto"/>
        <w:ind w:left="-15" w:right="1" w:firstLine="0"/>
        <w:rPr>
          <w:rFonts w:asciiTheme="minorHAnsi" w:hAnsiTheme="minorHAnsi" w:cstheme="minorHAnsi"/>
        </w:rPr>
      </w:pPr>
    </w:p>
    <w:p w14:paraId="1C56C9A4" w14:textId="77777777" w:rsidR="000A48CD" w:rsidRDefault="000A48CD" w:rsidP="000A48CD">
      <w:pPr>
        <w:pStyle w:val="Heading5"/>
      </w:pPr>
      <w:r w:rsidRPr="002F1719">
        <w:t>Tabela 3 Wskaźniki rezultatu</w:t>
      </w:r>
    </w:p>
    <w:p w14:paraId="48825F4F"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Priorytet 1</w:t>
      </w:r>
    </w:p>
    <w:p w14:paraId="4C8F4585" w14:textId="2FA4104C" w:rsidR="000A48CD"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Cel szczegółowy 1.</w:t>
      </w:r>
      <w:r>
        <w:rPr>
          <w:rFonts w:asciiTheme="minorHAnsi" w:hAnsiTheme="minorHAnsi" w:cstheme="minorHAnsi"/>
        </w:rPr>
        <w:t>3</w:t>
      </w:r>
    </w:p>
    <w:p w14:paraId="03F3E272" w14:textId="2D508428"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Numer identyfikacyjny RCR </w:t>
      </w:r>
      <w:r>
        <w:rPr>
          <w:rFonts w:asciiTheme="minorHAnsi" w:hAnsiTheme="minorHAnsi" w:cstheme="minorHAnsi"/>
        </w:rPr>
        <w:t>87</w:t>
      </w:r>
    </w:p>
    <w:p w14:paraId="3DE9B7F0" w14:textId="4ADB5BB4" w:rsidR="000A48CD"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Wskaźnik </w:t>
      </w:r>
      <w:r w:rsidRPr="000A48CD">
        <w:rPr>
          <w:rFonts w:asciiTheme="minorHAnsi" w:hAnsiTheme="minorHAnsi" w:cstheme="minorHAnsi"/>
        </w:rPr>
        <w:t>Organizacje współpracujące ponad granicami po zakończeniu projektu</w:t>
      </w:r>
    </w:p>
    <w:p w14:paraId="25100D22" w14:textId="1AF15B54"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Jednostka miary </w:t>
      </w:r>
      <w:r w:rsidRPr="000A48CD">
        <w:rPr>
          <w:rFonts w:asciiTheme="minorHAnsi" w:hAnsiTheme="minorHAnsi" w:cstheme="minorHAnsi"/>
        </w:rPr>
        <w:t>Liczba organizacji</w:t>
      </w:r>
    </w:p>
    <w:p w14:paraId="73D4A305"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3F7EF692" w14:textId="73FC904E"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04C60D58" w14:textId="76291F5A"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Pr>
          <w:rFonts w:asciiTheme="minorHAnsi" w:hAnsiTheme="minorHAnsi" w:cstheme="minorHAnsi"/>
        </w:rPr>
        <w:t>11</w:t>
      </w:r>
    </w:p>
    <w:p w14:paraId="3CFA9554"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44120FC5" w14:textId="3F75B975"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2F6AE7C5"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Numer identyfikacyjny RCR 104</w:t>
      </w:r>
    </w:p>
    <w:p w14:paraId="334A2BFC"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Wskaźnik Rozwiązania podejmowane lub ulepszane przez organizacje</w:t>
      </w:r>
    </w:p>
    <w:p w14:paraId="3F863DF6"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1C03D0EC"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5972BD4F" w14:textId="716CBF8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21D555CB" w14:textId="6553189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Pr>
          <w:rFonts w:asciiTheme="minorHAnsi" w:hAnsiTheme="minorHAnsi" w:cstheme="minorHAnsi"/>
        </w:rPr>
        <w:t>4</w:t>
      </w:r>
    </w:p>
    <w:p w14:paraId="10491B46"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5FA80DB1" w14:textId="77777777" w:rsidR="000A48CD" w:rsidRPr="00CD424E" w:rsidRDefault="000A48CD" w:rsidP="000A48CD">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5DCA949E" w14:textId="3025EE12" w:rsidR="00CB6F9B" w:rsidRPr="000A48CD" w:rsidRDefault="00F46BEE" w:rsidP="00384D8D">
      <w:pPr>
        <w:pStyle w:val="ListParagraph"/>
        <w:numPr>
          <w:ilvl w:val="2"/>
          <w:numId w:val="11"/>
        </w:numPr>
        <w:ind w:left="450" w:hanging="450"/>
        <w:rPr>
          <w:rFonts w:asciiTheme="minorHAnsi" w:hAnsiTheme="minorHAnsi" w:cstheme="minorHAnsi"/>
          <w:b/>
          <w:bCs/>
        </w:rPr>
      </w:pPr>
      <w:r w:rsidRPr="000A48CD">
        <w:rPr>
          <w:rFonts w:asciiTheme="minorHAnsi" w:hAnsiTheme="minorHAnsi" w:cstheme="minorHAnsi"/>
          <w:b/>
          <w:bCs/>
        </w:rPr>
        <w:t xml:space="preserve">Główne grupy docelowe </w:t>
      </w:r>
    </w:p>
    <w:p w14:paraId="3FB460D1" w14:textId="01192FDD" w:rsidR="00CB6F9B" w:rsidRPr="000A48CD" w:rsidRDefault="00810AF2" w:rsidP="00CB6F9B">
      <w:pPr>
        <w:spacing w:after="241" w:line="265" w:lineRule="auto"/>
        <w:ind w:left="-5" w:right="0" w:hanging="10"/>
        <w:rPr>
          <w:rFonts w:asciiTheme="minorHAnsi" w:hAnsiTheme="minorHAnsi" w:cstheme="minorHAnsi"/>
        </w:rPr>
      </w:pPr>
      <w:r w:rsidRPr="000A48CD">
        <w:rPr>
          <w:rFonts w:asciiTheme="minorHAnsi" w:hAnsiTheme="minorHAnsi" w:cstheme="minorHAnsi"/>
        </w:rPr>
        <w:t xml:space="preserve">Podstawa prawna: art. 17 ust. 3 lit. e) </w:t>
      </w:r>
      <w:proofErr w:type="spellStart"/>
      <w:r w:rsidRPr="000A48CD">
        <w:rPr>
          <w:rFonts w:asciiTheme="minorHAnsi" w:hAnsiTheme="minorHAnsi" w:cstheme="minorHAnsi"/>
        </w:rPr>
        <w:t>ppkt</w:t>
      </w:r>
      <w:proofErr w:type="spellEnd"/>
      <w:r w:rsidRPr="000A48CD">
        <w:rPr>
          <w:rFonts w:asciiTheme="minorHAnsi" w:hAnsiTheme="minorHAnsi" w:cstheme="minorHAnsi"/>
        </w:rPr>
        <w:t xml:space="preserve"> (iii), art. 17 ust. 9 lit. c) </w:t>
      </w:r>
      <w:proofErr w:type="spellStart"/>
      <w:r w:rsidRPr="000A48CD">
        <w:rPr>
          <w:rFonts w:asciiTheme="minorHAnsi" w:hAnsiTheme="minorHAnsi" w:cstheme="minorHAnsi"/>
        </w:rPr>
        <w:t>ppkt</w:t>
      </w:r>
      <w:proofErr w:type="spellEnd"/>
      <w:r w:rsidRPr="000A48CD">
        <w:rPr>
          <w:rFonts w:asciiTheme="minorHAnsi" w:hAnsiTheme="minorHAnsi" w:cstheme="minorHAnsi"/>
        </w:rPr>
        <w:t xml:space="preserve"> (iv</w:t>
      </w:r>
      <w:r w:rsidR="00CB6F9B" w:rsidRPr="000A48CD">
        <w:rPr>
          <w:rFonts w:asciiTheme="minorHAnsi" w:hAnsiTheme="minorHAnsi" w:cstheme="minorHAnsi"/>
        </w:rPr>
        <w:t>)</w:t>
      </w:r>
    </w:p>
    <w:p w14:paraId="05F30F97" w14:textId="4B7D438F" w:rsidR="00CB6F9B" w:rsidRPr="002F1719" w:rsidRDefault="00CB6F9B" w:rsidP="000A48CD">
      <w:pPr>
        <w:tabs>
          <w:tab w:val="center" w:pos="4425"/>
        </w:tabs>
        <w:spacing w:after="120" w:line="360" w:lineRule="auto"/>
        <w:ind w:left="0" w:right="792" w:firstLine="0"/>
        <w:jc w:val="both"/>
        <w:rPr>
          <w:rFonts w:asciiTheme="minorHAnsi" w:hAnsiTheme="minorHAnsi" w:cstheme="minorHAnsi"/>
        </w:rPr>
      </w:pPr>
      <w:r w:rsidRPr="002F1719">
        <w:rPr>
          <w:rFonts w:asciiTheme="minorHAnsi" w:hAnsiTheme="minorHAnsi" w:cstheme="minorHAnsi"/>
        </w:rPr>
        <w:t xml:space="preserve">Główne grupy docelowe </w:t>
      </w:r>
    </w:p>
    <w:p w14:paraId="58A9C947"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MŚP reprezentujące sektor niebieski i zielony oraz opracowujące/przenoszące innowacyjne produkty i usługi na Obszarze Południowego Bałtyku</w:t>
      </w:r>
    </w:p>
    <w:p w14:paraId="049B9631" w14:textId="634D8734"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Instytucje publiczne i równoważne podmioty publiczne w </w:t>
      </w:r>
      <w:r w:rsidR="00A3526E" w:rsidRPr="000A48CD">
        <w:rPr>
          <w:rFonts w:asciiTheme="minorHAnsi" w:hAnsiTheme="minorHAnsi" w:cstheme="minorHAnsi"/>
        </w:rPr>
        <w:t>Obszarze Południowego Bałtyku</w:t>
      </w:r>
    </w:p>
    <w:p w14:paraId="5207AD88" w14:textId="77777777" w:rsidR="00CB6F9B" w:rsidRPr="002F1719" w:rsidRDefault="00CB6F9B" w:rsidP="000A48CD">
      <w:pPr>
        <w:tabs>
          <w:tab w:val="center" w:pos="4425"/>
        </w:tabs>
        <w:spacing w:after="120" w:line="360" w:lineRule="auto"/>
        <w:ind w:left="0" w:right="792" w:firstLine="0"/>
        <w:jc w:val="both"/>
        <w:rPr>
          <w:rFonts w:asciiTheme="minorHAnsi" w:hAnsiTheme="minorHAnsi" w:cstheme="minorHAnsi"/>
        </w:rPr>
      </w:pPr>
      <w:r w:rsidRPr="002F1719">
        <w:rPr>
          <w:rFonts w:asciiTheme="minorHAnsi" w:hAnsiTheme="minorHAnsi" w:cstheme="minorHAnsi"/>
        </w:rPr>
        <w:t>Przykładowe rodzaje beneficjentów</w:t>
      </w:r>
    </w:p>
    <w:p w14:paraId="0B991DB1"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MŚP</w:t>
      </w:r>
    </w:p>
    <w:p w14:paraId="0C14B644"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formalne stowarzyszenia, klastry i sieci MŚP </w:t>
      </w:r>
    </w:p>
    <w:p w14:paraId="11A11391"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władze lokalne i regionalne oraz ich stowarzyszenia </w:t>
      </w:r>
    </w:p>
    <w:p w14:paraId="6B785260" w14:textId="68A2E17E"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izby handlowe, agencje rozwoju biznesu, inkubatory biznesowe, parki t</w:t>
      </w:r>
      <w:r w:rsidR="004B6FAD" w:rsidRPr="002F1719">
        <w:rPr>
          <w:rFonts w:asciiTheme="minorHAnsi" w:hAnsiTheme="minorHAnsi" w:cstheme="minorHAnsi"/>
        </w:rPr>
        <w:t>echnologiczne i inne organizacj</w:t>
      </w:r>
      <w:r w:rsidRPr="002F1719">
        <w:rPr>
          <w:rFonts w:asciiTheme="minorHAnsi" w:hAnsiTheme="minorHAnsi" w:cstheme="minorHAnsi"/>
        </w:rPr>
        <w:t>e wspierania biznesu</w:t>
      </w:r>
    </w:p>
    <w:p w14:paraId="01FD2FA1"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szkoły, szkolnictwo wyższe i instytucje badawczo-rozwojowe</w:t>
      </w:r>
    </w:p>
    <w:p w14:paraId="6918E59D"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instytucje morskie i zarządy portów publicznych</w:t>
      </w:r>
    </w:p>
    <w:p w14:paraId="7B2DA5BB" w14:textId="77777777" w:rsidR="00CB6F9B" w:rsidRPr="000A48CD"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organizacje pozarządowe </w:t>
      </w:r>
    </w:p>
    <w:p w14:paraId="213BE4C8" w14:textId="1D9A05DB" w:rsidR="005C3123" w:rsidRDefault="00BB06E7"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Europejskie Ugrupowania Współpracy Terytorialnej</w:t>
      </w:r>
    </w:p>
    <w:p w14:paraId="38DF6F10" w14:textId="77777777" w:rsidR="005C3123" w:rsidRDefault="005C3123">
      <w:pPr>
        <w:spacing w:after="160" w:line="259" w:lineRule="auto"/>
        <w:ind w:left="0" w:right="0" w:firstLine="0"/>
        <w:rPr>
          <w:rFonts w:asciiTheme="minorHAnsi" w:hAnsiTheme="minorHAnsi" w:cstheme="minorHAnsi"/>
        </w:rPr>
      </w:pPr>
      <w:r>
        <w:rPr>
          <w:rFonts w:asciiTheme="minorHAnsi" w:hAnsiTheme="minorHAnsi" w:cstheme="minorHAnsi"/>
        </w:rPr>
        <w:br w:type="page"/>
      </w:r>
    </w:p>
    <w:p w14:paraId="692A9A3F" w14:textId="77777777" w:rsidR="005C3123" w:rsidRPr="005C3123" w:rsidRDefault="00810AF2" w:rsidP="00384D8D">
      <w:pPr>
        <w:pStyle w:val="ListParagraph"/>
        <w:numPr>
          <w:ilvl w:val="2"/>
          <w:numId w:val="11"/>
        </w:numPr>
        <w:ind w:left="450" w:hanging="450"/>
        <w:rPr>
          <w:rFonts w:asciiTheme="minorHAnsi" w:hAnsiTheme="minorHAnsi" w:cstheme="minorHAnsi"/>
        </w:rPr>
      </w:pPr>
      <w:r w:rsidRPr="005C3123">
        <w:rPr>
          <w:rFonts w:asciiTheme="minorHAnsi" w:hAnsiTheme="minorHAnsi" w:cstheme="minorHAnsi"/>
          <w:b/>
          <w:bCs/>
        </w:rPr>
        <w:t>Indykatywny</w:t>
      </w:r>
      <w:r w:rsidRPr="002F1719">
        <w:rPr>
          <w:rFonts w:asciiTheme="minorHAnsi" w:hAnsiTheme="minorHAnsi" w:cstheme="minorHAnsi"/>
          <w:b/>
        </w:rPr>
        <w:t xml:space="preserve"> podział zasobów programu UE według rodzaju interwencj</w:t>
      </w:r>
      <w:r w:rsidR="00F46BEE" w:rsidRPr="002F1719">
        <w:rPr>
          <w:rFonts w:asciiTheme="minorHAnsi" w:hAnsiTheme="minorHAnsi" w:cstheme="minorHAnsi"/>
          <w:b/>
        </w:rPr>
        <w:t xml:space="preserve">i </w:t>
      </w:r>
    </w:p>
    <w:p w14:paraId="2642E3E3" w14:textId="7936A5CE" w:rsidR="00CB6F9B" w:rsidRDefault="00810AF2" w:rsidP="005C3123">
      <w:pPr>
        <w:tabs>
          <w:tab w:val="center" w:pos="4425"/>
        </w:tabs>
        <w:spacing w:after="120" w:line="360" w:lineRule="auto"/>
        <w:ind w:left="0" w:right="792" w:firstLine="0"/>
        <w:jc w:val="both"/>
        <w:rPr>
          <w:rFonts w:asciiTheme="minorHAnsi" w:hAnsiTheme="minorHAnsi" w:cstheme="minorHAnsi"/>
        </w:rPr>
      </w:pPr>
      <w:r w:rsidRPr="005C3123">
        <w:rPr>
          <w:rFonts w:asciiTheme="minorHAnsi" w:hAnsiTheme="minorHAnsi" w:cstheme="minorHAnsi"/>
        </w:rPr>
        <w:t xml:space="preserve">Podstawa prawna: art. 17 ust. 3 lit. e) </w:t>
      </w:r>
      <w:proofErr w:type="spellStart"/>
      <w:r w:rsidRPr="005C3123">
        <w:rPr>
          <w:rFonts w:asciiTheme="minorHAnsi" w:hAnsiTheme="minorHAnsi" w:cstheme="minorHAnsi"/>
        </w:rPr>
        <w:t>ppkt</w:t>
      </w:r>
      <w:proofErr w:type="spellEnd"/>
      <w:r w:rsidRPr="005C3123">
        <w:rPr>
          <w:rFonts w:asciiTheme="minorHAnsi" w:hAnsiTheme="minorHAnsi" w:cstheme="minorHAnsi"/>
        </w:rPr>
        <w:t xml:space="preserve"> (vi), art. 17 ust. 9 lit. c) </w:t>
      </w:r>
      <w:proofErr w:type="spellStart"/>
      <w:r w:rsidRPr="005C3123">
        <w:rPr>
          <w:rFonts w:asciiTheme="minorHAnsi" w:hAnsiTheme="minorHAnsi" w:cstheme="minorHAnsi"/>
        </w:rPr>
        <w:t>ppkt</w:t>
      </w:r>
      <w:proofErr w:type="spellEnd"/>
      <w:r w:rsidRPr="005C3123">
        <w:rPr>
          <w:rFonts w:asciiTheme="minorHAnsi" w:hAnsiTheme="minorHAnsi" w:cstheme="minorHAnsi"/>
        </w:rPr>
        <w:t xml:space="preserve"> (v</w:t>
      </w:r>
      <w:r w:rsidR="00F46BEE" w:rsidRPr="005C3123">
        <w:rPr>
          <w:rFonts w:asciiTheme="minorHAnsi" w:hAnsiTheme="minorHAnsi" w:cstheme="minorHAnsi"/>
        </w:rPr>
        <w:t>)</w:t>
      </w:r>
    </w:p>
    <w:p w14:paraId="06D6D6B9" w14:textId="77777777" w:rsidR="005C3123" w:rsidRDefault="005C3123" w:rsidP="005C3123">
      <w:pPr>
        <w:pStyle w:val="Heading5"/>
      </w:pPr>
      <w:r w:rsidRPr="002F1719">
        <w:t>Tabela 4</w:t>
      </w:r>
      <w:r>
        <w:t xml:space="preserve"> </w:t>
      </w:r>
      <w:r w:rsidRPr="002F1719">
        <w:t>Wymiar 1 – zakres interwencji</w:t>
      </w:r>
    </w:p>
    <w:p w14:paraId="7AF8280F"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Nr Priorytetu 1</w:t>
      </w:r>
    </w:p>
    <w:p w14:paraId="1D25B1C6"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4A21C92D" w14:textId="1D48E66D"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Cel szczegółowy 1.</w:t>
      </w:r>
      <w:r>
        <w:rPr>
          <w:rFonts w:asciiTheme="minorHAnsi" w:hAnsiTheme="minorHAnsi" w:cstheme="minorHAnsi"/>
        </w:rPr>
        <w:t>3</w:t>
      </w:r>
    </w:p>
    <w:p w14:paraId="0D2FB1CC" w14:textId="2695C2EB"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21</w:t>
      </w:r>
    </w:p>
    <w:p w14:paraId="79C4888B" w14:textId="22E98154"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5C3123">
        <w:rPr>
          <w:rFonts w:asciiTheme="minorHAnsi" w:hAnsiTheme="minorHAnsi" w:cstheme="minorHAnsi"/>
        </w:rPr>
        <w:t>3 289 346,20</w:t>
      </w:r>
    </w:p>
    <w:p w14:paraId="03B7277F" w14:textId="7402DAB0"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28</w:t>
      </w:r>
    </w:p>
    <w:p w14:paraId="2472F54D" w14:textId="23D76F0C"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5C3123">
        <w:rPr>
          <w:rFonts w:asciiTheme="minorHAnsi" w:hAnsiTheme="minorHAnsi" w:cstheme="minorHAnsi"/>
        </w:rPr>
        <w:t>1 409 719,80</w:t>
      </w:r>
    </w:p>
    <w:p w14:paraId="3DDF3BDA" w14:textId="77777777" w:rsidR="005C3123" w:rsidRPr="00CD424E" w:rsidRDefault="005C3123" w:rsidP="005C3123">
      <w:pPr>
        <w:pStyle w:val="Heading5"/>
      </w:pPr>
      <w:r w:rsidRPr="002F1719">
        <w:t>Tabela 5 Wymiar 2 – forma finansowania</w:t>
      </w:r>
    </w:p>
    <w:p w14:paraId="3807F037"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Nr Priorytetu 1</w:t>
      </w:r>
    </w:p>
    <w:p w14:paraId="2397358A"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7AEDB483" w14:textId="1D6BF37A"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Cel szczegółowy 1.</w:t>
      </w:r>
      <w:r>
        <w:rPr>
          <w:rFonts w:asciiTheme="minorHAnsi" w:hAnsiTheme="minorHAnsi" w:cstheme="minorHAnsi"/>
        </w:rPr>
        <w:t>3</w:t>
      </w:r>
    </w:p>
    <w:p w14:paraId="0C330D70"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1D97414E" w14:textId="0FC6DA6A"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5C3123">
        <w:rPr>
          <w:rFonts w:asciiTheme="minorHAnsi" w:hAnsiTheme="minorHAnsi" w:cstheme="minorHAnsi"/>
        </w:rPr>
        <w:t>4 699 066,00</w:t>
      </w:r>
    </w:p>
    <w:p w14:paraId="4EB108FA" w14:textId="77777777" w:rsidR="005C3123" w:rsidRDefault="005C3123" w:rsidP="005C3123">
      <w:pPr>
        <w:pStyle w:val="Heading5"/>
      </w:pPr>
      <w:r w:rsidRPr="00CD424E">
        <w:t>Tabela 6</w:t>
      </w:r>
      <w:r>
        <w:t xml:space="preserve"> </w:t>
      </w:r>
      <w:r w:rsidRPr="00CD424E">
        <w:t>Wymiar 3 – mechanizm wkładu terytorialnego i ukierunkowanie terytorialne</w:t>
      </w:r>
    </w:p>
    <w:p w14:paraId="78B24F22"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Nr Priorytetu 1</w:t>
      </w:r>
    </w:p>
    <w:p w14:paraId="6B92D644"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7B32E5E9" w14:textId="08FFB4A8"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Cel szczegółowy 1.</w:t>
      </w:r>
      <w:r>
        <w:rPr>
          <w:rFonts w:asciiTheme="minorHAnsi" w:hAnsiTheme="minorHAnsi" w:cstheme="minorHAnsi"/>
        </w:rPr>
        <w:t>3</w:t>
      </w:r>
    </w:p>
    <w:p w14:paraId="6AAB1B8B" w14:textId="77777777"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33</w:t>
      </w:r>
    </w:p>
    <w:p w14:paraId="414CA619" w14:textId="128D428A" w:rsidR="005C3123" w:rsidRPr="000A48CD" w:rsidRDefault="005C3123" w:rsidP="005C3123">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5C3123">
        <w:rPr>
          <w:rFonts w:asciiTheme="minorHAnsi" w:hAnsiTheme="minorHAnsi" w:cstheme="minorHAnsi"/>
        </w:rPr>
        <w:t>4 699 066,00</w:t>
      </w:r>
    </w:p>
    <w:p w14:paraId="4083D655" w14:textId="1CC25685" w:rsidR="005C3123" w:rsidRDefault="005C3123" w:rsidP="005C3123">
      <w:pPr>
        <w:tabs>
          <w:tab w:val="center" w:pos="4425"/>
        </w:tabs>
        <w:spacing w:after="120" w:line="360" w:lineRule="auto"/>
        <w:ind w:left="0" w:right="792" w:firstLine="0"/>
        <w:jc w:val="both"/>
        <w:rPr>
          <w:rFonts w:asciiTheme="minorHAnsi" w:hAnsiTheme="minorHAnsi" w:cstheme="minorHAnsi"/>
        </w:rPr>
      </w:pPr>
    </w:p>
    <w:p w14:paraId="667DE569" w14:textId="77777777" w:rsidR="005C3123" w:rsidRPr="002F1719" w:rsidRDefault="005C3123" w:rsidP="005C3123">
      <w:pPr>
        <w:tabs>
          <w:tab w:val="center" w:pos="4425"/>
        </w:tabs>
        <w:spacing w:after="120" w:line="360" w:lineRule="auto"/>
        <w:ind w:left="0" w:right="792" w:firstLine="0"/>
        <w:jc w:val="both"/>
        <w:rPr>
          <w:rFonts w:asciiTheme="minorHAnsi" w:hAnsiTheme="minorHAnsi" w:cstheme="minorHAnsi"/>
        </w:rPr>
      </w:pPr>
    </w:p>
    <w:p w14:paraId="2CCED5BC" w14:textId="77777777" w:rsidR="00CB6F9B" w:rsidRPr="002F1719" w:rsidRDefault="00CB6F9B" w:rsidP="00CB6F9B">
      <w:pPr>
        <w:spacing w:after="0" w:line="259" w:lineRule="auto"/>
        <w:ind w:left="0" w:right="0" w:firstLine="0"/>
        <w:rPr>
          <w:rFonts w:asciiTheme="minorHAnsi" w:hAnsiTheme="minorHAnsi" w:cstheme="minorHAnsi"/>
        </w:rPr>
      </w:pPr>
    </w:p>
    <w:p w14:paraId="15EA4B6A" w14:textId="0D0BB7B9" w:rsidR="00CB6F9B" w:rsidRPr="005C3123" w:rsidRDefault="00CD5D13" w:rsidP="00384D8D">
      <w:pPr>
        <w:pStyle w:val="ListParagraph"/>
        <w:numPr>
          <w:ilvl w:val="1"/>
          <w:numId w:val="13"/>
        </w:numPr>
        <w:spacing w:after="218" w:line="259" w:lineRule="auto"/>
        <w:ind w:left="90" w:right="0"/>
        <w:rPr>
          <w:rFonts w:asciiTheme="minorHAnsi" w:hAnsiTheme="minorHAnsi" w:cstheme="minorHAnsi"/>
          <w:b/>
        </w:rPr>
      </w:pPr>
      <w:r w:rsidRPr="005C3123">
        <w:rPr>
          <w:rFonts w:asciiTheme="minorHAnsi" w:hAnsiTheme="minorHAnsi" w:cstheme="minorHAnsi"/>
          <w:b/>
        </w:rPr>
        <w:t xml:space="preserve">Priorytet 2 </w:t>
      </w:r>
    </w:p>
    <w:p w14:paraId="585BEB3C" w14:textId="7B39F6D3" w:rsidR="00CB6F9B" w:rsidRPr="002F1719" w:rsidRDefault="00810AF2" w:rsidP="00E87B3B">
      <w:pPr>
        <w:spacing w:after="120" w:line="360" w:lineRule="auto"/>
        <w:ind w:left="547" w:right="792" w:hanging="547"/>
        <w:rPr>
          <w:rFonts w:asciiTheme="minorHAnsi" w:hAnsiTheme="minorHAnsi" w:cstheme="minorHAnsi"/>
        </w:rPr>
      </w:pPr>
      <w:r w:rsidRPr="005C3123">
        <w:rPr>
          <w:rFonts w:asciiTheme="minorHAnsi" w:hAnsiTheme="minorHAnsi" w:cstheme="minorHAnsi"/>
        </w:rPr>
        <w:t>Podstawa prawna: art. 17 ust. 3 lit. d)</w:t>
      </w:r>
      <w:r w:rsidR="00CB6F9B" w:rsidRPr="005C3123">
        <w:rPr>
          <w:rFonts w:asciiTheme="minorHAnsi" w:hAnsiTheme="minorHAnsi" w:cstheme="minorHAnsi"/>
        </w:rPr>
        <w:t xml:space="preserve"> </w:t>
      </w:r>
    </w:p>
    <w:p w14:paraId="595C52CF" w14:textId="77777777" w:rsidR="00CB6F9B" w:rsidRPr="002F1719" w:rsidRDefault="00CB6F9B" w:rsidP="004A0FF2">
      <w:pPr>
        <w:pStyle w:val="Heading2"/>
        <w:numPr>
          <w:ilvl w:val="0"/>
          <w:numId w:val="0"/>
        </w:numPr>
        <w:ind w:left="365"/>
      </w:pPr>
      <w:r w:rsidRPr="002F1719">
        <w:t>OP 2 Zrównoważony Południowy Bałtyk – promowanie zrównoważonego rozwoju oraz niebieskiej i zielonej gospodarki</w:t>
      </w:r>
      <w:r w:rsidRPr="002F1719">
        <w:rPr>
          <w:i/>
        </w:rPr>
        <w:t xml:space="preserve"> </w:t>
      </w:r>
    </w:p>
    <w:p w14:paraId="7D9A50BD" w14:textId="0251D875" w:rsidR="00CB6F9B" w:rsidRPr="002F1719" w:rsidRDefault="00CD5D13" w:rsidP="00384D8D">
      <w:pPr>
        <w:pStyle w:val="ListParagraph"/>
        <w:numPr>
          <w:ilvl w:val="2"/>
          <w:numId w:val="13"/>
        </w:numPr>
        <w:spacing w:after="218" w:line="259" w:lineRule="auto"/>
        <w:ind w:left="0" w:right="0"/>
        <w:rPr>
          <w:rFonts w:asciiTheme="minorHAnsi" w:hAnsiTheme="minorHAnsi" w:cstheme="minorHAnsi"/>
        </w:rPr>
      </w:pPr>
      <w:r w:rsidRPr="002F1719">
        <w:rPr>
          <w:rFonts w:asciiTheme="minorHAnsi" w:hAnsiTheme="minorHAnsi" w:cstheme="minorHAnsi"/>
          <w:b/>
        </w:rPr>
        <w:t>Cel szczegółowy</w:t>
      </w:r>
      <w:r w:rsidRPr="002F1719">
        <w:rPr>
          <w:rFonts w:asciiTheme="minorHAnsi" w:hAnsiTheme="minorHAnsi" w:cstheme="minorHAnsi"/>
        </w:rPr>
        <w:t xml:space="preserve"> </w:t>
      </w:r>
    </w:p>
    <w:p w14:paraId="58B4D183" w14:textId="7AF01C94" w:rsidR="00CB6F9B" w:rsidRPr="00A751C5" w:rsidRDefault="00B20416" w:rsidP="0004656B">
      <w:pPr>
        <w:pStyle w:val="Heading3"/>
      </w:pPr>
      <w:r w:rsidRPr="00A751C5">
        <w:t>2.2 Wspieranie energii odnawialnej zgodnie z dyrektywą (UE) 2018/2001, w tym określonymi w niej kryteriami zrównoważonego rozwoju</w:t>
      </w:r>
    </w:p>
    <w:p w14:paraId="2BD682BB" w14:textId="5998F7A4" w:rsidR="00CB6F9B" w:rsidRPr="002F1719" w:rsidRDefault="00810AF2" w:rsidP="005C3123">
      <w:pPr>
        <w:spacing w:after="120" w:line="360" w:lineRule="auto"/>
        <w:ind w:left="540" w:right="792" w:hanging="540"/>
        <w:rPr>
          <w:rFonts w:asciiTheme="minorHAnsi" w:hAnsiTheme="minorHAnsi" w:cstheme="minorHAnsi"/>
        </w:rPr>
      </w:pPr>
      <w:r w:rsidRPr="005C3123">
        <w:rPr>
          <w:rFonts w:asciiTheme="minorHAnsi" w:hAnsiTheme="minorHAnsi" w:cstheme="minorHAnsi"/>
        </w:rPr>
        <w:t>Podstawa prawna: art. 17 ust. 3 lit. e)</w:t>
      </w:r>
      <w:r w:rsidR="00CB6F9B" w:rsidRPr="005C3123">
        <w:rPr>
          <w:rFonts w:asciiTheme="minorHAnsi" w:hAnsiTheme="minorHAnsi" w:cstheme="minorHAnsi"/>
        </w:rPr>
        <w:t xml:space="preserve"> </w:t>
      </w:r>
    </w:p>
    <w:p w14:paraId="46F04D6D" w14:textId="6C48D3BE" w:rsidR="00CD5D13" w:rsidRPr="002F1719" w:rsidRDefault="00810AF2" w:rsidP="00384D8D">
      <w:pPr>
        <w:pStyle w:val="ListParagraph"/>
        <w:numPr>
          <w:ilvl w:val="2"/>
          <w:numId w:val="13"/>
        </w:numPr>
        <w:spacing w:after="218" w:line="259" w:lineRule="auto"/>
        <w:ind w:left="0" w:right="0"/>
        <w:rPr>
          <w:rFonts w:asciiTheme="minorHAnsi" w:hAnsiTheme="minorHAnsi" w:cstheme="minorHAnsi"/>
          <w:b/>
          <w:iCs/>
        </w:rPr>
      </w:pPr>
      <w:r w:rsidRPr="002F1719">
        <w:rPr>
          <w:rFonts w:asciiTheme="minorHAnsi" w:hAnsiTheme="minorHAnsi" w:cstheme="minorHAnsi"/>
          <w:b/>
        </w:rPr>
        <w:t>Powiązane rodzaje działań oraz ich oczekiwany wkład w realizację wspomnianych celów szczegółowych oraz w stosownych przypadkach, strategii makroregionalnych i strategii na rzecz basenu morskiego</w:t>
      </w:r>
      <w:r w:rsidR="00CD5D13" w:rsidRPr="002F1719">
        <w:rPr>
          <w:rFonts w:asciiTheme="minorHAnsi" w:hAnsiTheme="minorHAnsi" w:cstheme="minorHAnsi"/>
          <w:b/>
        </w:rPr>
        <w:t xml:space="preserve"> </w:t>
      </w:r>
    </w:p>
    <w:p w14:paraId="5F62083D" w14:textId="115A7C41" w:rsidR="00CB6F9B" w:rsidRPr="002F1719" w:rsidRDefault="00CB6F9B" w:rsidP="00CD5D13">
      <w:pPr>
        <w:spacing w:after="227" w:line="249" w:lineRule="auto"/>
        <w:ind w:left="1601" w:right="0" w:firstLine="0"/>
        <w:rPr>
          <w:rFonts w:asciiTheme="minorHAnsi" w:hAnsiTheme="minorHAnsi" w:cstheme="minorHAnsi"/>
        </w:rPr>
      </w:pPr>
    </w:p>
    <w:p w14:paraId="4EE2F0DD" w14:textId="30C99186" w:rsidR="00CB6F9B" w:rsidRPr="00A751C5" w:rsidRDefault="00810AF2" w:rsidP="00A751C5">
      <w:pPr>
        <w:spacing w:after="120" w:line="360" w:lineRule="auto"/>
        <w:ind w:left="0" w:right="792" w:firstLine="0"/>
        <w:rPr>
          <w:rFonts w:asciiTheme="minorHAnsi" w:hAnsiTheme="minorHAnsi" w:cstheme="minorHAnsi"/>
        </w:rPr>
      </w:pPr>
      <w:r w:rsidRPr="00A751C5">
        <w:rPr>
          <w:rFonts w:asciiTheme="minorHAnsi" w:hAnsiTheme="minorHAnsi" w:cstheme="minorHAnsi"/>
        </w:rPr>
        <w:t xml:space="preserve">Podstawa prawna: art. 17 ust. 3 lit. e)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(i), art. 17 ust. 9 lit. c)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(ii)</w:t>
      </w:r>
      <w:r w:rsidR="00CB6F9B" w:rsidRPr="00A751C5">
        <w:rPr>
          <w:rFonts w:asciiTheme="minorHAnsi" w:hAnsiTheme="minorHAnsi" w:cstheme="minorHAnsi"/>
        </w:rPr>
        <w:t xml:space="preserve"> </w:t>
      </w:r>
    </w:p>
    <w:p w14:paraId="733F2CEB" w14:textId="702CDDDA" w:rsidR="00CB6F9B" w:rsidRPr="00A751C5" w:rsidRDefault="00CB6F9B" w:rsidP="00A751C5">
      <w:pPr>
        <w:spacing w:after="120" w:line="360" w:lineRule="auto"/>
        <w:ind w:left="0" w:right="792" w:firstLine="0"/>
        <w:rPr>
          <w:rFonts w:asciiTheme="minorHAnsi" w:hAnsiTheme="minorHAnsi" w:cstheme="minorHAnsi"/>
        </w:rPr>
      </w:pPr>
      <w:r w:rsidRPr="00A751C5">
        <w:rPr>
          <w:rFonts w:asciiTheme="minorHAnsi" w:hAnsiTheme="minorHAnsi" w:cstheme="minorHAnsi"/>
        </w:rPr>
        <w:t xml:space="preserve">Działanie Programu 2.1: </w:t>
      </w:r>
      <w:r w:rsidR="00BB06E7" w:rsidRPr="00A751C5">
        <w:rPr>
          <w:rFonts w:asciiTheme="minorHAnsi" w:hAnsiTheme="minorHAnsi" w:cstheme="minorHAnsi"/>
        </w:rPr>
        <w:t>Wsparcie</w:t>
      </w:r>
      <w:r w:rsidRPr="00A751C5">
        <w:rPr>
          <w:rFonts w:asciiTheme="minorHAnsi" w:hAnsiTheme="minorHAnsi" w:cstheme="minorHAnsi"/>
        </w:rPr>
        <w:t xml:space="preserve"> przejścia na zieloną energię</w:t>
      </w:r>
    </w:p>
    <w:p w14:paraId="59AB1D05" w14:textId="77777777" w:rsidR="00CB6F9B" w:rsidRPr="002F1719" w:rsidRDefault="00CB6F9B" w:rsidP="00A751C5">
      <w:pPr>
        <w:spacing w:after="120" w:line="360" w:lineRule="auto"/>
        <w:ind w:left="0" w:right="792" w:firstLine="0"/>
        <w:rPr>
          <w:rFonts w:asciiTheme="minorHAnsi" w:hAnsiTheme="minorHAnsi" w:cstheme="minorHAnsi"/>
        </w:rPr>
      </w:pPr>
      <w:r w:rsidRPr="002F1719">
        <w:rPr>
          <w:rFonts w:asciiTheme="minorHAnsi" w:hAnsiTheme="minorHAnsi" w:cstheme="minorHAnsi"/>
        </w:rPr>
        <w:t>Nie ma wątpliwości, że Obszar Południowego Bałtyku dysponuje ogromnym potencjałem w zakresie sektorów zielonych technologii (zwłaszcza zielonej energii). Sektory te mogą się szybko rozwijać dzięki współpracy między organami publicznymi, MŚP, przemysłem wytwórczym i instytucjami badawczo-rozwojowymi.</w:t>
      </w:r>
    </w:p>
    <w:p w14:paraId="14852727" w14:textId="04198E92" w:rsidR="00CB6F9B" w:rsidRPr="002F1719" w:rsidRDefault="00CB6F9B" w:rsidP="00A751C5">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Ponadto warunki geograficzne </w:t>
      </w:r>
      <w:r w:rsidR="00A3526E" w:rsidRPr="00A751C5">
        <w:rPr>
          <w:rFonts w:asciiTheme="minorHAnsi" w:hAnsiTheme="minorHAnsi" w:cstheme="minorHAnsi"/>
        </w:rPr>
        <w:t>Obszaru Południowego Bałtyku</w:t>
      </w:r>
      <w:r w:rsidRPr="002F1719">
        <w:rPr>
          <w:rFonts w:asciiTheme="minorHAnsi" w:hAnsiTheme="minorHAnsi" w:cstheme="minorHAnsi"/>
        </w:rPr>
        <w:t xml:space="preserve"> oznaczają, że poszczególne regiony mogą znacznie efektywniej wykorzystywać odnawialne źródła energii (zwłaszcza energię wiatrową i biomasę). Chociaż niektóre regiony już chętniej korzystają z tego typu źródeł energii, nadal istnieje wiele możliwości udoskonaleń w tym zakresie. Podjęcie przez poszczególne kraje i regiony większych </w:t>
      </w:r>
      <w:r w:rsidR="00654A21" w:rsidRPr="002F1719">
        <w:rPr>
          <w:rFonts w:asciiTheme="minorHAnsi" w:hAnsiTheme="minorHAnsi" w:cstheme="minorHAnsi"/>
        </w:rPr>
        <w:t>starań</w:t>
      </w:r>
      <w:r w:rsidRPr="002F1719">
        <w:rPr>
          <w:rFonts w:asciiTheme="minorHAnsi" w:hAnsiTheme="minorHAnsi" w:cstheme="minorHAnsi"/>
        </w:rPr>
        <w:t xml:space="preserve"> na rzecz zwiększenia produkcji czystej energii oraz jej bezpiecznego magazynowania i dystrybucji może stanowić jeden z najważniejszych elementów w kontekście usytuowania </w:t>
      </w:r>
      <w:r w:rsidR="00A3526E" w:rsidRPr="002F1719">
        <w:rPr>
          <w:rFonts w:asciiTheme="minorHAnsi" w:hAnsiTheme="minorHAnsi" w:cstheme="minorHAnsi"/>
        </w:rPr>
        <w:t>Obszaru</w:t>
      </w:r>
      <w:r w:rsidRPr="002F1719">
        <w:rPr>
          <w:rFonts w:asciiTheme="minorHAnsi" w:hAnsiTheme="minorHAnsi" w:cstheme="minorHAnsi"/>
        </w:rPr>
        <w:t xml:space="preserve"> jako lidera w dziedzinie niebieskiej i zielonej gospodarki. Może to również wzmocnić lokalne (wiejskie) gospodarki, np. </w:t>
      </w:r>
      <w:r w:rsidR="00654A21" w:rsidRPr="002F1719">
        <w:rPr>
          <w:rFonts w:asciiTheme="minorHAnsi" w:hAnsiTheme="minorHAnsi" w:cstheme="minorHAnsi"/>
        </w:rPr>
        <w:t>dzięki</w:t>
      </w:r>
      <w:r w:rsidRPr="002F1719">
        <w:rPr>
          <w:rFonts w:asciiTheme="minorHAnsi" w:hAnsiTheme="minorHAnsi" w:cstheme="minorHAnsi"/>
        </w:rPr>
        <w:t xml:space="preserve"> zwiększon</w:t>
      </w:r>
      <w:r w:rsidR="00654A21" w:rsidRPr="002F1719">
        <w:rPr>
          <w:rFonts w:asciiTheme="minorHAnsi" w:hAnsiTheme="minorHAnsi" w:cstheme="minorHAnsi"/>
        </w:rPr>
        <w:t>ej</w:t>
      </w:r>
      <w:r w:rsidRPr="002F1719">
        <w:rPr>
          <w:rFonts w:asciiTheme="minorHAnsi" w:hAnsiTheme="minorHAnsi" w:cstheme="minorHAnsi"/>
        </w:rPr>
        <w:t xml:space="preserve"> stop</w:t>
      </w:r>
      <w:r w:rsidR="00654A21" w:rsidRPr="002F1719">
        <w:rPr>
          <w:rFonts w:asciiTheme="minorHAnsi" w:hAnsiTheme="minorHAnsi" w:cstheme="minorHAnsi"/>
        </w:rPr>
        <w:t>ie</w:t>
      </w:r>
      <w:r w:rsidRPr="002F1719">
        <w:rPr>
          <w:rFonts w:asciiTheme="minorHAnsi" w:hAnsiTheme="minorHAnsi" w:cstheme="minorHAnsi"/>
        </w:rPr>
        <w:t xml:space="preserve"> zatrudnienia w związku z produkcją energii odnawialnej, zmniejszon</w:t>
      </w:r>
      <w:r w:rsidR="00654A21" w:rsidRPr="002F1719">
        <w:rPr>
          <w:rFonts w:asciiTheme="minorHAnsi" w:hAnsiTheme="minorHAnsi" w:cstheme="minorHAnsi"/>
        </w:rPr>
        <w:t>emu</w:t>
      </w:r>
      <w:r w:rsidRPr="002F1719">
        <w:rPr>
          <w:rFonts w:asciiTheme="minorHAnsi" w:hAnsiTheme="minorHAnsi" w:cstheme="minorHAnsi"/>
        </w:rPr>
        <w:t xml:space="preserve"> wpływ</w:t>
      </w:r>
      <w:r w:rsidR="00654A21" w:rsidRPr="002F1719">
        <w:rPr>
          <w:rFonts w:asciiTheme="minorHAnsi" w:hAnsiTheme="minorHAnsi" w:cstheme="minorHAnsi"/>
        </w:rPr>
        <w:t>owi</w:t>
      </w:r>
      <w:r w:rsidRPr="002F1719">
        <w:rPr>
          <w:rFonts w:asciiTheme="minorHAnsi" w:hAnsiTheme="minorHAnsi" w:cstheme="minorHAnsi"/>
        </w:rPr>
        <w:t xml:space="preserve"> na klimat oraz bardziej odporne</w:t>
      </w:r>
      <w:r w:rsidR="00465888" w:rsidRPr="002F1719">
        <w:rPr>
          <w:rFonts w:asciiTheme="minorHAnsi" w:hAnsiTheme="minorHAnsi" w:cstheme="minorHAnsi"/>
        </w:rPr>
        <w:t>mu</w:t>
      </w:r>
      <w:r w:rsidRPr="002F1719">
        <w:rPr>
          <w:rFonts w:asciiTheme="minorHAnsi" w:hAnsiTheme="minorHAnsi" w:cstheme="minorHAnsi"/>
        </w:rPr>
        <w:t xml:space="preserve"> i samowystarczalne</w:t>
      </w:r>
      <w:r w:rsidR="00465888" w:rsidRPr="002F1719">
        <w:rPr>
          <w:rFonts w:asciiTheme="minorHAnsi" w:hAnsiTheme="minorHAnsi" w:cstheme="minorHAnsi"/>
        </w:rPr>
        <w:t>mu</w:t>
      </w:r>
      <w:r w:rsidRPr="002F1719">
        <w:rPr>
          <w:rFonts w:asciiTheme="minorHAnsi" w:hAnsiTheme="minorHAnsi" w:cstheme="minorHAnsi"/>
        </w:rPr>
        <w:t xml:space="preserve"> społeczeństw</w:t>
      </w:r>
      <w:r w:rsidR="00465888" w:rsidRPr="002F1719">
        <w:rPr>
          <w:rFonts w:asciiTheme="minorHAnsi" w:hAnsiTheme="minorHAnsi" w:cstheme="minorHAnsi"/>
        </w:rPr>
        <w:t>u</w:t>
      </w:r>
      <w:r w:rsidRPr="002F1719">
        <w:rPr>
          <w:rFonts w:asciiTheme="minorHAnsi" w:hAnsiTheme="minorHAnsi" w:cstheme="minorHAnsi"/>
        </w:rPr>
        <w:t xml:space="preserve">. W szczególności relatywnie niski poziom współpracy w tym zakresie obecnie oznacza, że w tym kontekście istnieje znaczny potencjał. Współpraca transgraniczna w celu </w:t>
      </w:r>
      <w:r w:rsidR="00465888" w:rsidRPr="002F1719">
        <w:rPr>
          <w:rFonts w:asciiTheme="minorHAnsi" w:hAnsiTheme="minorHAnsi" w:cstheme="minorHAnsi"/>
        </w:rPr>
        <w:t>zwiększenia</w:t>
      </w:r>
      <w:r w:rsidRPr="002F1719">
        <w:rPr>
          <w:rFonts w:asciiTheme="minorHAnsi" w:hAnsiTheme="minorHAnsi" w:cstheme="minorHAnsi"/>
        </w:rPr>
        <w:t xml:space="preserve"> świadomości na temat konieczności opracowania zrównoważonych rozwiązań energetycznych (w tym bezpiecznego i wydajnego magazynowania i dystrybucji energii) mogłaby jeszcze bardziej pomóc we wdrażaniu transformacji energetycznych.</w:t>
      </w:r>
    </w:p>
    <w:p w14:paraId="1A8FE55A" w14:textId="3FE09D8B" w:rsidR="00A065C2" w:rsidRPr="002F1719" w:rsidRDefault="00A065C2" w:rsidP="00A751C5">
      <w:pPr>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w:t>
      </w:r>
      <w:r w:rsidR="00810AF2" w:rsidRPr="002F1719">
        <w:rPr>
          <w:rFonts w:asciiTheme="minorHAnsi" w:hAnsiTheme="minorHAnsi" w:cstheme="minorHAnsi"/>
        </w:rPr>
        <w:t>, gdy jest to uzasadnione</w:t>
      </w:r>
      <w:r w:rsidRPr="002F1719">
        <w:rPr>
          <w:rFonts w:asciiTheme="minorHAnsi" w:hAnsiTheme="minorHAnsi" w:cstheme="minorHAnsi"/>
        </w:rPr>
        <w:t>.</w:t>
      </w:r>
    </w:p>
    <w:p w14:paraId="533BD0F1" w14:textId="77777777" w:rsidR="00CB6F9B" w:rsidRPr="002F1719" w:rsidRDefault="00CB6F9B" w:rsidP="00A751C5">
      <w:pPr>
        <w:spacing w:after="120" w:line="360" w:lineRule="auto"/>
        <w:ind w:left="0" w:right="792" w:firstLine="0"/>
        <w:rPr>
          <w:rFonts w:asciiTheme="minorHAnsi" w:hAnsiTheme="minorHAnsi" w:cstheme="minorHAnsi"/>
        </w:rPr>
      </w:pPr>
      <w:r w:rsidRPr="002F1719">
        <w:rPr>
          <w:rFonts w:asciiTheme="minorHAnsi" w:hAnsiTheme="minorHAnsi" w:cstheme="minorHAnsi"/>
        </w:rPr>
        <w:t>Przykładowe działania</w:t>
      </w:r>
    </w:p>
    <w:p w14:paraId="38CB9C38"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wspieranie obszarów wspólnej współpracy dotyczących polityki energetycznej, np. wspólne opracowanie strategii, wspólne badania transgraniczne, plany działania i wspólny rozwój narzędzi harmonizacji, plany rozwoju przestrzennego itp.,</w:t>
      </w:r>
    </w:p>
    <w:p w14:paraId="7634F50B" w14:textId="5891554D"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demonstrowanie i wdrażanie rozwiązań w zakresie zielonej energii w produkcji, dystrybucji i magazynowaniu energii ze źródeł odnawialnych (np. energia fal, energia słoneczna, biomasa (również dla paliw, ogrzewania i biogazu), energia geotermalna itp.), przy jednoczesnym zachowaniu równowagi z wymogami ochrony środowiska i przepisów (np. DRSM),</w:t>
      </w:r>
    </w:p>
    <w:p w14:paraId="68A9ABFE" w14:textId="67E419A6"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i testowanie innowacyjnych, stosownych rozwiązań transgranicznych mających na celu poprawę i dostosowanie sieci energetycznych do specyfiki energii odnawialnej (np. rozwój lub reorganizacja lub integracja inteligentnych sieci itp.),</w:t>
      </w:r>
    </w:p>
    <w:p w14:paraId="503818FF"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promowanie wykorzystania zielonej energii (np. w pojazdach) i wspieranie tworzenia nowych rynków,</w:t>
      </w:r>
    </w:p>
    <w:p w14:paraId="1323D3CB"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opracowanie strategii i wzorców zielonej polityki w celu wyzwaniom i mobilizacji regionalnych możliwości w zakresie energii odnawialnej, w tym modeli współpracy z przedsiębiorstwami świadczącymi usługi energetyczne nad kompleksowymi rozwiązaniami energetycznymi,</w:t>
      </w:r>
    </w:p>
    <w:p w14:paraId="6080CE76"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i testowanie wspólnych standardów transgranicznych w dziedzinie energii odnawialnej przez podmioty publiczne we współpracy z uniwersytetami, ośrodkami badawczymi, przedsiębiorstwami i spółdzielniami rolników i mieszkańców,</w:t>
      </w:r>
    </w:p>
    <w:p w14:paraId="487D7C27"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działania na rzecz budowania potencjału, transfer wiedzy i wymiana najlepszych praktyk w zakresie zielonej energii, rozwiązania w zakresie zielonych technologii (w tym sposoby dystrybucji i magazynowania zielonej energii).</w:t>
      </w:r>
    </w:p>
    <w:p w14:paraId="4DF39CD2" w14:textId="2E3B2190" w:rsidR="00CB6F9B" w:rsidRPr="002F1719" w:rsidRDefault="00CB6F9B" w:rsidP="00CB6F9B">
      <w:pPr>
        <w:ind w:left="0" w:firstLine="0"/>
        <w:rPr>
          <w:rFonts w:asciiTheme="minorHAnsi" w:hAnsiTheme="minorHAnsi" w:cstheme="minorHAnsi"/>
        </w:rPr>
      </w:pPr>
      <w:r w:rsidRPr="002F1719">
        <w:rPr>
          <w:rFonts w:asciiTheme="minorHAnsi" w:hAnsiTheme="minorHAnsi" w:cstheme="minorHAnsi"/>
        </w:rPr>
        <w:t>Wkład w wybrany cel szczegółowy</w:t>
      </w:r>
    </w:p>
    <w:p w14:paraId="15D4137C" w14:textId="219C099B" w:rsidR="00CB6F9B" w:rsidRPr="002F1719" w:rsidRDefault="00CB6F9B" w:rsidP="00CB6F9B">
      <w:pPr>
        <w:ind w:left="0" w:firstLine="0"/>
        <w:jc w:val="both"/>
        <w:rPr>
          <w:rFonts w:asciiTheme="minorHAnsi" w:hAnsiTheme="minorHAnsi" w:cstheme="minorHAnsi"/>
        </w:rPr>
      </w:pPr>
      <w:r w:rsidRPr="002F1719">
        <w:rPr>
          <w:rFonts w:asciiTheme="minorHAnsi" w:hAnsiTheme="minorHAnsi" w:cstheme="minorHAnsi"/>
        </w:rPr>
        <w:t xml:space="preserve">Działanie </w:t>
      </w:r>
      <w:r w:rsidR="00482D8C" w:rsidRPr="002F1719">
        <w:rPr>
          <w:rFonts w:asciiTheme="minorHAnsi" w:hAnsiTheme="minorHAnsi" w:cstheme="minorHAnsi"/>
        </w:rPr>
        <w:t>to</w:t>
      </w:r>
      <w:r w:rsidRPr="002F1719">
        <w:rPr>
          <w:rFonts w:asciiTheme="minorHAnsi" w:hAnsiTheme="minorHAnsi" w:cstheme="minorHAnsi"/>
        </w:rPr>
        <w:t xml:space="preserve"> stwarza możliwości prowadzenia różnych projektów mających na celu realizację Celu Szczegółowego 2.2 </w:t>
      </w:r>
      <w:r w:rsidRPr="00A751C5">
        <w:rPr>
          <w:rFonts w:asciiTheme="minorHAnsi" w:hAnsiTheme="minorHAnsi" w:cstheme="minorHAnsi"/>
        </w:rPr>
        <w:t>Promowanie energii odnawialnej zgodnie z dyrektywą w sprawie odnawialnych źródeł energii (UE) 2018/2001, w tym określonymi w niej kryteriami zrównoważonego rozwoju</w:t>
      </w:r>
      <w:r w:rsidRPr="002F1719">
        <w:rPr>
          <w:rFonts w:asciiTheme="minorHAnsi" w:hAnsiTheme="minorHAnsi" w:cstheme="minorHAnsi"/>
        </w:rPr>
        <w:t xml:space="preserve">. Umożliwi to opracowanie i wprowadzenie rozwiązań wspierających przejście na zielone i odnawialne źródła energii. </w:t>
      </w:r>
    </w:p>
    <w:p w14:paraId="03FC44CE" w14:textId="77777777" w:rsidR="00CB6F9B" w:rsidRPr="002F1719" w:rsidRDefault="00CB6F9B" w:rsidP="00CB6F9B">
      <w:pPr>
        <w:ind w:left="0" w:firstLine="0"/>
        <w:jc w:val="both"/>
        <w:rPr>
          <w:rFonts w:asciiTheme="minorHAnsi" w:hAnsiTheme="minorHAnsi" w:cstheme="minorHAnsi"/>
        </w:rPr>
      </w:pPr>
      <w:r w:rsidRPr="002F1719">
        <w:rPr>
          <w:rFonts w:asciiTheme="minorHAnsi" w:hAnsiTheme="minorHAnsi" w:cstheme="minorHAnsi"/>
        </w:rPr>
        <w:t>Wkład w strategię UE dla Regionu Morza Bałtyckiego</w:t>
      </w:r>
    </w:p>
    <w:p w14:paraId="7FE8549F" w14:textId="07EDB592" w:rsidR="00CB6F9B" w:rsidRPr="002F1719" w:rsidRDefault="00CB6F9B" w:rsidP="00CB6F9B">
      <w:pPr>
        <w:ind w:left="0" w:firstLine="0"/>
        <w:jc w:val="both"/>
        <w:rPr>
          <w:rFonts w:asciiTheme="minorHAnsi" w:hAnsiTheme="minorHAnsi" w:cstheme="minorHAnsi"/>
        </w:rPr>
      </w:pPr>
      <w:r w:rsidRPr="002F1719">
        <w:rPr>
          <w:rFonts w:asciiTheme="minorHAnsi" w:hAnsiTheme="minorHAnsi" w:cstheme="minorHAnsi"/>
        </w:rPr>
        <w:t xml:space="preserve">Działanie 2.1. </w:t>
      </w:r>
      <w:r w:rsidR="00BB06E7" w:rsidRPr="00A751C5">
        <w:rPr>
          <w:rFonts w:asciiTheme="minorHAnsi" w:hAnsiTheme="minorHAnsi" w:cstheme="minorHAnsi"/>
        </w:rPr>
        <w:t>Wsparcie</w:t>
      </w:r>
      <w:r w:rsidRPr="00A751C5">
        <w:rPr>
          <w:rFonts w:asciiTheme="minorHAnsi" w:hAnsiTheme="minorHAnsi" w:cstheme="minorHAnsi"/>
        </w:rPr>
        <w:t xml:space="preserve"> przejścia na zieloną energię</w:t>
      </w:r>
      <w:r w:rsidRPr="002F1719">
        <w:rPr>
          <w:rFonts w:asciiTheme="minorHAnsi" w:hAnsiTheme="minorHAnsi" w:cstheme="minorHAnsi"/>
        </w:rPr>
        <w:t xml:space="preserve"> jest silnie powiązane z OP Energia i dedykowane projekt</w:t>
      </w:r>
      <w:r w:rsidR="00C02160" w:rsidRPr="002F1719">
        <w:rPr>
          <w:rFonts w:asciiTheme="minorHAnsi" w:hAnsiTheme="minorHAnsi" w:cstheme="minorHAnsi"/>
        </w:rPr>
        <w:t>om</w:t>
      </w:r>
      <w:r w:rsidRPr="002F1719">
        <w:rPr>
          <w:rFonts w:asciiTheme="minorHAnsi" w:hAnsiTheme="minorHAnsi" w:cstheme="minorHAnsi"/>
        </w:rPr>
        <w:t xml:space="preserve"> dotyczący</w:t>
      </w:r>
      <w:r w:rsidR="00C02160" w:rsidRPr="002F1719">
        <w:rPr>
          <w:rFonts w:asciiTheme="minorHAnsi" w:hAnsiTheme="minorHAnsi" w:cstheme="minorHAnsi"/>
        </w:rPr>
        <w:t>m</w:t>
      </w:r>
      <w:r w:rsidRPr="002F1719">
        <w:rPr>
          <w:rFonts w:asciiTheme="minorHAnsi" w:hAnsiTheme="minorHAnsi" w:cstheme="minorHAnsi"/>
        </w:rPr>
        <w:t xml:space="preserve"> opracowywania, demonstrowania i wdrażania rozwiązań w zakresie zielonej energii w produkcji i magazynowaniu energii, a także opracowywania strategii zielonej polityki. Ma ono na celu ułatwienie i popularyzację wykorzystania alternatywnych źródeł energii, takich jak wiatr, energia słoneczna, biomasa, woda i inne odnawialne źródła energii, dlatego można ustanowić powiązania z OP </w:t>
      </w:r>
      <w:proofErr w:type="spellStart"/>
      <w:r w:rsidRPr="002F1719">
        <w:rPr>
          <w:rFonts w:asciiTheme="minorHAnsi" w:hAnsiTheme="minorHAnsi" w:cstheme="minorHAnsi"/>
        </w:rPr>
        <w:t>Biogospodarka</w:t>
      </w:r>
      <w:proofErr w:type="spellEnd"/>
      <w:r w:rsidRPr="002F1719">
        <w:rPr>
          <w:rFonts w:asciiTheme="minorHAnsi" w:hAnsiTheme="minorHAnsi" w:cstheme="minorHAnsi"/>
        </w:rPr>
        <w:t xml:space="preserve"> jak również OP Transport.</w:t>
      </w:r>
    </w:p>
    <w:p w14:paraId="0551FACE" w14:textId="15D2048F" w:rsidR="00CB6F9B" w:rsidRPr="002F1719" w:rsidRDefault="00CD5D13" w:rsidP="00384D8D">
      <w:pPr>
        <w:pStyle w:val="ListParagraph"/>
        <w:numPr>
          <w:ilvl w:val="2"/>
          <w:numId w:val="13"/>
        </w:numPr>
        <w:spacing w:after="218" w:line="259" w:lineRule="auto"/>
        <w:ind w:left="0" w:right="0"/>
        <w:rPr>
          <w:rFonts w:asciiTheme="minorHAnsi" w:hAnsiTheme="minorHAnsi" w:cstheme="minorHAnsi"/>
        </w:rPr>
      </w:pPr>
      <w:r w:rsidRPr="002F1719">
        <w:rPr>
          <w:rFonts w:asciiTheme="minorHAnsi" w:hAnsiTheme="minorHAnsi" w:cstheme="minorHAnsi"/>
          <w:b/>
        </w:rPr>
        <w:t xml:space="preserve">Wskaźniki </w:t>
      </w:r>
    </w:p>
    <w:p w14:paraId="350F533B" w14:textId="21D7FFF8" w:rsidR="00CB6F9B" w:rsidRDefault="00810AF2" w:rsidP="00CB6F9B">
      <w:pPr>
        <w:spacing w:after="450" w:line="265" w:lineRule="auto"/>
        <w:ind w:left="-5" w:right="0" w:hanging="10"/>
        <w:rPr>
          <w:rFonts w:asciiTheme="minorHAnsi" w:hAnsiTheme="minorHAnsi" w:cstheme="minorHAnsi"/>
        </w:rPr>
      </w:pPr>
      <w:r w:rsidRPr="00A751C5">
        <w:rPr>
          <w:rFonts w:asciiTheme="minorHAnsi" w:hAnsiTheme="minorHAnsi" w:cstheme="minorHAnsi"/>
        </w:rPr>
        <w:t xml:space="preserve">Podstawa prawna: art. 17 ust. 3 lit. e)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(ii), art. 17 ust. 9 lit. c)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(iii)</w:t>
      </w:r>
      <w:r w:rsidR="00CB6F9B" w:rsidRPr="00A751C5">
        <w:rPr>
          <w:rFonts w:asciiTheme="minorHAnsi" w:hAnsiTheme="minorHAnsi" w:cstheme="minorHAnsi"/>
        </w:rPr>
        <w:t xml:space="preserve"> </w:t>
      </w:r>
    </w:p>
    <w:p w14:paraId="150C8C0F" w14:textId="77777777" w:rsidR="00A751C5" w:rsidRDefault="00A751C5" w:rsidP="00A751C5">
      <w:pPr>
        <w:pStyle w:val="Heading5"/>
      </w:pPr>
      <w:r w:rsidRPr="002F1719">
        <w:t>Tabela 2</w:t>
      </w:r>
      <w:r>
        <w:t xml:space="preserve"> </w:t>
      </w:r>
      <w:r w:rsidRPr="002F1719">
        <w:t>Wskaźniki produktu</w:t>
      </w:r>
    </w:p>
    <w:p w14:paraId="1D65D7C5" w14:textId="6AF57C2E"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Priorytet </w:t>
      </w:r>
      <w:r>
        <w:rPr>
          <w:rFonts w:asciiTheme="minorHAnsi" w:hAnsiTheme="minorHAnsi" w:cstheme="minorHAnsi"/>
        </w:rPr>
        <w:t>2</w:t>
      </w:r>
    </w:p>
    <w:p w14:paraId="67135C82" w14:textId="3EE47C88"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szczegółowy </w:t>
      </w:r>
      <w:r>
        <w:rPr>
          <w:rFonts w:asciiTheme="minorHAnsi" w:hAnsiTheme="minorHAnsi" w:cstheme="minorHAnsi"/>
        </w:rPr>
        <w:t>2.2</w:t>
      </w:r>
    </w:p>
    <w:p w14:paraId="6CD0CD0D" w14:textId="78FEB783"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8</w:t>
      </w:r>
      <w:r>
        <w:rPr>
          <w:rFonts w:asciiTheme="minorHAnsi" w:hAnsiTheme="minorHAnsi" w:cstheme="minorHAnsi"/>
        </w:rPr>
        <w:t>4</w:t>
      </w:r>
    </w:p>
    <w:p w14:paraId="21576628" w14:textId="55D20E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A751C5">
        <w:rPr>
          <w:rFonts w:asciiTheme="minorHAnsi" w:hAnsiTheme="minorHAnsi" w:cstheme="minorHAnsi"/>
        </w:rPr>
        <w:t>Działania pilotażowe opracowane wspólnie i wdrażane w ramach projektów</w:t>
      </w:r>
    </w:p>
    <w:p w14:paraId="30F6DEE1" w14:textId="742F8F76"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Jednostka miary [255] </w:t>
      </w:r>
      <w:r w:rsidRPr="00A751C5">
        <w:rPr>
          <w:rFonts w:asciiTheme="minorHAnsi" w:hAnsiTheme="minorHAnsi" w:cstheme="minorHAnsi"/>
        </w:rPr>
        <w:t>Liczba działań pilotażowych</w:t>
      </w:r>
    </w:p>
    <w:p w14:paraId="09D1291F" w14:textId="777777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38233366" w14:textId="07649D88"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21</w:t>
      </w:r>
    </w:p>
    <w:p w14:paraId="39779F2E" w14:textId="777777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3D227A5B" w14:textId="777777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116</w:t>
      </w:r>
    </w:p>
    <w:p w14:paraId="6EBCDC4F" w14:textId="777777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opracowane rozwiązania</w:t>
      </w:r>
    </w:p>
    <w:p w14:paraId="5E5CA813" w14:textId="777777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23A8D7F7" w14:textId="77777777"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1F71EA43" w14:textId="304ABDDF" w:rsidR="00A751C5" w:rsidRPr="00293553"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29</w:t>
      </w:r>
    </w:p>
    <w:p w14:paraId="7034C369" w14:textId="77777777" w:rsidR="00A751C5" w:rsidRPr="002F1719" w:rsidRDefault="00A751C5" w:rsidP="00A751C5">
      <w:pPr>
        <w:spacing w:after="0" w:line="259" w:lineRule="auto"/>
        <w:ind w:left="-15" w:right="1" w:firstLine="0"/>
        <w:rPr>
          <w:rFonts w:asciiTheme="minorHAnsi" w:hAnsiTheme="minorHAnsi" w:cstheme="minorHAnsi"/>
        </w:rPr>
      </w:pPr>
    </w:p>
    <w:p w14:paraId="33398064" w14:textId="77777777" w:rsidR="00A751C5" w:rsidRDefault="00A751C5" w:rsidP="00A751C5">
      <w:pPr>
        <w:pStyle w:val="Heading5"/>
      </w:pPr>
      <w:r w:rsidRPr="002F1719">
        <w:t>Tabela 3 Wskaźniki rezultatu</w:t>
      </w:r>
    </w:p>
    <w:p w14:paraId="3FFF4FE0" w14:textId="73B61C9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Priorytet </w:t>
      </w:r>
      <w:r>
        <w:rPr>
          <w:rFonts w:asciiTheme="minorHAnsi" w:hAnsiTheme="minorHAnsi" w:cstheme="minorHAnsi"/>
        </w:rPr>
        <w:t>2</w:t>
      </w:r>
    </w:p>
    <w:p w14:paraId="40A80C28" w14:textId="1A045169" w:rsidR="00A751C5"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szczegółowy </w:t>
      </w:r>
      <w:r>
        <w:rPr>
          <w:rFonts w:asciiTheme="minorHAnsi" w:hAnsiTheme="minorHAnsi" w:cstheme="minorHAnsi"/>
        </w:rPr>
        <w:t>2.2</w:t>
      </w:r>
    </w:p>
    <w:p w14:paraId="04D73EF6"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Numer identyfikacyjny RCR 104</w:t>
      </w:r>
    </w:p>
    <w:p w14:paraId="509719EA"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Wskaźnik Rozwiązania podejmowane lub ulepszane przez organizacje</w:t>
      </w:r>
    </w:p>
    <w:p w14:paraId="4FCA08D6"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14C1E9FD"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6E3A4621"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4CA15B2C" w14:textId="672B4498"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Pr>
          <w:rFonts w:asciiTheme="minorHAnsi" w:hAnsiTheme="minorHAnsi" w:cstheme="minorHAnsi"/>
        </w:rPr>
        <w:t>15</w:t>
      </w:r>
    </w:p>
    <w:p w14:paraId="65337223"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01AE89AD" w14:textId="77777777" w:rsidR="00A751C5" w:rsidRPr="00CD424E" w:rsidRDefault="00A751C5" w:rsidP="00A751C5">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7091380D" w14:textId="01F36805" w:rsidR="00CB6F9B" w:rsidRPr="002F1719" w:rsidRDefault="00CB6F9B" w:rsidP="00CB6F9B">
      <w:pPr>
        <w:spacing w:after="0" w:line="259" w:lineRule="auto"/>
        <w:ind w:left="0" w:right="0" w:firstLine="0"/>
        <w:rPr>
          <w:rFonts w:asciiTheme="minorHAnsi" w:hAnsiTheme="minorHAnsi" w:cstheme="minorHAnsi"/>
        </w:rPr>
      </w:pPr>
    </w:p>
    <w:p w14:paraId="0E20319A" w14:textId="5448C285" w:rsidR="00CB6F9B" w:rsidRPr="00A751C5" w:rsidRDefault="00CD5D13" w:rsidP="00384D8D">
      <w:pPr>
        <w:pStyle w:val="ListParagraph"/>
        <w:numPr>
          <w:ilvl w:val="2"/>
          <w:numId w:val="13"/>
        </w:numPr>
        <w:spacing w:after="218" w:line="259" w:lineRule="auto"/>
        <w:ind w:left="0" w:right="0"/>
        <w:rPr>
          <w:rFonts w:asciiTheme="minorHAnsi" w:hAnsiTheme="minorHAnsi" w:cstheme="minorHAnsi"/>
          <w:b/>
        </w:rPr>
      </w:pPr>
      <w:r w:rsidRPr="002F1719">
        <w:rPr>
          <w:rFonts w:asciiTheme="minorHAnsi" w:hAnsiTheme="minorHAnsi" w:cstheme="minorHAnsi"/>
          <w:b/>
        </w:rPr>
        <w:t xml:space="preserve">Główne grupy docelowe </w:t>
      </w:r>
    </w:p>
    <w:p w14:paraId="041BA390" w14:textId="27F3F9B7" w:rsidR="00CB6F9B" w:rsidRPr="00A751C5" w:rsidRDefault="00810AF2" w:rsidP="00A751C5">
      <w:pPr>
        <w:spacing w:after="120" w:line="360" w:lineRule="auto"/>
        <w:ind w:left="540" w:right="792" w:hanging="540"/>
        <w:rPr>
          <w:rFonts w:asciiTheme="minorHAnsi" w:hAnsiTheme="minorHAnsi" w:cstheme="minorHAnsi"/>
        </w:rPr>
      </w:pPr>
      <w:r w:rsidRPr="00A751C5">
        <w:rPr>
          <w:rFonts w:asciiTheme="minorHAnsi" w:hAnsiTheme="minorHAnsi" w:cstheme="minorHAnsi"/>
        </w:rPr>
        <w:t xml:space="preserve">Podstawa prawna: art. 17 ust. 3 lit. e)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(iii), art. 17 ust. 9 lit. c)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(iv</w:t>
      </w:r>
      <w:r w:rsidR="00CB6F9B" w:rsidRPr="00A751C5">
        <w:rPr>
          <w:rFonts w:asciiTheme="minorHAnsi" w:hAnsiTheme="minorHAnsi" w:cstheme="minorHAnsi"/>
        </w:rPr>
        <w:t xml:space="preserve">) </w:t>
      </w:r>
    </w:p>
    <w:p w14:paraId="335E6AC9" w14:textId="77777777" w:rsidR="00CB6F9B" w:rsidRPr="00A751C5" w:rsidRDefault="00CB6F9B" w:rsidP="00A751C5">
      <w:pPr>
        <w:spacing w:after="120" w:line="360" w:lineRule="auto"/>
        <w:ind w:left="540" w:right="792" w:hanging="540"/>
        <w:rPr>
          <w:rFonts w:asciiTheme="minorHAnsi" w:hAnsiTheme="minorHAnsi" w:cstheme="minorHAnsi"/>
        </w:rPr>
      </w:pPr>
      <w:r w:rsidRPr="00A751C5">
        <w:rPr>
          <w:rFonts w:asciiTheme="minorHAnsi" w:hAnsiTheme="minorHAnsi" w:cstheme="minorHAnsi"/>
        </w:rPr>
        <w:t>Główne grupy docelowe</w:t>
      </w:r>
    </w:p>
    <w:p w14:paraId="48335F96" w14:textId="54481F33"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 xml:space="preserve">Instytucje publiczne i równoważne podmioty publiczne w </w:t>
      </w:r>
      <w:r w:rsidR="00A3526E" w:rsidRPr="002F1719">
        <w:rPr>
          <w:rFonts w:asciiTheme="minorHAnsi" w:hAnsiTheme="minorHAnsi" w:cstheme="minorHAnsi"/>
          <w:color w:val="auto"/>
        </w:rPr>
        <w:t>Obszarze Południowego Bałtyku</w:t>
      </w:r>
    </w:p>
    <w:p w14:paraId="75E6CAAA" w14:textId="056AA0BD" w:rsidR="00CB6F9B" w:rsidRPr="002F1719"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Publiczne i prywatne przedsiębiorstwa i stowarzyszenia transportowe i energetyczne</w:t>
      </w:r>
      <w:r w:rsidR="00A751C5">
        <w:rPr>
          <w:rFonts w:asciiTheme="minorHAnsi" w:hAnsiTheme="minorHAnsi" w:cstheme="minorHAnsi"/>
        </w:rPr>
        <w:t>.</w:t>
      </w:r>
    </w:p>
    <w:p w14:paraId="59FC782A" w14:textId="77777777" w:rsidR="00CB6F9B" w:rsidRPr="00A751C5" w:rsidRDefault="00CB6F9B" w:rsidP="00A751C5">
      <w:pPr>
        <w:spacing w:after="120" w:line="360" w:lineRule="auto"/>
        <w:ind w:left="540" w:right="792" w:hanging="540"/>
        <w:rPr>
          <w:rFonts w:asciiTheme="minorHAnsi" w:hAnsiTheme="minorHAnsi" w:cstheme="minorHAnsi"/>
        </w:rPr>
      </w:pPr>
      <w:r w:rsidRPr="00A751C5">
        <w:rPr>
          <w:rFonts w:asciiTheme="minorHAnsi" w:hAnsiTheme="minorHAnsi" w:cstheme="minorHAnsi"/>
        </w:rPr>
        <w:t>Przykładowe rodzaje beneficjentów</w:t>
      </w:r>
    </w:p>
    <w:p w14:paraId="459AC5DD" w14:textId="0BD09F60"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władze lokalne i regionalne oraz ich stowarzyszenia </w:t>
      </w:r>
    </w:p>
    <w:p w14:paraId="5DA58A9F" w14:textId="77777777"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szkoły, szkolnictwo wyższe i instytucje badawczo-rozwojowe</w:t>
      </w:r>
    </w:p>
    <w:p w14:paraId="32C3DFB6" w14:textId="77777777"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przedsiębiorstwa publiczne lub prywatne (o charakterze publicznym lub non-profit) zajmujące się gospodarką komunalną i miejską w zakresie środowiska i energii (taką jak odpady i woda, ogrzewanie, ochrona powietrza) </w:t>
      </w:r>
    </w:p>
    <w:p w14:paraId="44D0675B" w14:textId="77777777" w:rsidR="003246FE" w:rsidRPr="00A751C5" w:rsidRDefault="003246FE"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MŚP </w:t>
      </w:r>
    </w:p>
    <w:p w14:paraId="1F6A1CD0" w14:textId="77777777"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 xml:space="preserve">formalne stowarzyszenia, klastry i sieci MŚP </w:t>
      </w:r>
    </w:p>
    <w:p w14:paraId="44E02D48" w14:textId="77777777"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instytucje gospodarki leśnej</w:t>
      </w:r>
    </w:p>
    <w:p w14:paraId="6735F533" w14:textId="77777777"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parki narodowe i inne instytucje ochrony przyrody</w:t>
      </w:r>
    </w:p>
    <w:p w14:paraId="1C0CA1C3" w14:textId="77777777" w:rsidR="00CB6F9B" w:rsidRPr="00A751C5" w:rsidRDefault="00CB6F9B"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organizacje pozarządowe</w:t>
      </w:r>
    </w:p>
    <w:p w14:paraId="2BA66F76" w14:textId="0B7B37DE" w:rsidR="00CB6F9B" w:rsidRPr="00A751C5" w:rsidRDefault="00C02160" w:rsidP="00384D8D">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rPr>
      </w:pPr>
      <w:r w:rsidRPr="002F1719">
        <w:rPr>
          <w:rFonts w:asciiTheme="minorHAnsi" w:hAnsiTheme="minorHAnsi" w:cstheme="minorHAnsi"/>
        </w:rPr>
        <w:t>Europejskie Ugrupowania Współpracy Terytorialnej</w:t>
      </w:r>
    </w:p>
    <w:p w14:paraId="61231925" w14:textId="77777777" w:rsidR="00CD5D13" w:rsidRPr="002F1719" w:rsidRDefault="00CD5D13" w:rsidP="00CD5D13">
      <w:pPr>
        <w:pStyle w:val="ListParagraph"/>
        <w:autoSpaceDE w:val="0"/>
        <w:autoSpaceDN w:val="0"/>
        <w:adjustRightInd w:val="0"/>
        <w:spacing w:before="60" w:after="60" w:line="276" w:lineRule="auto"/>
        <w:ind w:left="319" w:right="0" w:firstLine="0"/>
        <w:rPr>
          <w:rFonts w:asciiTheme="minorHAnsi" w:hAnsiTheme="minorHAnsi" w:cstheme="minorHAnsi"/>
          <w:szCs w:val="24"/>
          <w:lang w:val="en-GB" w:eastAsia="pl-PL"/>
        </w:rPr>
      </w:pPr>
    </w:p>
    <w:p w14:paraId="7BFB9545" w14:textId="77777777" w:rsidR="00A751C5" w:rsidRPr="00A751C5" w:rsidRDefault="00810AF2" w:rsidP="00384D8D">
      <w:pPr>
        <w:pStyle w:val="ListParagraph"/>
        <w:numPr>
          <w:ilvl w:val="2"/>
          <w:numId w:val="13"/>
        </w:numPr>
        <w:spacing w:after="120" w:line="360" w:lineRule="auto"/>
        <w:ind w:left="0" w:right="0"/>
        <w:rPr>
          <w:rFonts w:asciiTheme="minorHAnsi" w:hAnsiTheme="minorHAnsi" w:cstheme="minorHAnsi"/>
        </w:rPr>
      </w:pPr>
      <w:r w:rsidRPr="002F1719">
        <w:rPr>
          <w:rFonts w:asciiTheme="minorHAnsi" w:hAnsiTheme="minorHAnsi" w:cstheme="minorHAnsi"/>
          <w:b/>
        </w:rPr>
        <w:t>Indykatywny podział zasobów programu UE według rodzaju interwencj</w:t>
      </w:r>
      <w:r w:rsidR="00CD5D13" w:rsidRPr="002F1719">
        <w:rPr>
          <w:rFonts w:asciiTheme="minorHAnsi" w:hAnsiTheme="minorHAnsi" w:cstheme="minorHAnsi"/>
          <w:b/>
        </w:rPr>
        <w:t xml:space="preserve">i </w:t>
      </w:r>
    </w:p>
    <w:p w14:paraId="6656DE19" w14:textId="28025174" w:rsidR="00CB6F9B" w:rsidRPr="002F1719" w:rsidRDefault="00810AF2" w:rsidP="00A751C5">
      <w:pPr>
        <w:spacing w:after="120" w:line="360" w:lineRule="auto"/>
        <w:ind w:left="540" w:right="792" w:hanging="540"/>
        <w:rPr>
          <w:rFonts w:asciiTheme="minorHAnsi" w:hAnsiTheme="minorHAnsi" w:cstheme="minorHAnsi"/>
        </w:rPr>
      </w:pPr>
      <w:r w:rsidRPr="00A751C5">
        <w:rPr>
          <w:rFonts w:asciiTheme="minorHAnsi" w:hAnsiTheme="minorHAnsi" w:cstheme="minorHAnsi"/>
        </w:rPr>
        <w:t xml:space="preserve">Podstawa prawna: art. 17 ust. 3 lit. e)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(vi), art. 17 ust. 9 lit. c) </w:t>
      </w:r>
      <w:proofErr w:type="spellStart"/>
      <w:r w:rsidRPr="00A751C5">
        <w:rPr>
          <w:rFonts w:asciiTheme="minorHAnsi" w:hAnsiTheme="minorHAnsi" w:cstheme="minorHAnsi"/>
        </w:rPr>
        <w:t>ppkt</w:t>
      </w:r>
      <w:proofErr w:type="spellEnd"/>
      <w:r w:rsidRPr="00A751C5">
        <w:rPr>
          <w:rFonts w:asciiTheme="minorHAnsi" w:hAnsiTheme="minorHAnsi" w:cstheme="minorHAnsi"/>
        </w:rPr>
        <w:t xml:space="preserve"> (v</w:t>
      </w:r>
      <w:r w:rsidR="00CD5D13" w:rsidRPr="00A751C5">
        <w:rPr>
          <w:rFonts w:asciiTheme="minorHAnsi" w:hAnsiTheme="minorHAnsi" w:cstheme="minorHAnsi"/>
        </w:rPr>
        <w:t xml:space="preserve">) </w:t>
      </w:r>
    </w:p>
    <w:p w14:paraId="4F27E2A7" w14:textId="77777777" w:rsidR="00E87B3B" w:rsidRDefault="00E87B3B" w:rsidP="00E87B3B">
      <w:pPr>
        <w:pStyle w:val="Heading5"/>
      </w:pPr>
      <w:r w:rsidRPr="002F1719">
        <w:t>Tabela 4</w:t>
      </w:r>
      <w:r>
        <w:t xml:space="preserve"> </w:t>
      </w:r>
      <w:r w:rsidRPr="002F1719">
        <w:t>Wymiar 1 – zakres interwencji</w:t>
      </w:r>
    </w:p>
    <w:p w14:paraId="482F02E6" w14:textId="1527EDA3"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4E8F106A" w14:textId="77777777"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61758AB2" w14:textId="36EEDE61"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2.2</w:t>
      </w:r>
    </w:p>
    <w:p w14:paraId="7556C6D9" w14:textId="67EF9E14"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47</w:t>
      </w:r>
    </w:p>
    <w:p w14:paraId="1D175A29" w14:textId="1C6A572F"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2 819 439,40</w:t>
      </w:r>
    </w:p>
    <w:p w14:paraId="23EA9CF4" w14:textId="1DECFD59"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48</w:t>
      </w:r>
    </w:p>
    <w:p w14:paraId="7A94101C" w14:textId="0D6520F9" w:rsidR="00E87B3B"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4 229 159,10</w:t>
      </w:r>
    </w:p>
    <w:p w14:paraId="3BB2D158" w14:textId="1A1A0A6F"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49</w:t>
      </w:r>
    </w:p>
    <w:p w14:paraId="5615E20D" w14:textId="2EACE9C8"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4 229 159,10</w:t>
      </w:r>
    </w:p>
    <w:p w14:paraId="208DF8B2" w14:textId="2F53BD70"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51</w:t>
      </w:r>
    </w:p>
    <w:p w14:paraId="018A94B1" w14:textId="13A684E6"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704 859,85</w:t>
      </w:r>
    </w:p>
    <w:p w14:paraId="3C76FD7A" w14:textId="53C6F10B"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52</w:t>
      </w:r>
    </w:p>
    <w:p w14:paraId="3BE70D7C" w14:textId="1CE34058"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704 859,85</w:t>
      </w:r>
    </w:p>
    <w:p w14:paraId="29FD1D06" w14:textId="4F6F0AA2"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53</w:t>
      </w:r>
    </w:p>
    <w:p w14:paraId="4D5B1EA0" w14:textId="47748710"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1 409 719,70</w:t>
      </w:r>
    </w:p>
    <w:p w14:paraId="1D3AE95A" w14:textId="77777777" w:rsidR="00E87B3B" w:rsidRPr="00CD424E" w:rsidRDefault="00E87B3B" w:rsidP="00E87B3B">
      <w:pPr>
        <w:pStyle w:val="Heading5"/>
      </w:pPr>
      <w:r w:rsidRPr="002F1719">
        <w:t>Tabela 5 Wymiar 2 – forma finansowania</w:t>
      </w:r>
    </w:p>
    <w:p w14:paraId="7816D9D0" w14:textId="101B645C"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1FAF02A4" w14:textId="77777777"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18050DA5" w14:textId="26B423B5"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2.2</w:t>
      </w:r>
    </w:p>
    <w:p w14:paraId="14E93209" w14:textId="77777777"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5131347F" w14:textId="32E240A1"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14 097 197,00</w:t>
      </w:r>
    </w:p>
    <w:p w14:paraId="67B7D2F0" w14:textId="77777777" w:rsidR="00E87B3B" w:rsidRDefault="00E87B3B" w:rsidP="00E87B3B">
      <w:pPr>
        <w:pStyle w:val="Heading5"/>
      </w:pPr>
      <w:r w:rsidRPr="00CD424E">
        <w:t>Tabela 6</w:t>
      </w:r>
      <w:r>
        <w:t xml:space="preserve"> </w:t>
      </w:r>
      <w:r w:rsidRPr="00CD424E">
        <w:t>Wymiar 3 – mechanizm wkładu terytorialnego i ukierunkowanie terytorialne</w:t>
      </w:r>
    </w:p>
    <w:p w14:paraId="1224231F" w14:textId="709882F9"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0F641F40" w14:textId="77777777"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0F0F9C91" w14:textId="494EB249"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2.2</w:t>
      </w:r>
    </w:p>
    <w:p w14:paraId="64F610A2" w14:textId="77777777"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33</w:t>
      </w:r>
    </w:p>
    <w:p w14:paraId="4EE90C43" w14:textId="040006CB" w:rsidR="00E87B3B" w:rsidRPr="000A48CD" w:rsidRDefault="00E87B3B" w:rsidP="00E87B3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87B3B">
        <w:rPr>
          <w:rFonts w:asciiTheme="minorHAnsi" w:hAnsiTheme="minorHAnsi" w:cstheme="minorHAnsi"/>
        </w:rPr>
        <w:t>14 097 197,00</w:t>
      </w:r>
    </w:p>
    <w:p w14:paraId="5110BBEE" w14:textId="77777777" w:rsidR="00E87B3B" w:rsidRDefault="00E87B3B" w:rsidP="00384D8D">
      <w:pPr>
        <w:pStyle w:val="ListParagraph"/>
        <w:numPr>
          <w:ilvl w:val="1"/>
          <w:numId w:val="13"/>
        </w:numPr>
        <w:spacing w:after="218" w:line="259" w:lineRule="auto"/>
        <w:ind w:left="0" w:right="0"/>
        <w:rPr>
          <w:rFonts w:asciiTheme="minorHAnsi" w:hAnsiTheme="minorHAnsi" w:cstheme="minorHAnsi"/>
        </w:rPr>
      </w:pPr>
      <w:r>
        <w:rPr>
          <w:rFonts w:asciiTheme="minorHAnsi" w:hAnsiTheme="minorHAnsi" w:cstheme="minorHAnsi"/>
        </w:rPr>
        <w:t xml:space="preserve"> </w:t>
      </w:r>
    </w:p>
    <w:p w14:paraId="3D1608A5" w14:textId="58BC763C" w:rsidR="00CB6F9B" w:rsidRPr="00E87B3B" w:rsidRDefault="008F0992" w:rsidP="00384D8D">
      <w:pPr>
        <w:pStyle w:val="ListParagraph"/>
        <w:numPr>
          <w:ilvl w:val="2"/>
          <w:numId w:val="14"/>
        </w:numPr>
        <w:spacing w:after="218" w:line="259" w:lineRule="auto"/>
        <w:ind w:left="0" w:right="0"/>
        <w:rPr>
          <w:rFonts w:asciiTheme="minorHAnsi" w:hAnsiTheme="minorHAnsi" w:cstheme="minorHAnsi"/>
        </w:rPr>
      </w:pPr>
      <w:r w:rsidRPr="00E87B3B">
        <w:rPr>
          <w:rFonts w:asciiTheme="minorHAnsi" w:hAnsiTheme="minorHAnsi" w:cstheme="minorHAnsi"/>
          <w:b/>
        </w:rPr>
        <w:t>Cel szczegółowy</w:t>
      </w:r>
      <w:r w:rsidRPr="00E87B3B">
        <w:rPr>
          <w:rFonts w:asciiTheme="minorHAnsi" w:hAnsiTheme="minorHAnsi" w:cstheme="minorHAnsi"/>
        </w:rPr>
        <w:t xml:space="preserve"> </w:t>
      </w:r>
    </w:p>
    <w:p w14:paraId="3B8A33D7" w14:textId="17E3917E" w:rsidR="00CB6F9B" w:rsidRPr="002F1719" w:rsidRDefault="000D0A33" w:rsidP="0004656B">
      <w:pPr>
        <w:pStyle w:val="Heading3"/>
      </w:pPr>
      <w:r w:rsidRPr="002F1719">
        <w:t xml:space="preserve">2.5 </w:t>
      </w:r>
      <w:r w:rsidR="00B20416" w:rsidRPr="002F1719">
        <w:t>Wspieranie</w:t>
      </w:r>
      <w:r w:rsidRPr="002F1719">
        <w:t xml:space="preserve"> dostępu do wody oraz zrównoważonej gospodarki wodnej </w:t>
      </w:r>
    </w:p>
    <w:p w14:paraId="3FF39952" w14:textId="1AC9CADF" w:rsidR="00CB6F9B" w:rsidRPr="002F1719" w:rsidRDefault="00F61F39" w:rsidP="00E87B3B">
      <w:pPr>
        <w:spacing w:after="120" w:line="360" w:lineRule="auto"/>
        <w:ind w:left="540" w:right="792" w:hanging="540"/>
        <w:rPr>
          <w:rFonts w:asciiTheme="minorHAnsi" w:hAnsiTheme="minorHAnsi" w:cstheme="minorHAnsi"/>
        </w:rPr>
      </w:pPr>
      <w:r w:rsidRPr="00E87B3B">
        <w:rPr>
          <w:rFonts w:asciiTheme="minorHAnsi" w:hAnsiTheme="minorHAnsi" w:cstheme="minorHAnsi"/>
        </w:rPr>
        <w:t>Podstawa prawna: art. 17 ust. 3 lit. e</w:t>
      </w:r>
      <w:r w:rsidR="00CB6F9B" w:rsidRPr="00E87B3B">
        <w:rPr>
          <w:rFonts w:asciiTheme="minorHAnsi" w:hAnsiTheme="minorHAnsi" w:cstheme="minorHAnsi"/>
        </w:rPr>
        <w:t xml:space="preserve">) </w:t>
      </w:r>
    </w:p>
    <w:p w14:paraId="7F4DACF0" w14:textId="01AD249A" w:rsidR="00CB6F9B" w:rsidRPr="002F1719" w:rsidRDefault="00F61F39" w:rsidP="00384D8D">
      <w:pPr>
        <w:pStyle w:val="ListParagraph"/>
        <w:numPr>
          <w:ilvl w:val="2"/>
          <w:numId w:val="14"/>
        </w:numPr>
        <w:spacing w:after="218" w:line="259" w:lineRule="auto"/>
        <w:ind w:left="0" w:right="0"/>
        <w:rPr>
          <w:rFonts w:asciiTheme="minorHAnsi" w:hAnsiTheme="minorHAnsi" w:cstheme="minorHAnsi"/>
          <w:b/>
        </w:rPr>
      </w:pPr>
      <w:r w:rsidRPr="002F1719">
        <w:rPr>
          <w:rFonts w:asciiTheme="minorHAnsi" w:hAnsiTheme="minorHAnsi" w:cstheme="minorHAnsi"/>
          <w:b/>
        </w:rPr>
        <w:t>Powiązane rodzaje działań oraz ich oczekiwany wkład w realizację wspomnianych celów szczegółowych oraz w stosownych przypadkach, strategii makroregionalnych i strategii na rzecz basenu morskiego</w:t>
      </w:r>
      <w:r w:rsidR="008F0992" w:rsidRPr="002F1719">
        <w:rPr>
          <w:rFonts w:asciiTheme="minorHAnsi" w:hAnsiTheme="minorHAnsi" w:cstheme="minorHAnsi"/>
          <w:b/>
        </w:rPr>
        <w:t xml:space="preserve"> </w:t>
      </w:r>
    </w:p>
    <w:p w14:paraId="61F05E55" w14:textId="340B51AC" w:rsidR="00CB6F9B" w:rsidRPr="00E87B3B" w:rsidRDefault="00F61F39" w:rsidP="00E87B3B">
      <w:pPr>
        <w:spacing w:after="120" w:line="360" w:lineRule="auto"/>
        <w:ind w:left="0" w:right="792" w:firstLine="0"/>
        <w:rPr>
          <w:rFonts w:asciiTheme="minorHAnsi" w:hAnsiTheme="minorHAnsi" w:cstheme="minorHAnsi"/>
        </w:rPr>
      </w:pPr>
      <w:r w:rsidRPr="00E87B3B">
        <w:rPr>
          <w:rFonts w:asciiTheme="minorHAnsi" w:hAnsiTheme="minorHAnsi" w:cstheme="minorHAnsi"/>
        </w:rPr>
        <w:t xml:space="preserve">Podstawa prawna: art. 17 ust. 3 lit. e) </w:t>
      </w:r>
      <w:proofErr w:type="spellStart"/>
      <w:r w:rsidRPr="00E87B3B">
        <w:rPr>
          <w:rFonts w:asciiTheme="minorHAnsi" w:hAnsiTheme="minorHAnsi" w:cstheme="minorHAnsi"/>
        </w:rPr>
        <w:t>ppkt</w:t>
      </w:r>
      <w:proofErr w:type="spellEnd"/>
      <w:r w:rsidRPr="00E87B3B">
        <w:rPr>
          <w:rFonts w:asciiTheme="minorHAnsi" w:hAnsiTheme="minorHAnsi" w:cstheme="minorHAnsi"/>
        </w:rPr>
        <w:t xml:space="preserve"> (i), art. 17 ust. 9 lit. c) </w:t>
      </w:r>
      <w:proofErr w:type="spellStart"/>
      <w:r w:rsidRPr="00E87B3B">
        <w:rPr>
          <w:rFonts w:asciiTheme="minorHAnsi" w:hAnsiTheme="minorHAnsi" w:cstheme="minorHAnsi"/>
        </w:rPr>
        <w:t>ppkt</w:t>
      </w:r>
      <w:proofErr w:type="spellEnd"/>
      <w:r w:rsidRPr="00E87B3B">
        <w:rPr>
          <w:rFonts w:asciiTheme="minorHAnsi" w:hAnsiTheme="minorHAnsi" w:cstheme="minorHAnsi"/>
        </w:rPr>
        <w:t xml:space="preserve"> (ii</w:t>
      </w:r>
      <w:r w:rsidR="00CB6F9B" w:rsidRPr="00E87B3B">
        <w:rPr>
          <w:rFonts w:asciiTheme="minorHAnsi" w:hAnsiTheme="minorHAnsi" w:cstheme="minorHAnsi"/>
        </w:rPr>
        <w:t xml:space="preserve">) </w:t>
      </w:r>
    </w:p>
    <w:p w14:paraId="5D5FD97D" w14:textId="4F53C174" w:rsidR="00CB6F9B" w:rsidRPr="00E87B3B" w:rsidRDefault="00CB6F9B"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Programu </w:t>
      </w:r>
      <w:r w:rsidRPr="00E87B3B">
        <w:rPr>
          <w:rFonts w:asciiTheme="minorHAnsi" w:hAnsiTheme="minorHAnsi" w:cstheme="minorHAnsi"/>
        </w:rPr>
        <w:t>2.2: Promowanie zrównoważonego wykorzystania wody</w:t>
      </w:r>
    </w:p>
    <w:p w14:paraId="41277EDB" w14:textId="01357F93" w:rsidR="00CB6F9B" w:rsidRPr="002F1719" w:rsidRDefault="00CB6F9B"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Morze Bałtyckie i jego dopływy są narażone na wysoki poziom zanieczyszczenia (np. </w:t>
      </w:r>
      <w:r w:rsidR="00C02160" w:rsidRPr="002F1719">
        <w:rPr>
          <w:rFonts w:asciiTheme="minorHAnsi" w:hAnsiTheme="minorHAnsi" w:cstheme="minorHAnsi"/>
        </w:rPr>
        <w:t xml:space="preserve">przez </w:t>
      </w:r>
      <w:r w:rsidRPr="002F1719">
        <w:rPr>
          <w:rFonts w:asciiTheme="minorHAnsi" w:hAnsiTheme="minorHAnsi" w:cstheme="minorHAnsi"/>
        </w:rPr>
        <w:t xml:space="preserve">tworzywa sztuczne i chemikalia) oraz eutrofizację. Obydwa te czynniki stanowią konsekwencje </w:t>
      </w:r>
      <w:r w:rsidR="00C02160" w:rsidRPr="002F1719">
        <w:rPr>
          <w:rFonts w:asciiTheme="minorHAnsi" w:hAnsiTheme="minorHAnsi" w:cstheme="minorHAnsi"/>
        </w:rPr>
        <w:t>niezgodnej z zasadami zrównoważonego rozwoju</w:t>
      </w:r>
      <w:r w:rsidRPr="002F1719">
        <w:rPr>
          <w:rFonts w:asciiTheme="minorHAnsi" w:hAnsiTheme="minorHAnsi" w:cstheme="minorHAnsi"/>
        </w:rPr>
        <w:t xml:space="preserve"> eksploatacji lokalnego środowiska i zbiorników wodnych. Jednym z powodów, dla których temperatura Morza Bałtyckiego wzrasta trzykrotnie szybciej niż średnia temperatura innych mórz i oceanów, jest zanieczyszczenie wody. Fakt ten może mieć bardzo negatywny wpływ nie tylko na życie ludzi w regionach nadmorskich, ale także na sektor turystyki w </w:t>
      </w:r>
      <w:r w:rsidR="00A3526E" w:rsidRPr="00E87B3B">
        <w:rPr>
          <w:rFonts w:asciiTheme="minorHAnsi" w:hAnsiTheme="minorHAnsi" w:cstheme="minorHAnsi"/>
        </w:rPr>
        <w:t>Obszarze Południowego Bałtyku</w:t>
      </w:r>
      <w:r w:rsidRPr="002F1719">
        <w:rPr>
          <w:rFonts w:asciiTheme="minorHAnsi" w:hAnsiTheme="minorHAnsi" w:cstheme="minorHAnsi"/>
        </w:rPr>
        <w:t>. Ponadto skutki zmian klimatu spowodują zwiększone ryzyko wystąpienia powodzi morskich i błyskawicznych, powodując bardziej intensywny napływ zanieczyszczeń do Morza Bałtyckiego.</w:t>
      </w:r>
    </w:p>
    <w:p w14:paraId="233A675C" w14:textId="53119C8E" w:rsidR="00CB6F9B" w:rsidRPr="002F1719" w:rsidRDefault="00CB6F9B"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Biorąc pod uwagę, że woda to najważniejszy zasób </w:t>
      </w:r>
      <w:r w:rsidR="00A3526E" w:rsidRPr="002F1719">
        <w:rPr>
          <w:rFonts w:asciiTheme="minorHAnsi" w:hAnsiTheme="minorHAnsi" w:cstheme="minorHAnsi"/>
        </w:rPr>
        <w:t>Obszaru</w:t>
      </w:r>
      <w:r w:rsidRPr="002F1719">
        <w:rPr>
          <w:rFonts w:asciiTheme="minorHAnsi" w:hAnsiTheme="minorHAnsi" w:cstheme="minorHAnsi"/>
        </w:rPr>
        <w:t xml:space="preserve">, działania w ramach tego </w:t>
      </w:r>
      <w:r w:rsidR="00C02160" w:rsidRPr="002F1719">
        <w:rPr>
          <w:rFonts w:asciiTheme="minorHAnsi" w:hAnsiTheme="minorHAnsi" w:cstheme="minorHAnsi"/>
        </w:rPr>
        <w:t>działania</w:t>
      </w:r>
      <w:r w:rsidRPr="002F1719">
        <w:rPr>
          <w:rFonts w:asciiTheme="minorHAnsi" w:hAnsiTheme="minorHAnsi" w:cstheme="minorHAnsi"/>
        </w:rPr>
        <w:t xml:space="preserve"> mają na celu szeroko zakrojone wsparcie skutecznej i zrównoważonej gospodarki wodnej, zwłaszcza w dziedzinie ograniczania odprowadzania substancji odżywczych i niebezpiecznych substancji do dorzeczy rzek, a następnie do Morza Bałtyckiego, w celu zwalczania eutrofizacji i wprowadzania substancji niebezpiecznych, a tym samym poprawy jakości wody.</w:t>
      </w:r>
    </w:p>
    <w:p w14:paraId="129BF90F" w14:textId="2DC33E9D" w:rsidR="00CB6F9B" w:rsidRPr="002F1719" w:rsidRDefault="00CB6F9B"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Relatywnie niski poziom współpracy w tym zakresie obecnie oznacza, że w tym kontekście istnieje znaczne zapotrzebowanie i potencjał.</w:t>
      </w:r>
    </w:p>
    <w:p w14:paraId="30DF8642" w14:textId="3148F6C5" w:rsidR="00CF7065" w:rsidRPr="002F1719" w:rsidRDefault="00CF7065"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w:t>
      </w:r>
      <w:r w:rsidR="00F61F39" w:rsidRPr="002F1719">
        <w:rPr>
          <w:rFonts w:asciiTheme="minorHAnsi" w:hAnsiTheme="minorHAnsi" w:cstheme="minorHAnsi"/>
        </w:rPr>
        <w:t>, gdy jest to uzasadnione</w:t>
      </w:r>
      <w:r w:rsidRPr="002F1719">
        <w:rPr>
          <w:rFonts w:asciiTheme="minorHAnsi" w:hAnsiTheme="minorHAnsi" w:cstheme="minorHAnsi"/>
        </w:rPr>
        <w:t>.</w:t>
      </w:r>
    </w:p>
    <w:p w14:paraId="04AE769D" w14:textId="77777777" w:rsidR="00CB6F9B" w:rsidRPr="002F1719" w:rsidRDefault="00CB6F9B" w:rsidP="00E87B3B">
      <w:pPr>
        <w:spacing w:after="120" w:line="360" w:lineRule="auto"/>
        <w:ind w:left="0" w:right="792" w:firstLine="0"/>
        <w:jc w:val="both"/>
        <w:rPr>
          <w:rFonts w:asciiTheme="minorHAnsi" w:hAnsiTheme="minorHAnsi" w:cstheme="minorHAnsi"/>
        </w:rPr>
      </w:pPr>
      <w:r w:rsidRPr="002F1719">
        <w:rPr>
          <w:rFonts w:asciiTheme="minorHAnsi" w:hAnsiTheme="minorHAnsi" w:cstheme="minorHAnsi"/>
        </w:rPr>
        <w:t>Przykładowe działania</w:t>
      </w:r>
    </w:p>
    <w:p w14:paraId="3409276C"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promowanie obszarów wspólnej współpracy w zakresie polityki zarządzania zasobami wodnymi, np. wspólne opracowywanie strategii, wspólne badania transgraniczne, plany działania itp.,</w:t>
      </w:r>
    </w:p>
    <w:p w14:paraId="5E3A3186" w14:textId="744B155B"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demonstrowanie i wdrażanie rozwiązań w zakresie zielonych technologii w gospodarce wodnej (w tym zrównoważone użytkowanie gruntów oraz zbiórka i oczyszczanie ścieków) oraz w gospodarce wodami powodziowymi,</w:t>
      </w:r>
    </w:p>
    <w:p w14:paraId="798AD2F8"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i testowanie innowacyjnych rozwiązań transgranicznych mających na celu zmniejszenie wypływu substancji odżywczych z małych i rozproszonych źródeł w obszarach zlewisk (w tym ocena opłacalności rozwiązań),</w:t>
      </w:r>
    </w:p>
    <w:p w14:paraId="5DCC6682" w14:textId="64C59BE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i testowanie innowacyjnych transgranicznych rozwiązań na rzecz zrównoważonej gospodarki wodnej mających na celu zwiększenie ochrony przyrody i bioróżnorodności,</w:t>
      </w:r>
    </w:p>
    <w:p w14:paraId="05857128"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wspólne opracowywanie rozwiązań, które pomagają w zabezpieczeniu różnych sprzecznych sposobów użytkowania wody służących interesom publicznym (np. rekreacja i czas wolny w porównaniu z wykorzystaniem wody, jak również ochrona zasobów wodnych), jak również przyszłej dostawy wody (zarówno wody pitnej, jak i wody przemysłowej),</w:t>
      </w:r>
    </w:p>
    <w:p w14:paraId="6B52BC88"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i testowanie wspólnych standardów transgranicznych w dziedzinie gospodarki odpadami i gospodarki wodnej przez podmioty publiczne we współpracy z uniwersytetami, ośrodkami badawczymi, przedsiębiorstwami i spółdzielniami rolników i mieszkańców,</w:t>
      </w:r>
    </w:p>
    <w:p w14:paraId="6017A5AA"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promowanie obszarów wspólnej współpracy dotyczących wzmocnienia akwakultury,</w:t>
      </w:r>
    </w:p>
    <w:p w14:paraId="063B5922" w14:textId="60B88014"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opracowywanie, demonstrowanie i wdrażanie rozwiązań w celu ograniczenia zanieczyszczenia Morza Bałtyckiego przez broń chemiczną i inne niebezpieczne pozostałości zatopionych tankowców,</w:t>
      </w:r>
    </w:p>
    <w:p w14:paraId="2DD70FD2" w14:textId="77777777" w:rsidR="00CB6F9B" w:rsidRPr="002F1719" w:rsidRDefault="00CB6F9B" w:rsidP="00384D8D">
      <w:pPr>
        <w:pStyle w:val="ListParagraph"/>
        <w:numPr>
          <w:ilvl w:val="0"/>
          <w:numId w:val="1"/>
        </w:numPr>
        <w:autoSpaceDE w:val="0"/>
        <w:autoSpaceDN w:val="0"/>
        <w:adjustRightInd w:val="0"/>
        <w:spacing w:after="120" w:line="360" w:lineRule="auto"/>
        <w:ind w:left="317" w:right="0" w:hanging="317"/>
        <w:jc w:val="both"/>
        <w:rPr>
          <w:rFonts w:asciiTheme="minorHAnsi" w:hAnsiTheme="minorHAnsi" w:cstheme="minorHAnsi"/>
          <w:szCs w:val="24"/>
        </w:rPr>
      </w:pPr>
      <w:r w:rsidRPr="002F1719">
        <w:rPr>
          <w:rFonts w:asciiTheme="minorHAnsi" w:hAnsiTheme="minorHAnsi" w:cstheme="minorHAnsi"/>
        </w:rPr>
        <w:t>działania w zakresie budowania potencjału, transfer wiedzy i wymiana najlepszych praktyk w dziedzinie gospodarki wodnej oraz zbiórki i oczyszczania ścieków.</w:t>
      </w:r>
    </w:p>
    <w:p w14:paraId="2E86B40C" w14:textId="77777777" w:rsidR="00CB6F9B" w:rsidRPr="002F1719" w:rsidRDefault="00CB6F9B" w:rsidP="00CB6F9B">
      <w:pPr>
        <w:autoSpaceDE w:val="0"/>
        <w:autoSpaceDN w:val="0"/>
        <w:adjustRightInd w:val="0"/>
        <w:spacing w:before="60" w:after="60" w:line="276" w:lineRule="auto"/>
        <w:ind w:left="0" w:right="0" w:firstLine="0"/>
        <w:rPr>
          <w:rFonts w:asciiTheme="minorHAnsi" w:hAnsiTheme="minorHAnsi" w:cstheme="minorHAnsi"/>
          <w:szCs w:val="24"/>
          <w:lang w:eastAsia="pl-PL"/>
        </w:rPr>
      </w:pPr>
    </w:p>
    <w:p w14:paraId="00B5F227" w14:textId="77777777" w:rsidR="00CB6F9B" w:rsidRPr="002F1719" w:rsidRDefault="00CB6F9B" w:rsidP="00CB6F9B">
      <w:pPr>
        <w:ind w:left="0" w:firstLine="0"/>
        <w:rPr>
          <w:rFonts w:asciiTheme="minorHAnsi" w:hAnsiTheme="minorHAnsi" w:cstheme="minorHAnsi"/>
        </w:rPr>
      </w:pPr>
      <w:r w:rsidRPr="002F1719">
        <w:rPr>
          <w:rFonts w:asciiTheme="minorHAnsi" w:hAnsiTheme="minorHAnsi" w:cstheme="minorHAnsi"/>
        </w:rPr>
        <w:t>Wkład w wybrany cel szczegółowy</w:t>
      </w:r>
    </w:p>
    <w:p w14:paraId="5F1761B6" w14:textId="6C986B5F" w:rsidR="00CB6F9B" w:rsidRPr="002F1719" w:rsidRDefault="00CB6F9B" w:rsidP="00E87B3B">
      <w:pPr>
        <w:spacing w:after="120" w:line="360" w:lineRule="auto"/>
        <w:ind w:left="0" w:right="792" w:firstLine="0"/>
        <w:rPr>
          <w:rFonts w:asciiTheme="minorHAnsi" w:hAnsiTheme="minorHAnsi" w:cstheme="minorHAnsi"/>
        </w:rPr>
      </w:pPr>
      <w:r w:rsidRPr="00E87B3B">
        <w:rPr>
          <w:rFonts w:asciiTheme="minorHAnsi" w:hAnsiTheme="minorHAnsi" w:cstheme="minorHAnsi"/>
        </w:rPr>
        <w:t xml:space="preserve">Działanie to będzie wspierać Cel Szczegółowy 2.5 Promowanie dostępu do wody oraz zrównoważonej gospodarki wodnej. Jego cele ukierunkowane </w:t>
      </w:r>
      <w:r w:rsidR="00A56A7D" w:rsidRPr="00E87B3B">
        <w:rPr>
          <w:rFonts w:asciiTheme="minorHAnsi" w:hAnsiTheme="minorHAnsi" w:cstheme="minorHAnsi"/>
        </w:rPr>
        <w:t xml:space="preserve">są </w:t>
      </w:r>
      <w:r w:rsidRPr="00E87B3B">
        <w:rPr>
          <w:rFonts w:asciiTheme="minorHAnsi" w:hAnsiTheme="minorHAnsi" w:cstheme="minorHAnsi"/>
        </w:rPr>
        <w:t>na szeroko zakrojone wsparcie skutecznego i zrównoważonego użytkowania gruntów i gospodarki wodnej, zwłaszcza w dziedzinie ograniczania odprowadzania substancji odżywczych i niebezpiecznych do dorzeczy rzek, a następnie do Morza Bałtyckiego, w celu zwalczania eutrofizacji i różnych substancji niebezpiecznych (takich jak tworzywa sztuczne lub zatopiona broń chemiczna) w środowisku wodnym, w tym w środowisku morskim, a tym samym poprawy jakości wody.</w:t>
      </w:r>
    </w:p>
    <w:p w14:paraId="1F0C6F04" w14:textId="77777777" w:rsidR="00CB6F9B" w:rsidRPr="002F1719" w:rsidRDefault="00CB6F9B"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Wkład w strategię UE dla Regionu Morza Bałtyckiego</w:t>
      </w:r>
    </w:p>
    <w:p w14:paraId="3B0BC0F9" w14:textId="4A503232" w:rsidR="00CB6F9B" w:rsidRPr="002F1719" w:rsidRDefault="00CB6F9B" w:rsidP="00E87B3B">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2.2. </w:t>
      </w:r>
      <w:r w:rsidRPr="00E87B3B">
        <w:rPr>
          <w:rFonts w:asciiTheme="minorHAnsi" w:hAnsiTheme="minorHAnsi" w:cstheme="minorHAnsi"/>
        </w:rPr>
        <w:t>Promowanie zrównoważonego wykorzystania wody</w:t>
      </w:r>
      <w:r w:rsidRPr="002F1719">
        <w:rPr>
          <w:rFonts w:asciiTheme="minorHAnsi" w:hAnsiTheme="minorHAnsi" w:cstheme="minorHAnsi"/>
        </w:rPr>
        <w:t xml:space="preserve"> przyczynia się do realizacji OP Substancje Odżywcze </w:t>
      </w:r>
      <w:r w:rsidR="00A56A7D" w:rsidRPr="002F1719">
        <w:rPr>
          <w:rFonts w:asciiTheme="minorHAnsi" w:hAnsiTheme="minorHAnsi" w:cstheme="minorHAnsi"/>
        </w:rPr>
        <w:t>dzięki</w:t>
      </w:r>
      <w:r w:rsidRPr="002F1719">
        <w:rPr>
          <w:rFonts w:asciiTheme="minorHAnsi" w:hAnsiTheme="minorHAnsi" w:cstheme="minorHAnsi"/>
        </w:rPr>
        <w:t xml:space="preserve"> opracowywani</w:t>
      </w:r>
      <w:r w:rsidR="00A56A7D" w:rsidRPr="002F1719">
        <w:rPr>
          <w:rFonts w:asciiTheme="minorHAnsi" w:hAnsiTheme="minorHAnsi" w:cstheme="minorHAnsi"/>
        </w:rPr>
        <w:t>u</w:t>
      </w:r>
      <w:r w:rsidRPr="002F1719">
        <w:rPr>
          <w:rFonts w:asciiTheme="minorHAnsi" w:hAnsiTheme="minorHAnsi" w:cstheme="minorHAnsi"/>
        </w:rPr>
        <w:t xml:space="preserve"> i testowan</w:t>
      </w:r>
      <w:r w:rsidR="00A56A7D" w:rsidRPr="002F1719">
        <w:rPr>
          <w:rFonts w:asciiTheme="minorHAnsi" w:hAnsiTheme="minorHAnsi" w:cstheme="minorHAnsi"/>
        </w:rPr>
        <w:t>iu</w:t>
      </w:r>
      <w:r w:rsidRPr="002F1719">
        <w:rPr>
          <w:rFonts w:asciiTheme="minorHAnsi" w:hAnsiTheme="minorHAnsi" w:cstheme="minorHAnsi"/>
        </w:rPr>
        <w:t xml:space="preserve"> innowacyjnych rozwiązań transgranicznych mających na celu zmniejszenie wypływu substancji odżywczych z małych i rozproszonych źródeł w obszarach zlewisk, OP Zagrożenia </w:t>
      </w:r>
      <w:r w:rsidR="00A56A7D" w:rsidRPr="002F1719">
        <w:rPr>
          <w:rFonts w:asciiTheme="minorHAnsi" w:hAnsiTheme="minorHAnsi" w:cstheme="minorHAnsi"/>
        </w:rPr>
        <w:t>dzięki</w:t>
      </w:r>
      <w:r w:rsidRPr="002F1719">
        <w:rPr>
          <w:rFonts w:asciiTheme="minorHAnsi" w:hAnsiTheme="minorHAnsi" w:cstheme="minorHAnsi"/>
        </w:rPr>
        <w:t xml:space="preserve"> opracowywani</w:t>
      </w:r>
      <w:r w:rsidR="00A56A7D" w:rsidRPr="002F1719">
        <w:rPr>
          <w:rFonts w:asciiTheme="minorHAnsi" w:hAnsiTheme="minorHAnsi" w:cstheme="minorHAnsi"/>
        </w:rPr>
        <w:t>u</w:t>
      </w:r>
      <w:r w:rsidRPr="002F1719">
        <w:rPr>
          <w:rFonts w:asciiTheme="minorHAnsi" w:hAnsiTheme="minorHAnsi" w:cstheme="minorHAnsi"/>
        </w:rPr>
        <w:t xml:space="preserve"> i testowani</w:t>
      </w:r>
      <w:r w:rsidR="00A56A7D" w:rsidRPr="002F1719">
        <w:rPr>
          <w:rFonts w:asciiTheme="minorHAnsi" w:hAnsiTheme="minorHAnsi" w:cstheme="minorHAnsi"/>
        </w:rPr>
        <w:t>u</w:t>
      </w:r>
      <w:r w:rsidRPr="002F1719">
        <w:rPr>
          <w:rFonts w:asciiTheme="minorHAnsi" w:hAnsiTheme="minorHAnsi" w:cstheme="minorHAnsi"/>
        </w:rPr>
        <w:t xml:space="preserve"> innowacyjnych rozwiązań transgranicznych mających na celu zmniejszenie również wycieku substancji niebezpiecznych (np. rtęci i żelaza z dużych gospodarstw, przedsiębiorstw przetwórczych), co negatywnie wpływa na jakość wody, a także OP </w:t>
      </w:r>
      <w:proofErr w:type="spellStart"/>
      <w:r w:rsidRPr="002F1719">
        <w:rPr>
          <w:rFonts w:asciiTheme="minorHAnsi" w:hAnsiTheme="minorHAnsi" w:cstheme="minorHAnsi"/>
        </w:rPr>
        <w:t>Biogospodarka</w:t>
      </w:r>
      <w:proofErr w:type="spellEnd"/>
      <w:r w:rsidRPr="002F1719">
        <w:rPr>
          <w:rFonts w:asciiTheme="minorHAnsi" w:hAnsiTheme="minorHAnsi" w:cstheme="minorHAnsi"/>
        </w:rPr>
        <w:t xml:space="preserve"> </w:t>
      </w:r>
      <w:r w:rsidR="00A56A7D" w:rsidRPr="002F1719">
        <w:rPr>
          <w:rFonts w:asciiTheme="minorHAnsi" w:hAnsiTheme="minorHAnsi" w:cstheme="minorHAnsi"/>
        </w:rPr>
        <w:t>dzięki</w:t>
      </w:r>
      <w:r w:rsidRPr="002F1719">
        <w:rPr>
          <w:rFonts w:asciiTheme="minorHAnsi" w:hAnsiTheme="minorHAnsi" w:cstheme="minorHAnsi"/>
        </w:rPr>
        <w:t xml:space="preserve"> wspólnej współpracy w zakresie gospodarki wodnej jako elementu praktyk na rzecz zrównoważonego rozwoju i dostosowania.</w:t>
      </w:r>
    </w:p>
    <w:p w14:paraId="431105F2" w14:textId="5EF76A05" w:rsidR="00CB6F9B" w:rsidRPr="00E87B3B" w:rsidRDefault="008F0992" w:rsidP="00384D8D">
      <w:pPr>
        <w:pStyle w:val="ListParagraph"/>
        <w:numPr>
          <w:ilvl w:val="2"/>
          <w:numId w:val="14"/>
        </w:numPr>
        <w:spacing w:after="218" w:line="259" w:lineRule="auto"/>
        <w:ind w:left="0" w:right="0"/>
        <w:rPr>
          <w:rFonts w:asciiTheme="minorHAnsi" w:hAnsiTheme="minorHAnsi" w:cstheme="minorHAnsi"/>
          <w:b/>
        </w:rPr>
      </w:pPr>
      <w:r w:rsidRPr="002F1719">
        <w:rPr>
          <w:rFonts w:asciiTheme="minorHAnsi" w:hAnsiTheme="minorHAnsi" w:cstheme="minorHAnsi"/>
          <w:b/>
        </w:rPr>
        <w:t xml:space="preserve">Wskaźniki </w:t>
      </w:r>
    </w:p>
    <w:p w14:paraId="7F1DF98A" w14:textId="1227E409" w:rsidR="00CB6F9B" w:rsidRPr="002F1719" w:rsidRDefault="00F61F39" w:rsidP="00CB6F9B">
      <w:pPr>
        <w:spacing w:after="450" w:line="265" w:lineRule="auto"/>
        <w:ind w:left="-5" w:right="0" w:hanging="10"/>
        <w:rPr>
          <w:rFonts w:asciiTheme="minorHAnsi" w:hAnsiTheme="minorHAnsi" w:cstheme="minorHAnsi"/>
        </w:rPr>
      </w:pPr>
      <w:r w:rsidRPr="00E87B3B">
        <w:rPr>
          <w:rFonts w:asciiTheme="minorHAnsi" w:hAnsiTheme="minorHAnsi" w:cstheme="minorHAnsi"/>
        </w:rPr>
        <w:t xml:space="preserve">Podstawa prawna: art. 17 ust. 3 lit. e) </w:t>
      </w:r>
      <w:proofErr w:type="spellStart"/>
      <w:r w:rsidRPr="00E87B3B">
        <w:rPr>
          <w:rFonts w:asciiTheme="minorHAnsi" w:hAnsiTheme="minorHAnsi" w:cstheme="minorHAnsi"/>
        </w:rPr>
        <w:t>ppkt</w:t>
      </w:r>
      <w:proofErr w:type="spellEnd"/>
      <w:r w:rsidRPr="00E87B3B">
        <w:rPr>
          <w:rFonts w:asciiTheme="minorHAnsi" w:hAnsiTheme="minorHAnsi" w:cstheme="minorHAnsi"/>
        </w:rPr>
        <w:t xml:space="preserve"> (ii), art. 17 ust. 9 lit. c) </w:t>
      </w:r>
      <w:proofErr w:type="spellStart"/>
      <w:r w:rsidRPr="00E87B3B">
        <w:rPr>
          <w:rFonts w:asciiTheme="minorHAnsi" w:hAnsiTheme="minorHAnsi" w:cstheme="minorHAnsi"/>
        </w:rPr>
        <w:t>ppkt</w:t>
      </w:r>
      <w:proofErr w:type="spellEnd"/>
      <w:r w:rsidRPr="00E87B3B">
        <w:rPr>
          <w:rFonts w:asciiTheme="minorHAnsi" w:hAnsiTheme="minorHAnsi" w:cstheme="minorHAnsi"/>
        </w:rPr>
        <w:t xml:space="preserve"> (iii)</w:t>
      </w:r>
      <w:r w:rsidR="00CB6F9B" w:rsidRPr="00E87B3B">
        <w:rPr>
          <w:rFonts w:asciiTheme="minorHAnsi" w:hAnsiTheme="minorHAnsi" w:cstheme="minorHAnsi"/>
        </w:rPr>
        <w:t xml:space="preserve"> </w:t>
      </w:r>
    </w:p>
    <w:p w14:paraId="3C5EA72D" w14:textId="77777777" w:rsidR="006B6E84" w:rsidRDefault="006B6E84" w:rsidP="006B6E84">
      <w:pPr>
        <w:pStyle w:val="Heading5"/>
      </w:pPr>
      <w:r w:rsidRPr="002F1719">
        <w:t>Tabela 2</w:t>
      </w:r>
      <w:r>
        <w:t xml:space="preserve"> </w:t>
      </w:r>
      <w:r w:rsidRPr="002F1719">
        <w:t>Wskaźniki produktu</w:t>
      </w:r>
    </w:p>
    <w:p w14:paraId="164043DD"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Priorytet </w:t>
      </w:r>
      <w:r>
        <w:rPr>
          <w:rFonts w:asciiTheme="minorHAnsi" w:hAnsiTheme="minorHAnsi" w:cstheme="minorHAnsi"/>
        </w:rPr>
        <w:t>2</w:t>
      </w:r>
    </w:p>
    <w:p w14:paraId="3A7838F2" w14:textId="782CB5EC"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szczegółowy </w:t>
      </w:r>
      <w:r>
        <w:rPr>
          <w:rFonts w:asciiTheme="minorHAnsi" w:hAnsiTheme="minorHAnsi" w:cstheme="minorHAnsi"/>
        </w:rPr>
        <w:t>2.5</w:t>
      </w:r>
    </w:p>
    <w:p w14:paraId="312D7694"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8</w:t>
      </w:r>
      <w:r>
        <w:rPr>
          <w:rFonts w:asciiTheme="minorHAnsi" w:hAnsiTheme="minorHAnsi" w:cstheme="minorHAnsi"/>
        </w:rPr>
        <w:t>4</w:t>
      </w:r>
    </w:p>
    <w:p w14:paraId="382ADD5D"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A751C5">
        <w:rPr>
          <w:rFonts w:asciiTheme="minorHAnsi" w:hAnsiTheme="minorHAnsi" w:cstheme="minorHAnsi"/>
        </w:rPr>
        <w:t>Działania pilotażowe opracowane wspólnie i wdrażane w ramach projektów</w:t>
      </w:r>
    </w:p>
    <w:p w14:paraId="5F7B0B34"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Jednostka miary [255] </w:t>
      </w:r>
      <w:r w:rsidRPr="00A751C5">
        <w:rPr>
          <w:rFonts w:asciiTheme="minorHAnsi" w:hAnsiTheme="minorHAnsi" w:cstheme="minorHAnsi"/>
        </w:rPr>
        <w:t>Liczba działań pilotażowych</w:t>
      </w:r>
    </w:p>
    <w:p w14:paraId="0E69C29A"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0A5B5954" w14:textId="72710968"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17</w:t>
      </w:r>
    </w:p>
    <w:p w14:paraId="6D7E94A6"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2C1999CB"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116</w:t>
      </w:r>
    </w:p>
    <w:p w14:paraId="6D2DD364"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opracowane rozwiązania</w:t>
      </w:r>
    </w:p>
    <w:p w14:paraId="12138A95"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12B8354C" w14:textId="77777777"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3FE15CCE" w14:textId="3485B06C" w:rsidR="006B6E84" w:rsidRPr="00293553"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24</w:t>
      </w:r>
    </w:p>
    <w:p w14:paraId="43B22D84" w14:textId="77777777" w:rsidR="006B6E84" w:rsidRPr="002F1719" w:rsidRDefault="006B6E84" w:rsidP="006B6E84">
      <w:pPr>
        <w:spacing w:after="0" w:line="259" w:lineRule="auto"/>
        <w:ind w:left="-15" w:right="1" w:firstLine="0"/>
        <w:rPr>
          <w:rFonts w:asciiTheme="minorHAnsi" w:hAnsiTheme="minorHAnsi" w:cstheme="minorHAnsi"/>
        </w:rPr>
      </w:pPr>
    </w:p>
    <w:p w14:paraId="25890343" w14:textId="77777777" w:rsidR="006B6E84" w:rsidRDefault="006B6E84" w:rsidP="006B6E84">
      <w:pPr>
        <w:pStyle w:val="Heading5"/>
      </w:pPr>
      <w:r w:rsidRPr="002F1719">
        <w:t>Tabela 3 Wskaźniki rezultatu</w:t>
      </w:r>
    </w:p>
    <w:p w14:paraId="144EE0CF"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Priorytet </w:t>
      </w:r>
      <w:r>
        <w:rPr>
          <w:rFonts w:asciiTheme="minorHAnsi" w:hAnsiTheme="minorHAnsi" w:cstheme="minorHAnsi"/>
        </w:rPr>
        <w:t>2</w:t>
      </w:r>
    </w:p>
    <w:p w14:paraId="311312E8" w14:textId="77777777" w:rsidR="006B6E84"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szczegółowy </w:t>
      </w:r>
      <w:r>
        <w:rPr>
          <w:rFonts w:asciiTheme="minorHAnsi" w:hAnsiTheme="minorHAnsi" w:cstheme="minorHAnsi"/>
        </w:rPr>
        <w:t>2.2</w:t>
      </w:r>
    </w:p>
    <w:p w14:paraId="43C9207A"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Numer identyfikacyjny RCR 104</w:t>
      </w:r>
    </w:p>
    <w:p w14:paraId="15EFCC21"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Wskaźnik Rozwiązania podejmowane lub ulepszane przez organizacje</w:t>
      </w:r>
    </w:p>
    <w:p w14:paraId="2B76BF5E"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05984787"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3DFCB95F"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23603540" w14:textId="00020BCF"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Pr>
          <w:rFonts w:asciiTheme="minorHAnsi" w:hAnsiTheme="minorHAnsi" w:cstheme="minorHAnsi"/>
        </w:rPr>
        <w:t>12</w:t>
      </w:r>
    </w:p>
    <w:p w14:paraId="3CE79385"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1B1322CB" w14:textId="77777777" w:rsidR="006B6E84" w:rsidRPr="00CD424E"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482A988B" w14:textId="77777777" w:rsidR="006B6E84" w:rsidRPr="002F1719" w:rsidRDefault="006B6E84" w:rsidP="006B6E84">
      <w:pPr>
        <w:spacing w:after="0" w:line="259" w:lineRule="auto"/>
        <w:ind w:left="0" w:right="0" w:firstLine="0"/>
        <w:rPr>
          <w:rFonts w:asciiTheme="minorHAnsi" w:hAnsiTheme="minorHAnsi" w:cstheme="minorHAnsi"/>
        </w:rPr>
      </w:pPr>
    </w:p>
    <w:p w14:paraId="077C4A03" w14:textId="0B3AACFA" w:rsidR="00CB6F9B" w:rsidRPr="002F1719" w:rsidRDefault="008F0992" w:rsidP="00384D8D">
      <w:pPr>
        <w:pStyle w:val="ListParagraph"/>
        <w:numPr>
          <w:ilvl w:val="2"/>
          <w:numId w:val="14"/>
        </w:numPr>
        <w:spacing w:after="218" w:line="259" w:lineRule="auto"/>
        <w:ind w:left="0" w:right="0"/>
        <w:rPr>
          <w:rFonts w:asciiTheme="minorHAnsi" w:hAnsiTheme="minorHAnsi" w:cstheme="minorHAnsi"/>
        </w:rPr>
      </w:pPr>
      <w:r w:rsidRPr="002F1719">
        <w:rPr>
          <w:rFonts w:asciiTheme="minorHAnsi" w:hAnsiTheme="minorHAnsi" w:cstheme="minorHAnsi"/>
          <w:b/>
        </w:rPr>
        <w:t xml:space="preserve">Główne grupy docelowe </w:t>
      </w:r>
    </w:p>
    <w:p w14:paraId="46300455" w14:textId="0C55E1A8" w:rsidR="00CB6F9B" w:rsidRPr="006B6E84" w:rsidRDefault="00F61F39" w:rsidP="006B6E84">
      <w:pPr>
        <w:spacing w:after="120" w:line="360" w:lineRule="auto"/>
        <w:ind w:left="0" w:right="0" w:hanging="14"/>
        <w:rPr>
          <w:rFonts w:asciiTheme="minorHAnsi" w:hAnsiTheme="minorHAnsi" w:cstheme="minorHAnsi"/>
        </w:rPr>
      </w:pPr>
      <w:r w:rsidRPr="006B6E84">
        <w:rPr>
          <w:rFonts w:asciiTheme="minorHAnsi" w:hAnsiTheme="minorHAnsi" w:cstheme="minorHAnsi"/>
        </w:rPr>
        <w:t xml:space="preserve">Podstawa prawna: art. 17 ust. 3 lit. e) </w:t>
      </w:r>
      <w:proofErr w:type="spellStart"/>
      <w:r w:rsidRPr="006B6E84">
        <w:rPr>
          <w:rFonts w:asciiTheme="minorHAnsi" w:hAnsiTheme="minorHAnsi" w:cstheme="minorHAnsi"/>
        </w:rPr>
        <w:t>ppkt</w:t>
      </w:r>
      <w:proofErr w:type="spellEnd"/>
      <w:r w:rsidRPr="006B6E84">
        <w:rPr>
          <w:rFonts w:asciiTheme="minorHAnsi" w:hAnsiTheme="minorHAnsi" w:cstheme="minorHAnsi"/>
        </w:rPr>
        <w:t xml:space="preserve"> (iii), art. 17 ust. 9 lit. c) </w:t>
      </w:r>
      <w:proofErr w:type="spellStart"/>
      <w:r w:rsidRPr="006B6E84">
        <w:rPr>
          <w:rFonts w:asciiTheme="minorHAnsi" w:hAnsiTheme="minorHAnsi" w:cstheme="minorHAnsi"/>
        </w:rPr>
        <w:t>ppkt</w:t>
      </w:r>
      <w:proofErr w:type="spellEnd"/>
      <w:r w:rsidRPr="006B6E84">
        <w:rPr>
          <w:rFonts w:asciiTheme="minorHAnsi" w:hAnsiTheme="minorHAnsi" w:cstheme="minorHAnsi"/>
        </w:rPr>
        <w:t xml:space="preserve"> (iv)</w:t>
      </w:r>
      <w:r w:rsidR="00CB6F9B" w:rsidRPr="006B6E84">
        <w:rPr>
          <w:rFonts w:asciiTheme="minorHAnsi" w:hAnsiTheme="minorHAnsi" w:cstheme="minorHAnsi"/>
        </w:rPr>
        <w:t xml:space="preserve"> </w:t>
      </w:r>
    </w:p>
    <w:p w14:paraId="3B230BA8" w14:textId="77777777" w:rsidR="00CB6F9B" w:rsidRPr="006B6E84" w:rsidRDefault="00CB6F9B" w:rsidP="006B6E84">
      <w:pPr>
        <w:spacing w:after="120" w:line="360" w:lineRule="auto"/>
        <w:ind w:left="0" w:right="0" w:hanging="14"/>
        <w:rPr>
          <w:rFonts w:asciiTheme="minorHAnsi" w:hAnsiTheme="minorHAnsi" w:cstheme="minorHAnsi"/>
        </w:rPr>
      </w:pPr>
      <w:r w:rsidRPr="006B6E84">
        <w:rPr>
          <w:rFonts w:asciiTheme="minorHAnsi" w:hAnsiTheme="minorHAnsi" w:cstheme="minorHAnsi"/>
        </w:rPr>
        <w:t>Główne grupy docelowe</w:t>
      </w:r>
    </w:p>
    <w:p w14:paraId="4A82F4DC" w14:textId="7ECE54EB" w:rsidR="00CB6F9B" w:rsidRPr="002F1719" w:rsidRDefault="00CB6F9B" w:rsidP="00384D8D">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Instytucje publiczne i równoważne podmioty publiczne w </w:t>
      </w:r>
      <w:r w:rsidR="00A3526E" w:rsidRPr="002F1719">
        <w:rPr>
          <w:rFonts w:asciiTheme="minorHAnsi" w:hAnsiTheme="minorHAnsi" w:cstheme="minorHAnsi"/>
          <w:color w:val="auto"/>
        </w:rPr>
        <w:t>Obszarze Południowego Bałtyku</w:t>
      </w:r>
    </w:p>
    <w:p w14:paraId="1CF88B0B" w14:textId="77777777" w:rsidR="00CB6F9B" w:rsidRPr="002F1719" w:rsidRDefault="00CB6F9B" w:rsidP="00384D8D">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Właściciele gruntów</w:t>
      </w:r>
    </w:p>
    <w:p w14:paraId="05FAE6C9" w14:textId="77777777" w:rsidR="00CB6F9B" w:rsidRPr="002F1719" w:rsidRDefault="00CB6F9B" w:rsidP="00384D8D">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MŚP</w:t>
      </w:r>
    </w:p>
    <w:p w14:paraId="057472EE" w14:textId="77777777" w:rsidR="00CB6F9B" w:rsidRPr="002F1719" w:rsidRDefault="00CB6F9B" w:rsidP="00384D8D">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Obywatele</w:t>
      </w:r>
    </w:p>
    <w:p w14:paraId="5F69D9FE" w14:textId="77777777" w:rsidR="00CB6F9B" w:rsidRPr="002F1719" w:rsidRDefault="00CB6F9B" w:rsidP="006B6E84">
      <w:pPr>
        <w:spacing w:after="120" w:line="360" w:lineRule="auto"/>
        <w:ind w:left="-5" w:right="0" w:hanging="10"/>
        <w:rPr>
          <w:rFonts w:asciiTheme="minorHAnsi" w:hAnsiTheme="minorHAnsi" w:cstheme="minorHAnsi"/>
          <w:color w:val="auto"/>
          <w:szCs w:val="24"/>
        </w:rPr>
      </w:pPr>
      <w:r w:rsidRPr="002F1719">
        <w:rPr>
          <w:rFonts w:asciiTheme="minorHAnsi" w:hAnsiTheme="minorHAnsi" w:cstheme="minorHAnsi"/>
          <w:color w:val="auto"/>
        </w:rPr>
        <w:t>Przykładowe rodzaje beneficjentów</w:t>
      </w:r>
    </w:p>
    <w:p w14:paraId="7ADCD4B0" w14:textId="7310DFEE" w:rsidR="00CB6F9B" w:rsidRPr="002F1719" w:rsidRDefault="00CB6F9B"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władze lokalne i regionalne oraz ich stowarzyszenia </w:t>
      </w:r>
    </w:p>
    <w:p w14:paraId="04D867F7" w14:textId="77777777" w:rsidR="00CB6F9B" w:rsidRPr="002F1719" w:rsidRDefault="00CB6F9B"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szkoły, szkolnictwo wyższe i instytucje badawczo-rozwojowe</w:t>
      </w:r>
    </w:p>
    <w:p w14:paraId="7D19244D" w14:textId="50FF5AC5" w:rsidR="00CB6F9B" w:rsidRPr="002F1719" w:rsidRDefault="00CB6F9B"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przedsiębiorstwa publiczne lub prywatne (o charakterze publicznym lub non-profit) zajmujące się gospodarką komunalną i miejską w zakresie środowiska i energii (taką jak odpady i woda, ogrzewanie, ochrona powietrza) oraz porty</w:t>
      </w:r>
    </w:p>
    <w:p w14:paraId="696D895A" w14:textId="77777777" w:rsidR="003246FE" w:rsidRPr="002F1719" w:rsidRDefault="003246FE"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MŚP </w:t>
      </w:r>
    </w:p>
    <w:p w14:paraId="4892994E" w14:textId="77777777" w:rsidR="00CB6F9B" w:rsidRPr="002F1719" w:rsidRDefault="00CB6F9B"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formalne stowarzyszenia, klastry i sieci MŚP </w:t>
      </w:r>
    </w:p>
    <w:p w14:paraId="3B101E93" w14:textId="77777777" w:rsidR="00CB6F9B" w:rsidRPr="002F1719" w:rsidRDefault="00CB6F9B"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organizacje pozarządowe </w:t>
      </w:r>
    </w:p>
    <w:p w14:paraId="7471D40D" w14:textId="66C53272" w:rsidR="00CB6F9B" w:rsidRPr="002F1719" w:rsidRDefault="00A56A7D"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Europejskie Ugrupowania Współpracy Terytorialnej</w:t>
      </w:r>
    </w:p>
    <w:p w14:paraId="4DE0F114" w14:textId="7DA9FFD4" w:rsidR="00CB6F9B" w:rsidRPr="002F1719" w:rsidRDefault="00A56A7D" w:rsidP="00384D8D">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w:t>
      </w:r>
      <w:r w:rsidR="00CB6F9B" w:rsidRPr="002F1719">
        <w:rPr>
          <w:rFonts w:asciiTheme="minorHAnsi" w:hAnsiTheme="minorHAnsi" w:cstheme="minorHAnsi"/>
        </w:rPr>
        <w:t>nstytucje gospodarki wodnej i morskiej</w:t>
      </w:r>
    </w:p>
    <w:p w14:paraId="650AB32F" w14:textId="77777777" w:rsidR="008F0992" w:rsidRPr="002F1719" w:rsidRDefault="008F0992" w:rsidP="008F0992">
      <w:pPr>
        <w:pStyle w:val="ListParagraph"/>
        <w:autoSpaceDE w:val="0"/>
        <w:autoSpaceDN w:val="0"/>
        <w:adjustRightInd w:val="0"/>
        <w:spacing w:before="60" w:after="60" w:line="276" w:lineRule="auto"/>
        <w:ind w:left="319" w:right="0" w:firstLine="0"/>
        <w:rPr>
          <w:rFonts w:asciiTheme="minorHAnsi" w:hAnsiTheme="minorHAnsi" w:cstheme="minorHAnsi"/>
          <w:szCs w:val="24"/>
          <w:lang w:eastAsia="pl-PL"/>
        </w:rPr>
      </w:pPr>
    </w:p>
    <w:p w14:paraId="7A575FE7" w14:textId="77777777" w:rsidR="006B6E84" w:rsidRDefault="00F61F39" w:rsidP="00384D8D">
      <w:pPr>
        <w:pStyle w:val="ListParagraph"/>
        <w:numPr>
          <w:ilvl w:val="2"/>
          <w:numId w:val="14"/>
        </w:numPr>
        <w:spacing w:after="218" w:line="259" w:lineRule="auto"/>
        <w:ind w:left="0" w:right="0"/>
        <w:rPr>
          <w:rFonts w:asciiTheme="minorHAnsi" w:hAnsiTheme="minorHAnsi" w:cstheme="minorHAnsi"/>
        </w:rPr>
      </w:pPr>
      <w:r w:rsidRPr="002F1719">
        <w:rPr>
          <w:rFonts w:asciiTheme="minorHAnsi" w:hAnsiTheme="minorHAnsi" w:cstheme="minorHAnsi"/>
          <w:b/>
        </w:rPr>
        <w:t>Indykatywny podział zasobów programu UE według rodzaju interwencji</w:t>
      </w:r>
      <w:r w:rsidR="0039599D" w:rsidRPr="002F1719">
        <w:rPr>
          <w:rFonts w:asciiTheme="minorHAnsi" w:hAnsiTheme="minorHAnsi" w:cstheme="minorHAnsi"/>
          <w:b/>
        </w:rPr>
        <w:t xml:space="preserve"> </w:t>
      </w:r>
    </w:p>
    <w:p w14:paraId="7DD370E7" w14:textId="77777777" w:rsidR="006B6E84" w:rsidRDefault="006B6E84" w:rsidP="006B6E84">
      <w:pPr>
        <w:pStyle w:val="ListParagraph"/>
        <w:spacing w:after="218" w:line="259" w:lineRule="auto"/>
        <w:ind w:left="0" w:right="0" w:firstLine="0"/>
        <w:rPr>
          <w:rFonts w:asciiTheme="minorHAnsi" w:hAnsiTheme="minorHAnsi" w:cstheme="minorHAnsi"/>
        </w:rPr>
      </w:pPr>
    </w:p>
    <w:p w14:paraId="05EA16FD" w14:textId="5C10D55A" w:rsidR="00CB6F9B" w:rsidRDefault="00F61F39" w:rsidP="006B6E84">
      <w:pPr>
        <w:spacing w:after="120" w:line="360" w:lineRule="auto"/>
        <w:ind w:left="0" w:right="0" w:hanging="14"/>
        <w:rPr>
          <w:rFonts w:asciiTheme="minorHAnsi" w:hAnsiTheme="minorHAnsi" w:cstheme="minorHAnsi"/>
        </w:rPr>
      </w:pPr>
      <w:r w:rsidRPr="006B6E84">
        <w:rPr>
          <w:rFonts w:asciiTheme="minorHAnsi" w:hAnsiTheme="minorHAnsi" w:cstheme="minorHAnsi"/>
        </w:rPr>
        <w:t xml:space="preserve">Podstawa prawna: art. 17 ust. 3 lit. e) </w:t>
      </w:r>
      <w:proofErr w:type="spellStart"/>
      <w:r w:rsidRPr="006B6E84">
        <w:rPr>
          <w:rFonts w:asciiTheme="minorHAnsi" w:hAnsiTheme="minorHAnsi" w:cstheme="minorHAnsi"/>
        </w:rPr>
        <w:t>ppkt</w:t>
      </w:r>
      <w:proofErr w:type="spellEnd"/>
      <w:r w:rsidRPr="006B6E84">
        <w:rPr>
          <w:rFonts w:asciiTheme="minorHAnsi" w:hAnsiTheme="minorHAnsi" w:cstheme="minorHAnsi"/>
        </w:rPr>
        <w:t xml:space="preserve"> (vi), art. 17 ust. 9 lit. c) </w:t>
      </w:r>
      <w:proofErr w:type="spellStart"/>
      <w:r w:rsidRPr="006B6E84">
        <w:rPr>
          <w:rFonts w:asciiTheme="minorHAnsi" w:hAnsiTheme="minorHAnsi" w:cstheme="minorHAnsi"/>
        </w:rPr>
        <w:t>ppkt</w:t>
      </w:r>
      <w:proofErr w:type="spellEnd"/>
      <w:r w:rsidRPr="006B6E84">
        <w:rPr>
          <w:rFonts w:asciiTheme="minorHAnsi" w:hAnsiTheme="minorHAnsi" w:cstheme="minorHAnsi"/>
        </w:rPr>
        <w:t xml:space="preserve"> (v</w:t>
      </w:r>
      <w:r w:rsidR="0039599D" w:rsidRPr="006B6E84">
        <w:rPr>
          <w:rFonts w:asciiTheme="minorHAnsi" w:hAnsiTheme="minorHAnsi" w:cstheme="minorHAnsi"/>
        </w:rPr>
        <w:t xml:space="preserve">) </w:t>
      </w:r>
    </w:p>
    <w:p w14:paraId="4E4AE811" w14:textId="77777777" w:rsidR="006B6E84" w:rsidRDefault="006B6E84" w:rsidP="006B6E84">
      <w:pPr>
        <w:pStyle w:val="Heading5"/>
      </w:pPr>
      <w:r w:rsidRPr="002F1719">
        <w:t>Tabela 4</w:t>
      </w:r>
      <w:r>
        <w:t xml:space="preserve"> </w:t>
      </w:r>
      <w:r w:rsidRPr="002F1719">
        <w:t>Wymiar 1 – zakres interwencji</w:t>
      </w:r>
    </w:p>
    <w:p w14:paraId="2AB5AE2B"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16E760DF"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457BF5CC" w14:textId="4864E1D0"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w:t>
      </w:r>
      <w:r w:rsidR="00B12429">
        <w:rPr>
          <w:rFonts w:asciiTheme="minorHAnsi" w:hAnsiTheme="minorHAnsi" w:cstheme="minorHAnsi"/>
        </w:rPr>
        <w:t>5</w:t>
      </w:r>
    </w:p>
    <w:p w14:paraId="3F916216" w14:textId="5D0A3CAC"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sidR="00B12429">
        <w:rPr>
          <w:rFonts w:asciiTheme="minorHAnsi" w:hAnsiTheme="minorHAnsi" w:cstheme="minorHAnsi"/>
        </w:rPr>
        <w:t>64</w:t>
      </w:r>
    </w:p>
    <w:p w14:paraId="476CAAB4" w14:textId="279BFDB2"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00B12429" w:rsidRPr="00B12429">
        <w:rPr>
          <w:rFonts w:asciiTheme="minorHAnsi" w:hAnsiTheme="minorHAnsi" w:cstheme="minorHAnsi"/>
        </w:rPr>
        <w:t>7 401 028,20</w:t>
      </w:r>
    </w:p>
    <w:p w14:paraId="2EDD8486" w14:textId="18A72CBC"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sidR="00B12429">
        <w:rPr>
          <w:rFonts w:asciiTheme="minorHAnsi" w:hAnsiTheme="minorHAnsi" w:cstheme="minorHAnsi"/>
        </w:rPr>
        <w:t>65</w:t>
      </w:r>
    </w:p>
    <w:p w14:paraId="0331C6F3" w14:textId="25E659E1" w:rsidR="006B6E84"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00B12429" w:rsidRPr="00B12429">
        <w:rPr>
          <w:rFonts w:asciiTheme="minorHAnsi" w:hAnsiTheme="minorHAnsi" w:cstheme="minorHAnsi"/>
        </w:rPr>
        <w:t>4 934 018,80</w:t>
      </w:r>
    </w:p>
    <w:p w14:paraId="265C6816" w14:textId="77777777" w:rsidR="006B6E84" w:rsidRPr="00CD424E" w:rsidRDefault="006B6E84" w:rsidP="006B6E84">
      <w:pPr>
        <w:pStyle w:val="Heading5"/>
      </w:pPr>
      <w:r w:rsidRPr="002F1719">
        <w:t>Tabela 5 Wymiar 2 – forma finansowania</w:t>
      </w:r>
    </w:p>
    <w:p w14:paraId="4211DF85"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42B8CEC1"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46E088FF" w14:textId="19533969"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w:t>
      </w:r>
      <w:r w:rsidR="00B12429">
        <w:rPr>
          <w:rFonts w:asciiTheme="minorHAnsi" w:hAnsiTheme="minorHAnsi" w:cstheme="minorHAnsi"/>
        </w:rPr>
        <w:t>5</w:t>
      </w:r>
    </w:p>
    <w:p w14:paraId="2EF47209"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72C77D1D" w14:textId="41A929F6"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00B12429" w:rsidRPr="00B12429">
        <w:rPr>
          <w:rFonts w:asciiTheme="minorHAnsi" w:hAnsiTheme="minorHAnsi" w:cstheme="minorHAnsi"/>
        </w:rPr>
        <w:t>12 335 047,00</w:t>
      </w:r>
    </w:p>
    <w:p w14:paraId="6A17A410" w14:textId="77777777" w:rsidR="006B6E84" w:rsidRDefault="006B6E84" w:rsidP="006B6E84">
      <w:pPr>
        <w:pStyle w:val="Heading5"/>
      </w:pPr>
      <w:r w:rsidRPr="00CD424E">
        <w:t>Tabela 6</w:t>
      </w:r>
      <w:r>
        <w:t xml:space="preserve"> </w:t>
      </w:r>
      <w:r w:rsidRPr="00CD424E">
        <w:t>Wymiar 3 – mechanizm wkładu terytorialnego i ukierunkowanie terytorialne</w:t>
      </w:r>
    </w:p>
    <w:p w14:paraId="27FDF49F"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549E466F"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570105E3"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2.2</w:t>
      </w:r>
    </w:p>
    <w:p w14:paraId="5D4BAF14" w14:textId="77777777"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33</w:t>
      </w:r>
    </w:p>
    <w:p w14:paraId="3B887565" w14:textId="6F3A846C" w:rsidR="006B6E84" w:rsidRPr="000A48CD" w:rsidRDefault="006B6E84" w:rsidP="006B6E84">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00B12429" w:rsidRPr="00B12429">
        <w:rPr>
          <w:rFonts w:asciiTheme="minorHAnsi" w:hAnsiTheme="minorHAnsi" w:cstheme="minorHAnsi"/>
        </w:rPr>
        <w:t>12 335 047,00</w:t>
      </w:r>
    </w:p>
    <w:p w14:paraId="119D16D3" w14:textId="46EF43C9" w:rsidR="00AA7977" w:rsidRDefault="00AA7977" w:rsidP="00AA7977">
      <w:pPr>
        <w:pStyle w:val="ListParagraph"/>
        <w:numPr>
          <w:ilvl w:val="1"/>
          <w:numId w:val="14"/>
        </w:numPr>
        <w:spacing w:after="218" w:line="259" w:lineRule="auto"/>
        <w:ind w:left="0" w:right="0"/>
        <w:rPr>
          <w:rFonts w:asciiTheme="minorHAnsi" w:hAnsiTheme="minorHAnsi" w:cstheme="minorHAnsi"/>
        </w:rPr>
      </w:pPr>
    </w:p>
    <w:p w14:paraId="7A9B72C4" w14:textId="3ADEAC23" w:rsidR="00CB6F9B" w:rsidRPr="002F1719" w:rsidRDefault="0039599D" w:rsidP="00AA7977">
      <w:pPr>
        <w:pStyle w:val="ListParagraph"/>
        <w:numPr>
          <w:ilvl w:val="2"/>
          <w:numId w:val="15"/>
        </w:numPr>
        <w:spacing w:after="218" w:line="259" w:lineRule="auto"/>
        <w:ind w:left="0" w:right="0"/>
        <w:rPr>
          <w:rFonts w:asciiTheme="minorHAnsi" w:hAnsiTheme="minorHAnsi" w:cstheme="minorHAnsi"/>
        </w:rPr>
      </w:pPr>
      <w:r w:rsidRPr="002F1719">
        <w:rPr>
          <w:rFonts w:asciiTheme="minorHAnsi" w:hAnsiTheme="minorHAnsi" w:cstheme="minorHAnsi"/>
          <w:b/>
        </w:rPr>
        <w:t xml:space="preserve">Cel szczegółowy </w:t>
      </w:r>
    </w:p>
    <w:p w14:paraId="388EB061" w14:textId="1CD93763" w:rsidR="00CB6F9B" w:rsidRPr="002F1719" w:rsidRDefault="00CB6F9B" w:rsidP="0004656B">
      <w:pPr>
        <w:pStyle w:val="Heading3"/>
        <w:rPr>
          <w:iCs/>
        </w:rPr>
      </w:pPr>
      <w:r w:rsidRPr="002F1719">
        <w:t xml:space="preserve">2.6 </w:t>
      </w:r>
      <w:r w:rsidR="00B20416" w:rsidRPr="002F1719">
        <w:t xml:space="preserve">Wspieranie transformacji w kierunku gospodarki o obiegu zamkniętym i gospodarki </w:t>
      </w:r>
      <w:proofErr w:type="spellStart"/>
      <w:r w:rsidR="00B20416" w:rsidRPr="002F1719">
        <w:t>zasobooszczędnej</w:t>
      </w:r>
      <w:proofErr w:type="spellEnd"/>
    </w:p>
    <w:p w14:paraId="155F2FEC" w14:textId="0DFF3328" w:rsidR="00CB6F9B" w:rsidRPr="002F1719" w:rsidRDefault="003A7299" w:rsidP="00AA7977">
      <w:pPr>
        <w:spacing w:after="120" w:line="360" w:lineRule="auto"/>
        <w:ind w:left="540" w:right="792" w:hanging="540"/>
        <w:rPr>
          <w:rFonts w:asciiTheme="minorHAnsi" w:hAnsiTheme="minorHAnsi" w:cstheme="minorHAnsi"/>
        </w:rPr>
      </w:pPr>
      <w:r w:rsidRPr="00AA7977">
        <w:rPr>
          <w:rFonts w:asciiTheme="minorHAnsi" w:hAnsiTheme="minorHAnsi" w:cstheme="minorHAnsi"/>
        </w:rPr>
        <w:t>Podstawa prawna: art. 17 ust. 3 lit. e</w:t>
      </w:r>
      <w:r w:rsidR="00CB6F9B" w:rsidRPr="00AA7977">
        <w:rPr>
          <w:rFonts w:asciiTheme="minorHAnsi" w:hAnsiTheme="minorHAnsi" w:cstheme="minorHAnsi"/>
        </w:rPr>
        <w:t xml:space="preserve">) </w:t>
      </w:r>
    </w:p>
    <w:p w14:paraId="7FBE30CB" w14:textId="578FF928" w:rsidR="00CB6F9B" w:rsidRPr="002F1719" w:rsidRDefault="003A7299" w:rsidP="00AA7977">
      <w:pPr>
        <w:pStyle w:val="ListParagraph"/>
        <w:numPr>
          <w:ilvl w:val="2"/>
          <w:numId w:val="15"/>
        </w:numPr>
        <w:spacing w:after="218" w:line="259" w:lineRule="auto"/>
        <w:ind w:left="0" w:right="0"/>
        <w:rPr>
          <w:rFonts w:asciiTheme="minorHAnsi" w:hAnsiTheme="minorHAnsi" w:cstheme="minorHAnsi"/>
          <w:b/>
        </w:rPr>
      </w:pPr>
      <w:r w:rsidRPr="002F1719">
        <w:rPr>
          <w:rFonts w:asciiTheme="minorHAnsi" w:hAnsiTheme="minorHAnsi" w:cstheme="minorHAnsi"/>
          <w:b/>
        </w:rPr>
        <w:t xml:space="preserve">Powiązane rodzaje działań oraz ich oczekiwany wkład w realizację wspomnianych celów szczegółowych </w:t>
      </w:r>
      <w:proofErr w:type="gramStart"/>
      <w:r w:rsidRPr="002F1719">
        <w:rPr>
          <w:rFonts w:asciiTheme="minorHAnsi" w:hAnsiTheme="minorHAnsi" w:cstheme="minorHAnsi"/>
          <w:b/>
        </w:rPr>
        <w:t>oraz,</w:t>
      </w:r>
      <w:proofErr w:type="gramEnd"/>
      <w:r w:rsidRPr="002F1719">
        <w:rPr>
          <w:rFonts w:asciiTheme="minorHAnsi" w:hAnsiTheme="minorHAnsi" w:cstheme="minorHAnsi"/>
          <w:b/>
        </w:rPr>
        <w:t xml:space="preserve"> w stosownych przypadkach, strategii makroregionalnych i strategii na rzecz basenu morskiego</w:t>
      </w:r>
      <w:r w:rsidR="0039599D" w:rsidRPr="002F1719">
        <w:rPr>
          <w:rFonts w:asciiTheme="minorHAnsi" w:hAnsiTheme="minorHAnsi" w:cstheme="minorHAnsi"/>
          <w:b/>
        </w:rPr>
        <w:t xml:space="preserve"> </w:t>
      </w:r>
    </w:p>
    <w:p w14:paraId="3E62E790" w14:textId="2089EC35" w:rsidR="00CB6F9B" w:rsidRPr="00AA7977" w:rsidRDefault="003A7299" w:rsidP="00AA7977">
      <w:pPr>
        <w:spacing w:after="120" w:line="360" w:lineRule="auto"/>
        <w:ind w:left="0" w:right="792" w:firstLine="0"/>
        <w:rPr>
          <w:rFonts w:asciiTheme="minorHAnsi" w:hAnsiTheme="minorHAnsi" w:cstheme="minorHAnsi"/>
        </w:rPr>
      </w:pPr>
      <w:r w:rsidRPr="00AA7977">
        <w:rPr>
          <w:rFonts w:asciiTheme="minorHAnsi" w:hAnsiTheme="minorHAnsi" w:cstheme="minorHAnsi"/>
        </w:rPr>
        <w:t xml:space="preserve">Podstawa prawna: art. 17 ust. 3 lit. e) </w:t>
      </w:r>
      <w:proofErr w:type="spellStart"/>
      <w:r w:rsidRPr="00AA7977">
        <w:rPr>
          <w:rFonts w:asciiTheme="minorHAnsi" w:hAnsiTheme="minorHAnsi" w:cstheme="minorHAnsi"/>
        </w:rPr>
        <w:t>ppkt</w:t>
      </w:r>
      <w:proofErr w:type="spellEnd"/>
      <w:r w:rsidRPr="00AA7977">
        <w:rPr>
          <w:rFonts w:asciiTheme="minorHAnsi" w:hAnsiTheme="minorHAnsi" w:cstheme="minorHAnsi"/>
        </w:rPr>
        <w:t xml:space="preserve"> (i), art. 17 ust. 9 lit. c) </w:t>
      </w:r>
      <w:proofErr w:type="spellStart"/>
      <w:r w:rsidRPr="00AA7977">
        <w:rPr>
          <w:rFonts w:asciiTheme="minorHAnsi" w:hAnsiTheme="minorHAnsi" w:cstheme="minorHAnsi"/>
        </w:rPr>
        <w:t>ppkt</w:t>
      </w:r>
      <w:proofErr w:type="spellEnd"/>
      <w:r w:rsidRPr="00AA7977">
        <w:rPr>
          <w:rFonts w:asciiTheme="minorHAnsi" w:hAnsiTheme="minorHAnsi" w:cstheme="minorHAnsi"/>
        </w:rPr>
        <w:t xml:space="preserve"> (ii)</w:t>
      </w:r>
      <w:r w:rsidR="00CB6F9B" w:rsidRPr="00AA7977">
        <w:rPr>
          <w:rFonts w:asciiTheme="minorHAnsi" w:hAnsiTheme="minorHAnsi" w:cstheme="minorHAnsi"/>
        </w:rPr>
        <w:t xml:space="preserve"> </w:t>
      </w:r>
    </w:p>
    <w:p w14:paraId="735A570D" w14:textId="5B1D6BCC" w:rsidR="00CB6F9B" w:rsidRPr="00AA7977" w:rsidRDefault="00CB6F9B" w:rsidP="00AA797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Programu </w:t>
      </w:r>
      <w:r w:rsidRPr="00AA7977">
        <w:rPr>
          <w:rFonts w:asciiTheme="minorHAnsi" w:hAnsiTheme="minorHAnsi" w:cstheme="minorHAnsi"/>
        </w:rPr>
        <w:t xml:space="preserve">2.3: Wspieranie rozwoju o obiegu zamkniętym i bardziej </w:t>
      </w:r>
      <w:proofErr w:type="spellStart"/>
      <w:r w:rsidRPr="00AA7977">
        <w:rPr>
          <w:rFonts w:asciiTheme="minorHAnsi" w:hAnsiTheme="minorHAnsi" w:cstheme="minorHAnsi"/>
        </w:rPr>
        <w:t>zasobooszczędnego</w:t>
      </w:r>
      <w:proofErr w:type="spellEnd"/>
      <w:r w:rsidRPr="002F1719">
        <w:rPr>
          <w:rFonts w:asciiTheme="minorHAnsi" w:hAnsiTheme="minorHAnsi" w:cstheme="minorHAnsi"/>
        </w:rPr>
        <w:t>.</w:t>
      </w:r>
    </w:p>
    <w:p w14:paraId="6BCA8275" w14:textId="11D05CDC" w:rsidR="00CB6F9B" w:rsidRPr="002F1719" w:rsidRDefault="00CB6F9B" w:rsidP="00AA797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„Wyzwania społeczno-gospodarcze i zmiany demograficzne w </w:t>
      </w:r>
      <w:r w:rsidR="00A3526E" w:rsidRPr="00AA7977">
        <w:rPr>
          <w:rFonts w:asciiTheme="minorHAnsi" w:hAnsiTheme="minorHAnsi" w:cstheme="minorHAnsi"/>
        </w:rPr>
        <w:t>Obszarze Południowego Bałtyku</w:t>
      </w:r>
      <w:r w:rsidRPr="002F1719">
        <w:rPr>
          <w:rFonts w:asciiTheme="minorHAnsi" w:hAnsiTheme="minorHAnsi" w:cstheme="minorHAnsi"/>
        </w:rPr>
        <w:t>, takie jak starzenie się, wyludnianie, migracje i urbanizacja wpływają na codzienne zachowania i postawy. Wymagają one nowych rozwiązań w celu zapewnienia zrównoważonego rozwoju i dobrobytu w regionie. Oczekuje się, że rozwiązania te spowodują znaczące zmiany w kilku dziedzinach takich jak mobilność, zatrudnienie, systemy opieki zdrowotnej i zabezpieczenia społecznego, struktura społeczna, polityka społeczna i wzorce kulturowe, modele produkcji i konsumpcji, wykorzystanie zasobów naturalnych (nieodnawialnych), rynki dojrzałe i wschodzące oraz sektory biznesowe. Przejście na gospodarkę o bardziej zamkniętym obiegu będzie miało kluczowe znaczenie dla możliwości realizacji przez region Agendy Narodów Zjednoczonych na 2030 r. i jej Celów Zrównoważonego Rozwoju (CZR).</w:t>
      </w:r>
    </w:p>
    <w:p w14:paraId="52FBC2B5" w14:textId="77777777" w:rsidR="00CB6F9B" w:rsidRPr="002F1719" w:rsidRDefault="00CB6F9B" w:rsidP="00AA797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Pominięta kwestia i wspólne wyzwanie wśród krajów SB dotyczą sposobu ustanowienia </w:t>
      </w:r>
      <w:proofErr w:type="spellStart"/>
      <w:r w:rsidRPr="002F1719">
        <w:rPr>
          <w:rFonts w:asciiTheme="minorHAnsi" w:hAnsiTheme="minorHAnsi" w:cstheme="minorHAnsi"/>
        </w:rPr>
        <w:t>zachowań</w:t>
      </w:r>
      <w:proofErr w:type="spellEnd"/>
      <w:r w:rsidRPr="002F1719">
        <w:rPr>
          <w:rFonts w:asciiTheme="minorHAnsi" w:hAnsiTheme="minorHAnsi" w:cstheme="minorHAnsi"/>
        </w:rPr>
        <w:t xml:space="preserve"> i postaw wspierających odpowiedzialną konsumpcję i produkcję. Osiągnięcie tego celu będzie wymagało gruntownego przeglądu naszych wzorców produkcji i konsumpcji typu </w:t>
      </w:r>
      <w:proofErr w:type="spellStart"/>
      <w:r w:rsidRPr="002F1719">
        <w:rPr>
          <w:rFonts w:asciiTheme="minorHAnsi" w:hAnsiTheme="minorHAnsi" w:cstheme="minorHAnsi"/>
        </w:rPr>
        <w:t>take</w:t>
      </w:r>
      <w:proofErr w:type="spellEnd"/>
      <w:r w:rsidRPr="002F1719">
        <w:rPr>
          <w:rFonts w:asciiTheme="minorHAnsi" w:hAnsiTheme="minorHAnsi" w:cstheme="minorHAnsi"/>
        </w:rPr>
        <w:t>-</w:t>
      </w:r>
      <w:proofErr w:type="spellStart"/>
      <w:r w:rsidRPr="002F1719">
        <w:rPr>
          <w:rFonts w:asciiTheme="minorHAnsi" w:hAnsiTheme="minorHAnsi" w:cstheme="minorHAnsi"/>
        </w:rPr>
        <w:t>make</w:t>
      </w:r>
      <w:proofErr w:type="spellEnd"/>
      <w:r w:rsidRPr="002F1719">
        <w:rPr>
          <w:rFonts w:asciiTheme="minorHAnsi" w:hAnsiTheme="minorHAnsi" w:cstheme="minorHAnsi"/>
        </w:rPr>
        <w:t xml:space="preserve">-waste na rzecz systemu o obiegu zamkniętym z systemem regeneracji, w którym wszystkie produkty są opracowywane i wprowadzane do obrotu z myślą o ich ponownym wykorzystaniu i recyklingu, o czym świadczy zdecydowana zmiana polityk, ludzkich </w:t>
      </w:r>
      <w:proofErr w:type="spellStart"/>
      <w:r w:rsidRPr="002F1719">
        <w:rPr>
          <w:rFonts w:asciiTheme="minorHAnsi" w:hAnsiTheme="minorHAnsi" w:cstheme="minorHAnsi"/>
        </w:rPr>
        <w:t>zachowań</w:t>
      </w:r>
      <w:proofErr w:type="spellEnd"/>
      <w:r w:rsidRPr="002F1719">
        <w:rPr>
          <w:rFonts w:asciiTheme="minorHAnsi" w:hAnsiTheme="minorHAnsi" w:cstheme="minorHAnsi"/>
        </w:rPr>
        <w:t xml:space="preserve"> i modeli biznesowych”.</w:t>
      </w:r>
    </w:p>
    <w:p w14:paraId="1F696B81" w14:textId="2FA65CB9" w:rsidR="00CB6F9B" w:rsidRPr="002F1719" w:rsidRDefault="00CB6F9B" w:rsidP="00AA7977">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Biorąc pod uwagę powyższe fakty, istnieje widoczny potencjał współpracy transgranicznej mającej na celu promowanie i realizację działań związanych z gospodarką o obiegu zamkniętym, nie tylko dotyczących ponownego wykorzystania i recyklingu, ale także rozwoju i opracowywania produktów o obiegu zamkniętym, nowych </w:t>
      </w:r>
      <w:proofErr w:type="spellStart"/>
      <w:r w:rsidRPr="002F1719">
        <w:rPr>
          <w:rFonts w:asciiTheme="minorHAnsi" w:hAnsiTheme="minorHAnsi" w:cstheme="minorHAnsi"/>
        </w:rPr>
        <w:t>zasobooszczędnych</w:t>
      </w:r>
      <w:proofErr w:type="spellEnd"/>
      <w:r w:rsidRPr="002F1719">
        <w:rPr>
          <w:rFonts w:asciiTheme="minorHAnsi" w:hAnsiTheme="minorHAnsi" w:cstheme="minorHAnsi"/>
        </w:rPr>
        <w:t xml:space="preserve"> produktów i usług, metod efektywnego gospodarowania zasobami wodnymi dla przemysłu i sektora publicznego, w celu zwiększenia oszczędności zasobów i zamknięcia obiegu materiałów i substancji odżywczych.</w:t>
      </w:r>
    </w:p>
    <w:p w14:paraId="1C3FF30F" w14:textId="53CDCB44" w:rsidR="00CF7065" w:rsidRPr="002F1719" w:rsidRDefault="00CF7065" w:rsidP="00AA7977">
      <w:pPr>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w:t>
      </w:r>
      <w:r w:rsidR="003A7299" w:rsidRPr="002F1719">
        <w:rPr>
          <w:rFonts w:asciiTheme="minorHAnsi" w:hAnsiTheme="minorHAnsi" w:cstheme="minorHAnsi"/>
        </w:rPr>
        <w:t>, gdy jest to uz</w:t>
      </w:r>
      <w:r w:rsidR="009B7B41" w:rsidRPr="002F1719">
        <w:rPr>
          <w:rFonts w:asciiTheme="minorHAnsi" w:hAnsiTheme="minorHAnsi" w:cstheme="minorHAnsi"/>
        </w:rPr>
        <w:t>a</w:t>
      </w:r>
      <w:r w:rsidR="003A7299" w:rsidRPr="002F1719">
        <w:rPr>
          <w:rFonts w:asciiTheme="minorHAnsi" w:hAnsiTheme="minorHAnsi" w:cstheme="minorHAnsi"/>
        </w:rPr>
        <w:t>sadnione</w:t>
      </w:r>
      <w:r w:rsidRPr="002F1719">
        <w:rPr>
          <w:rFonts w:asciiTheme="minorHAnsi" w:hAnsiTheme="minorHAnsi" w:cstheme="minorHAnsi"/>
        </w:rPr>
        <w:t>.</w:t>
      </w:r>
    </w:p>
    <w:p w14:paraId="2A4DEDDC" w14:textId="77777777" w:rsidR="00CB6F9B" w:rsidRPr="002F1719" w:rsidRDefault="00CB6F9B" w:rsidP="00AA7977">
      <w:pPr>
        <w:spacing w:after="120" w:line="360" w:lineRule="auto"/>
        <w:ind w:left="0" w:right="792" w:firstLine="0"/>
        <w:rPr>
          <w:rFonts w:asciiTheme="minorHAnsi" w:hAnsiTheme="minorHAnsi" w:cstheme="minorHAnsi"/>
        </w:rPr>
      </w:pPr>
      <w:r w:rsidRPr="002F1719">
        <w:rPr>
          <w:rFonts w:asciiTheme="minorHAnsi" w:hAnsiTheme="minorHAnsi" w:cstheme="minorHAnsi"/>
        </w:rPr>
        <w:t>Przykładowe działania</w:t>
      </w:r>
    </w:p>
    <w:p w14:paraId="0AAADB08" w14:textId="77777777"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promowanie obszarów wspólnej współpracy w zakresie polityki zarządzania odpadami, np. wspólne opracowywanie strategii, wspólne badania transgraniczne, plany działania itp.,</w:t>
      </w:r>
    </w:p>
    <w:p w14:paraId="57A167AB" w14:textId="6C94B0C2"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opracowywanie, demonstrowanie i wdrażanie nowych modeli biznesowych (np. usługa zamiast sprzedaży produktu), opracowywanie produktu (zapobieganie powstawaniu odpadów, stosowanie nietoksycznych materiałów w celu przygotowania do ponownego wykorzystania i recyklingu), technologie/rozwiązania/procesy produkcji i dystrybucji w gospodarce odpadami/wodnej i efektywne gospodarowanie zasobami (np. ponowne wykorzystanie, recykling, odzyskiwanie), w tym zoptymalizowane wykorzystanie energii (np. biogaz) i symbioza przemysłowa,</w:t>
      </w:r>
    </w:p>
    <w:p w14:paraId="6612F9F0" w14:textId="77777777"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 xml:space="preserve">budowanie sieci współpracy transgranicznej mających na celu ponowne wykorzystanie odpadów jako zasobu, </w:t>
      </w:r>
    </w:p>
    <w:p w14:paraId="010B5ED5" w14:textId="77777777"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 xml:space="preserve">wspólne działania mające na celu optymalizację łańcuchów wartości materiałów pochodzących z recyklingu, </w:t>
      </w:r>
      <w:proofErr w:type="spellStart"/>
      <w:r w:rsidRPr="002F1719">
        <w:rPr>
          <w:rFonts w:asciiTheme="minorHAnsi" w:hAnsiTheme="minorHAnsi" w:cstheme="minorHAnsi"/>
        </w:rPr>
        <w:t>bioproduktów</w:t>
      </w:r>
      <w:proofErr w:type="spellEnd"/>
      <w:r w:rsidRPr="002F1719">
        <w:rPr>
          <w:rFonts w:asciiTheme="minorHAnsi" w:hAnsiTheme="minorHAnsi" w:cstheme="minorHAnsi"/>
        </w:rPr>
        <w:t xml:space="preserve"> leśnych i rolnych, w tym zrównoważoną konstrukcję narzędzi połowowych w zakresie odzyskiwania i recyklingu „sieci-widm” itd.,</w:t>
      </w:r>
    </w:p>
    <w:p w14:paraId="2C41C169" w14:textId="4FBA9DFF"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wspólne innowacyjne działania sprzyjające włączeniu społecznemu i projekty pilotażowe skierowane do mieszkańców w zakresie budowania świadomości na temat konieczności wprowadzenia procesów gospodarki odpadami w gospodarstwach domowych,</w:t>
      </w:r>
    </w:p>
    <w:p w14:paraId="71A59D2E" w14:textId="75C4768C"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transgraniczne kampanie promocyjne i zwiększające świadomość, skierowane do lokalnych przedsiębiorstw publicznych (gospodarka odpadami</w:t>
      </w:r>
      <w:r w:rsidR="00394A8A" w:rsidRPr="002F1719">
        <w:rPr>
          <w:rFonts w:asciiTheme="minorHAnsi" w:hAnsiTheme="minorHAnsi" w:cstheme="minorHAnsi"/>
        </w:rPr>
        <w:t>/</w:t>
      </w:r>
      <w:r w:rsidRPr="002F1719">
        <w:rPr>
          <w:rFonts w:asciiTheme="minorHAnsi" w:hAnsiTheme="minorHAnsi" w:cstheme="minorHAnsi"/>
        </w:rPr>
        <w:t>wodą</w:t>
      </w:r>
      <w:r w:rsidR="00394A8A" w:rsidRPr="002F1719">
        <w:rPr>
          <w:rFonts w:asciiTheme="minorHAnsi" w:hAnsiTheme="minorHAnsi" w:cstheme="minorHAnsi"/>
        </w:rPr>
        <w:t>/</w:t>
      </w:r>
      <w:r w:rsidRPr="002F1719">
        <w:rPr>
          <w:rFonts w:asciiTheme="minorHAnsi" w:hAnsiTheme="minorHAnsi" w:cstheme="minorHAnsi"/>
        </w:rPr>
        <w:t>ogrzewaniem</w:t>
      </w:r>
      <w:r w:rsidR="00394A8A" w:rsidRPr="002F1719">
        <w:rPr>
          <w:rFonts w:asciiTheme="minorHAnsi" w:hAnsiTheme="minorHAnsi" w:cstheme="minorHAnsi"/>
        </w:rPr>
        <w:t>/</w:t>
      </w:r>
      <w:r w:rsidRPr="002F1719">
        <w:rPr>
          <w:rFonts w:asciiTheme="minorHAnsi" w:hAnsiTheme="minorHAnsi" w:cstheme="minorHAnsi"/>
        </w:rPr>
        <w:t>obiektami</w:t>
      </w:r>
      <w:r w:rsidR="00394A8A" w:rsidRPr="002F1719">
        <w:rPr>
          <w:rFonts w:asciiTheme="minorHAnsi" w:hAnsiTheme="minorHAnsi" w:cstheme="minorHAnsi"/>
        </w:rPr>
        <w:t>/</w:t>
      </w:r>
      <w:r w:rsidRPr="002F1719">
        <w:rPr>
          <w:rFonts w:asciiTheme="minorHAnsi" w:hAnsiTheme="minorHAnsi" w:cstheme="minorHAnsi"/>
        </w:rPr>
        <w:t>transportem) oraz MŚP w celu ułatwienia przejścia z tradycyjnej gospodarki na gospodarkę o obiegu zamkniętym,</w:t>
      </w:r>
    </w:p>
    <w:p w14:paraId="798BD05A" w14:textId="6AB8BA05"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opracowywanie i testowanie wspólnych standardów transgranicznych w dziedzinie gospodarki odpadami przez podmioty publiczne we współpracy z uniwersytetami, ośrodkami badawczymi, przedsiębiorstwami i spółdzielniami rolników i mieszkańców oraz organizacjami pozarządowymi,</w:t>
      </w:r>
    </w:p>
    <w:p w14:paraId="03C4FED1" w14:textId="2D9E2061"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opracowywanie, demonstrowanie i wdrażanie rozwiązań/inwestycji, które minimalizują wykorzystanie nowych surowców, w tym promowanie wykorzystania materiałów pochodzących z recyklingu, w procesach produkcyjnych,</w:t>
      </w:r>
    </w:p>
    <w:p w14:paraId="37703D9E" w14:textId="4BC53F96" w:rsidR="00CB6F9B" w:rsidRPr="002F1719" w:rsidRDefault="00CB6F9B" w:rsidP="00AA7977">
      <w:pPr>
        <w:pStyle w:val="ListParagraph"/>
        <w:numPr>
          <w:ilvl w:val="0"/>
          <w:numId w:val="1"/>
        </w:numPr>
        <w:autoSpaceDE w:val="0"/>
        <w:autoSpaceDN w:val="0"/>
        <w:adjustRightInd w:val="0"/>
        <w:spacing w:after="120" w:line="360" w:lineRule="auto"/>
        <w:ind w:left="317" w:right="0" w:hanging="317"/>
        <w:rPr>
          <w:rFonts w:asciiTheme="minorHAnsi" w:hAnsiTheme="minorHAnsi" w:cstheme="minorHAnsi"/>
          <w:szCs w:val="24"/>
        </w:rPr>
      </w:pPr>
      <w:r w:rsidRPr="002F1719">
        <w:rPr>
          <w:rFonts w:asciiTheme="minorHAnsi" w:hAnsiTheme="minorHAnsi" w:cstheme="minorHAnsi"/>
        </w:rPr>
        <w:t>działania na rzecz budowania potencjału, transfer wiedzy i wymiana najlepszych praktyk dotyczących rozwiązań w zakresie gospodarki odpadami, wymiana najlepszych praktyk i planów na temat wymiany danych dotyczących obecnych praktyk w zakresie gospodarki odpadami i przepływów odpadów.</w:t>
      </w:r>
    </w:p>
    <w:p w14:paraId="67F897E2" w14:textId="77777777" w:rsidR="00CB6F9B" w:rsidRPr="002F1719" w:rsidRDefault="00CB6F9B" w:rsidP="00AA7977">
      <w:pPr>
        <w:autoSpaceDE w:val="0"/>
        <w:autoSpaceDN w:val="0"/>
        <w:adjustRightInd w:val="0"/>
        <w:spacing w:before="60" w:after="60" w:line="276" w:lineRule="auto"/>
        <w:ind w:right="0"/>
        <w:rPr>
          <w:rFonts w:asciiTheme="minorHAnsi" w:hAnsiTheme="minorHAnsi" w:cstheme="minorHAnsi"/>
          <w:szCs w:val="24"/>
          <w:lang w:eastAsia="pl-PL"/>
        </w:rPr>
      </w:pPr>
    </w:p>
    <w:p w14:paraId="46E7AFDD" w14:textId="18D665A6" w:rsidR="00CB6F9B" w:rsidRPr="002F1719" w:rsidRDefault="00CB6F9B" w:rsidP="00AA7977">
      <w:pPr>
        <w:ind w:left="0" w:firstLine="0"/>
        <w:rPr>
          <w:rFonts w:asciiTheme="minorHAnsi" w:hAnsiTheme="minorHAnsi" w:cstheme="minorHAnsi"/>
        </w:rPr>
      </w:pPr>
      <w:r w:rsidRPr="002F1719">
        <w:rPr>
          <w:rFonts w:asciiTheme="minorHAnsi" w:hAnsiTheme="minorHAnsi" w:cstheme="minorHAnsi"/>
        </w:rPr>
        <w:t>Wkład w wybrany cel szczegółowy</w:t>
      </w:r>
    </w:p>
    <w:p w14:paraId="4152874E" w14:textId="067B2DE3" w:rsidR="00CB6F9B" w:rsidRPr="002F1719" w:rsidRDefault="00CB6F9B" w:rsidP="00AA7977">
      <w:pPr>
        <w:ind w:left="0" w:firstLine="0"/>
        <w:rPr>
          <w:rFonts w:asciiTheme="minorHAnsi" w:hAnsiTheme="minorHAnsi" w:cstheme="minorHAnsi"/>
        </w:rPr>
      </w:pPr>
      <w:r w:rsidRPr="002F1719">
        <w:rPr>
          <w:rFonts w:asciiTheme="minorHAnsi" w:hAnsiTheme="minorHAnsi" w:cstheme="minorHAnsi"/>
        </w:rPr>
        <w:t xml:space="preserve">Działanie to przyczynia się do osiągania Celu Szczegółowego 2.6. </w:t>
      </w:r>
      <w:r w:rsidRPr="00AA7977">
        <w:rPr>
          <w:rFonts w:asciiTheme="minorHAnsi" w:hAnsiTheme="minorHAnsi" w:cstheme="minorHAnsi"/>
        </w:rPr>
        <w:t xml:space="preserve">Promowanie transformacji w kierunku gospodarki o obiegu zamkniętym i gospodarki </w:t>
      </w:r>
      <w:proofErr w:type="spellStart"/>
      <w:r w:rsidRPr="00AA7977">
        <w:rPr>
          <w:rFonts w:asciiTheme="minorHAnsi" w:hAnsiTheme="minorHAnsi" w:cstheme="minorHAnsi"/>
        </w:rPr>
        <w:t>zasobooszczędnej</w:t>
      </w:r>
      <w:proofErr w:type="spellEnd"/>
      <w:r w:rsidRPr="002F1719">
        <w:rPr>
          <w:rFonts w:asciiTheme="minorHAnsi" w:hAnsiTheme="minorHAnsi" w:cstheme="minorHAnsi"/>
        </w:rPr>
        <w:t xml:space="preserve"> poprzez koncentrowanie się na </w:t>
      </w:r>
      <w:r w:rsidR="00CC6506" w:rsidRPr="002F1719">
        <w:rPr>
          <w:rFonts w:asciiTheme="minorHAnsi" w:hAnsiTheme="minorHAnsi" w:cstheme="minorHAnsi"/>
        </w:rPr>
        <w:t>sposobie ustanowienia</w:t>
      </w:r>
      <w:r w:rsidRPr="002F1719">
        <w:rPr>
          <w:rFonts w:asciiTheme="minorHAnsi" w:hAnsiTheme="minorHAnsi" w:cstheme="minorHAnsi"/>
        </w:rPr>
        <w:t xml:space="preserve"> </w:t>
      </w:r>
      <w:proofErr w:type="spellStart"/>
      <w:r w:rsidRPr="002F1719">
        <w:rPr>
          <w:rFonts w:asciiTheme="minorHAnsi" w:hAnsiTheme="minorHAnsi" w:cstheme="minorHAnsi"/>
        </w:rPr>
        <w:t>zachowa</w:t>
      </w:r>
      <w:r w:rsidR="00CC6506" w:rsidRPr="002F1719">
        <w:rPr>
          <w:rFonts w:asciiTheme="minorHAnsi" w:hAnsiTheme="minorHAnsi" w:cstheme="minorHAnsi"/>
        </w:rPr>
        <w:t>ń</w:t>
      </w:r>
      <w:proofErr w:type="spellEnd"/>
      <w:r w:rsidRPr="002F1719">
        <w:rPr>
          <w:rFonts w:asciiTheme="minorHAnsi" w:hAnsiTheme="minorHAnsi" w:cstheme="minorHAnsi"/>
        </w:rPr>
        <w:t xml:space="preserve"> i postaw wspierając</w:t>
      </w:r>
      <w:r w:rsidR="00CC6506" w:rsidRPr="002F1719">
        <w:rPr>
          <w:rFonts w:asciiTheme="minorHAnsi" w:hAnsiTheme="minorHAnsi" w:cstheme="minorHAnsi"/>
        </w:rPr>
        <w:t>ych</w:t>
      </w:r>
      <w:r w:rsidRPr="002F1719">
        <w:rPr>
          <w:rFonts w:asciiTheme="minorHAnsi" w:hAnsiTheme="minorHAnsi" w:cstheme="minorHAnsi"/>
        </w:rPr>
        <w:t xml:space="preserve"> odpowiedzialną konsumpcję i produkcję. Osiągnięcie tego celu będzie wymagało gruntownego przeglądu modeli produkcji i konsumpcji typu „</w:t>
      </w:r>
      <w:proofErr w:type="spellStart"/>
      <w:r w:rsidRPr="002F1719">
        <w:rPr>
          <w:rFonts w:asciiTheme="minorHAnsi" w:hAnsiTheme="minorHAnsi" w:cstheme="minorHAnsi"/>
        </w:rPr>
        <w:t>take</w:t>
      </w:r>
      <w:proofErr w:type="spellEnd"/>
      <w:r w:rsidRPr="002F1719">
        <w:rPr>
          <w:rFonts w:asciiTheme="minorHAnsi" w:hAnsiTheme="minorHAnsi" w:cstheme="minorHAnsi"/>
        </w:rPr>
        <w:t>-</w:t>
      </w:r>
      <w:proofErr w:type="spellStart"/>
      <w:r w:rsidRPr="002F1719">
        <w:rPr>
          <w:rFonts w:asciiTheme="minorHAnsi" w:hAnsiTheme="minorHAnsi" w:cstheme="minorHAnsi"/>
        </w:rPr>
        <w:t>make</w:t>
      </w:r>
      <w:proofErr w:type="spellEnd"/>
      <w:r w:rsidRPr="002F1719">
        <w:rPr>
          <w:rFonts w:asciiTheme="minorHAnsi" w:hAnsiTheme="minorHAnsi" w:cstheme="minorHAnsi"/>
        </w:rPr>
        <w:t xml:space="preserve">-waste” na rzecz systemu o obiegu zamkniętym. W ramach bardziej przyjaznej dla środowiska, </w:t>
      </w:r>
      <w:proofErr w:type="spellStart"/>
      <w:r w:rsidRPr="002F1719">
        <w:rPr>
          <w:rFonts w:asciiTheme="minorHAnsi" w:hAnsiTheme="minorHAnsi" w:cstheme="minorHAnsi"/>
        </w:rPr>
        <w:t>bezemisyjnej</w:t>
      </w:r>
      <w:proofErr w:type="spellEnd"/>
      <w:r w:rsidRPr="002F1719">
        <w:rPr>
          <w:rFonts w:asciiTheme="minorHAnsi" w:hAnsiTheme="minorHAnsi" w:cstheme="minorHAnsi"/>
        </w:rPr>
        <w:t xml:space="preserve"> Europy </w:t>
      </w:r>
      <w:r w:rsidR="00211E1B" w:rsidRPr="002F1719">
        <w:rPr>
          <w:rFonts w:asciiTheme="minorHAnsi" w:hAnsiTheme="minorHAnsi" w:cstheme="minorHAnsi"/>
        </w:rPr>
        <w:t>Obszar Południowego Bałtyku</w:t>
      </w:r>
      <w:r w:rsidRPr="002F1719">
        <w:rPr>
          <w:rFonts w:asciiTheme="minorHAnsi" w:hAnsiTheme="minorHAnsi" w:cstheme="minorHAnsi"/>
        </w:rPr>
        <w:t xml:space="preserve"> będzie dążył do rozwoju swojej gospodarki w sposób zrównoważony, wspierając projekty na rzecz przejścia na przyjazne dla środowiska procesy produkcyjne, efektywną gospodarkę zasobami i odpadami.</w:t>
      </w:r>
    </w:p>
    <w:p w14:paraId="161D82E5" w14:textId="77777777" w:rsidR="00CB6F9B" w:rsidRPr="002F1719" w:rsidRDefault="00CB6F9B" w:rsidP="0017772B">
      <w:pPr>
        <w:ind w:left="0" w:firstLine="0"/>
        <w:rPr>
          <w:rFonts w:asciiTheme="minorHAnsi" w:hAnsiTheme="minorHAnsi" w:cstheme="minorHAnsi"/>
        </w:rPr>
      </w:pPr>
      <w:r w:rsidRPr="002F1719">
        <w:rPr>
          <w:rFonts w:asciiTheme="minorHAnsi" w:hAnsiTheme="minorHAnsi" w:cstheme="minorHAnsi"/>
        </w:rPr>
        <w:t>Wkład w strategię UE dla Regionu Morza Bałtyckiego</w:t>
      </w:r>
    </w:p>
    <w:p w14:paraId="05335094" w14:textId="47B9F758" w:rsidR="00CB6F9B" w:rsidRPr="002F1719" w:rsidRDefault="00CB6F9B" w:rsidP="0017772B">
      <w:pPr>
        <w:ind w:left="0" w:firstLine="0"/>
        <w:rPr>
          <w:rFonts w:asciiTheme="minorHAnsi" w:hAnsiTheme="minorHAnsi" w:cstheme="minorHAnsi"/>
        </w:rPr>
      </w:pPr>
      <w:r w:rsidRPr="002F1719">
        <w:rPr>
          <w:rFonts w:asciiTheme="minorHAnsi" w:hAnsiTheme="minorHAnsi" w:cstheme="minorHAnsi"/>
        </w:rPr>
        <w:t xml:space="preserve">Działanie </w:t>
      </w:r>
      <w:r w:rsidRPr="00AA7977">
        <w:rPr>
          <w:rFonts w:asciiTheme="minorHAnsi" w:hAnsiTheme="minorHAnsi" w:cstheme="minorHAnsi"/>
        </w:rPr>
        <w:t xml:space="preserve">2.3. Wspieranie rozwoju o obiegu zamkniętym i bardziej </w:t>
      </w:r>
      <w:proofErr w:type="spellStart"/>
      <w:r w:rsidRPr="00AA7977">
        <w:rPr>
          <w:rFonts w:asciiTheme="minorHAnsi" w:hAnsiTheme="minorHAnsi" w:cstheme="minorHAnsi"/>
        </w:rPr>
        <w:t>zasobooszczędnego</w:t>
      </w:r>
      <w:proofErr w:type="spellEnd"/>
      <w:r w:rsidRPr="00AA7977">
        <w:rPr>
          <w:rFonts w:asciiTheme="minorHAnsi" w:hAnsiTheme="minorHAnsi" w:cstheme="minorHAnsi"/>
        </w:rPr>
        <w:t xml:space="preserve"> </w:t>
      </w:r>
      <w:r w:rsidRPr="002F1719">
        <w:rPr>
          <w:rFonts w:asciiTheme="minorHAnsi" w:hAnsiTheme="minorHAnsi" w:cstheme="minorHAnsi"/>
        </w:rPr>
        <w:t>przyczynia</w:t>
      </w:r>
      <w:r w:rsidRPr="00AA7977">
        <w:rPr>
          <w:rFonts w:asciiTheme="minorHAnsi" w:hAnsiTheme="minorHAnsi" w:cstheme="minorHAnsi"/>
        </w:rPr>
        <w:t xml:space="preserve"> </w:t>
      </w:r>
      <w:r w:rsidRPr="002F1719">
        <w:rPr>
          <w:rFonts w:asciiTheme="minorHAnsi" w:hAnsiTheme="minorHAnsi" w:cstheme="minorHAnsi"/>
        </w:rPr>
        <w:t xml:space="preserve">się do OP Zagrożenia </w:t>
      </w:r>
      <w:r w:rsidR="00CC6506" w:rsidRPr="002F1719">
        <w:rPr>
          <w:rFonts w:asciiTheme="minorHAnsi" w:hAnsiTheme="minorHAnsi" w:cstheme="minorHAnsi"/>
        </w:rPr>
        <w:t>dzięki</w:t>
      </w:r>
      <w:r w:rsidRPr="002F1719">
        <w:rPr>
          <w:rFonts w:asciiTheme="minorHAnsi" w:hAnsiTheme="minorHAnsi" w:cstheme="minorHAnsi"/>
        </w:rPr>
        <w:t xml:space="preserve"> opracowywani</w:t>
      </w:r>
      <w:r w:rsidR="00CC6506" w:rsidRPr="002F1719">
        <w:rPr>
          <w:rFonts w:asciiTheme="minorHAnsi" w:hAnsiTheme="minorHAnsi" w:cstheme="minorHAnsi"/>
        </w:rPr>
        <w:t>u</w:t>
      </w:r>
      <w:r w:rsidRPr="002F1719">
        <w:rPr>
          <w:rFonts w:asciiTheme="minorHAnsi" w:hAnsiTheme="minorHAnsi" w:cstheme="minorHAnsi"/>
        </w:rPr>
        <w:t>, demonstrowani</w:t>
      </w:r>
      <w:r w:rsidR="00CC6506" w:rsidRPr="002F1719">
        <w:rPr>
          <w:rFonts w:asciiTheme="minorHAnsi" w:hAnsiTheme="minorHAnsi" w:cstheme="minorHAnsi"/>
        </w:rPr>
        <w:t>u</w:t>
      </w:r>
      <w:r w:rsidRPr="002F1719">
        <w:rPr>
          <w:rFonts w:asciiTheme="minorHAnsi" w:hAnsiTheme="minorHAnsi" w:cstheme="minorHAnsi"/>
        </w:rPr>
        <w:t xml:space="preserve"> i wdrażani</w:t>
      </w:r>
      <w:r w:rsidR="00CC6506" w:rsidRPr="002F1719">
        <w:rPr>
          <w:rFonts w:asciiTheme="minorHAnsi" w:hAnsiTheme="minorHAnsi" w:cstheme="minorHAnsi"/>
        </w:rPr>
        <w:t>u</w:t>
      </w:r>
      <w:r w:rsidRPr="002F1719">
        <w:rPr>
          <w:rFonts w:asciiTheme="minorHAnsi" w:hAnsiTheme="minorHAnsi" w:cstheme="minorHAnsi"/>
        </w:rPr>
        <w:t xml:space="preserve"> rozwiązań (możliwych działań pilotażowych na małą skalę) w zakresie ograniczania zanieczyszczeń (np. wspólne działania mające na celu wprowadzenie bardziej przyjaznych dla środowiska środków transportu miejskiego). Przyczynia się również do OP </w:t>
      </w:r>
      <w:proofErr w:type="spellStart"/>
      <w:r w:rsidRPr="002F1719">
        <w:rPr>
          <w:rFonts w:asciiTheme="minorHAnsi" w:hAnsiTheme="minorHAnsi" w:cstheme="minorHAnsi"/>
        </w:rPr>
        <w:t>Biogospodarka</w:t>
      </w:r>
      <w:proofErr w:type="spellEnd"/>
      <w:r w:rsidRPr="002F1719">
        <w:rPr>
          <w:rFonts w:asciiTheme="minorHAnsi" w:hAnsiTheme="minorHAnsi" w:cstheme="minorHAnsi"/>
        </w:rPr>
        <w:t xml:space="preserve"> </w:t>
      </w:r>
      <w:r w:rsidR="00CC6506" w:rsidRPr="002F1719">
        <w:rPr>
          <w:rFonts w:asciiTheme="minorHAnsi" w:hAnsiTheme="minorHAnsi" w:cstheme="minorHAnsi"/>
        </w:rPr>
        <w:t>dzięki</w:t>
      </w:r>
      <w:r w:rsidRPr="002F1719">
        <w:rPr>
          <w:rFonts w:asciiTheme="minorHAnsi" w:hAnsiTheme="minorHAnsi" w:cstheme="minorHAnsi"/>
        </w:rPr>
        <w:t xml:space="preserve"> budowani</w:t>
      </w:r>
      <w:r w:rsidR="00CC6506" w:rsidRPr="002F1719">
        <w:rPr>
          <w:rFonts w:asciiTheme="minorHAnsi" w:hAnsiTheme="minorHAnsi" w:cstheme="minorHAnsi"/>
        </w:rPr>
        <w:t>u</w:t>
      </w:r>
      <w:r w:rsidRPr="002F1719">
        <w:rPr>
          <w:rFonts w:asciiTheme="minorHAnsi" w:hAnsiTheme="minorHAnsi" w:cstheme="minorHAnsi"/>
        </w:rPr>
        <w:t xml:space="preserve"> transgranicznych sieci współpracy mających na celu ponowne wykorzystanie odpadów jako zasobu (zrównoważone wykorzystywanie zasobów).</w:t>
      </w:r>
    </w:p>
    <w:p w14:paraId="639D870E" w14:textId="2DDEE423" w:rsidR="00CB6F9B" w:rsidRPr="002F1719" w:rsidRDefault="0039599D" w:rsidP="0017772B">
      <w:pPr>
        <w:pStyle w:val="ListParagraph"/>
        <w:numPr>
          <w:ilvl w:val="2"/>
          <w:numId w:val="15"/>
        </w:numPr>
        <w:spacing w:after="218" w:line="259" w:lineRule="auto"/>
        <w:ind w:left="0" w:right="0"/>
        <w:rPr>
          <w:rFonts w:asciiTheme="minorHAnsi" w:hAnsiTheme="minorHAnsi" w:cstheme="minorHAnsi"/>
        </w:rPr>
      </w:pPr>
      <w:r w:rsidRPr="002F1719">
        <w:rPr>
          <w:rFonts w:asciiTheme="minorHAnsi" w:hAnsiTheme="minorHAnsi" w:cstheme="minorHAnsi"/>
          <w:b/>
        </w:rPr>
        <w:t xml:space="preserve">Wskaźniki </w:t>
      </w:r>
    </w:p>
    <w:p w14:paraId="2D52FFA6" w14:textId="58150EF0" w:rsidR="00CB6F9B" w:rsidRPr="002F1719" w:rsidRDefault="009B7B41" w:rsidP="00CB6F9B">
      <w:pPr>
        <w:spacing w:after="450" w:line="265" w:lineRule="auto"/>
        <w:ind w:left="-5" w:right="0" w:hanging="10"/>
        <w:rPr>
          <w:rFonts w:asciiTheme="minorHAnsi" w:hAnsiTheme="minorHAnsi" w:cstheme="minorHAnsi"/>
        </w:rPr>
      </w:pPr>
      <w:r w:rsidRPr="0017772B">
        <w:rPr>
          <w:rFonts w:asciiTheme="minorHAnsi" w:hAnsiTheme="minorHAnsi" w:cstheme="minorHAnsi"/>
        </w:rPr>
        <w:t xml:space="preserve">Podstawa prawna: art. 17 ust. 3 lit. e) </w:t>
      </w:r>
      <w:proofErr w:type="spellStart"/>
      <w:r w:rsidRPr="0017772B">
        <w:rPr>
          <w:rFonts w:asciiTheme="minorHAnsi" w:hAnsiTheme="minorHAnsi" w:cstheme="minorHAnsi"/>
        </w:rPr>
        <w:t>ppkt</w:t>
      </w:r>
      <w:proofErr w:type="spellEnd"/>
      <w:r w:rsidRPr="0017772B">
        <w:rPr>
          <w:rFonts w:asciiTheme="minorHAnsi" w:hAnsiTheme="minorHAnsi" w:cstheme="minorHAnsi"/>
        </w:rPr>
        <w:t xml:space="preserve"> (ii), art. 17 ust. 9 lit. c) </w:t>
      </w:r>
      <w:proofErr w:type="spellStart"/>
      <w:r w:rsidRPr="0017772B">
        <w:rPr>
          <w:rFonts w:asciiTheme="minorHAnsi" w:hAnsiTheme="minorHAnsi" w:cstheme="minorHAnsi"/>
        </w:rPr>
        <w:t>ppkt</w:t>
      </w:r>
      <w:proofErr w:type="spellEnd"/>
      <w:r w:rsidRPr="0017772B">
        <w:rPr>
          <w:rFonts w:asciiTheme="minorHAnsi" w:hAnsiTheme="minorHAnsi" w:cstheme="minorHAnsi"/>
        </w:rPr>
        <w:t xml:space="preserve"> (iii</w:t>
      </w:r>
      <w:r w:rsidR="00CB6F9B" w:rsidRPr="0017772B">
        <w:rPr>
          <w:rFonts w:asciiTheme="minorHAnsi" w:hAnsiTheme="minorHAnsi" w:cstheme="minorHAnsi"/>
        </w:rPr>
        <w:t xml:space="preserve">) </w:t>
      </w:r>
    </w:p>
    <w:p w14:paraId="475417F1" w14:textId="77777777" w:rsidR="0017772B" w:rsidRDefault="0017772B" w:rsidP="0017772B">
      <w:pPr>
        <w:pStyle w:val="Heading5"/>
      </w:pPr>
      <w:r w:rsidRPr="002F1719">
        <w:t>Tabela 2</w:t>
      </w:r>
      <w:r>
        <w:t xml:space="preserve"> </w:t>
      </w:r>
      <w:r w:rsidRPr="002F1719">
        <w:t>Wskaźniki produktu</w:t>
      </w:r>
    </w:p>
    <w:p w14:paraId="00274CC6"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Priorytet </w:t>
      </w:r>
      <w:r>
        <w:rPr>
          <w:rFonts w:asciiTheme="minorHAnsi" w:hAnsiTheme="minorHAnsi" w:cstheme="minorHAnsi"/>
        </w:rPr>
        <w:t>2</w:t>
      </w:r>
    </w:p>
    <w:p w14:paraId="7EB901B2" w14:textId="35C3614A"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szczegółowy </w:t>
      </w:r>
      <w:r>
        <w:rPr>
          <w:rFonts w:asciiTheme="minorHAnsi" w:hAnsiTheme="minorHAnsi" w:cstheme="minorHAnsi"/>
        </w:rPr>
        <w:t>2.6</w:t>
      </w:r>
    </w:p>
    <w:p w14:paraId="1A830B98"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8</w:t>
      </w:r>
      <w:r>
        <w:rPr>
          <w:rFonts w:asciiTheme="minorHAnsi" w:hAnsiTheme="minorHAnsi" w:cstheme="minorHAnsi"/>
        </w:rPr>
        <w:t>4</w:t>
      </w:r>
    </w:p>
    <w:p w14:paraId="306086BC"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A751C5">
        <w:rPr>
          <w:rFonts w:asciiTheme="minorHAnsi" w:hAnsiTheme="minorHAnsi" w:cstheme="minorHAnsi"/>
        </w:rPr>
        <w:t>Działania pilotażowe opracowane wspólnie i wdrażane w ramach projektów</w:t>
      </w:r>
    </w:p>
    <w:p w14:paraId="021D9CD6"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Jednostka miary [255] </w:t>
      </w:r>
      <w:r w:rsidRPr="00A751C5">
        <w:rPr>
          <w:rFonts w:asciiTheme="minorHAnsi" w:hAnsiTheme="minorHAnsi" w:cstheme="minorHAnsi"/>
        </w:rPr>
        <w:t>Liczba działań pilotażowych</w:t>
      </w:r>
    </w:p>
    <w:p w14:paraId="45167C9B"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0AB72F5D" w14:textId="4677CBFB"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14</w:t>
      </w:r>
    </w:p>
    <w:p w14:paraId="30A0C03A"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21FB48D0"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116</w:t>
      </w:r>
    </w:p>
    <w:p w14:paraId="402521F0"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opracowane rozwiązania</w:t>
      </w:r>
    </w:p>
    <w:p w14:paraId="6B93CDE0"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204DF47A" w14:textId="77777777"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69A8A796" w14:textId="2F033EE3" w:rsidR="0017772B" w:rsidRPr="00293553"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19</w:t>
      </w:r>
    </w:p>
    <w:p w14:paraId="06321956" w14:textId="77777777" w:rsidR="0017772B" w:rsidRPr="002F1719" w:rsidRDefault="0017772B" w:rsidP="0017772B">
      <w:pPr>
        <w:spacing w:after="0" w:line="259" w:lineRule="auto"/>
        <w:ind w:left="-15" w:right="1" w:firstLine="0"/>
        <w:rPr>
          <w:rFonts w:asciiTheme="minorHAnsi" w:hAnsiTheme="minorHAnsi" w:cstheme="minorHAnsi"/>
        </w:rPr>
      </w:pPr>
    </w:p>
    <w:p w14:paraId="4B02A4AD" w14:textId="77777777" w:rsidR="0017772B" w:rsidRDefault="0017772B" w:rsidP="0017772B">
      <w:pPr>
        <w:pStyle w:val="Heading5"/>
      </w:pPr>
      <w:r w:rsidRPr="002F1719">
        <w:t>Tabela 3 Wskaźniki rezultatu</w:t>
      </w:r>
    </w:p>
    <w:p w14:paraId="3F744FAC"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Priorytet </w:t>
      </w:r>
      <w:r>
        <w:rPr>
          <w:rFonts w:asciiTheme="minorHAnsi" w:hAnsiTheme="minorHAnsi" w:cstheme="minorHAnsi"/>
        </w:rPr>
        <w:t>2</w:t>
      </w:r>
    </w:p>
    <w:p w14:paraId="6C21569E" w14:textId="7F901F93" w:rsidR="0017772B"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szczegółowy </w:t>
      </w:r>
      <w:r>
        <w:rPr>
          <w:rFonts w:asciiTheme="minorHAnsi" w:hAnsiTheme="minorHAnsi" w:cstheme="minorHAnsi"/>
        </w:rPr>
        <w:t>2.6</w:t>
      </w:r>
    </w:p>
    <w:p w14:paraId="5604E322"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Numer identyfikacyjny RCR 104</w:t>
      </w:r>
    </w:p>
    <w:p w14:paraId="148A7362"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Wskaźnik Rozwiązania podejmowane lub ulepszane przez organizacje</w:t>
      </w:r>
    </w:p>
    <w:p w14:paraId="1E793CE3"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2C21927A"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1EFD2D23"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71B950E2" w14:textId="5996F231"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Pr>
          <w:rFonts w:asciiTheme="minorHAnsi" w:hAnsiTheme="minorHAnsi" w:cstheme="minorHAnsi"/>
        </w:rPr>
        <w:t>10</w:t>
      </w:r>
    </w:p>
    <w:p w14:paraId="6D60DEA4"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384A3330" w14:textId="77777777" w:rsidR="0017772B" w:rsidRPr="00CD424E"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119A8AC9" w14:textId="77777777" w:rsidR="0017772B" w:rsidRPr="002F1719" w:rsidRDefault="0017772B" w:rsidP="0017772B">
      <w:pPr>
        <w:spacing w:after="0" w:line="259" w:lineRule="auto"/>
        <w:ind w:left="0" w:right="0" w:firstLine="0"/>
        <w:rPr>
          <w:rFonts w:asciiTheme="minorHAnsi" w:hAnsiTheme="minorHAnsi" w:cstheme="minorHAnsi"/>
        </w:rPr>
      </w:pPr>
    </w:p>
    <w:p w14:paraId="4303DF45" w14:textId="5297B153" w:rsidR="00CB6F9B" w:rsidRPr="002F1719" w:rsidRDefault="0039599D" w:rsidP="0017772B">
      <w:pPr>
        <w:pStyle w:val="ListParagraph"/>
        <w:numPr>
          <w:ilvl w:val="2"/>
          <w:numId w:val="15"/>
        </w:numPr>
        <w:spacing w:after="218" w:line="259" w:lineRule="auto"/>
        <w:ind w:left="0" w:right="0"/>
        <w:rPr>
          <w:rFonts w:asciiTheme="minorHAnsi" w:hAnsiTheme="minorHAnsi" w:cstheme="minorHAnsi"/>
        </w:rPr>
      </w:pPr>
      <w:r w:rsidRPr="002F1719">
        <w:rPr>
          <w:rFonts w:asciiTheme="minorHAnsi" w:hAnsiTheme="minorHAnsi" w:cstheme="minorHAnsi"/>
          <w:b/>
        </w:rPr>
        <w:t xml:space="preserve">Główne grupy docelowe </w:t>
      </w:r>
    </w:p>
    <w:p w14:paraId="06992DD7" w14:textId="47EE7116" w:rsidR="00CB6F9B" w:rsidRPr="0017772B" w:rsidRDefault="009B7B41" w:rsidP="00CB6F9B">
      <w:pPr>
        <w:spacing w:after="241" w:line="265" w:lineRule="auto"/>
        <w:ind w:left="-5" w:right="0" w:hanging="10"/>
        <w:rPr>
          <w:rFonts w:asciiTheme="minorHAnsi" w:hAnsiTheme="minorHAnsi" w:cstheme="minorHAnsi"/>
        </w:rPr>
      </w:pPr>
      <w:r w:rsidRPr="0017772B">
        <w:rPr>
          <w:rFonts w:asciiTheme="minorHAnsi" w:hAnsiTheme="minorHAnsi" w:cstheme="minorHAnsi"/>
        </w:rPr>
        <w:t xml:space="preserve">Podstawa prawna: art. 17 ust. 3 lit. e) </w:t>
      </w:r>
      <w:proofErr w:type="spellStart"/>
      <w:r w:rsidRPr="0017772B">
        <w:rPr>
          <w:rFonts w:asciiTheme="minorHAnsi" w:hAnsiTheme="minorHAnsi" w:cstheme="minorHAnsi"/>
        </w:rPr>
        <w:t>ppkt</w:t>
      </w:r>
      <w:proofErr w:type="spellEnd"/>
      <w:r w:rsidRPr="0017772B">
        <w:rPr>
          <w:rFonts w:asciiTheme="minorHAnsi" w:hAnsiTheme="minorHAnsi" w:cstheme="minorHAnsi"/>
        </w:rPr>
        <w:t xml:space="preserve"> (iii), art. 17 ust. 9 lit. c) </w:t>
      </w:r>
      <w:proofErr w:type="spellStart"/>
      <w:r w:rsidRPr="0017772B">
        <w:rPr>
          <w:rFonts w:asciiTheme="minorHAnsi" w:hAnsiTheme="minorHAnsi" w:cstheme="minorHAnsi"/>
        </w:rPr>
        <w:t>ppkt</w:t>
      </w:r>
      <w:proofErr w:type="spellEnd"/>
      <w:r w:rsidRPr="0017772B">
        <w:rPr>
          <w:rFonts w:asciiTheme="minorHAnsi" w:hAnsiTheme="minorHAnsi" w:cstheme="minorHAnsi"/>
        </w:rPr>
        <w:t xml:space="preserve"> (iv)</w:t>
      </w:r>
      <w:r w:rsidR="00CB6F9B" w:rsidRPr="0017772B">
        <w:rPr>
          <w:rFonts w:asciiTheme="minorHAnsi" w:hAnsiTheme="minorHAnsi" w:cstheme="minorHAnsi"/>
        </w:rPr>
        <w:t xml:space="preserve"> </w:t>
      </w:r>
    </w:p>
    <w:p w14:paraId="3D80476E" w14:textId="77777777" w:rsidR="00CB6F9B" w:rsidRPr="0017772B" w:rsidRDefault="00CB6F9B" w:rsidP="00CB6F9B">
      <w:pPr>
        <w:spacing w:after="241" w:line="265" w:lineRule="auto"/>
        <w:ind w:left="-5" w:right="0" w:hanging="10"/>
        <w:rPr>
          <w:rFonts w:asciiTheme="minorHAnsi" w:hAnsiTheme="minorHAnsi" w:cstheme="minorHAnsi"/>
        </w:rPr>
      </w:pPr>
      <w:r w:rsidRPr="0017772B">
        <w:rPr>
          <w:rFonts w:asciiTheme="minorHAnsi" w:hAnsiTheme="minorHAnsi" w:cstheme="minorHAnsi"/>
        </w:rPr>
        <w:t>Główne grupy docelowe</w:t>
      </w:r>
    </w:p>
    <w:p w14:paraId="7D4114E2" w14:textId="0CD4B4B3"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Instytucje publiczne i równoważne podmioty publiczne w </w:t>
      </w:r>
      <w:r w:rsidR="00211E1B" w:rsidRPr="002F1719">
        <w:rPr>
          <w:rFonts w:asciiTheme="minorHAnsi" w:hAnsiTheme="minorHAnsi" w:cstheme="minorHAnsi"/>
          <w:color w:val="auto"/>
        </w:rPr>
        <w:t>Obszarze Południowego Bałtyku</w:t>
      </w:r>
    </w:p>
    <w:p w14:paraId="44CB1EB5" w14:textId="7777777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Właściciele gruntów</w:t>
      </w:r>
    </w:p>
    <w:p w14:paraId="3F65E24A" w14:textId="7777777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MŚP</w:t>
      </w:r>
    </w:p>
    <w:p w14:paraId="42A7173C" w14:textId="7777777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Obywatele</w:t>
      </w:r>
    </w:p>
    <w:p w14:paraId="1DBA08A6" w14:textId="77777777" w:rsidR="002A7A71" w:rsidRPr="002F1719" w:rsidRDefault="002A7A71" w:rsidP="0017772B">
      <w:pPr>
        <w:spacing w:after="120" w:line="360" w:lineRule="auto"/>
        <w:ind w:left="-5" w:right="0" w:hanging="10"/>
        <w:rPr>
          <w:rFonts w:asciiTheme="minorHAnsi" w:hAnsiTheme="minorHAnsi" w:cstheme="minorHAnsi"/>
          <w:color w:val="auto"/>
          <w:szCs w:val="24"/>
          <w:lang w:val="en-GB" w:eastAsia="pl-PL"/>
        </w:rPr>
      </w:pPr>
    </w:p>
    <w:p w14:paraId="1F333749" w14:textId="77777777" w:rsidR="00CB6F9B" w:rsidRPr="002F1719" w:rsidRDefault="00CB6F9B" w:rsidP="0017772B">
      <w:pPr>
        <w:spacing w:after="120" w:line="360" w:lineRule="auto"/>
        <w:ind w:left="-5" w:right="0" w:hanging="10"/>
        <w:rPr>
          <w:rFonts w:asciiTheme="minorHAnsi" w:hAnsiTheme="minorHAnsi" w:cstheme="minorHAnsi"/>
          <w:color w:val="auto"/>
          <w:szCs w:val="24"/>
        </w:rPr>
      </w:pPr>
      <w:r w:rsidRPr="002F1719">
        <w:rPr>
          <w:rFonts w:asciiTheme="minorHAnsi" w:hAnsiTheme="minorHAnsi" w:cstheme="minorHAnsi"/>
          <w:color w:val="auto"/>
        </w:rPr>
        <w:t>Przykładowe rodzaje beneficjentów</w:t>
      </w:r>
    </w:p>
    <w:p w14:paraId="0ADCA0DF" w14:textId="4AC901B2"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władze lokalne i regionalne oraz ich stowarzyszenia </w:t>
      </w:r>
    </w:p>
    <w:p w14:paraId="4D144B13" w14:textId="7777777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szkoły, szkolnictwo wyższe i instytucje badawczo-rozwojowe</w:t>
      </w:r>
    </w:p>
    <w:p w14:paraId="1E90FD5C" w14:textId="06D9B3B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przedsiębiorstwa publiczne lub prywatne (o charakterze publicznym lub non-profit) zajmujące się gospodarką komunalną i miejską w zakresie środowiska i energii (taką jak odpady i woda, ogrzewanie, ochrona powietrza) </w:t>
      </w:r>
    </w:p>
    <w:p w14:paraId="604BFD64" w14:textId="77777777" w:rsidR="003246FE" w:rsidRPr="002F1719" w:rsidRDefault="003246FE"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MŚP </w:t>
      </w:r>
    </w:p>
    <w:p w14:paraId="3B5463A6" w14:textId="7777777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formalne stowarzyszenia, klastry i sieci MŚP </w:t>
      </w:r>
    </w:p>
    <w:p w14:paraId="2F7FBE1C" w14:textId="77777777" w:rsidR="00CB6F9B" w:rsidRPr="002F1719" w:rsidRDefault="00CB6F9B"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organizacje pozarządowe </w:t>
      </w:r>
    </w:p>
    <w:p w14:paraId="52ACF3BD" w14:textId="6A6E7307" w:rsidR="00CB6F9B" w:rsidRPr="002F1719" w:rsidRDefault="00CC6506" w:rsidP="0017772B">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Europejskie Ugrupowania Współpracy Terytorialnej</w:t>
      </w:r>
      <w:r w:rsidR="0017772B">
        <w:rPr>
          <w:rFonts w:asciiTheme="minorHAnsi" w:hAnsiTheme="minorHAnsi" w:cstheme="minorHAnsi"/>
        </w:rPr>
        <w:t>.</w:t>
      </w:r>
    </w:p>
    <w:p w14:paraId="7FDBDA7A" w14:textId="77777777" w:rsidR="00446748" w:rsidRPr="002F1719" w:rsidRDefault="00446748" w:rsidP="0017772B">
      <w:pPr>
        <w:pStyle w:val="ListParagraph"/>
        <w:autoSpaceDE w:val="0"/>
        <w:autoSpaceDN w:val="0"/>
        <w:adjustRightInd w:val="0"/>
        <w:spacing w:before="60" w:after="120" w:line="360" w:lineRule="auto"/>
        <w:ind w:left="319" w:right="0" w:firstLine="0"/>
        <w:rPr>
          <w:rFonts w:asciiTheme="minorHAnsi" w:hAnsiTheme="minorHAnsi" w:cstheme="minorHAnsi"/>
          <w:szCs w:val="24"/>
          <w:lang w:val="en-GB" w:eastAsia="pl-PL"/>
        </w:rPr>
      </w:pPr>
    </w:p>
    <w:p w14:paraId="5578A9A4" w14:textId="77777777" w:rsidR="0017772B" w:rsidRDefault="009B7B41" w:rsidP="0017772B">
      <w:pPr>
        <w:pStyle w:val="ListParagraph"/>
        <w:numPr>
          <w:ilvl w:val="2"/>
          <w:numId w:val="15"/>
        </w:numPr>
        <w:spacing w:after="218" w:line="259" w:lineRule="auto"/>
        <w:ind w:left="0" w:right="0"/>
        <w:rPr>
          <w:rFonts w:asciiTheme="minorHAnsi" w:hAnsiTheme="minorHAnsi" w:cstheme="minorHAnsi"/>
        </w:rPr>
      </w:pPr>
      <w:r w:rsidRPr="002F1719">
        <w:rPr>
          <w:rFonts w:asciiTheme="minorHAnsi" w:hAnsiTheme="minorHAnsi" w:cstheme="minorHAnsi"/>
          <w:b/>
        </w:rPr>
        <w:t>Indykatywny podział zasobów programu UE według rodzaju interwencji</w:t>
      </w:r>
      <w:r w:rsidR="005D4A7D" w:rsidRPr="002F1719">
        <w:rPr>
          <w:rFonts w:asciiTheme="minorHAnsi" w:hAnsiTheme="minorHAnsi" w:cstheme="minorHAnsi"/>
          <w:b/>
        </w:rPr>
        <w:t xml:space="preserve"> </w:t>
      </w:r>
    </w:p>
    <w:p w14:paraId="32750F72" w14:textId="15902218" w:rsidR="00CB6F9B" w:rsidRPr="0017772B" w:rsidRDefault="009B7B41" w:rsidP="0017772B">
      <w:pPr>
        <w:spacing w:after="241" w:line="265" w:lineRule="auto"/>
        <w:ind w:left="-5" w:right="0" w:hanging="10"/>
        <w:rPr>
          <w:rFonts w:asciiTheme="minorHAnsi" w:hAnsiTheme="minorHAnsi" w:cstheme="minorHAnsi"/>
        </w:rPr>
      </w:pPr>
      <w:r w:rsidRPr="0017772B">
        <w:rPr>
          <w:rFonts w:asciiTheme="minorHAnsi" w:hAnsiTheme="minorHAnsi" w:cstheme="minorHAnsi"/>
        </w:rPr>
        <w:t xml:space="preserve">Podstawa prawna: art. 17 ust. 3 lit. e) </w:t>
      </w:r>
      <w:proofErr w:type="spellStart"/>
      <w:r w:rsidRPr="0017772B">
        <w:rPr>
          <w:rFonts w:asciiTheme="minorHAnsi" w:hAnsiTheme="minorHAnsi" w:cstheme="minorHAnsi"/>
        </w:rPr>
        <w:t>ppkt</w:t>
      </w:r>
      <w:proofErr w:type="spellEnd"/>
      <w:r w:rsidRPr="0017772B">
        <w:rPr>
          <w:rFonts w:asciiTheme="minorHAnsi" w:hAnsiTheme="minorHAnsi" w:cstheme="minorHAnsi"/>
        </w:rPr>
        <w:t xml:space="preserve"> (vi), art. 17 ust. 9 lit. c) </w:t>
      </w:r>
      <w:proofErr w:type="spellStart"/>
      <w:r w:rsidRPr="0017772B">
        <w:rPr>
          <w:rFonts w:asciiTheme="minorHAnsi" w:hAnsiTheme="minorHAnsi" w:cstheme="minorHAnsi"/>
        </w:rPr>
        <w:t>ppkt</w:t>
      </w:r>
      <w:proofErr w:type="spellEnd"/>
      <w:r w:rsidRPr="0017772B">
        <w:rPr>
          <w:rFonts w:asciiTheme="minorHAnsi" w:hAnsiTheme="minorHAnsi" w:cstheme="minorHAnsi"/>
        </w:rPr>
        <w:t xml:space="preserve"> (v)</w:t>
      </w:r>
      <w:r w:rsidR="005D4A7D" w:rsidRPr="0017772B">
        <w:rPr>
          <w:rFonts w:asciiTheme="minorHAnsi" w:hAnsiTheme="minorHAnsi" w:cstheme="minorHAnsi"/>
        </w:rPr>
        <w:t xml:space="preserve"> </w:t>
      </w:r>
    </w:p>
    <w:p w14:paraId="0B4CEF42" w14:textId="77777777" w:rsidR="0017772B" w:rsidRDefault="0017772B" w:rsidP="0017772B">
      <w:pPr>
        <w:pStyle w:val="Heading5"/>
      </w:pPr>
      <w:r w:rsidRPr="002F1719">
        <w:t>Tabela 4</w:t>
      </w:r>
      <w:r>
        <w:t xml:space="preserve"> </w:t>
      </w:r>
      <w:r w:rsidRPr="002F1719">
        <w:t>Wymiar 1 – zakres interwencji</w:t>
      </w:r>
    </w:p>
    <w:p w14:paraId="218368A8"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4952B8EB"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058CD894" w14:textId="04DB2D80"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2.6</w:t>
      </w:r>
    </w:p>
    <w:p w14:paraId="075D6B01" w14:textId="343D4D3B"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67</w:t>
      </w:r>
    </w:p>
    <w:p w14:paraId="25DEB28C" w14:textId="6DE53FAA"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17772B">
        <w:rPr>
          <w:rFonts w:asciiTheme="minorHAnsi" w:hAnsiTheme="minorHAnsi" w:cstheme="minorHAnsi"/>
        </w:rPr>
        <w:t>3 083 761,80</w:t>
      </w:r>
    </w:p>
    <w:p w14:paraId="6B746CA3" w14:textId="7560653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71</w:t>
      </w:r>
    </w:p>
    <w:p w14:paraId="6C78A9DD" w14:textId="3DD432B3" w:rsidR="0017772B"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17772B">
        <w:rPr>
          <w:rFonts w:asciiTheme="minorHAnsi" w:hAnsiTheme="minorHAnsi" w:cstheme="minorHAnsi"/>
        </w:rPr>
        <w:t>2 643 224,40</w:t>
      </w:r>
    </w:p>
    <w:p w14:paraId="6C197ED7" w14:textId="342DC3FC"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w:t>
      </w:r>
      <w:r>
        <w:rPr>
          <w:rFonts w:asciiTheme="minorHAnsi" w:hAnsiTheme="minorHAnsi" w:cstheme="minorHAnsi"/>
        </w:rPr>
        <w:t>75</w:t>
      </w:r>
    </w:p>
    <w:p w14:paraId="2923EC2D" w14:textId="23A7755F"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17772B">
        <w:rPr>
          <w:rFonts w:asciiTheme="minorHAnsi" w:hAnsiTheme="minorHAnsi" w:cstheme="minorHAnsi"/>
        </w:rPr>
        <w:t>3 083 761,80</w:t>
      </w:r>
    </w:p>
    <w:p w14:paraId="2A21B3A7" w14:textId="77777777" w:rsidR="0017772B" w:rsidRPr="00CD424E" w:rsidRDefault="0017772B" w:rsidP="0017772B">
      <w:pPr>
        <w:pStyle w:val="Heading5"/>
      </w:pPr>
      <w:r w:rsidRPr="002F1719">
        <w:t>Tabela 5 Wymiar 2 – forma finansowania</w:t>
      </w:r>
    </w:p>
    <w:p w14:paraId="69F5CE07"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15EDE3DF"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624BA91E" w14:textId="634DB229"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2.6</w:t>
      </w:r>
    </w:p>
    <w:p w14:paraId="0BA3CC34"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25DD9460" w14:textId="5C90C6C0"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17772B">
        <w:rPr>
          <w:rFonts w:asciiTheme="minorHAnsi" w:hAnsiTheme="minorHAnsi" w:cstheme="minorHAnsi"/>
        </w:rPr>
        <w:t>8 810 748,00</w:t>
      </w:r>
    </w:p>
    <w:p w14:paraId="4091E42B" w14:textId="77777777" w:rsidR="0017772B" w:rsidRDefault="0017772B" w:rsidP="0017772B">
      <w:pPr>
        <w:pStyle w:val="Heading5"/>
      </w:pPr>
      <w:r w:rsidRPr="00CD424E">
        <w:t>Tabela 6</w:t>
      </w:r>
      <w:r>
        <w:t xml:space="preserve"> </w:t>
      </w:r>
      <w:r w:rsidRPr="00CD424E">
        <w:t>Wymiar 3 – mechanizm wkładu terytorialnego i ukierunkowanie terytorialne</w:t>
      </w:r>
    </w:p>
    <w:p w14:paraId="37EB0F6D"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2</w:t>
      </w:r>
    </w:p>
    <w:p w14:paraId="4FBB9F37"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6BD7D9EB" w14:textId="04DBA648"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2.6</w:t>
      </w:r>
    </w:p>
    <w:p w14:paraId="52CFFD83" w14:textId="77777777"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33</w:t>
      </w:r>
    </w:p>
    <w:p w14:paraId="103D6F39" w14:textId="65031E4B" w:rsidR="0017772B" w:rsidRPr="000A48CD" w:rsidRDefault="0017772B" w:rsidP="0017772B">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17772B">
        <w:rPr>
          <w:rFonts w:asciiTheme="minorHAnsi" w:hAnsiTheme="minorHAnsi" w:cstheme="minorHAnsi"/>
        </w:rPr>
        <w:t>8 810 748,00</w:t>
      </w:r>
    </w:p>
    <w:p w14:paraId="4BBD8293" w14:textId="77777777" w:rsidR="00CB6F9B" w:rsidRPr="002F1719" w:rsidRDefault="00CB6F9B" w:rsidP="00CB6F9B">
      <w:pPr>
        <w:spacing w:after="0" w:line="259" w:lineRule="auto"/>
        <w:ind w:left="0" w:right="0" w:firstLine="0"/>
        <w:rPr>
          <w:rFonts w:asciiTheme="minorHAnsi" w:hAnsiTheme="minorHAnsi" w:cstheme="minorHAnsi"/>
        </w:rPr>
      </w:pPr>
    </w:p>
    <w:p w14:paraId="404724AF" w14:textId="6132D7C8" w:rsidR="00CB6F9B" w:rsidRPr="00650DCA" w:rsidRDefault="00446748" w:rsidP="00650DCA">
      <w:pPr>
        <w:ind w:left="630"/>
        <w:rPr>
          <w:rFonts w:asciiTheme="minorHAnsi" w:hAnsiTheme="minorHAnsi" w:cstheme="minorHAnsi"/>
          <w:b/>
          <w:bCs/>
        </w:rPr>
      </w:pPr>
      <w:r w:rsidRPr="00650DCA">
        <w:rPr>
          <w:rFonts w:asciiTheme="minorHAnsi" w:hAnsiTheme="minorHAnsi" w:cstheme="minorHAnsi"/>
          <w:b/>
          <w:bCs/>
        </w:rPr>
        <w:t>Priorytet 3</w:t>
      </w:r>
    </w:p>
    <w:p w14:paraId="04571AE7" w14:textId="54D1635D" w:rsidR="00CB6F9B" w:rsidRPr="002F1719" w:rsidRDefault="009B7B41" w:rsidP="00650DCA">
      <w:pPr>
        <w:spacing w:after="120" w:line="360" w:lineRule="auto"/>
        <w:ind w:left="547" w:right="792" w:hanging="547"/>
        <w:rPr>
          <w:rFonts w:asciiTheme="minorHAnsi" w:hAnsiTheme="minorHAnsi" w:cstheme="minorHAnsi"/>
        </w:rPr>
      </w:pPr>
      <w:r w:rsidRPr="00650DCA">
        <w:rPr>
          <w:rFonts w:asciiTheme="minorHAnsi" w:hAnsiTheme="minorHAnsi" w:cstheme="minorHAnsi"/>
        </w:rPr>
        <w:t>Podstawa prawna: art. 17 ust. 3 lit. d</w:t>
      </w:r>
      <w:r w:rsidR="00CB6F9B" w:rsidRPr="00650DCA">
        <w:rPr>
          <w:rFonts w:asciiTheme="minorHAnsi" w:hAnsiTheme="minorHAnsi" w:cstheme="minorHAnsi"/>
        </w:rPr>
        <w:t xml:space="preserve">) </w:t>
      </w:r>
    </w:p>
    <w:p w14:paraId="4F9FF5FA" w14:textId="6FBC3721" w:rsidR="00650DCA" w:rsidRPr="002F1719" w:rsidRDefault="00CB6F9B" w:rsidP="004A0FF2">
      <w:pPr>
        <w:pStyle w:val="Heading2"/>
        <w:numPr>
          <w:ilvl w:val="0"/>
          <w:numId w:val="0"/>
        </w:numPr>
        <w:ind w:left="365"/>
      </w:pPr>
      <w:r w:rsidRPr="00650DCA">
        <w:t>OP 3 Atrakcyjny Południowy Bałtyk – aktywacja potencjału turystycznego i kulturowego Obszaru Południowego Bałtyku</w:t>
      </w:r>
    </w:p>
    <w:p w14:paraId="59EC9FCF" w14:textId="77777777" w:rsidR="00EA25B1" w:rsidRPr="00EA25B1" w:rsidRDefault="00EA25B1" w:rsidP="00650DCA">
      <w:pPr>
        <w:numPr>
          <w:ilvl w:val="1"/>
          <w:numId w:val="18"/>
        </w:numPr>
        <w:spacing w:line="238" w:lineRule="auto"/>
        <w:ind w:right="0"/>
        <w:rPr>
          <w:rFonts w:asciiTheme="minorHAnsi" w:hAnsiTheme="minorHAnsi" w:cstheme="minorHAnsi"/>
        </w:rPr>
      </w:pPr>
      <w:r>
        <w:rPr>
          <w:rFonts w:asciiTheme="minorHAnsi" w:hAnsiTheme="minorHAnsi" w:cstheme="minorHAnsi"/>
          <w:b/>
        </w:rPr>
        <w:t xml:space="preserve"> </w:t>
      </w:r>
    </w:p>
    <w:p w14:paraId="7BAAA39C" w14:textId="40D8D83E" w:rsidR="00CB6F9B" w:rsidRPr="002F1719" w:rsidRDefault="00446748" w:rsidP="00EA25B1">
      <w:pPr>
        <w:numPr>
          <w:ilvl w:val="2"/>
          <w:numId w:val="18"/>
        </w:numPr>
        <w:spacing w:line="238" w:lineRule="auto"/>
        <w:ind w:right="0"/>
        <w:rPr>
          <w:rFonts w:asciiTheme="minorHAnsi" w:hAnsiTheme="minorHAnsi" w:cstheme="minorHAnsi"/>
        </w:rPr>
      </w:pPr>
      <w:r w:rsidRPr="002F1719">
        <w:rPr>
          <w:rFonts w:asciiTheme="minorHAnsi" w:hAnsiTheme="minorHAnsi" w:cstheme="minorHAnsi"/>
          <w:b/>
        </w:rPr>
        <w:t>Cel szczegółowy</w:t>
      </w:r>
      <w:r w:rsidRPr="002F1719">
        <w:rPr>
          <w:rFonts w:asciiTheme="minorHAnsi" w:hAnsiTheme="minorHAnsi" w:cstheme="minorHAnsi"/>
        </w:rPr>
        <w:t xml:space="preserve"> </w:t>
      </w:r>
    </w:p>
    <w:p w14:paraId="5C53A4C3" w14:textId="1CAE7B38" w:rsidR="00CB6F9B" w:rsidRPr="002F1719" w:rsidRDefault="000D0A33" w:rsidP="00650DCA">
      <w:pPr>
        <w:pStyle w:val="Heading3"/>
      </w:pPr>
      <w:r w:rsidRPr="002F1719">
        <w:t>4.6. Wzmocnienie roli kultury i zrównoważonej turystyki w rozwoju gospodarczym, włączeniu społecznym i innowacjach społecznych</w:t>
      </w:r>
    </w:p>
    <w:p w14:paraId="0FE4A7E2" w14:textId="54F0181F" w:rsidR="00CB6F9B" w:rsidRPr="002F1719" w:rsidRDefault="009B7B41" w:rsidP="00650DCA">
      <w:pPr>
        <w:spacing w:after="120" w:line="360" w:lineRule="auto"/>
        <w:ind w:left="547" w:right="792" w:hanging="547"/>
        <w:rPr>
          <w:rFonts w:asciiTheme="minorHAnsi" w:hAnsiTheme="minorHAnsi" w:cstheme="minorHAnsi"/>
        </w:rPr>
      </w:pPr>
      <w:r w:rsidRPr="00650DCA">
        <w:rPr>
          <w:rFonts w:asciiTheme="minorHAnsi" w:hAnsiTheme="minorHAnsi" w:cstheme="minorHAnsi"/>
        </w:rPr>
        <w:t>Podstawa prawna: art. 17 ust. 3 lit. e</w:t>
      </w:r>
      <w:r w:rsidR="00CB6F9B" w:rsidRPr="00650DCA">
        <w:rPr>
          <w:rFonts w:asciiTheme="minorHAnsi" w:hAnsiTheme="minorHAnsi" w:cstheme="minorHAnsi"/>
        </w:rPr>
        <w:t xml:space="preserve">) </w:t>
      </w:r>
    </w:p>
    <w:p w14:paraId="520930D0" w14:textId="69460D6B" w:rsidR="00CB6F9B" w:rsidRPr="002F1719" w:rsidRDefault="009B7B41" w:rsidP="00EA25B1">
      <w:pPr>
        <w:numPr>
          <w:ilvl w:val="2"/>
          <w:numId w:val="17"/>
        </w:numPr>
        <w:spacing w:after="120" w:line="360" w:lineRule="auto"/>
        <w:ind w:left="720" w:right="0"/>
        <w:rPr>
          <w:rFonts w:asciiTheme="minorHAnsi" w:hAnsiTheme="minorHAnsi" w:cstheme="minorHAnsi"/>
          <w:b/>
        </w:rPr>
      </w:pPr>
      <w:r w:rsidRPr="002F1719">
        <w:rPr>
          <w:rFonts w:asciiTheme="minorHAnsi" w:hAnsiTheme="minorHAnsi" w:cstheme="minorHAnsi"/>
          <w:b/>
        </w:rPr>
        <w:t xml:space="preserve">Powiązane rodzaje działań oraz ich oczekiwany wkład w realizację wspomnianych celów szczegółowych </w:t>
      </w:r>
      <w:proofErr w:type="gramStart"/>
      <w:r w:rsidRPr="002F1719">
        <w:rPr>
          <w:rFonts w:asciiTheme="minorHAnsi" w:hAnsiTheme="minorHAnsi" w:cstheme="minorHAnsi"/>
          <w:b/>
        </w:rPr>
        <w:t>oraz,</w:t>
      </w:r>
      <w:proofErr w:type="gramEnd"/>
      <w:r w:rsidRPr="002F1719">
        <w:rPr>
          <w:rFonts w:asciiTheme="minorHAnsi" w:hAnsiTheme="minorHAnsi" w:cstheme="minorHAnsi"/>
          <w:b/>
        </w:rPr>
        <w:t xml:space="preserve"> w stosownych przypadkach, strategii makroregionalnych i strategii na rzecz basenu morskiego</w:t>
      </w:r>
      <w:r w:rsidR="005D4A7D" w:rsidRPr="002F1719">
        <w:rPr>
          <w:rFonts w:asciiTheme="minorHAnsi" w:hAnsiTheme="minorHAnsi" w:cstheme="minorHAnsi"/>
          <w:b/>
        </w:rPr>
        <w:t xml:space="preserve"> </w:t>
      </w:r>
    </w:p>
    <w:p w14:paraId="45A27FBE" w14:textId="7478318E" w:rsidR="00CB6F9B" w:rsidRPr="00650DCA" w:rsidRDefault="009B7B41" w:rsidP="00650DCA">
      <w:pPr>
        <w:tabs>
          <w:tab w:val="left" w:pos="0"/>
        </w:tabs>
        <w:spacing w:after="120" w:line="360" w:lineRule="auto"/>
        <w:ind w:left="0" w:right="792" w:firstLine="0"/>
        <w:rPr>
          <w:rFonts w:asciiTheme="minorHAnsi" w:hAnsiTheme="minorHAnsi" w:cstheme="minorHAnsi"/>
        </w:rPr>
      </w:pPr>
      <w:r w:rsidRPr="00650DCA">
        <w:rPr>
          <w:rFonts w:asciiTheme="minorHAnsi" w:hAnsiTheme="minorHAnsi" w:cstheme="minorHAnsi"/>
        </w:rPr>
        <w:t xml:space="preserve">Podstawa prawna: art. 17 ust. 3 lit. e) </w:t>
      </w:r>
      <w:proofErr w:type="spellStart"/>
      <w:r w:rsidRPr="00650DCA">
        <w:rPr>
          <w:rFonts w:asciiTheme="minorHAnsi" w:hAnsiTheme="minorHAnsi" w:cstheme="minorHAnsi"/>
        </w:rPr>
        <w:t>ppkt</w:t>
      </w:r>
      <w:proofErr w:type="spellEnd"/>
      <w:r w:rsidRPr="00650DCA">
        <w:rPr>
          <w:rFonts w:asciiTheme="minorHAnsi" w:hAnsiTheme="minorHAnsi" w:cstheme="minorHAnsi"/>
        </w:rPr>
        <w:t xml:space="preserve"> (i), art. 17 ust. 9 lit. c) </w:t>
      </w:r>
      <w:proofErr w:type="spellStart"/>
      <w:r w:rsidRPr="00650DCA">
        <w:rPr>
          <w:rFonts w:asciiTheme="minorHAnsi" w:hAnsiTheme="minorHAnsi" w:cstheme="minorHAnsi"/>
        </w:rPr>
        <w:t>ppkt</w:t>
      </w:r>
      <w:proofErr w:type="spellEnd"/>
      <w:r w:rsidRPr="00650DCA">
        <w:rPr>
          <w:rFonts w:asciiTheme="minorHAnsi" w:hAnsiTheme="minorHAnsi" w:cstheme="minorHAnsi"/>
        </w:rPr>
        <w:t xml:space="preserve"> (ii)</w:t>
      </w:r>
      <w:r w:rsidR="00CB6F9B" w:rsidRPr="00650DCA">
        <w:rPr>
          <w:rFonts w:asciiTheme="minorHAnsi" w:hAnsiTheme="minorHAnsi" w:cstheme="minorHAnsi"/>
        </w:rPr>
        <w:t xml:space="preserve"> </w:t>
      </w:r>
    </w:p>
    <w:p w14:paraId="73A96C14" w14:textId="77777777" w:rsidR="00C437FA" w:rsidRPr="00650DCA" w:rsidRDefault="00CB6F9B" w:rsidP="00650DCA">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Programu: </w:t>
      </w:r>
      <w:r w:rsidRPr="00650DCA">
        <w:rPr>
          <w:rFonts w:asciiTheme="minorHAnsi" w:hAnsiTheme="minorHAnsi" w:cstheme="minorHAnsi"/>
        </w:rPr>
        <w:t xml:space="preserve">3.1 </w:t>
      </w:r>
      <w:bookmarkStart w:id="1" w:name="_Hlk70080140"/>
      <w:r w:rsidRPr="00650DCA">
        <w:rPr>
          <w:rFonts w:asciiTheme="minorHAnsi" w:hAnsiTheme="minorHAnsi" w:cstheme="minorHAnsi"/>
        </w:rPr>
        <w:t>Rozwój zrównoważonej, odpornej i innowacyjnej turystyki</w:t>
      </w:r>
      <w:bookmarkEnd w:id="1"/>
    </w:p>
    <w:p w14:paraId="7FDDDAA7" w14:textId="440A8169" w:rsidR="00CB6F9B" w:rsidRPr="002F1719" w:rsidRDefault="00CB6F9B" w:rsidP="00650DCA">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Niebieski i zielony charakter regionu wraz ze wspólnym dziedzictwem kulturowym to niektóre z kluczowych zalet pod względem rozwoju sektora turystyki. Z uwagi na zmiany demograficzne i urbanizację sektory takie jak sektor kultury i sektor kreatywny, usługi rekreacyjne i inne rodzaje miejsc pracy w sektorze turystyki stały się jeszcze ważniejsze na obszarach wiejskich lub peryferyjnych. Jako jeden z kluczowych sektorów w </w:t>
      </w:r>
      <w:r w:rsidR="00211E1B" w:rsidRPr="00650DCA">
        <w:rPr>
          <w:rFonts w:asciiTheme="minorHAnsi" w:hAnsiTheme="minorHAnsi" w:cstheme="minorHAnsi"/>
        </w:rPr>
        <w:t>Obszarze Południowego Bałtyku</w:t>
      </w:r>
      <w:r w:rsidRPr="002F1719">
        <w:rPr>
          <w:rFonts w:asciiTheme="minorHAnsi" w:hAnsiTheme="minorHAnsi" w:cstheme="minorHAnsi"/>
        </w:rPr>
        <w:t xml:space="preserve"> turystyka stanowi źródło zatrudnienia i dochodów dla społeczności lokalnych. Jednakże należy zauważyć, że wpływ sektora turystyki na gospodarkę lokalną może się różnić w zależności od regionu. Wysokie wskaźniki wzdłuż wybrzeża i niskie dane liczbowe dotyczące pobytu turystów na obszarach w głębi kraju nadal są przyczyną, dla której intensywność turystyki na tym obszarze jest </w:t>
      </w:r>
      <w:r w:rsidR="00B321EC" w:rsidRPr="002F1719">
        <w:rPr>
          <w:rFonts w:asciiTheme="minorHAnsi" w:hAnsiTheme="minorHAnsi" w:cstheme="minorHAnsi"/>
        </w:rPr>
        <w:t>wyraźnie</w:t>
      </w:r>
      <w:r w:rsidRPr="002F1719">
        <w:rPr>
          <w:rFonts w:asciiTheme="minorHAnsi" w:hAnsiTheme="minorHAnsi" w:cstheme="minorHAnsi"/>
        </w:rPr>
        <w:t xml:space="preserve"> nierównomierna. Dostępność miejsc docelowych – a zatem również jej wpływ na środowisko i włączenie społeczne – również się różni, dla</w:t>
      </w:r>
      <w:r w:rsidR="00B321EC" w:rsidRPr="002F1719">
        <w:rPr>
          <w:rFonts w:asciiTheme="minorHAnsi" w:hAnsiTheme="minorHAnsi" w:cstheme="minorHAnsi"/>
        </w:rPr>
        <w:t>t</w:t>
      </w:r>
      <w:r w:rsidRPr="002F1719">
        <w:rPr>
          <w:rFonts w:asciiTheme="minorHAnsi" w:hAnsiTheme="minorHAnsi" w:cstheme="minorHAnsi"/>
        </w:rPr>
        <w:t>ego istnieje konieczność całościowe</w:t>
      </w:r>
      <w:r w:rsidR="00B321EC" w:rsidRPr="002F1719">
        <w:rPr>
          <w:rFonts w:asciiTheme="minorHAnsi" w:hAnsiTheme="minorHAnsi" w:cstheme="minorHAnsi"/>
        </w:rPr>
        <w:t>j</w:t>
      </w:r>
      <w:r w:rsidRPr="002F1719">
        <w:rPr>
          <w:rFonts w:asciiTheme="minorHAnsi" w:hAnsiTheme="minorHAnsi" w:cstheme="minorHAnsi"/>
        </w:rPr>
        <w:t xml:space="preserve"> </w:t>
      </w:r>
      <w:r w:rsidR="00B321EC" w:rsidRPr="002F1719">
        <w:rPr>
          <w:rFonts w:asciiTheme="minorHAnsi" w:hAnsiTheme="minorHAnsi" w:cstheme="minorHAnsi"/>
        </w:rPr>
        <w:t>analizy wzorców</w:t>
      </w:r>
      <w:r w:rsidRPr="002F1719">
        <w:rPr>
          <w:rFonts w:asciiTheme="minorHAnsi" w:hAnsiTheme="minorHAnsi" w:cstheme="minorHAnsi"/>
        </w:rPr>
        <w:t xml:space="preserve"> podróży turystycznych.</w:t>
      </w:r>
    </w:p>
    <w:p w14:paraId="7D1A3A97" w14:textId="25B0FFA4" w:rsidR="00CB6F9B" w:rsidRPr="002F1719" w:rsidRDefault="00CB6F9B" w:rsidP="00650DCA">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Działanie to kładzie nacisk na zrównoważony rozwój turystyki, który należy rozumieć na dwa sposoby:</w:t>
      </w:r>
    </w:p>
    <w:p w14:paraId="7246B1DB" w14:textId="1E456D71" w:rsidR="00CB6F9B" w:rsidRPr="002F1719" w:rsidRDefault="00CB6F9B" w:rsidP="00650DCA">
      <w:pPr>
        <w:pStyle w:val="ListParagraph"/>
        <w:numPr>
          <w:ilvl w:val="0"/>
          <w:numId w:val="5"/>
        </w:numPr>
        <w:spacing w:after="120" w:line="360" w:lineRule="auto"/>
        <w:ind w:left="360" w:right="792"/>
        <w:rPr>
          <w:rFonts w:asciiTheme="minorHAnsi" w:hAnsiTheme="minorHAnsi" w:cstheme="minorHAnsi"/>
        </w:rPr>
      </w:pPr>
      <w:r w:rsidRPr="002F1719">
        <w:rPr>
          <w:rFonts w:asciiTheme="minorHAnsi" w:hAnsiTheme="minorHAnsi" w:cstheme="minorHAnsi"/>
        </w:rPr>
        <w:t xml:space="preserve">zmniejszenie negatywnego wpływu podróży i turystyki na środowisko naturalne </w:t>
      </w:r>
      <w:r w:rsidR="00562ED6" w:rsidRPr="002F1719">
        <w:rPr>
          <w:rFonts w:asciiTheme="minorHAnsi" w:hAnsiTheme="minorHAnsi" w:cstheme="minorHAnsi"/>
        </w:rPr>
        <w:t>dzięki</w:t>
      </w:r>
      <w:r w:rsidRPr="002F1719">
        <w:rPr>
          <w:rFonts w:asciiTheme="minorHAnsi" w:hAnsiTheme="minorHAnsi" w:cstheme="minorHAnsi"/>
        </w:rPr>
        <w:t xml:space="preserve"> prowadzeni</w:t>
      </w:r>
      <w:r w:rsidR="00562ED6" w:rsidRPr="002F1719">
        <w:rPr>
          <w:rFonts w:asciiTheme="minorHAnsi" w:hAnsiTheme="minorHAnsi" w:cstheme="minorHAnsi"/>
        </w:rPr>
        <w:t>u</w:t>
      </w:r>
      <w:r w:rsidRPr="002F1719">
        <w:rPr>
          <w:rFonts w:asciiTheme="minorHAnsi" w:hAnsiTheme="minorHAnsi" w:cstheme="minorHAnsi"/>
        </w:rPr>
        <w:t xml:space="preserve"> projektów mających na celu zachowanie bioróżnorodności, ochronę bogatych i zróżnicowanych ofert </w:t>
      </w:r>
      <w:r w:rsidR="00562ED6" w:rsidRPr="002F1719">
        <w:rPr>
          <w:rFonts w:asciiTheme="minorHAnsi" w:hAnsiTheme="minorHAnsi" w:cstheme="minorHAnsi"/>
        </w:rPr>
        <w:t>przyrodniczych</w:t>
      </w:r>
      <w:r w:rsidRPr="002F1719">
        <w:rPr>
          <w:rFonts w:asciiTheme="minorHAnsi" w:hAnsiTheme="minorHAnsi" w:cstheme="minorHAnsi"/>
        </w:rPr>
        <w:t xml:space="preserve"> (jak również kultur</w:t>
      </w:r>
      <w:r w:rsidR="00562ED6" w:rsidRPr="002F1719">
        <w:rPr>
          <w:rFonts w:asciiTheme="minorHAnsi" w:hAnsiTheme="minorHAnsi" w:cstheme="minorHAnsi"/>
        </w:rPr>
        <w:t>owych</w:t>
      </w:r>
      <w:r w:rsidRPr="002F1719">
        <w:rPr>
          <w:rFonts w:asciiTheme="minorHAnsi" w:hAnsiTheme="minorHAnsi" w:cstheme="minorHAnsi"/>
        </w:rPr>
        <w:t>) na tym obszarze oraz zrównoważone wykorzystanie zasobów takich energia i woda,</w:t>
      </w:r>
    </w:p>
    <w:p w14:paraId="1D221A45" w14:textId="77777777" w:rsidR="00CB6F9B" w:rsidRPr="002F1719" w:rsidRDefault="00CB6F9B" w:rsidP="00650DCA">
      <w:pPr>
        <w:pStyle w:val="ListParagraph"/>
        <w:numPr>
          <w:ilvl w:val="0"/>
          <w:numId w:val="5"/>
        </w:numPr>
        <w:spacing w:after="120" w:line="360" w:lineRule="auto"/>
        <w:ind w:left="360" w:right="792"/>
        <w:rPr>
          <w:rFonts w:asciiTheme="minorHAnsi" w:hAnsiTheme="minorHAnsi" w:cstheme="minorHAnsi"/>
        </w:rPr>
      </w:pPr>
      <w:r w:rsidRPr="002F1719">
        <w:rPr>
          <w:rFonts w:asciiTheme="minorHAnsi" w:hAnsiTheme="minorHAnsi" w:cstheme="minorHAnsi"/>
        </w:rPr>
        <w:t>zaspokojenie potrzeb potencjalnych turystów bez uszczerbku dla potrzeb obywateli regionu.</w:t>
      </w:r>
    </w:p>
    <w:p w14:paraId="40567859" w14:textId="4799115A" w:rsidR="00CB6F9B" w:rsidRPr="002F1719" w:rsidRDefault="00562ED6" w:rsidP="00650DCA">
      <w:pPr>
        <w:spacing w:after="120" w:line="360" w:lineRule="auto"/>
        <w:ind w:left="0" w:right="792" w:firstLine="0"/>
        <w:rPr>
          <w:rFonts w:asciiTheme="minorHAnsi" w:hAnsiTheme="minorHAnsi" w:cstheme="minorHAnsi"/>
        </w:rPr>
      </w:pPr>
      <w:r w:rsidRPr="002F1719">
        <w:rPr>
          <w:rFonts w:asciiTheme="minorHAnsi" w:hAnsiTheme="minorHAnsi" w:cstheme="minorHAnsi"/>
        </w:rPr>
        <w:t>Działania</w:t>
      </w:r>
      <w:r w:rsidR="00CB6F9B" w:rsidRPr="002F1719">
        <w:rPr>
          <w:rFonts w:asciiTheme="minorHAnsi" w:hAnsiTheme="minorHAnsi" w:cstheme="minorHAnsi"/>
        </w:rPr>
        <w:t xml:space="preserve"> w ramach tego działania skoncentrują się na udoskonaleniu ofert turystycznych i kulturalnych, a także na wspieraniu tworzenia nowych </w:t>
      </w:r>
      <w:r w:rsidRPr="002F1719">
        <w:rPr>
          <w:rFonts w:asciiTheme="minorHAnsi" w:hAnsiTheme="minorHAnsi" w:cstheme="minorHAnsi"/>
        </w:rPr>
        <w:t xml:space="preserve">ofert </w:t>
      </w:r>
      <w:r w:rsidR="00CB6F9B" w:rsidRPr="002F1719">
        <w:rPr>
          <w:rFonts w:asciiTheme="minorHAnsi" w:hAnsiTheme="minorHAnsi" w:cstheme="minorHAnsi"/>
        </w:rPr>
        <w:t xml:space="preserve">w </w:t>
      </w:r>
      <w:r w:rsidR="00211E1B" w:rsidRPr="002F1719">
        <w:rPr>
          <w:rFonts w:asciiTheme="minorHAnsi" w:hAnsiTheme="minorHAnsi" w:cstheme="minorHAnsi"/>
          <w:color w:val="auto"/>
        </w:rPr>
        <w:t>Obszarze Południowego Bałtyku</w:t>
      </w:r>
      <w:r w:rsidR="00CB6F9B" w:rsidRPr="002F1719">
        <w:rPr>
          <w:rFonts w:asciiTheme="minorHAnsi" w:hAnsiTheme="minorHAnsi" w:cstheme="minorHAnsi"/>
        </w:rPr>
        <w:t xml:space="preserve"> i wykorzystaniu w oczywisty sposób położenia geograficznego. Wzrosło zapotrzebowanie na turystykę krajową opartą na przyrodzie i bliskości. Wyraźnie wzrosła potrzeba odpowiedzi na zmienione zachowania konsumentów oraz tworzenia nowych i innowacyjnych usług i produktów, a jednocześnie zmiany wizerunku wyborów dotyczących mobilności za pomocą zrównoważonych społecznie i środowiskowo środków. Ponadto działanie to będzie miało znaczący wymiar społeczny, ponieważ nie tylko pozytywnie wpłynie na jakość życia mieszkańców oraz jakość czasu spędzonego tu przez turystów (w </w:t>
      </w:r>
      <w:r w:rsidR="00211E1B" w:rsidRPr="002F1719">
        <w:rPr>
          <w:rFonts w:asciiTheme="minorHAnsi" w:hAnsiTheme="minorHAnsi" w:cstheme="minorHAnsi"/>
          <w:color w:val="auto"/>
        </w:rPr>
        <w:t>Obszarze Południowego Bałtyku</w:t>
      </w:r>
      <w:r w:rsidR="00CB6F9B" w:rsidRPr="002F1719">
        <w:rPr>
          <w:rFonts w:asciiTheme="minorHAnsi" w:hAnsiTheme="minorHAnsi" w:cstheme="minorHAnsi"/>
        </w:rPr>
        <w:t>), ale także przyczyni się (bezpośrednio lub pośrednio) do ograniczenia negatywnych skutków pandemii.</w:t>
      </w:r>
    </w:p>
    <w:p w14:paraId="102DA43E" w14:textId="4493AC0B" w:rsidR="00F24DFE" w:rsidRPr="002F1719" w:rsidRDefault="00D03853" w:rsidP="00650DCA">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Tworzenie sieci społecznych i zapewnienie odpowiednich warunków dla zrównoważonego rozwoju i włączenia społecznego będzie stanowiło istotny element działań na rzecz lepszego rozwoju społecznego i gospodarczego sektora turystyki w tym obszarze. Włączenie społeczne odgrywa szczególną rolę w czasie kryzysu pandemicznego. Wiąże się ono również ze zmianami demograficznymi w obszarze </w:t>
      </w:r>
      <w:r w:rsidR="00211E1B" w:rsidRPr="002F1719">
        <w:rPr>
          <w:rFonts w:asciiTheme="minorHAnsi" w:hAnsiTheme="minorHAnsi" w:cstheme="minorHAnsi"/>
        </w:rPr>
        <w:t>Programu</w:t>
      </w:r>
      <w:r w:rsidRPr="002F1719">
        <w:rPr>
          <w:rFonts w:asciiTheme="minorHAnsi" w:hAnsiTheme="minorHAnsi" w:cstheme="minorHAnsi"/>
        </w:rPr>
        <w:t xml:space="preserve">, m.in. starzeniem się społeczeństwa, wyludnieniem, drenażem mózgów itp. Istotne będzie włączenie różnych grup społecznych do procesów konsultacji, zdefiniowanie potrzeb społecznych lub określenie innowacyjnych rozwiązań, włączając w to poprawę infrastruktury niezbędnej do procesów integracji społecznej. W rezultacie mogą powstać nowe produkty i usługi. Innowacje społeczne </w:t>
      </w:r>
      <w:r w:rsidR="00562ED6" w:rsidRPr="002F1719">
        <w:rPr>
          <w:rFonts w:asciiTheme="minorHAnsi" w:hAnsiTheme="minorHAnsi" w:cstheme="minorHAnsi"/>
        </w:rPr>
        <w:t>stanowią</w:t>
      </w:r>
      <w:r w:rsidRPr="002F1719">
        <w:rPr>
          <w:rFonts w:asciiTheme="minorHAnsi" w:hAnsiTheme="minorHAnsi" w:cstheme="minorHAnsi"/>
        </w:rPr>
        <w:t xml:space="preserve"> wynik wspólnych działań sektora publicznego, podmiotów prywatnych, organizacji pozarządowych i społeczności lokalnych. W efekcie mogą powstać nowe sposoby działania, zapewniające nowe miejsca pracy mieszkańcom obszaru SB, również osobom z grup szczególnie wrażliwych lub wykluczonych społecznie. Działania podejmowane w ramach tego CS przyczynią się do wzmocnienia aktywności społeczności lokalnych i lepszego wykorzystania </w:t>
      </w:r>
      <w:r w:rsidR="00FD4B0B" w:rsidRPr="002F1719">
        <w:rPr>
          <w:rFonts w:asciiTheme="minorHAnsi" w:hAnsiTheme="minorHAnsi" w:cstheme="minorHAnsi"/>
        </w:rPr>
        <w:t>dóbr</w:t>
      </w:r>
      <w:r w:rsidRPr="002F1719">
        <w:rPr>
          <w:rFonts w:asciiTheme="minorHAnsi" w:hAnsiTheme="minorHAnsi" w:cstheme="minorHAnsi"/>
        </w:rPr>
        <w:t xml:space="preserve"> dziedzictwa kulturowego i przyrodniczego. W ten sposób jakość życia mieszkańców może ulec poprawie i przyczynić się do ograniczenia procesów wyludniania w regionie.</w:t>
      </w:r>
    </w:p>
    <w:p w14:paraId="77A4FBCC" w14:textId="5106AE95" w:rsidR="00F24DFE" w:rsidRPr="002F1719" w:rsidRDefault="00F24DFE" w:rsidP="00650DCA">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Dzięki wzmocnieniu turystyki i powiązanych branż, obszar SB będzie rozwijać się pod względem gospodarczym i społecznym. Zwiększenie wartości i dostępności turystycznej dziedzictwa kulturowego obszaru SB poprawi jego atrakcyjność. Proponowane działania umożliwiają tworzenie i promowanie nowych produktów, usług i miejsc turystycznych, których potencjał nie został jeszcze w pełni wykorzystany. Działania te mogą również przyczynić się do ograniczenia sezonowości turystyki i przejścia na bardziej zrównoważoną, całoroczną turystykę. Celem projektów będzie również zwiększenie rozpoznawalności obszaru SB. Finansowana infrastruktura związana z dziedzictwem i lepszy dostęp do informacji umożliwi turystom i społecznościom lokalnym lepsze wykorzystanie potencjału tego obszaru. </w:t>
      </w:r>
    </w:p>
    <w:p w14:paraId="6B97E0F6" w14:textId="77777777" w:rsidR="00F24DFE" w:rsidRPr="002F1719" w:rsidRDefault="00CB6F9B" w:rsidP="00650DCA">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Główne interwencje, które mogą otrzymać dofinansowanie to: zachowanie dziedzictwa kulturowego i środowiska naturalnego regionu jako głównych atrakcji turystycznych; opracowanie produktów i usług sieci turystycznych, budowanie współpracy między regionami i krajami w celu wzmocnienia ofert dla turystów; prowadzenie wspólnych wydarzeń, które spełniają oczekiwania i potrzeby zarówno turystów, jak i obywateli. Ponadto możliwe będzie również wdrożenie działań o charakterze międzysektorowym i wspieranie rozwoju gospodarki o obiegu zamkniętym. </w:t>
      </w:r>
    </w:p>
    <w:p w14:paraId="5053B969" w14:textId="68C010CC" w:rsidR="00CB6F9B" w:rsidRPr="002F1719" w:rsidRDefault="00D03853" w:rsidP="00650DCA">
      <w:pPr>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 jeżeli jest to uzasadnione.</w:t>
      </w:r>
    </w:p>
    <w:p w14:paraId="36FCCB22" w14:textId="77777777" w:rsidR="00CB6F9B" w:rsidRPr="002F1719" w:rsidRDefault="00CB6F9B" w:rsidP="00650DCA">
      <w:pPr>
        <w:spacing w:after="120" w:line="360" w:lineRule="auto"/>
        <w:ind w:left="0" w:firstLine="0"/>
        <w:rPr>
          <w:rFonts w:asciiTheme="minorHAnsi" w:hAnsiTheme="minorHAnsi" w:cstheme="minorHAnsi"/>
        </w:rPr>
      </w:pPr>
      <w:r w:rsidRPr="002F1719">
        <w:rPr>
          <w:rFonts w:asciiTheme="minorHAnsi" w:hAnsiTheme="minorHAnsi" w:cstheme="minorHAnsi"/>
        </w:rPr>
        <w:t>Przykładowe działania</w:t>
      </w:r>
    </w:p>
    <w:p w14:paraId="1B09B6F6" w14:textId="77777777"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opracowywanie nowych narzędzi wspierających produkty i usługi sieci turystycznych, w tym narzędzi ICT, marketingu i promowania dóbr kulturowych i przyrodniczych Obszaru Południowego Bałtyku,</w:t>
      </w:r>
    </w:p>
    <w:p w14:paraId="5EBCCC83" w14:textId="2AC318F3"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mające na celu ochronę bioróżnorodności i dziedzictwa przyrodniczego regionu, włączenie obiektów dziedzictwa przyrodniczego i obszarów chronionych do sieci i łańcuchów zrównoważonej turystyki na Obszarze Południowego Bałtyku,</w:t>
      </w:r>
    </w:p>
    <w:p w14:paraId="0BFEB2EE" w14:textId="156521C7"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projekty mające na celu zachowanie dziedzictwa kulturowego regionu (np. dziedzictwo kulinarne, historia, język),</w:t>
      </w:r>
    </w:p>
    <w:p w14:paraId="4523192C" w14:textId="5D6644A6" w:rsidR="00CB6F9B" w:rsidRPr="002F1719" w:rsidRDefault="0004687C"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transgraniczne dostosowanie oferty turystycznej (w tym inwestycje na małą skalę wymagane w celu stworzenia transgranicznych tras turystycznych (np. znaki, stoiska informacyjne)) do potrzeb osób z niepełnosprawnościami, działania mające na celu włączenie społeczne i dostępność np. otwartych przestrzeni publicznych, obiektów przyrodniczych i dziedzictwa, obszarów chronionych,</w:t>
      </w:r>
    </w:p>
    <w:p w14:paraId="6BAC02B6" w14:textId="0B07FB6E" w:rsidR="00183078"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opracowywanie i testowanie narzędzi, wspólnych rozwiązań i szkoleń dla sektora turystyki i kultury w celu zaspokojenia np. zapotrzebowania na przyszłe umiejętności (np. umiejętności cyfrowe), standard</w:t>
      </w:r>
      <w:r w:rsidR="00FD4B0B" w:rsidRPr="002F1719">
        <w:rPr>
          <w:rFonts w:asciiTheme="minorHAnsi" w:hAnsiTheme="minorHAnsi" w:cstheme="minorHAnsi"/>
        </w:rPr>
        <w:t>y</w:t>
      </w:r>
      <w:r w:rsidRPr="002F1719">
        <w:rPr>
          <w:rFonts w:asciiTheme="minorHAnsi" w:hAnsiTheme="minorHAnsi" w:cstheme="minorHAnsi"/>
        </w:rPr>
        <w:t xml:space="preserve"> zdrowotn</w:t>
      </w:r>
      <w:r w:rsidR="00FD4B0B" w:rsidRPr="002F1719">
        <w:rPr>
          <w:rFonts w:asciiTheme="minorHAnsi" w:hAnsiTheme="minorHAnsi" w:cstheme="minorHAnsi"/>
        </w:rPr>
        <w:t>e</w:t>
      </w:r>
      <w:r w:rsidRPr="002F1719">
        <w:rPr>
          <w:rFonts w:asciiTheme="minorHAnsi" w:hAnsiTheme="minorHAnsi" w:cstheme="minorHAnsi"/>
        </w:rPr>
        <w:t xml:space="preserve"> (np. w obiektach turystycznych i podczas opracowywania nowych ofert).</w:t>
      </w:r>
    </w:p>
    <w:p w14:paraId="2A851B2A" w14:textId="7A0F5910"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włączenie obiektów dziedzictwa kulturowego i obszarów chronionych do sieci i łańcuchów ekoturystyki,</w:t>
      </w:r>
    </w:p>
    <w:p w14:paraId="4F6FF200" w14:textId="77777777"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wspólny marketing i promowanie dóbr kulturowych i przyrodniczych,</w:t>
      </w:r>
    </w:p>
    <w:p w14:paraId="14A3B861" w14:textId="77777777"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wspólne kampanie, publikacje, badania, strategie zwiększania potencjału turystycznego SB,</w:t>
      </w:r>
    </w:p>
    <w:p w14:paraId="67E51490" w14:textId="0EF3C1F5"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przygotowanie i wdrożenie nowych ofert turystycznych</w:t>
      </w:r>
      <w:r w:rsidR="00394A8A" w:rsidRPr="002F1719">
        <w:rPr>
          <w:rFonts w:asciiTheme="minorHAnsi" w:hAnsiTheme="minorHAnsi" w:cstheme="minorHAnsi"/>
        </w:rPr>
        <w:t>/</w:t>
      </w:r>
      <w:r w:rsidRPr="002F1719">
        <w:rPr>
          <w:rFonts w:asciiTheme="minorHAnsi" w:hAnsiTheme="minorHAnsi" w:cstheme="minorHAnsi"/>
        </w:rPr>
        <w:t>rozwiązań transgranicznych na małą skalę, które wzmacniają zrównoważoną turystykę i zaspokajają potrzeby turystów, jak również obywateli regionu (np. transgraniczne szlaki tematyczne),</w:t>
      </w:r>
    </w:p>
    <w:p w14:paraId="5A52C269" w14:textId="4A277C2B"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dzielenie się wiedzą i najlepszymi praktykami w dziedzinie utrzymania i rewitalizacji obszarów i obiektów dziedzictwa kulturowego/przyrodniczego zwiększających atrakcyjność turystyczną i potencjał </w:t>
      </w:r>
      <w:r w:rsidR="00211E1B" w:rsidRPr="002F1719">
        <w:rPr>
          <w:rFonts w:asciiTheme="minorHAnsi" w:hAnsiTheme="minorHAnsi" w:cstheme="minorHAnsi"/>
          <w:color w:val="auto"/>
        </w:rPr>
        <w:t>Obszaru Południowego Bałtyku</w:t>
      </w:r>
      <w:r w:rsidRPr="002F1719">
        <w:rPr>
          <w:rFonts w:asciiTheme="minorHAnsi" w:hAnsiTheme="minorHAnsi" w:cstheme="minorHAnsi"/>
        </w:rPr>
        <w:t>,</w:t>
      </w:r>
    </w:p>
    <w:p w14:paraId="33F917C7" w14:textId="1F35DE7A" w:rsidR="00CB6F9B" w:rsidRPr="002F1719" w:rsidRDefault="00FD4B0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u</w:t>
      </w:r>
      <w:r w:rsidR="00CB6F9B" w:rsidRPr="002F1719">
        <w:rPr>
          <w:rFonts w:asciiTheme="minorHAnsi" w:hAnsiTheme="minorHAnsi" w:cstheme="minorHAnsi"/>
        </w:rPr>
        <w:t>stanowienie wspólnych sieci w dziedzinie turystyki i kultury (np. sieci działające w Południowym Bałtyku),</w:t>
      </w:r>
    </w:p>
    <w:p w14:paraId="7611FAC4" w14:textId="4A82EE84"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mające na celu stworzenie</w:t>
      </w:r>
      <w:r w:rsidR="00394A8A" w:rsidRPr="002F1719">
        <w:rPr>
          <w:rFonts w:asciiTheme="minorHAnsi" w:hAnsiTheme="minorHAnsi" w:cstheme="minorHAnsi"/>
        </w:rPr>
        <w:t>/</w:t>
      </w:r>
      <w:r w:rsidRPr="002F1719">
        <w:rPr>
          <w:rFonts w:asciiTheme="minorHAnsi" w:hAnsiTheme="minorHAnsi" w:cstheme="minorHAnsi"/>
        </w:rPr>
        <w:t>zarządzanie</w:t>
      </w:r>
      <w:r w:rsidR="00394A8A" w:rsidRPr="002F1719">
        <w:rPr>
          <w:rFonts w:asciiTheme="minorHAnsi" w:hAnsiTheme="minorHAnsi" w:cstheme="minorHAnsi"/>
        </w:rPr>
        <w:t>/</w:t>
      </w:r>
      <w:r w:rsidRPr="002F1719">
        <w:rPr>
          <w:rFonts w:asciiTheme="minorHAnsi" w:hAnsiTheme="minorHAnsi" w:cstheme="minorHAnsi"/>
        </w:rPr>
        <w:t xml:space="preserve">promowanie szlaków dziedzictwa kulturowego istniejących w regionie Południowego Bałtyku, </w:t>
      </w:r>
    </w:p>
    <w:p w14:paraId="2ACE2A5D" w14:textId="77777777"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działania mające na celu promocję sektora kreatywnego związanego z dziedzictwem regionalnym (np. rękodzieło, projektowanie), </w:t>
      </w:r>
    </w:p>
    <w:p w14:paraId="423C00AF" w14:textId="29FD89A9" w:rsidR="00CB6F9B" w:rsidRPr="002F1719" w:rsidRDefault="00CB6F9B" w:rsidP="00650DCA">
      <w:pPr>
        <w:pStyle w:val="ListParagraph"/>
        <w:numPr>
          <w:ilvl w:val="0"/>
          <w:numId w:val="1"/>
        </w:numPr>
        <w:autoSpaceDE w:val="0"/>
        <w:autoSpaceDN w:val="0"/>
        <w:adjustRightInd w:val="0"/>
        <w:spacing w:before="60" w:after="120" w:line="360" w:lineRule="auto"/>
        <w:ind w:left="319" w:right="0" w:hanging="319"/>
        <w:rPr>
          <w:rFonts w:asciiTheme="minorHAnsi" w:hAnsiTheme="minorHAnsi" w:cstheme="minorHAnsi"/>
          <w:szCs w:val="24"/>
        </w:rPr>
      </w:pPr>
      <w:r w:rsidRPr="002F1719">
        <w:rPr>
          <w:rFonts w:asciiTheme="minorHAnsi" w:hAnsiTheme="minorHAnsi" w:cstheme="minorHAnsi"/>
        </w:rPr>
        <w:t xml:space="preserve">wspólne działania kulturalne we współpracy z sektorem kreatywnym zwiększające potencjał turystyczny </w:t>
      </w:r>
      <w:r w:rsidR="00211E1B" w:rsidRPr="002F1719">
        <w:rPr>
          <w:rFonts w:asciiTheme="minorHAnsi" w:hAnsiTheme="minorHAnsi" w:cstheme="minorHAnsi"/>
          <w:color w:val="auto"/>
        </w:rPr>
        <w:t>Obszaru Południowego Bałtyku</w:t>
      </w:r>
      <w:r w:rsidR="00211E1B" w:rsidRPr="002F1719">
        <w:rPr>
          <w:rFonts w:asciiTheme="minorHAnsi" w:hAnsiTheme="minorHAnsi" w:cstheme="minorHAnsi"/>
        </w:rPr>
        <w:t xml:space="preserve"> </w:t>
      </w:r>
      <w:r w:rsidRPr="002F1719">
        <w:rPr>
          <w:rFonts w:asciiTheme="minorHAnsi" w:hAnsiTheme="minorHAnsi" w:cstheme="minorHAnsi"/>
        </w:rPr>
        <w:t>w dziedzinie zrównoważonej turystyki, np. turystyka tematyczna i kultura</w:t>
      </w:r>
    </w:p>
    <w:p w14:paraId="12F31DAE" w14:textId="77777777" w:rsidR="00CB6F9B" w:rsidRPr="002F1719" w:rsidRDefault="00CB6F9B" w:rsidP="00650DCA">
      <w:pPr>
        <w:autoSpaceDE w:val="0"/>
        <w:autoSpaceDN w:val="0"/>
        <w:adjustRightInd w:val="0"/>
        <w:spacing w:before="60" w:after="120" w:line="360" w:lineRule="auto"/>
        <w:ind w:right="0"/>
        <w:rPr>
          <w:rFonts w:asciiTheme="minorHAnsi" w:hAnsiTheme="minorHAnsi" w:cstheme="minorHAnsi"/>
          <w:szCs w:val="24"/>
          <w:lang w:eastAsia="pl-PL"/>
        </w:rPr>
      </w:pPr>
    </w:p>
    <w:p w14:paraId="13C66977" w14:textId="7E37F31A" w:rsidR="00CB6F9B" w:rsidRPr="002F1719" w:rsidRDefault="00CB6F9B" w:rsidP="00650DCA">
      <w:pPr>
        <w:spacing w:after="120" w:line="360" w:lineRule="auto"/>
        <w:ind w:left="0" w:firstLine="0"/>
        <w:rPr>
          <w:rFonts w:asciiTheme="minorHAnsi" w:hAnsiTheme="minorHAnsi" w:cstheme="minorHAnsi"/>
        </w:rPr>
      </w:pPr>
      <w:r w:rsidRPr="002F1719">
        <w:rPr>
          <w:rFonts w:asciiTheme="minorHAnsi" w:hAnsiTheme="minorHAnsi" w:cstheme="minorHAnsi"/>
        </w:rPr>
        <w:t>Wkład w wybrany cel szczegółowy</w:t>
      </w:r>
    </w:p>
    <w:p w14:paraId="3DC8B81F" w14:textId="7BAD4972" w:rsidR="00CB6F9B" w:rsidRPr="00EA25B1" w:rsidRDefault="00CB6F9B" w:rsidP="00650DCA">
      <w:pPr>
        <w:spacing w:after="120" w:line="360" w:lineRule="auto"/>
        <w:ind w:left="0" w:firstLine="0"/>
        <w:rPr>
          <w:rFonts w:asciiTheme="minorHAnsi" w:hAnsiTheme="minorHAnsi" w:cstheme="minorHAnsi"/>
        </w:rPr>
      </w:pPr>
      <w:r w:rsidRPr="002F1719">
        <w:rPr>
          <w:rFonts w:asciiTheme="minorHAnsi" w:hAnsiTheme="minorHAnsi" w:cstheme="minorHAnsi"/>
        </w:rPr>
        <w:t xml:space="preserve">Działanie to dedykowane </w:t>
      </w:r>
      <w:r w:rsidR="00FD4B0B" w:rsidRPr="002F1719">
        <w:rPr>
          <w:rFonts w:asciiTheme="minorHAnsi" w:hAnsiTheme="minorHAnsi" w:cstheme="minorHAnsi"/>
        </w:rPr>
        <w:t xml:space="preserve">jest </w:t>
      </w:r>
      <w:r w:rsidRPr="002F1719">
        <w:rPr>
          <w:rFonts w:asciiTheme="minorHAnsi" w:hAnsiTheme="minorHAnsi" w:cstheme="minorHAnsi"/>
        </w:rPr>
        <w:t xml:space="preserve">zrównoważonym i innowacyjnym produktom i usługom turystycznym oraz wspiera rozwój jednej z najważniejszych branż w ramach </w:t>
      </w:r>
      <w:r w:rsidR="00211E1B" w:rsidRPr="002F1719">
        <w:rPr>
          <w:rFonts w:asciiTheme="minorHAnsi" w:hAnsiTheme="minorHAnsi" w:cstheme="minorHAnsi"/>
          <w:color w:val="auto"/>
        </w:rPr>
        <w:t>Obszaru Południowego Bałtyku</w:t>
      </w:r>
      <w:r w:rsidRPr="002F1719">
        <w:rPr>
          <w:rFonts w:asciiTheme="minorHAnsi" w:hAnsiTheme="minorHAnsi" w:cstheme="minorHAnsi"/>
        </w:rPr>
        <w:t>. Projekty prowadzone w ramach tego działania będą miały na celu zwiększenie roli kultury i turystyki w rozwoju gospodarczym i innowacjach społecznych. Ponadto Działanie będzie miało bardzo istotny wymiar społeczny, ponieważ będzie również koncentrować się na włączeniu społecznym i powinno przyczynić się do ograniczenia negatywnych skutków pandemii na ryn</w:t>
      </w:r>
      <w:r w:rsidR="006653DC" w:rsidRPr="002F1719">
        <w:rPr>
          <w:rFonts w:asciiTheme="minorHAnsi" w:hAnsiTheme="minorHAnsi" w:cstheme="minorHAnsi"/>
        </w:rPr>
        <w:t>ku pracy w Celu Szczegółowym 4.6</w:t>
      </w:r>
      <w:r w:rsidRPr="002F1719">
        <w:rPr>
          <w:rFonts w:asciiTheme="minorHAnsi" w:hAnsiTheme="minorHAnsi" w:cstheme="minorHAnsi"/>
        </w:rPr>
        <w:t xml:space="preserve">. </w:t>
      </w:r>
      <w:r w:rsidRPr="00EA25B1">
        <w:rPr>
          <w:rFonts w:asciiTheme="minorHAnsi" w:hAnsiTheme="minorHAnsi" w:cstheme="minorHAnsi"/>
        </w:rPr>
        <w:t>Wzmocnienie roli kultury i zrównoważonej turystyki w rozwoju gospodarczym, włączeniu społecznym i innowacjach społecznych.</w:t>
      </w:r>
    </w:p>
    <w:p w14:paraId="584C5873" w14:textId="77777777" w:rsidR="00CB6F9B" w:rsidRPr="002F1719" w:rsidRDefault="00CB6F9B" w:rsidP="00650DCA">
      <w:pPr>
        <w:spacing w:after="120" w:line="360" w:lineRule="auto"/>
        <w:ind w:left="0" w:firstLine="0"/>
        <w:rPr>
          <w:rFonts w:asciiTheme="minorHAnsi" w:hAnsiTheme="minorHAnsi" w:cstheme="minorHAnsi"/>
        </w:rPr>
      </w:pPr>
      <w:r w:rsidRPr="002F1719">
        <w:rPr>
          <w:rFonts w:asciiTheme="minorHAnsi" w:hAnsiTheme="minorHAnsi" w:cstheme="minorHAnsi"/>
        </w:rPr>
        <w:t>Wkład w strategię UE dla Regionu Morza Bałtyckiego</w:t>
      </w:r>
    </w:p>
    <w:p w14:paraId="03EA0FCB" w14:textId="1FFB9835" w:rsidR="00CB6F9B" w:rsidRPr="002F1719" w:rsidRDefault="00CB6F9B" w:rsidP="00650DCA">
      <w:pPr>
        <w:spacing w:after="120" w:line="360" w:lineRule="auto"/>
        <w:ind w:left="0" w:firstLine="0"/>
        <w:rPr>
          <w:rFonts w:asciiTheme="minorHAnsi" w:hAnsiTheme="minorHAnsi" w:cstheme="minorHAnsi"/>
        </w:rPr>
      </w:pPr>
      <w:r w:rsidRPr="002F1719">
        <w:rPr>
          <w:rFonts w:asciiTheme="minorHAnsi" w:hAnsiTheme="minorHAnsi" w:cstheme="minorHAnsi"/>
        </w:rPr>
        <w:t xml:space="preserve">Działanie 3.1. </w:t>
      </w:r>
      <w:r w:rsidRPr="002F1719">
        <w:rPr>
          <w:rFonts w:asciiTheme="minorHAnsi" w:hAnsiTheme="minorHAnsi" w:cstheme="minorHAnsi"/>
          <w:i/>
          <w:iCs/>
          <w:color w:val="auto"/>
        </w:rPr>
        <w:t>Rozwój zrównoważonej, odpornej i innowacyjnej turystyki</w:t>
      </w:r>
      <w:r w:rsidRPr="002F1719">
        <w:rPr>
          <w:rFonts w:asciiTheme="minorHAnsi" w:hAnsiTheme="minorHAnsi" w:cstheme="minorHAnsi"/>
        </w:rPr>
        <w:t xml:space="preserve"> </w:t>
      </w:r>
      <w:r w:rsidR="00F85B07" w:rsidRPr="002F1719">
        <w:rPr>
          <w:rFonts w:asciiTheme="minorHAnsi" w:hAnsiTheme="minorHAnsi" w:cstheme="minorHAnsi"/>
        </w:rPr>
        <w:t xml:space="preserve">jest silnie powiązane z </w:t>
      </w:r>
      <w:r w:rsidRPr="002F1719">
        <w:rPr>
          <w:rFonts w:asciiTheme="minorHAnsi" w:hAnsiTheme="minorHAnsi" w:cstheme="minorHAnsi"/>
        </w:rPr>
        <w:t>OP Turystyka i OP Kultura i kładzie nacisk na zrównoważony rozwój turystyki, który należy rozumieć na dwa sposoby: ograniczenie negatywnego wpływu turystyki na środowisko naturalne dzięki prowadzeniu projektów mających na celu zachowanie bioróżnorodności, ochronę bogatych i zróżnicowanych ofert przyrodniczych (jak również kultur</w:t>
      </w:r>
      <w:r w:rsidR="00705B82" w:rsidRPr="002F1719">
        <w:rPr>
          <w:rFonts w:asciiTheme="minorHAnsi" w:hAnsiTheme="minorHAnsi" w:cstheme="minorHAnsi"/>
        </w:rPr>
        <w:t>owyc</w:t>
      </w:r>
      <w:r w:rsidRPr="002F1719">
        <w:rPr>
          <w:rFonts w:asciiTheme="minorHAnsi" w:hAnsiTheme="minorHAnsi" w:cstheme="minorHAnsi"/>
        </w:rPr>
        <w:t>h), a także zaspokojenie potrzeb potencjalnych turystów bez uszczerbku dla potrzeb obywateli regionu. Umożliwia również prowadzenie projektów mających na celu promowanie dziedzictwa kulturowego regionu, w szczególności szlaków kulturowych biegnących przez Obszar Południowego Bałtyku, ale także sektora kreatywnego.</w:t>
      </w:r>
    </w:p>
    <w:p w14:paraId="1374EB0C" w14:textId="22AD0D37" w:rsidR="00CB6F9B" w:rsidRPr="002F1719" w:rsidRDefault="0004687C" w:rsidP="00384D8D">
      <w:pPr>
        <w:numPr>
          <w:ilvl w:val="2"/>
          <w:numId w:val="9"/>
        </w:numPr>
        <w:spacing w:after="227" w:line="249" w:lineRule="auto"/>
        <w:ind w:right="0"/>
        <w:rPr>
          <w:rFonts w:asciiTheme="minorHAnsi" w:hAnsiTheme="minorHAnsi" w:cstheme="minorHAnsi"/>
        </w:rPr>
      </w:pPr>
      <w:r w:rsidRPr="002F1719">
        <w:rPr>
          <w:rFonts w:asciiTheme="minorHAnsi" w:hAnsiTheme="minorHAnsi" w:cstheme="minorHAnsi"/>
          <w:b/>
        </w:rPr>
        <w:t xml:space="preserve">Wskaźniki </w:t>
      </w:r>
    </w:p>
    <w:p w14:paraId="0769F46B" w14:textId="011CF8F2" w:rsidR="00CB6F9B" w:rsidRPr="002F1719" w:rsidRDefault="009B7B41" w:rsidP="00CB6F9B">
      <w:pPr>
        <w:spacing w:after="450" w:line="265" w:lineRule="auto"/>
        <w:ind w:left="-5" w:right="0" w:hanging="10"/>
        <w:rPr>
          <w:rFonts w:asciiTheme="minorHAnsi" w:hAnsiTheme="minorHAnsi" w:cstheme="minorHAnsi"/>
        </w:rPr>
      </w:pPr>
      <w:r w:rsidRPr="00650DCA">
        <w:rPr>
          <w:rFonts w:asciiTheme="minorHAnsi" w:hAnsiTheme="minorHAnsi" w:cstheme="minorHAnsi"/>
        </w:rPr>
        <w:t xml:space="preserve">Podstawa prawna: art. 17 ust. 3 lit. e) </w:t>
      </w:r>
      <w:proofErr w:type="spellStart"/>
      <w:r w:rsidRPr="00650DCA">
        <w:rPr>
          <w:rFonts w:asciiTheme="minorHAnsi" w:hAnsiTheme="minorHAnsi" w:cstheme="minorHAnsi"/>
        </w:rPr>
        <w:t>ppkt</w:t>
      </w:r>
      <w:proofErr w:type="spellEnd"/>
      <w:r w:rsidRPr="00650DCA">
        <w:rPr>
          <w:rFonts w:asciiTheme="minorHAnsi" w:hAnsiTheme="minorHAnsi" w:cstheme="minorHAnsi"/>
        </w:rPr>
        <w:t xml:space="preserve"> (ii), art. 17 ust. 9 lit. c) </w:t>
      </w:r>
      <w:proofErr w:type="spellStart"/>
      <w:r w:rsidRPr="00650DCA">
        <w:rPr>
          <w:rFonts w:asciiTheme="minorHAnsi" w:hAnsiTheme="minorHAnsi" w:cstheme="minorHAnsi"/>
        </w:rPr>
        <w:t>ppkt</w:t>
      </w:r>
      <w:proofErr w:type="spellEnd"/>
      <w:r w:rsidRPr="00650DCA">
        <w:rPr>
          <w:rFonts w:asciiTheme="minorHAnsi" w:hAnsiTheme="minorHAnsi" w:cstheme="minorHAnsi"/>
        </w:rPr>
        <w:t xml:space="preserve"> (iii</w:t>
      </w:r>
      <w:r w:rsidR="00CB6F9B" w:rsidRPr="00650DCA">
        <w:rPr>
          <w:rFonts w:asciiTheme="minorHAnsi" w:hAnsiTheme="minorHAnsi" w:cstheme="minorHAnsi"/>
        </w:rPr>
        <w:t xml:space="preserve">) </w:t>
      </w:r>
    </w:p>
    <w:p w14:paraId="6B63AA84" w14:textId="77777777" w:rsidR="00650DCA" w:rsidRDefault="00650DCA" w:rsidP="00650DCA">
      <w:pPr>
        <w:pStyle w:val="Heading5"/>
      </w:pPr>
      <w:r w:rsidRPr="002F1719">
        <w:t>Tabela 2</w:t>
      </w:r>
      <w:r>
        <w:t xml:space="preserve"> </w:t>
      </w:r>
      <w:r w:rsidRPr="002F1719">
        <w:t>Wskaźniki produktu</w:t>
      </w:r>
    </w:p>
    <w:p w14:paraId="69917BB1" w14:textId="297F3105"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Priorytet </w:t>
      </w:r>
      <w:r w:rsidR="00596858">
        <w:rPr>
          <w:rFonts w:asciiTheme="minorHAnsi" w:hAnsiTheme="minorHAnsi" w:cstheme="minorHAnsi"/>
        </w:rPr>
        <w:t>3</w:t>
      </w:r>
    </w:p>
    <w:p w14:paraId="0D432B51" w14:textId="56FCBC25"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szczegółowy </w:t>
      </w:r>
      <w:r w:rsidR="00596858">
        <w:rPr>
          <w:rFonts w:asciiTheme="minorHAnsi" w:hAnsiTheme="minorHAnsi" w:cstheme="minorHAnsi"/>
        </w:rPr>
        <w:t>4.6</w:t>
      </w:r>
    </w:p>
    <w:p w14:paraId="64E1791F"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8</w:t>
      </w:r>
      <w:r>
        <w:rPr>
          <w:rFonts w:asciiTheme="minorHAnsi" w:hAnsiTheme="minorHAnsi" w:cstheme="minorHAnsi"/>
        </w:rPr>
        <w:t>4</w:t>
      </w:r>
    </w:p>
    <w:p w14:paraId="38F08B08"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A751C5">
        <w:rPr>
          <w:rFonts w:asciiTheme="minorHAnsi" w:hAnsiTheme="minorHAnsi" w:cstheme="minorHAnsi"/>
        </w:rPr>
        <w:t>Działania pilotażowe opracowane wspólnie i wdrażane w ramach projektów</w:t>
      </w:r>
    </w:p>
    <w:p w14:paraId="7F12738A"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Jednostka miary [255] </w:t>
      </w:r>
      <w:r w:rsidRPr="00A751C5">
        <w:rPr>
          <w:rFonts w:asciiTheme="minorHAnsi" w:hAnsiTheme="minorHAnsi" w:cstheme="minorHAnsi"/>
        </w:rPr>
        <w:t>Liczba działań pilotażowych</w:t>
      </w:r>
    </w:p>
    <w:p w14:paraId="01E779D6"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2839AE3B" w14:textId="64BD3BB8"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sidR="00596858">
        <w:rPr>
          <w:rFonts w:asciiTheme="minorHAnsi" w:hAnsiTheme="minorHAnsi" w:cstheme="minorHAnsi"/>
        </w:rPr>
        <w:t>23</w:t>
      </w:r>
    </w:p>
    <w:p w14:paraId="47DDDCB6"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25690357"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Numer identyfikacyjny [5] RCO 116</w:t>
      </w:r>
    </w:p>
    <w:p w14:paraId="48B1F68C"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Wskaźnik Wspólnie opracowane rozwiązania</w:t>
      </w:r>
    </w:p>
    <w:p w14:paraId="6E4C3FCF"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7E38D810" w14:textId="77777777" w:rsidR="00650DCA" w:rsidRPr="00293553"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65C5E55B" w14:textId="43F85978" w:rsidR="00650DCA"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sidR="00596858">
        <w:rPr>
          <w:rFonts w:asciiTheme="minorHAnsi" w:hAnsiTheme="minorHAnsi" w:cstheme="minorHAnsi"/>
        </w:rPr>
        <w:t>52</w:t>
      </w:r>
    </w:p>
    <w:p w14:paraId="298D3440" w14:textId="291A450E" w:rsidR="00596858" w:rsidRDefault="00596858"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p>
    <w:p w14:paraId="4C9FD254" w14:textId="13AD2E64" w:rsidR="00596858" w:rsidRPr="00293553" w:rsidRDefault="00596858" w:rsidP="00596858">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Numer identyfikacyjny [5] RCO </w:t>
      </w:r>
      <w:r>
        <w:rPr>
          <w:rFonts w:asciiTheme="minorHAnsi" w:hAnsiTheme="minorHAnsi" w:cstheme="minorHAnsi"/>
        </w:rPr>
        <w:t>77</w:t>
      </w:r>
    </w:p>
    <w:p w14:paraId="2A54D1BC" w14:textId="64927453" w:rsidR="00596858" w:rsidRPr="00293553" w:rsidRDefault="00596858" w:rsidP="00596858">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596858">
        <w:rPr>
          <w:rFonts w:asciiTheme="minorHAnsi" w:hAnsiTheme="minorHAnsi" w:cstheme="minorHAnsi"/>
        </w:rPr>
        <w:t>Liczba wspieranych obiektów kulturalnych i turystycznych</w:t>
      </w:r>
    </w:p>
    <w:p w14:paraId="12FEDE62" w14:textId="77777777" w:rsidR="00596858" w:rsidRPr="00293553" w:rsidRDefault="00596858" w:rsidP="00596858">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Jednostka miary [255] Liczba rozwiązań</w:t>
      </w:r>
    </w:p>
    <w:p w14:paraId="56A61B35" w14:textId="2F09AE2F" w:rsidR="00596858" w:rsidRPr="00293553" w:rsidRDefault="00596858" w:rsidP="00596858">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pośredni (2024) [200] </w:t>
      </w:r>
      <w:r>
        <w:rPr>
          <w:rFonts w:asciiTheme="minorHAnsi" w:hAnsiTheme="minorHAnsi" w:cstheme="minorHAnsi"/>
        </w:rPr>
        <w:t>4</w:t>
      </w:r>
    </w:p>
    <w:p w14:paraId="6FD800B3" w14:textId="6740DFE2" w:rsidR="00596858" w:rsidRPr="00293553" w:rsidRDefault="00596858" w:rsidP="00596858">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24</w:t>
      </w:r>
    </w:p>
    <w:p w14:paraId="73FCC486" w14:textId="77777777" w:rsidR="00650DCA" w:rsidRPr="002F1719" w:rsidRDefault="00650DCA" w:rsidP="00650DCA">
      <w:pPr>
        <w:spacing w:after="0" w:line="259" w:lineRule="auto"/>
        <w:ind w:left="-15" w:right="1" w:firstLine="0"/>
        <w:rPr>
          <w:rFonts w:asciiTheme="minorHAnsi" w:hAnsiTheme="minorHAnsi" w:cstheme="minorHAnsi"/>
        </w:rPr>
      </w:pPr>
    </w:p>
    <w:p w14:paraId="430C3B2C" w14:textId="77777777" w:rsidR="00650DCA" w:rsidRDefault="00650DCA" w:rsidP="00650DCA">
      <w:pPr>
        <w:pStyle w:val="Heading5"/>
      </w:pPr>
      <w:r w:rsidRPr="002F1719">
        <w:t>Tabela 3 Wskaźniki rezultatu</w:t>
      </w:r>
    </w:p>
    <w:p w14:paraId="4746CF71" w14:textId="7EC6472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Priorytet </w:t>
      </w:r>
      <w:r w:rsidR="00EA25B1">
        <w:rPr>
          <w:rFonts w:asciiTheme="minorHAnsi" w:hAnsiTheme="minorHAnsi" w:cstheme="minorHAnsi"/>
        </w:rPr>
        <w:t>3</w:t>
      </w:r>
    </w:p>
    <w:p w14:paraId="0290EE55" w14:textId="24833F16" w:rsidR="00650DCA"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szczegółowy </w:t>
      </w:r>
      <w:r w:rsidR="00EA25B1">
        <w:rPr>
          <w:rFonts w:asciiTheme="minorHAnsi" w:hAnsiTheme="minorHAnsi" w:cstheme="minorHAnsi"/>
        </w:rPr>
        <w:t>4.6</w:t>
      </w:r>
    </w:p>
    <w:p w14:paraId="0D13E2E9"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Numer identyfikacyjny RCR 104</w:t>
      </w:r>
    </w:p>
    <w:p w14:paraId="4EF4C8AE"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Wskaźnik Rozwiązania podejmowane lub ulepszane przez organizacje</w:t>
      </w:r>
    </w:p>
    <w:p w14:paraId="1FC3A959"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30448656"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4FE26443"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3B2D4212" w14:textId="68B3D558"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sidR="00EA25B1">
        <w:rPr>
          <w:rFonts w:asciiTheme="minorHAnsi" w:hAnsiTheme="minorHAnsi" w:cstheme="minorHAnsi"/>
        </w:rPr>
        <w:t>26</w:t>
      </w:r>
    </w:p>
    <w:p w14:paraId="524C7D50"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5B70388F" w14:textId="77777777" w:rsidR="00650DCA" w:rsidRPr="00CD424E" w:rsidRDefault="00650DCA" w:rsidP="00650DCA">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07C01B82" w14:textId="560C773F" w:rsidR="00CB6F9B" w:rsidRPr="002F1719" w:rsidRDefault="00CB6F9B" w:rsidP="00CB6F9B">
      <w:pPr>
        <w:spacing w:after="0" w:line="259" w:lineRule="auto"/>
        <w:ind w:left="0" w:right="0" w:firstLine="0"/>
        <w:rPr>
          <w:rFonts w:asciiTheme="minorHAnsi" w:hAnsiTheme="minorHAnsi" w:cstheme="minorHAnsi"/>
        </w:rPr>
      </w:pPr>
    </w:p>
    <w:p w14:paraId="6FEBFD40" w14:textId="174C2950" w:rsidR="00CB6F9B" w:rsidRPr="002F1719" w:rsidRDefault="0004687C" w:rsidP="00384D8D">
      <w:pPr>
        <w:numPr>
          <w:ilvl w:val="2"/>
          <w:numId w:val="9"/>
        </w:numPr>
        <w:spacing w:after="227" w:line="249" w:lineRule="auto"/>
        <w:ind w:right="0"/>
        <w:rPr>
          <w:rFonts w:asciiTheme="minorHAnsi" w:hAnsiTheme="minorHAnsi" w:cstheme="minorHAnsi"/>
        </w:rPr>
      </w:pPr>
      <w:r w:rsidRPr="002F1719">
        <w:rPr>
          <w:rFonts w:asciiTheme="minorHAnsi" w:hAnsiTheme="minorHAnsi" w:cstheme="minorHAnsi"/>
          <w:b/>
        </w:rPr>
        <w:t xml:space="preserve">Główne grupy docelowe </w:t>
      </w:r>
    </w:p>
    <w:p w14:paraId="4B5F74D7" w14:textId="585579F2" w:rsidR="00CB6F9B" w:rsidRPr="00EA25B1" w:rsidRDefault="009B7B41" w:rsidP="00CB6F9B">
      <w:pPr>
        <w:spacing w:after="241" w:line="265" w:lineRule="auto"/>
        <w:ind w:left="-5" w:right="0" w:hanging="10"/>
        <w:rPr>
          <w:rFonts w:asciiTheme="minorHAnsi" w:hAnsiTheme="minorHAnsi" w:cstheme="minorHAnsi"/>
        </w:rPr>
      </w:pPr>
      <w:r w:rsidRPr="00EA25B1">
        <w:rPr>
          <w:rFonts w:asciiTheme="minorHAnsi" w:hAnsiTheme="minorHAnsi" w:cstheme="minorHAnsi"/>
        </w:rPr>
        <w:t xml:space="preserve">Podstawa prawna: art. 17 ust. 3 lit. e)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(iii), art. 17 ust. 9 lit. c)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(iv</w:t>
      </w:r>
      <w:r w:rsidR="00CB6F9B" w:rsidRPr="00EA25B1">
        <w:rPr>
          <w:rFonts w:asciiTheme="minorHAnsi" w:hAnsiTheme="minorHAnsi" w:cstheme="minorHAnsi"/>
        </w:rPr>
        <w:t xml:space="preserve">) </w:t>
      </w:r>
    </w:p>
    <w:p w14:paraId="281227DC" w14:textId="77777777" w:rsidR="00CB6F9B" w:rsidRPr="00EA25B1" w:rsidRDefault="00CB6F9B" w:rsidP="00CB6F9B">
      <w:pPr>
        <w:spacing w:after="241" w:line="265" w:lineRule="auto"/>
        <w:ind w:left="-5" w:right="0" w:hanging="10"/>
        <w:rPr>
          <w:rFonts w:asciiTheme="minorHAnsi" w:hAnsiTheme="minorHAnsi" w:cstheme="minorHAnsi"/>
        </w:rPr>
      </w:pPr>
      <w:r w:rsidRPr="00EA25B1">
        <w:rPr>
          <w:rFonts w:asciiTheme="minorHAnsi" w:hAnsiTheme="minorHAnsi" w:cstheme="minorHAnsi"/>
        </w:rPr>
        <w:t>Główne grupy docelowe</w:t>
      </w:r>
    </w:p>
    <w:p w14:paraId="5B8FEEE6" w14:textId="4F260A81"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Instytucje publiczne i równoważne podmioty publiczne w </w:t>
      </w:r>
      <w:r w:rsidR="00211E1B" w:rsidRPr="002F1719">
        <w:rPr>
          <w:rFonts w:asciiTheme="minorHAnsi" w:hAnsiTheme="minorHAnsi" w:cstheme="minorHAnsi"/>
          <w:color w:val="auto"/>
        </w:rPr>
        <w:t>Obszarze Południowego Bałtyku</w:t>
      </w:r>
    </w:p>
    <w:p w14:paraId="3BCCCE70"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MŚP</w:t>
      </w:r>
    </w:p>
    <w:p w14:paraId="3B187335"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Instytucje kulturalne</w:t>
      </w:r>
    </w:p>
    <w:p w14:paraId="34088DE6"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Turyści obszarów/obiektów dziedzictwa przyrodniczego i kulturowego w Obszarze Południowego Bałtyku</w:t>
      </w:r>
    </w:p>
    <w:p w14:paraId="47387BA2"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Obywatele regionu, zwłaszcza w bardziej atrakcyjnych obszarach (np. na wybrzeżu)</w:t>
      </w:r>
    </w:p>
    <w:p w14:paraId="5CEBCFD7" w14:textId="77777777" w:rsidR="00CB6F9B" w:rsidRPr="002F1719" w:rsidRDefault="00CB6F9B" w:rsidP="00EA25B1">
      <w:pPr>
        <w:autoSpaceDE w:val="0"/>
        <w:autoSpaceDN w:val="0"/>
        <w:adjustRightInd w:val="0"/>
        <w:spacing w:before="60" w:after="120" w:line="360" w:lineRule="auto"/>
        <w:ind w:left="0" w:right="0" w:firstLine="0"/>
        <w:rPr>
          <w:rFonts w:asciiTheme="minorHAnsi" w:hAnsiTheme="minorHAnsi" w:cstheme="minorHAnsi"/>
          <w:szCs w:val="24"/>
          <w:lang w:eastAsia="pl-PL"/>
        </w:rPr>
      </w:pPr>
    </w:p>
    <w:p w14:paraId="5D914AB6" w14:textId="77777777" w:rsidR="00CB6F9B" w:rsidRPr="002F1719" w:rsidRDefault="00CB6F9B" w:rsidP="00EA25B1">
      <w:pPr>
        <w:spacing w:after="120" w:line="360" w:lineRule="auto"/>
        <w:ind w:left="-5" w:right="0" w:hanging="10"/>
        <w:rPr>
          <w:rFonts w:asciiTheme="minorHAnsi" w:hAnsiTheme="minorHAnsi" w:cstheme="minorHAnsi"/>
          <w:color w:val="auto"/>
          <w:szCs w:val="24"/>
        </w:rPr>
      </w:pPr>
      <w:r w:rsidRPr="002F1719">
        <w:rPr>
          <w:rFonts w:asciiTheme="minorHAnsi" w:hAnsiTheme="minorHAnsi" w:cstheme="minorHAnsi"/>
          <w:color w:val="auto"/>
        </w:rPr>
        <w:t>Przykładowe rodzaje beneficjentów</w:t>
      </w:r>
    </w:p>
    <w:p w14:paraId="29EC1FA1" w14:textId="10E3C273"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Władze lokalne i regionalne oraz ich stowarzyszenia</w:t>
      </w:r>
    </w:p>
    <w:p w14:paraId="62863276"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organizacje pozarządowe</w:t>
      </w:r>
    </w:p>
    <w:p w14:paraId="514AC3F0"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Instytucje dziedzictwa przyrodniczego i kulturowego</w:t>
      </w:r>
    </w:p>
    <w:p w14:paraId="3C4BBDAE"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Agencje wspierające rozwój turystyki regionalnej i lokalnej, agencje rozwoju regionalnego, izby handlowe, stowarzyszenia formalne i klastry przedsiębiorców działających w sektorze turystyki </w:t>
      </w:r>
    </w:p>
    <w:p w14:paraId="40B8A0D7" w14:textId="77777777" w:rsidR="00CB6F9B" w:rsidRPr="002F1719" w:rsidRDefault="00CB6F9B"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Instytucje gospodarki leśnej</w:t>
      </w:r>
    </w:p>
    <w:p w14:paraId="6BD34E21" w14:textId="77777777" w:rsidR="003246FE" w:rsidRPr="002F1719" w:rsidRDefault="003246FE"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MŚP </w:t>
      </w:r>
    </w:p>
    <w:p w14:paraId="05FF2FC7" w14:textId="1B4ABA7D" w:rsidR="00CB6F9B" w:rsidRPr="002F1719" w:rsidRDefault="000E7210" w:rsidP="00EA25B1">
      <w:pPr>
        <w:pStyle w:val="ListParagraph"/>
        <w:numPr>
          <w:ilvl w:val="0"/>
          <w:numId w:val="1"/>
        </w:numPr>
        <w:autoSpaceDE w:val="0"/>
        <w:autoSpaceDN w:val="0"/>
        <w:adjustRightInd w:val="0"/>
        <w:spacing w:before="60"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Europejskie Ugrupowania Współpracy Terytorialnej</w:t>
      </w:r>
      <w:r w:rsidR="00EA25B1">
        <w:rPr>
          <w:rFonts w:asciiTheme="minorHAnsi" w:hAnsiTheme="minorHAnsi" w:cstheme="minorHAnsi"/>
        </w:rPr>
        <w:t>.</w:t>
      </w:r>
    </w:p>
    <w:p w14:paraId="487BD06D" w14:textId="77777777" w:rsidR="00F41055" w:rsidRPr="002F1719" w:rsidRDefault="00F41055" w:rsidP="00F41055">
      <w:pPr>
        <w:pStyle w:val="ListParagraph"/>
        <w:autoSpaceDE w:val="0"/>
        <w:autoSpaceDN w:val="0"/>
        <w:adjustRightInd w:val="0"/>
        <w:spacing w:before="60" w:after="60" w:line="276" w:lineRule="auto"/>
        <w:ind w:left="319" w:right="0" w:firstLine="0"/>
        <w:jc w:val="both"/>
        <w:rPr>
          <w:rFonts w:asciiTheme="minorHAnsi" w:hAnsiTheme="minorHAnsi" w:cstheme="minorHAnsi"/>
          <w:szCs w:val="24"/>
        </w:rPr>
      </w:pPr>
    </w:p>
    <w:p w14:paraId="0E664F81" w14:textId="77777777" w:rsidR="00EA25B1" w:rsidRPr="00EA25B1" w:rsidRDefault="00F41055" w:rsidP="00384D8D">
      <w:pPr>
        <w:numPr>
          <w:ilvl w:val="2"/>
          <w:numId w:val="9"/>
        </w:numPr>
        <w:spacing w:after="5" w:line="443" w:lineRule="auto"/>
        <w:ind w:right="0"/>
        <w:rPr>
          <w:rFonts w:asciiTheme="minorHAnsi" w:hAnsiTheme="minorHAnsi" w:cstheme="minorHAnsi"/>
        </w:rPr>
      </w:pPr>
      <w:r w:rsidRPr="002F1719">
        <w:rPr>
          <w:rFonts w:asciiTheme="minorHAnsi" w:hAnsiTheme="minorHAnsi" w:cstheme="minorHAnsi"/>
          <w:b/>
          <w:szCs w:val="24"/>
          <w:lang w:eastAsia="pl-PL"/>
        </w:rPr>
        <w:t>Indykatywny podział zasobów programu UE według rodzaju interwencji</w:t>
      </w:r>
      <w:r w:rsidRPr="002F1719">
        <w:rPr>
          <w:rFonts w:asciiTheme="minorHAnsi" w:hAnsiTheme="minorHAnsi" w:cstheme="minorHAnsi"/>
          <w:szCs w:val="24"/>
          <w:lang w:eastAsia="pl-PL"/>
        </w:rPr>
        <w:t xml:space="preserve"> </w:t>
      </w:r>
    </w:p>
    <w:p w14:paraId="5D685854" w14:textId="3FA7409B" w:rsidR="00CB6F9B" w:rsidRPr="002F1719" w:rsidRDefault="00F41055" w:rsidP="00EA25B1">
      <w:pPr>
        <w:spacing w:after="5" w:line="443" w:lineRule="auto"/>
        <w:ind w:left="5" w:right="0" w:firstLine="0"/>
        <w:rPr>
          <w:rFonts w:asciiTheme="minorHAnsi" w:hAnsiTheme="minorHAnsi" w:cstheme="minorHAnsi"/>
        </w:rPr>
      </w:pPr>
      <w:r w:rsidRPr="00EA25B1">
        <w:rPr>
          <w:rFonts w:asciiTheme="minorHAnsi" w:hAnsiTheme="minorHAnsi" w:cstheme="minorHAnsi"/>
        </w:rPr>
        <w:t xml:space="preserve">Podstawa prawna: art. 17 ust. 3 lit. e)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(vi), art. 17 ust. 9 lit. c)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(v</w:t>
      </w:r>
      <w:r w:rsidR="0004687C" w:rsidRPr="00EA25B1">
        <w:rPr>
          <w:rFonts w:asciiTheme="minorHAnsi" w:hAnsiTheme="minorHAnsi" w:cstheme="minorHAnsi"/>
        </w:rPr>
        <w:t xml:space="preserve">) </w:t>
      </w:r>
    </w:p>
    <w:p w14:paraId="08E558C8" w14:textId="77777777" w:rsidR="00EA25B1" w:rsidRDefault="00EA25B1" w:rsidP="00EA25B1">
      <w:pPr>
        <w:pStyle w:val="Heading5"/>
      </w:pPr>
      <w:r w:rsidRPr="002F1719">
        <w:t>Tabela 4</w:t>
      </w:r>
      <w:r>
        <w:t xml:space="preserve"> </w:t>
      </w:r>
      <w:r w:rsidRPr="002F1719">
        <w:t>Wymiar 1 – zakres interwencji</w:t>
      </w:r>
    </w:p>
    <w:p w14:paraId="618B95F8" w14:textId="7AC28F2B"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3</w:t>
      </w:r>
    </w:p>
    <w:p w14:paraId="43053677" w14:textId="77777777"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3A07583C" w14:textId="5ACCAF15"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4.6</w:t>
      </w:r>
    </w:p>
    <w:p w14:paraId="46D0C9F1" w14:textId="420C18A2"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Kod </w:t>
      </w:r>
      <w:r>
        <w:rPr>
          <w:rFonts w:asciiTheme="minorHAnsi" w:hAnsiTheme="minorHAnsi" w:cstheme="minorHAnsi"/>
        </w:rPr>
        <w:t>165</w:t>
      </w:r>
    </w:p>
    <w:p w14:paraId="52DFFBB7" w14:textId="0199E90B"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A25B1">
        <w:rPr>
          <w:rFonts w:asciiTheme="minorHAnsi" w:hAnsiTheme="minorHAnsi" w:cstheme="minorHAnsi"/>
        </w:rPr>
        <w:t>5 873 832,00</w:t>
      </w:r>
    </w:p>
    <w:p w14:paraId="75C87B29" w14:textId="3ABD0A68"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Kod </w:t>
      </w:r>
      <w:r>
        <w:rPr>
          <w:rFonts w:asciiTheme="minorHAnsi" w:hAnsiTheme="minorHAnsi" w:cstheme="minorHAnsi"/>
        </w:rPr>
        <w:t>166</w:t>
      </w:r>
    </w:p>
    <w:p w14:paraId="2729D260" w14:textId="7CDDBAEB" w:rsidR="00EA25B1"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A25B1">
        <w:rPr>
          <w:rFonts w:asciiTheme="minorHAnsi" w:hAnsiTheme="minorHAnsi" w:cstheme="minorHAnsi"/>
        </w:rPr>
        <w:t>5 873 832,00</w:t>
      </w:r>
    </w:p>
    <w:p w14:paraId="0A7877BB" w14:textId="040DF265"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Kod </w:t>
      </w:r>
      <w:r>
        <w:rPr>
          <w:rFonts w:asciiTheme="minorHAnsi" w:hAnsiTheme="minorHAnsi" w:cstheme="minorHAnsi"/>
        </w:rPr>
        <w:t>167</w:t>
      </w:r>
    </w:p>
    <w:p w14:paraId="4A960604" w14:textId="06B45508"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A25B1">
        <w:rPr>
          <w:rFonts w:asciiTheme="minorHAnsi" w:hAnsiTheme="minorHAnsi" w:cstheme="minorHAnsi"/>
        </w:rPr>
        <w:t>7 831 776,00</w:t>
      </w:r>
    </w:p>
    <w:p w14:paraId="7871B36C" w14:textId="77777777" w:rsidR="00EA25B1" w:rsidRPr="00CD424E" w:rsidRDefault="00EA25B1" w:rsidP="00EA25B1">
      <w:pPr>
        <w:pStyle w:val="Heading5"/>
      </w:pPr>
      <w:r w:rsidRPr="002F1719">
        <w:t>Tabela 5 Wymiar 2 – forma finansowania</w:t>
      </w:r>
    </w:p>
    <w:p w14:paraId="3CFD2C9F" w14:textId="5005B363"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3</w:t>
      </w:r>
    </w:p>
    <w:p w14:paraId="57A5A94D" w14:textId="77777777"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095CCB23" w14:textId="5A214195"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4.6</w:t>
      </w:r>
    </w:p>
    <w:p w14:paraId="47E9C13A" w14:textId="77777777"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6DA69ACB" w14:textId="76960636"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A25B1">
        <w:rPr>
          <w:rFonts w:asciiTheme="minorHAnsi" w:hAnsiTheme="minorHAnsi" w:cstheme="minorHAnsi"/>
        </w:rPr>
        <w:t>19 579 440,00</w:t>
      </w:r>
    </w:p>
    <w:p w14:paraId="2B8D5DF3" w14:textId="77777777" w:rsidR="00EA25B1" w:rsidRDefault="00EA25B1" w:rsidP="00EA25B1">
      <w:pPr>
        <w:pStyle w:val="Heading5"/>
      </w:pPr>
      <w:r w:rsidRPr="00CD424E">
        <w:t>Tabela 6</w:t>
      </w:r>
      <w:r>
        <w:t xml:space="preserve"> </w:t>
      </w:r>
      <w:r w:rsidRPr="00CD424E">
        <w:t>Wymiar 3 – mechanizm wkładu terytorialnego i ukierunkowanie terytorialne</w:t>
      </w:r>
    </w:p>
    <w:p w14:paraId="695A0506" w14:textId="6A646773"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3</w:t>
      </w:r>
    </w:p>
    <w:p w14:paraId="3D7F978A" w14:textId="77777777"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62E5533C" w14:textId="6B4F49F7"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4.6</w:t>
      </w:r>
    </w:p>
    <w:p w14:paraId="12B7174A" w14:textId="77777777"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33</w:t>
      </w:r>
    </w:p>
    <w:p w14:paraId="15053A57" w14:textId="25F29AE4" w:rsidR="00EA25B1" w:rsidRPr="000A48CD"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EA25B1">
        <w:rPr>
          <w:rFonts w:asciiTheme="minorHAnsi" w:hAnsiTheme="minorHAnsi" w:cstheme="minorHAnsi"/>
        </w:rPr>
        <w:t>19 579 440,00</w:t>
      </w:r>
    </w:p>
    <w:p w14:paraId="049BE7E3" w14:textId="77777777" w:rsidR="00EA25B1" w:rsidRPr="002F1719" w:rsidRDefault="00EA25B1" w:rsidP="00EA25B1">
      <w:pPr>
        <w:spacing w:after="0" w:line="259" w:lineRule="auto"/>
        <w:ind w:left="0" w:right="0" w:firstLine="0"/>
        <w:rPr>
          <w:rFonts w:asciiTheme="minorHAnsi" w:hAnsiTheme="minorHAnsi" w:cstheme="minorHAnsi"/>
        </w:rPr>
      </w:pPr>
    </w:p>
    <w:p w14:paraId="278EF00D" w14:textId="0AFFB64B" w:rsidR="00CB6F9B" w:rsidRPr="00EA25B1" w:rsidRDefault="009B2211" w:rsidP="00EA25B1">
      <w:pPr>
        <w:ind w:left="630"/>
        <w:rPr>
          <w:rFonts w:asciiTheme="minorHAnsi" w:hAnsiTheme="minorHAnsi" w:cstheme="minorHAnsi"/>
          <w:b/>
          <w:bCs/>
        </w:rPr>
      </w:pPr>
      <w:r w:rsidRPr="00EA25B1">
        <w:rPr>
          <w:rFonts w:asciiTheme="minorHAnsi" w:hAnsiTheme="minorHAnsi" w:cstheme="minorHAnsi"/>
          <w:b/>
          <w:bCs/>
        </w:rPr>
        <w:t xml:space="preserve">Priorytet 4 </w:t>
      </w:r>
    </w:p>
    <w:p w14:paraId="319BE9C2" w14:textId="1E827B1D" w:rsidR="00CB6F9B" w:rsidRPr="002F1719" w:rsidRDefault="00FC3F2E" w:rsidP="00EA25B1">
      <w:pPr>
        <w:spacing w:after="120" w:line="360" w:lineRule="auto"/>
        <w:ind w:left="547" w:right="792" w:hanging="547"/>
        <w:rPr>
          <w:rFonts w:asciiTheme="minorHAnsi" w:hAnsiTheme="minorHAnsi" w:cstheme="minorHAnsi"/>
        </w:rPr>
      </w:pPr>
      <w:r w:rsidRPr="00EA25B1">
        <w:rPr>
          <w:rFonts w:asciiTheme="minorHAnsi" w:hAnsiTheme="minorHAnsi" w:cstheme="minorHAnsi"/>
        </w:rPr>
        <w:t>Podstawa prawna: art. 17 ust. 3 lit. d</w:t>
      </w:r>
      <w:r w:rsidR="00CB6F9B" w:rsidRPr="00EA25B1">
        <w:rPr>
          <w:rFonts w:asciiTheme="minorHAnsi" w:hAnsiTheme="minorHAnsi" w:cstheme="minorHAnsi"/>
        </w:rPr>
        <w:t xml:space="preserve">) </w:t>
      </w:r>
    </w:p>
    <w:p w14:paraId="272DD809" w14:textId="6A385943" w:rsidR="000E7210" w:rsidRPr="002F1719" w:rsidRDefault="00CB6F9B" w:rsidP="004A0FF2">
      <w:pPr>
        <w:pStyle w:val="Heading2"/>
        <w:numPr>
          <w:ilvl w:val="0"/>
          <w:numId w:val="0"/>
        </w:numPr>
        <w:ind w:left="365"/>
      </w:pPr>
      <w:r w:rsidRPr="00EA25B1">
        <w:t>OP 4 Aktywny Południowy Bałtyk – poprawa zarządzania współpracą</w:t>
      </w:r>
    </w:p>
    <w:p w14:paraId="6B1601DD" w14:textId="77777777" w:rsidR="00EA25B1" w:rsidRPr="00EA25B1" w:rsidRDefault="00EA25B1" w:rsidP="00EA25B1">
      <w:pPr>
        <w:numPr>
          <w:ilvl w:val="1"/>
          <w:numId w:val="9"/>
        </w:numPr>
        <w:spacing w:line="238" w:lineRule="auto"/>
        <w:ind w:right="0"/>
        <w:rPr>
          <w:rFonts w:asciiTheme="minorHAnsi" w:hAnsiTheme="minorHAnsi" w:cstheme="minorHAnsi"/>
        </w:rPr>
      </w:pPr>
    </w:p>
    <w:p w14:paraId="3D9846A5" w14:textId="65BBA782" w:rsidR="00CB6F9B" w:rsidRPr="002F1719" w:rsidRDefault="00CB6F9B" w:rsidP="00EA25B1">
      <w:pPr>
        <w:numPr>
          <w:ilvl w:val="2"/>
          <w:numId w:val="9"/>
        </w:numPr>
        <w:spacing w:line="238" w:lineRule="auto"/>
        <w:ind w:right="0"/>
        <w:rPr>
          <w:rFonts w:asciiTheme="minorHAnsi" w:hAnsiTheme="minorHAnsi" w:cstheme="minorHAnsi"/>
        </w:rPr>
      </w:pPr>
      <w:r w:rsidRPr="002F1719">
        <w:rPr>
          <w:rFonts w:asciiTheme="minorHAnsi" w:hAnsiTheme="minorHAnsi" w:cstheme="minorHAnsi"/>
          <w:b/>
        </w:rPr>
        <w:t xml:space="preserve">Cel szczegółowy </w:t>
      </w:r>
    </w:p>
    <w:p w14:paraId="066D9216" w14:textId="4AEFA31A" w:rsidR="00FC3F2E" w:rsidRPr="00EA25B1" w:rsidRDefault="00FC3F2E" w:rsidP="00EA25B1">
      <w:pPr>
        <w:spacing w:after="120" w:line="360" w:lineRule="auto"/>
        <w:ind w:left="547" w:right="792" w:hanging="547"/>
        <w:rPr>
          <w:rFonts w:asciiTheme="minorHAnsi" w:hAnsiTheme="minorHAnsi" w:cstheme="minorHAnsi"/>
        </w:rPr>
      </w:pPr>
      <w:r w:rsidRPr="00EA25B1">
        <w:rPr>
          <w:rFonts w:asciiTheme="minorHAnsi" w:hAnsiTheme="minorHAnsi" w:cstheme="minorHAnsi"/>
        </w:rPr>
        <w:t>Podstawa prawna: art. 17 ust. 3 lit. e)</w:t>
      </w:r>
    </w:p>
    <w:p w14:paraId="16528BA9" w14:textId="675EF095" w:rsidR="00425B2D" w:rsidRPr="00EA25B1" w:rsidRDefault="007E6381" w:rsidP="006D55CE">
      <w:pPr>
        <w:pStyle w:val="Heading3"/>
      </w:pPr>
      <w:r w:rsidRPr="00EA25B1">
        <w:t>6.1. Zwiększanie zdolności instytucjonalnej organów instytucji publicznych, w szczególności tych, którym powierzono zarządzanie konkretnym teryto</w:t>
      </w:r>
      <w:r w:rsidR="00FC3F2E" w:rsidRPr="00EA25B1">
        <w:t xml:space="preserve">rium, i zainteresowanych stron </w:t>
      </w:r>
    </w:p>
    <w:p w14:paraId="6542B209" w14:textId="226A5514" w:rsidR="00100560" w:rsidRPr="002F1719" w:rsidRDefault="00FC3F2E" w:rsidP="00EA25B1">
      <w:pPr>
        <w:numPr>
          <w:ilvl w:val="2"/>
          <w:numId w:val="17"/>
        </w:numPr>
        <w:spacing w:after="120" w:line="360" w:lineRule="auto"/>
        <w:ind w:left="720" w:right="0"/>
        <w:rPr>
          <w:rFonts w:asciiTheme="minorHAnsi" w:hAnsiTheme="minorHAnsi" w:cstheme="minorHAnsi"/>
          <w:b/>
        </w:rPr>
      </w:pPr>
      <w:r w:rsidRPr="002F1719">
        <w:rPr>
          <w:rFonts w:asciiTheme="minorHAnsi" w:hAnsiTheme="minorHAnsi" w:cstheme="minorHAnsi"/>
          <w:b/>
        </w:rPr>
        <w:t xml:space="preserve">Powiązane rodzaje działań oraz ich oczekiwany wkład w realizację wspomnianych celów szczegółowych </w:t>
      </w:r>
      <w:proofErr w:type="gramStart"/>
      <w:r w:rsidRPr="002F1719">
        <w:rPr>
          <w:rFonts w:asciiTheme="minorHAnsi" w:hAnsiTheme="minorHAnsi" w:cstheme="minorHAnsi"/>
          <w:b/>
        </w:rPr>
        <w:t>oraz,</w:t>
      </w:r>
      <w:proofErr w:type="gramEnd"/>
      <w:r w:rsidRPr="002F1719">
        <w:rPr>
          <w:rFonts w:asciiTheme="minorHAnsi" w:hAnsiTheme="minorHAnsi" w:cstheme="minorHAnsi"/>
          <w:b/>
        </w:rPr>
        <w:t xml:space="preserve"> w stosownych przypadkach, strategii makroregionalnych i strategii na rzecz basenu morskiego</w:t>
      </w:r>
      <w:r w:rsidR="00100560" w:rsidRPr="002F1719">
        <w:rPr>
          <w:rFonts w:asciiTheme="minorHAnsi" w:hAnsiTheme="minorHAnsi" w:cstheme="minorHAnsi"/>
          <w:b/>
        </w:rPr>
        <w:t xml:space="preserve"> </w:t>
      </w:r>
    </w:p>
    <w:p w14:paraId="1938CBBC" w14:textId="0331D725" w:rsidR="00CB6F9B" w:rsidRPr="00EA25B1" w:rsidRDefault="00FC3F2E" w:rsidP="00EA25B1">
      <w:pPr>
        <w:tabs>
          <w:tab w:val="left" w:pos="0"/>
        </w:tabs>
        <w:spacing w:after="120" w:line="360" w:lineRule="auto"/>
        <w:ind w:left="0" w:right="792" w:firstLine="0"/>
        <w:rPr>
          <w:rFonts w:asciiTheme="minorHAnsi" w:hAnsiTheme="minorHAnsi" w:cstheme="minorHAnsi"/>
        </w:rPr>
      </w:pPr>
      <w:r w:rsidRPr="00EA25B1">
        <w:rPr>
          <w:rFonts w:asciiTheme="minorHAnsi" w:hAnsiTheme="minorHAnsi" w:cstheme="minorHAnsi"/>
        </w:rPr>
        <w:t xml:space="preserve">Podstawa prawna: art. 17 ust. 3 lit. e)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(i), art. 17 ust. 9 lit. c)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(ii</w:t>
      </w:r>
      <w:r w:rsidR="00CB6F9B" w:rsidRPr="00EA25B1">
        <w:rPr>
          <w:rFonts w:asciiTheme="minorHAnsi" w:hAnsiTheme="minorHAnsi" w:cstheme="minorHAnsi"/>
        </w:rPr>
        <w:t xml:space="preserve">) </w:t>
      </w:r>
    </w:p>
    <w:p w14:paraId="32ECABA9" w14:textId="41E3CD2A" w:rsidR="00CB6F9B" w:rsidRPr="002F1719" w:rsidRDefault="00B95042" w:rsidP="00EA25B1">
      <w:pPr>
        <w:tabs>
          <w:tab w:val="left" w:pos="0"/>
        </w:tabs>
        <w:spacing w:after="120" w:line="360" w:lineRule="auto"/>
        <w:ind w:left="0" w:right="792" w:firstLine="0"/>
        <w:rPr>
          <w:rFonts w:asciiTheme="minorHAnsi" w:hAnsiTheme="minorHAnsi" w:cstheme="minorHAnsi"/>
        </w:rPr>
      </w:pPr>
      <w:bookmarkStart w:id="2" w:name="_Hlk71551090"/>
      <w:r w:rsidRPr="002F1719">
        <w:rPr>
          <w:rFonts w:asciiTheme="minorHAnsi" w:hAnsiTheme="minorHAnsi" w:cstheme="minorHAnsi"/>
        </w:rPr>
        <w:t xml:space="preserve">Działanie Programu 4.1: </w:t>
      </w:r>
      <w:r w:rsidRPr="00EA25B1">
        <w:rPr>
          <w:rFonts w:asciiTheme="minorHAnsi" w:hAnsiTheme="minorHAnsi" w:cstheme="minorHAnsi"/>
        </w:rPr>
        <w:t>Wzmocnienie zdolności współpracy podmiotów z siedzibą w Obszarze Południowego Bałtyku (w tym społeczeństwa obywatelskiego)</w:t>
      </w:r>
    </w:p>
    <w:p w14:paraId="3C824D5C" w14:textId="174A70F3" w:rsidR="00CB6F9B" w:rsidRPr="002F1719" w:rsidRDefault="00CB6F9B" w:rsidP="00EA25B1">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Działanie to umożliwi budowanie potencjału i wzmocnienie współpracy transgranicznej różnych podmiotów działających w ramach obszaru kwalifikowalnego (w szczególności reprezentujących sektory publiczne i społeczeństwo obywatelskie) w celu rozwiązania wspólnych problemów transgranicznych i budowania wzajemnego zaufania w obszarach administracji, rozwoju regionalnego i mobilności transgranicznej. </w:t>
      </w:r>
    </w:p>
    <w:p w14:paraId="6DDE8987" w14:textId="39CA72C0" w:rsidR="00CB6F9B" w:rsidRPr="002F1719" w:rsidRDefault="00CB6F9B" w:rsidP="00EA25B1">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Potencjalni beneficjenci tego działania obejmują szeroką gamę podmiotów, </w:t>
      </w:r>
      <w:r w:rsidR="000E7210" w:rsidRPr="002F1719">
        <w:rPr>
          <w:rFonts w:asciiTheme="minorHAnsi" w:hAnsiTheme="minorHAnsi" w:cstheme="minorHAnsi"/>
        </w:rPr>
        <w:t>zwłaszcza</w:t>
      </w:r>
      <w:r w:rsidRPr="002F1719">
        <w:rPr>
          <w:rFonts w:asciiTheme="minorHAnsi" w:hAnsiTheme="minorHAnsi" w:cstheme="minorHAnsi"/>
        </w:rPr>
        <w:t xml:space="preserve"> podmioty lokalne uważane za nowych uczestników współpracy transgranicznej, co stwarza znaczne możliwości tworzenia sieci i rozwijania relacji między nimi. W szczególności umożliwi to rozwijanie silniejszych powiązań między społeczeństwem obywatelskim a podmiotami publicznymi dzięki zachęcaniu do oddolnego udziału w podejmowaniu decyzji i kształtowaniu polityki.</w:t>
      </w:r>
    </w:p>
    <w:p w14:paraId="033D15B7" w14:textId="29496D4A" w:rsidR="00A065C2" w:rsidRPr="002F1719" w:rsidRDefault="00A065C2" w:rsidP="00EA25B1">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Planowane interwencje mogą obejmować działania pilotażowe na małą skalę, jeżeli jest to uzasadnione.</w:t>
      </w:r>
    </w:p>
    <w:p w14:paraId="0D4EE859" w14:textId="77777777" w:rsidR="00CB6F9B" w:rsidRPr="002F1719" w:rsidRDefault="00CB6F9B" w:rsidP="00EA25B1">
      <w:pPr>
        <w:tabs>
          <w:tab w:val="left" w:pos="0"/>
        </w:tabs>
        <w:spacing w:after="120" w:line="360" w:lineRule="auto"/>
        <w:ind w:left="0" w:right="792" w:firstLine="0"/>
        <w:rPr>
          <w:rFonts w:asciiTheme="minorHAnsi" w:hAnsiTheme="minorHAnsi" w:cstheme="minorHAnsi"/>
        </w:rPr>
      </w:pPr>
      <w:r w:rsidRPr="002F1719">
        <w:rPr>
          <w:rFonts w:asciiTheme="minorHAnsi" w:hAnsiTheme="minorHAnsi" w:cstheme="minorHAnsi"/>
        </w:rPr>
        <w:t>Przykładowe działania</w:t>
      </w:r>
    </w:p>
    <w:p w14:paraId="27344BD1" w14:textId="6189D7AC" w:rsidR="00CB6F9B" w:rsidRPr="002F1719" w:rsidRDefault="00CB6F9B"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Realizacja inicjatyw (programy transgraniczne, szkolenia, warsztaty itp.) mając</w:t>
      </w:r>
      <w:r w:rsidR="00613E62" w:rsidRPr="002F1719">
        <w:rPr>
          <w:rFonts w:asciiTheme="minorHAnsi" w:hAnsiTheme="minorHAnsi" w:cstheme="minorHAnsi"/>
        </w:rPr>
        <w:t>ych</w:t>
      </w:r>
      <w:r w:rsidRPr="002F1719">
        <w:rPr>
          <w:rFonts w:asciiTheme="minorHAnsi" w:hAnsiTheme="minorHAnsi" w:cstheme="minorHAnsi"/>
        </w:rPr>
        <w:t xml:space="preserve"> na celu wzmocnienie potencjału podmiotów lokalnych w zakresie tworzenia sieci i współpracy;</w:t>
      </w:r>
    </w:p>
    <w:p w14:paraId="1C4D4E38" w14:textId="0E18EF79" w:rsidR="00CB6F9B" w:rsidRPr="002F1719" w:rsidRDefault="00CB6F9B"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wspierające wspóln</w:t>
      </w:r>
      <w:r w:rsidR="00613E62" w:rsidRPr="002F1719">
        <w:rPr>
          <w:rFonts w:asciiTheme="minorHAnsi" w:hAnsiTheme="minorHAnsi" w:cstheme="minorHAnsi"/>
        </w:rPr>
        <w:t>ą</w:t>
      </w:r>
      <w:r w:rsidRPr="002F1719">
        <w:rPr>
          <w:rFonts w:asciiTheme="minorHAnsi" w:hAnsiTheme="minorHAnsi" w:cstheme="minorHAnsi"/>
        </w:rPr>
        <w:t xml:space="preserve"> administrację</w:t>
      </w:r>
      <w:r w:rsidR="00613E62" w:rsidRPr="002F1719">
        <w:rPr>
          <w:rFonts w:asciiTheme="minorHAnsi" w:hAnsiTheme="minorHAnsi" w:cstheme="minorHAnsi"/>
        </w:rPr>
        <w:t xml:space="preserve"> samorządową</w:t>
      </w:r>
      <w:r w:rsidRPr="002F1719">
        <w:rPr>
          <w:rFonts w:asciiTheme="minorHAnsi" w:hAnsiTheme="minorHAnsi" w:cstheme="minorHAnsi"/>
        </w:rPr>
        <w:t>/</w:t>
      </w:r>
      <w:r w:rsidR="00613E62" w:rsidRPr="002F1719">
        <w:rPr>
          <w:rFonts w:asciiTheme="minorHAnsi" w:hAnsiTheme="minorHAnsi" w:cstheme="minorHAnsi"/>
        </w:rPr>
        <w:t xml:space="preserve">wspólne </w:t>
      </w:r>
      <w:r w:rsidRPr="002F1719">
        <w:rPr>
          <w:rFonts w:asciiTheme="minorHAnsi" w:hAnsiTheme="minorHAnsi" w:cstheme="minorHAnsi"/>
        </w:rPr>
        <w:t>agencje samorządowe i inne instytucje (np. organizacje pozarządowe) przyczyniające się do wpływu na politykę i decyzje na szczeblu regionalnym, krajowym i unijnym dotyczące rozwoju lokalnego;</w:t>
      </w:r>
    </w:p>
    <w:p w14:paraId="5CBE8426" w14:textId="13A16B26" w:rsidR="00CB6F9B" w:rsidRPr="002F1719" w:rsidRDefault="00CB6F9B"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mające na celu rozwijanie silniejszych powiązań między obywatelami i instytucjami na transgranicznym szczeblu społeczeństwa obywatelskiego oraz oddolnego zaangażowania w podejmowanie decyzji i kształtowanie polityki;</w:t>
      </w:r>
    </w:p>
    <w:p w14:paraId="13E07C6D" w14:textId="4D458523" w:rsidR="00CB6F9B" w:rsidRPr="002F1719" w:rsidRDefault="00CB6F9B"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zwiększające zaangażowanie podmiotów lokalnych (np. organizacje pozarządowe, instytucje kultury, organizacje nieformalne, organizacje wspierające osoby z niepełnosprawnościami i osoby z grup narażonych) w rozwój projektów i dialog międzykulturowy;</w:t>
      </w:r>
    </w:p>
    <w:p w14:paraId="2612142D" w14:textId="220E3007" w:rsidR="00CB6F9B" w:rsidRPr="002F1719" w:rsidRDefault="00644D5E"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transgraniczne wspierające wzmacnianie pozycji młodzieży, angażowanie młodzieży w społeczeństwo obywatelskie oraz w lokalne i regionalne procesy decyzyjne;</w:t>
      </w:r>
    </w:p>
    <w:p w14:paraId="1E9CCD21" w14:textId="15EAD68E" w:rsidR="00CB6F9B" w:rsidRPr="002F1719" w:rsidRDefault="00CB6F9B"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wspierające wymianę doświadczeń w dziedzinie innowacyjnej przedsiębiorczości między uniwersytetami, uczniami szkół średnich i zawodowych oraz absolwentami;</w:t>
      </w:r>
    </w:p>
    <w:p w14:paraId="0076291C" w14:textId="77777777" w:rsidR="00CB6F9B" w:rsidRPr="002F1719" w:rsidRDefault="00CB6F9B" w:rsidP="00EA25B1">
      <w:pPr>
        <w:pStyle w:val="ListParagraph"/>
        <w:numPr>
          <w:ilvl w:val="0"/>
          <w:numId w:val="1"/>
        </w:numPr>
        <w:autoSpaceDE w:val="0"/>
        <w:autoSpaceDN w:val="0"/>
        <w:adjustRightInd w:val="0"/>
        <w:spacing w:after="120" w:line="360" w:lineRule="auto"/>
        <w:ind w:left="319" w:right="0" w:hanging="319"/>
        <w:rPr>
          <w:rFonts w:asciiTheme="minorHAnsi" w:hAnsiTheme="minorHAnsi" w:cstheme="minorHAnsi"/>
          <w:szCs w:val="24"/>
        </w:rPr>
      </w:pPr>
      <w:r w:rsidRPr="002F1719">
        <w:rPr>
          <w:rFonts w:asciiTheme="minorHAnsi" w:hAnsiTheme="minorHAnsi" w:cstheme="minorHAnsi"/>
        </w:rPr>
        <w:t>Działania w zakresie zwiększania świadomości i promocji wśród grup podmiotów lokalnych w celu zwiększenia zaufania, promowania kultury współpracy i wspólnej tożsamości podmiotów;</w:t>
      </w:r>
    </w:p>
    <w:p w14:paraId="5013BA8A" w14:textId="2E90DCC1" w:rsidR="00CB6F9B" w:rsidRPr="002F1719" w:rsidRDefault="00CB6F9B" w:rsidP="00EA25B1">
      <w:pPr>
        <w:pStyle w:val="ListParagraph"/>
        <w:numPr>
          <w:ilvl w:val="0"/>
          <w:numId w:val="1"/>
        </w:numPr>
        <w:autoSpaceDE w:val="0"/>
        <w:autoSpaceDN w:val="0"/>
        <w:adjustRightInd w:val="0"/>
        <w:spacing w:after="120" w:line="360" w:lineRule="auto"/>
        <w:ind w:left="284" w:right="0" w:hanging="284"/>
        <w:rPr>
          <w:rFonts w:asciiTheme="minorHAnsi" w:hAnsiTheme="minorHAnsi" w:cstheme="minorHAnsi"/>
          <w:szCs w:val="24"/>
        </w:rPr>
      </w:pPr>
      <w:r w:rsidRPr="002F1719">
        <w:rPr>
          <w:rFonts w:asciiTheme="minorHAnsi" w:hAnsiTheme="minorHAnsi" w:cstheme="minorHAnsi"/>
        </w:rPr>
        <w:t>Rozwój zdolności współpracy dzięki promowaniu modeli, sieci skupiających różne podmioty, zwłaszcza małe instytucje oraz podmioty z obszarów wiejskich i peryferyjnych (np. instytucje badawcze, MŚP, organizacje rozwoju biznesu, uniwersytety, podmioty publiczne), w celu udoskonalenia transferu i absorpcji wiedzy i innowacji.</w:t>
      </w:r>
    </w:p>
    <w:bookmarkEnd w:id="2"/>
    <w:p w14:paraId="1FE80FC9" w14:textId="77777777" w:rsidR="00CB6F9B" w:rsidRPr="002F1719" w:rsidRDefault="00CB6F9B" w:rsidP="00CB6F9B">
      <w:pPr>
        <w:autoSpaceDE w:val="0"/>
        <w:autoSpaceDN w:val="0"/>
        <w:adjustRightInd w:val="0"/>
        <w:spacing w:before="60" w:after="60" w:line="276" w:lineRule="auto"/>
        <w:ind w:right="0"/>
        <w:rPr>
          <w:rFonts w:asciiTheme="minorHAnsi" w:hAnsiTheme="minorHAnsi" w:cstheme="minorHAnsi"/>
          <w:szCs w:val="24"/>
          <w:lang w:eastAsia="pl-PL"/>
        </w:rPr>
      </w:pPr>
    </w:p>
    <w:p w14:paraId="24B2542F" w14:textId="6A12DA7D" w:rsidR="00CB6F9B" w:rsidRPr="002F1719" w:rsidRDefault="00CB6F9B" w:rsidP="00EA25B1">
      <w:pPr>
        <w:ind w:left="0" w:firstLine="0"/>
        <w:rPr>
          <w:rFonts w:asciiTheme="minorHAnsi" w:hAnsiTheme="minorHAnsi" w:cstheme="minorHAnsi"/>
        </w:rPr>
      </w:pPr>
      <w:r w:rsidRPr="002F1719">
        <w:rPr>
          <w:rFonts w:asciiTheme="minorHAnsi" w:hAnsiTheme="minorHAnsi" w:cstheme="minorHAnsi"/>
        </w:rPr>
        <w:t>Wkład w wybrany cel szczegółowy</w:t>
      </w:r>
    </w:p>
    <w:p w14:paraId="68545175" w14:textId="320E2F90" w:rsidR="00CB6F9B" w:rsidRPr="002F1719" w:rsidRDefault="00CB6F9B" w:rsidP="00EA25B1">
      <w:pPr>
        <w:ind w:left="0" w:firstLine="0"/>
        <w:rPr>
          <w:rFonts w:asciiTheme="minorHAnsi" w:hAnsiTheme="minorHAnsi" w:cstheme="minorHAnsi"/>
        </w:rPr>
      </w:pPr>
      <w:r w:rsidRPr="00EA25B1">
        <w:rPr>
          <w:rFonts w:asciiTheme="minorHAnsi" w:hAnsiTheme="minorHAnsi" w:cstheme="minorHAnsi"/>
        </w:rPr>
        <w:t>Działanie to przyczynia się do wybranego Celu Szczegółowego 6.1 Zwiększanie zdolności instytucjonalnej organów instytucji publicznych</w:t>
      </w:r>
      <w:r w:rsidR="00B051C9" w:rsidRPr="00EA25B1">
        <w:rPr>
          <w:rFonts w:asciiTheme="minorHAnsi" w:hAnsiTheme="minorHAnsi" w:cstheme="minorHAnsi"/>
        </w:rPr>
        <w:t xml:space="preserve"> </w:t>
      </w:r>
      <w:r w:rsidR="007272A8" w:rsidRPr="002F1719">
        <w:rPr>
          <w:rFonts w:asciiTheme="minorHAnsi" w:hAnsiTheme="minorHAnsi" w:cstheme="minorHAnsi"/>
        </w:rPr>
        <w:t>dzięki</w:t>
      </w:r>
      <w:r w:rsidRPr="002F1719">
        <w:rPr>
          <w:rFonts w:asciiTheme="minorHAnsi" w:hAnsiTheme="minorHAnsi" w:cstheme="minorHAnsi"/>
        </w:rPr>
        <w:t xml:space="preserve"> wykrywani</w:t>
      </w:r>
      <w:r w:rsidR="007272A8" w:rsidRPr="002F1719">
        <w:rPr>
          <w:rFonts w:asciiTheme="minorHAnsi" w:hAnsiTheme="minorHAnsi" w:cstheme="minorHAnsi"/>
        </w:rPr>
        <w:t>u</w:t>
      </w:r>
      <w:r w:rsidRPr="002F1719">
        <w:rPr>
          <w:rFonts w:asciiTheme="minorHAnsi" w:hAnsiTheme="minorHAnsi" w:cstheme="minorHAnsi"/>
        </w:rPr>
        <w:t xml:space="preserve"> przeszkód we współpracy transgranicznej i rozwijani</w:t>
      </w:r>
      <w:r w:rsidR="007272A8" w:rsidRPr="002F1719">
        <w:rPr>
          <w:rFonts w:asciiTheme="minorHAnsi" w:hAnsiTheme="minorHAnsi" w:cstheme="minorHAnsi"/>
        </w:rPr>
        <w:t>u</w:t>
      </w:r>
      <w:r w:rsidRPr="002F1719">
        <w:rPr>
          <w:rFonts w:asciiTheme="minorHAnsi" w:hAnsiTheme="minorHAnsi" w:cstheme="minorHAnsi"/>
        </w:rPr>
        <w:t xml:space="preserve"> zdolności w tym względzie. Ponadto szczególny nacisk kładzie się na wzmocnienie pozycji społeczności lokalnych i udział społeczeństwa obywatelskiego, co podkreślono w proponowanym Działaniu. </w:t>
      </w:r>
    </w:p>
    <w:p w14:paraId="05C5F32A" w14:textId="77777777" w:rsidR="00CB6F9B" w:rsidRPr="002F1719" w:rsidRDefault="00CB6F9B" w:rsidP="00EA25B1">
      <w:pPr>
        <w:ind w:left="0" w:firstLine="0"/>
        <w:rPr>
          <w:rFonts w:asciiTheme="minorHAnsi" w:hAnsiTheme="minorHAnsi" w:cstheme="minorHAnsi"/>
        </w:rPr>
      </w:pPr>
      <w:r w:rsidRPr="002F1719">
        <w:rPr>
          <w:rFonts w:asciiTheme="minorHAnsi" w:hAnsiTheme="minorHAnsi" w:cstheme="minorHAnsi"/>
        </w:rPr>
        <w:t>Wkład w strategię UE dla Regionu Morza Bałtyckiego</w:t>
      </w:r>
    </w:p>
    <w:p w14:paraId="160E36D3" w14:textId="38238054" w:rsidR="00CB6F9B" w:rsidRPr="002F1719" w:rsidRDefault="00CB6F9B" w:rsidP="00EA25B1">
      <w:pPr>
        <w:ind w:left="0" w:firstLine="0"/>
        <w:rPr>
          <w:rFonts w:asciiTheme="minorHAnsi" w:hAnsiTheme="minorHAnsi" w:cstheme="minorHAnsi"/>
        </w:rPr>
      </w:pPr>
      <w:r w:rsidRPr="002F1719">
        <w:rPr>
          <w:rFonts w:asciiTheme="minorHAnsi" w:hAnsiTheme="minorHAnsi" w:cstheme="minorHAnsi"/>
        </w:rPr>
        <w:t xml:space="preserve">Działanie 4.1. </w:t>
      </w:r>
      <w:r w:rsidRPr="00EA25B1">
        <w:rPr>
          <w:rFonts w:asciiTheme="minorHAnsi" w:hAnsiTheme="minorHAnsi" w:cstheme="minorHAnsi"/>
        </w:rPr>
        <w:t>Wzmocnienie zdolności współpracy podmiotów z siedzibą w Obszarze Południowego Bałtyku (w tym społeczeństwa obywatelskiego)</w:t>
      </w:r>
      <w:r w:rsidRPr="002F1719">
        <w:rPr>
          <w:rFonts w:asciiTheme="minorHAnsi" w:hAnsiTheme="minorHAnsi" w:cstheme="minorHAnsi"/>
        </w:rPr>
        <w:t xml:space="preserve"> </w:t>
      </w:r>
      <w:r w:rsidR="00F85B07" w:rsidRPr="002F1719">
        <w:rPr>
          <w:rFonts w:asciiTheme="minorHAnsi" w:hAnsiTheme="minorHAnsi" w:cstheme="minorHAnsi"/>
        </w:rPr>
        <w:t>jest</w:t>
      </w:r>
      <w:r w:rsidRPr="002F1719">
        <w:rPr>
          <w:rFonts w:asciiTheme="minorHAnsi" w:hAnsiTheme="minorHAnsi" w:cstheme="minorHAnsi"/>
        </w:rPr>
        <w:t xml:space="preserve"> siln</w:t>
      </w:r>
      <w:r w:rsidR="00F85B07" w:rsidRPr="002F1719">
        <w:rPr>
          <w:rFonts w:asciiTheme="minorHAnsi" w:hAnsiTheme="minorHAnsi" w:cstheme="minorHAnsi"/>
        </w:rPr>
        <w:t>i</w:t>
      </w:r>
      <w:r w:rsidR="007272A8" w:rsidRPr="002F1719">
        <w:rPr>
          <w:rFonts w:asciiTheme="minorHAnsi" w:hAnsiTheme="minorHAnsi" w:cstheme="minorHAnsi"/>
        </w:rPr>
        <w:t>e</w:t>
      </w:r>
      <w:r w:rsidRPr="002F1719">
        <w:rPr>
          <w:rFonts w:asciiTheme="minorHAnsi" w:hAnsiTheme="minorHAnsi" w:cstheme="minorHAnsi"/>
        </w:rPr>
        <w:t xml:space="preserve"> </w:t>
      </w:r>
      <w:r w:rsidR="007272A8" w:rsidRPr="002F1719">
        <w:rPr>
          <w:rFonts w:asciiTheme="minorHAnsi" w:hAnsiTheme="minorHAnsi" w:cstheme="minorHAnsi"/>
        </w:rPr>
        <w:t>powiązane</w:t>
      </w:r>
      <w:r w:rsidRPr="002F1719">
        <w:rPr>
          <w:rFonts w:asciiTheme="minorHAnsi" w:hAnsiTheme="minorHAnsi" w:cstheme="minorHAnsi"/>
        </w:rPr>
        <w:t xml:space="preserve"> z OP Kultura i umożliwia organizowanie wspólnych działań związanych z wymianą wiedzy w dziedzinie ochrony wspólnego dziedzictwa i kultury. Przyczynia się również do OP Edukacja, ponieważ jest dedykowane wszystkim działaniom międzyludzkim na rzecz zwiększenia zaufania, współpracy i transferu wiedzy, dobrych praktyk itp., w dziedzinie edukacji, jak również do OP Bezpieczeństwo, ponieważ może zostać wykorzystane dla potrzeb działań zwiększających świadomość i promocyjnych wśród grup podmiotów lokalnych w celu zwiększenia zaufania, promowania kultury współpracy i wspólnej tożsamości podmiotów lokalnych, aby budować społeczności współpracujące i odporne na przestępstwa.</w:t>
      </w:r>
    </w:p>
    <w:p w14:paraId="496B38F1" w14:textId="7BA6F58B" w:rsidR="00CB6F9B" w:rsidRPr="002F1719" w:rsidRDefault="00100560" w:rsidP="00384D8D">
      <w:pPr>
        <w:numPr>
          <w:ilvl w:val="2"/>
          <w:numId w:val="9"/>
        </w:numPr>
        <w:spacing w:after="227" w:line="249" w:lineRule="auto"/>
        <w:ind w:right="0"/>
        <w:rPr>
          <w:rFonts w:asciiTheme="minorHAnsi" w:hAnsiTheme="minorHAnsi" w:cstheme="minorHAnsi"/>
        </w:rPr>
      </w:pPr>
      <w:r w:rsidRPr="002F1719">
        <w:rPr>
          <w:rFonts w:asciiTheme="minorHAnsi" w:hAnsiTheme="minorHAnsi" w:cstheme="minorHAnsi"/>
          <w:b/>
        </w:rPr>
        <w:t xml:space="preserve">Wskaźniki </w:t>
      </w:r>
    </w:p>
    <w:p w14:paraId="31745E01" w14:textId="10AFB7BD" w:rsidR="00CB6F9B" w:rsidRDefault="00FC3F2E" w:rsidP="00EA25B1">
      <w:pPr>
        <w:tabs>
          <w:tab w:val="left" w:pos="0"/>
        </w:tabs>
        <w:spacing w:after="120" w:line="360" w:lineRule="auto"/>
        <w:ind w:left="0" w:right="792" w:firstLine="0"/>
        <w:rPr>
          <w:rFonts w:asciiTheme="minorHAnsi" w:hAnsiTheme="minorHAnsi" w:cstheme="minorHAnsi"/>
        </w:rPr>
      </w:pPr>
      <w:r w:rsidRPr="00EA25B1">
        <w:rPr>
          <w:rFonts w:asciiTheme="minorHAnsi" w:hAnsiTheme="minorHAnsi" w:cstheme="minorHAnsi"/>
        </w:rPr>
        <w:t xml:space="preserve">Podstawa prawna: art. 17 ust. 3 lit. e)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(ii), art. 17 ust. 9 lit. c) </w:t>
      </w:r>
      <w:proofErr w:type="spellStart"/>
      <w:r w:rsidRPr="00EA25B1">
        <w:rPr>
          <w:rFonts w:asciiTheme="minorHAnsi" w:hAnsiTheme="minorHAnsi" w:cstheme="minorHAnsi"/>
        </w:rPr>
        <w:t>ppkt</w:t>
      </w:r>
      <w:proofErr w:type="spellEnd"/>
      <w:r w:rsidRPr="00EA25B1">
        <w:rPr>
          <w:rFonts w:asciiTheme="minorHAnsi" w:hAnsiTheme="minorHAnsi" w:cstheme="minorHAnsi"/>
        </w:rPr>
        <w:t xml:space="preserve"> (iii)</w:t>
      </w:r>
      <w:r w:rsidR="00100560" w:rsidRPr="00EA25B1">
        <w:rPr>
          <w:rFonts w:asciiTheme="minorHAnsi" w:hAnsiTheme="minorHAnsi" w:cstheme="minorHAnsi"/>
        </w:rPr>
        <w:t xml:space="preserve"> </w:t>
      </w:r>
    </w:p>
    <w:p w14:paraId="1DA31240" w14:textId="77777777" w:rsidR="00EA25B1" w:rsidRDefault="00EA25B1" w:rsidP="00EA25B1">
      <w:pPr>
        <w:pStyle w:val="Heading5"/>
      </w:pPr>
      <w:r w:rsidRPr="002F1719">
        <w:t>Tabela 2</w:t>
      </w:r>
      <w:r>
        <w:t xml:space="preserve"> </w:t>
      </w:r>
      <w:r w:rsidRPr="002F1719">
        <w:t>Wskaźniki produktu</w:t>
      </w:r>
    </w:p>
    <w:p w14:paraId="13FFE8CF" w14:textId="254666A7" w:rsidR="00EA25B1" w:rsidRPr="00293553"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Priorytet </w:t>
      </w:r>
      <w:r>
        <w:rPr>
          <w:rFonts w:asciiTheme="minorHAnsi" w:hAnsiTheme="minorHAnsi" w:cstheme="minorHAnsi"/>
        </w:rPr>
        <w:t>4</w:t>
      </w:r>
    </w:p>
    <w:p w14:paraId="5B931295" w14:textId="7B7571BE" w:rsidR="00EA25B1" w:rsidRPr="00293553"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szczegółowy </w:t>
      </w:r>
      <w:r>
        <w:rPr>
          <w:rFonts w:asciiTheme="minorHAnsi" w:hAnsiTheme="minorHAnsi" w:cstheme="minorHAnsi"/>
        </w:rPr>
        <w:t>6.1</w:t>
      </w:r>
    </w:p>
    <w:p w14:paraId="343CBF9D" w14:textId="63E05752" w:rsidR="00EA25B1" w:rsidRPr="00293553"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Numer identyfikacyjny [5] RCO </w:t>
      </w:r>
      <w:r>
        <w:rPr>
          <w:rFonts w:asciiTheme="minorHAnsi" w:hAnsiTheme="minorHAnsi" w:cstheme="minorHAnsi"/>
        </w:rPr>
        <w:t>87</w:t>
      </w:r>
    </w:p>
    <w:p w14:paraId="6D401B51" w14:textId="77777777" w:rsidR="00EA25B1"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Wskaźnik </w:t>
      </w:r>
      <w:r w:rsidRPr="00EA25B1">
        <w:rPr>
          <w:rFonts w:asciiTheme="minorHAnsi" w:hAnsiTheme="minorHAnsi" w:cstheme="minorHAnsi"/>
        </w:rPr>
        <w:t xml:space="preserve">Organizacje współpracujące ponad granicami </w:t>
      </w:r>
    </w:p>
    <w:p w14:paraId="37694771" w14:textId="3E168244" w:rsidR="00EA25B1" w:rsidRPr="00293553"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Jednostka miary [255] </w:t>
      </w:r>
      <w:r w:rsidR="006D55CE" w:rsidRPr="006D55CE">
        <w:rPr>
          <w:rFonts w:asciiTheme="minorHAnsi" w:hAnsiTheme="minorHAnsi" w:cstheme="minorHAnsi"/>
        </w:rPr>
        <w:t>Liczba organizacji</w:t>
      </w:r>
    </w:p>
    <w:p w14:paraId="5CE68820" w14:textId="77777777" w:rsidR="00EA25B1" w:rsidRPr="00293553"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Cel pośredni (2024) [200] 0</w:t>
      </w:r>
    </w:p>
    <w:p w14:paraId="130117CF" w14:textId="00904FC9" w:rsidR="00EA25B1" w:rsidRPr="00293553"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293553">
        <w:rPr>
          <w:rFonts w:asciiTheme="minorHAnsi" w:hAnsiTheme="minorHAnsi" w:cstheme="minorHAnsi"/>
        </w:rPr>
        <w:t xml:space="preserve">Cel końcowy (2029) [200] </w:t>
      </w:r>
      <w:r>
        <w:rPr>
          <w:rFonts w:asciiTheme="minorHAnsi" w:hAnsiTheme="minorHAnsi" w:cstheme="minorHAnsi"/>
        </w:rPr>
        <w:t>14</w:t>
      </w:r>
      <w:r w:rsidR="006D55CE">
        <w:rPr>
          <w:rFonts w:asciiTheme="minorHAnsi" w:hAnsiTheme="minorHAnsi" w:cstheme="minorHAnsi"/>
        </w:rPr>
        <w:t>0</w:t>
      </w:r>
    </w:p>
    <w:p w14:paraId="6B67A272" w14:textId="77777777" w:rsidR="00EA25B1" w:rsidRPr="002F1719" w:rsidRDefault="00EA25B1" w:rsidP="00EA25B1">
      <w:pPr>
        <w:spacing w:after="0" w:line="259" w:lineRule="auto"/>
        <w:ind w:left="-15" w:right="1" w:firstLine="0"/>
        <w:rPr>
          <w:rFonts w:asciiTheme="minorHAnsi" w:hAnsiTheme="minorHAnsi" w:cstheme="minorHAnsi"/>
        </w:rPr>
      </w:pPr>
    </w:p>
    <w:p w14:paraId="01CFD492" w14:textId="77777777" w:rsidR="00EA25B1" w:rsidRDefault="00EA25B1" w:rsidP="00EA25B1">
      <w:pPr>
        <w:pStyle w:val="Heading5"/>
      </w:pPr>
      <w:r w:rsidRPr="002F1719">
        <w:t>Tabela 3 Wskaźniki rezultatu</w:t>
      </w:r>
    </w:p>
    <w:p w14:paraId="1D1AA0E9" w14:textId="41AC089D"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Priorytet </w:t>
      </w:r>
      <w:r w:rsidR="006D55CE">
        <w:rPr>
          <w:rFonts w:asciiTheme="minorHAnsi" w:hAnsiTheme="minorHAnsi" w:cstheme="minorHAnsi"/>
        </w:rPr>
        <w:t>4</w:t>
      </w:r>
    </w:p>
    <w:p w14:paraId="219BC325" w14:textId="3E136A9C" w:rsidR="00EA25B1"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szczegółowy </w:t>
      </w:r>
      <w:r w:rsidR="006D55CE">
        <w:rPr>
          <w:rFonts w:asciiTheme="minorHAnsi" w:hAnsiTheme="minorHAnsi" w:cstheme="minorHAnsi"/>
        </w:rPr>
        <w:t>6.1</w:t>
      </w:r>
    </w:p>
    <w:p w14:paraId="6F9A2B45" w14:textId="2AD9847C"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Numer identyfikacyjny RCR </w:t>
      </w:r>
      <w:r w:rsidR="006D55CE">
        <w:rPr>
          <w:rFonts w:asciiTheme="minorHAnsi" w:hAnsiTheme="minorHAnsi" w:cstheme="minorHAnsi"/>
        </w:rPr>
        <w:t>84</w:t>
      </w:r>
    </w:p>
    <w:p w14:paraId="087AE530" w14:textId="45D63E85"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Wskaźnik </w:t>
      </w:r>
      <w:r w:rsidR="006D55CE" w:rsidRPr="006D55CE">
        <w:rPr>
          <w:rFonts w:asciiTheme="minorHAnsi" w:hAnsiTheme="minorHAnsi" w:cstheme="minorHAnsi"/>
        </w:rPr>
        <w:t>Organizacje współpracujące ponad granicami po zakończeniu projektu</w:t>
      </w:r>
    </w:p>
    <w:p w14:paraId="6DB7244C" w14:textId="77777777"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Jednostka miary Liczba rozwiązań</w:t>
      </w:r>
    </w:p>
    <w:p w14:paraId="25F86ADA" w14:textId="77777777"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Wartość bazowa 0</w:t>
      </w:r>
    </w:p>
    <w:p w14:paraId="4627EEC2" w14:textId="77777777"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Rok referencyjny</w:t>
      </w:r>
      <w:r>
        <w:rPr>
          <w:rFonts w:asciiTheme="minorHAnsi" w:hAnsiTheme="minorHAnsi" w:cstheme="minorHAnsi"/>
        </w:rPr>
        <w:t xml:space="preserve"> </w:t>
      </w:r>
      <w:r w:rsidRPr="00CD424E">
        <w:rPr>
          <w:rFonts w:asciiTheme="minorHAnsi" w:hAnsiTheme="minorHAnsi" w:cstheme="minorHAnsi"/>
        </w:rPr>
        <w:t>2020</w:t>
      </w:r>
    </w:p>
    <w:p w14:paraId="04FF5FD9" w14:textId="46167A45"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 xml:space="preserve">Cel końcowy (2029) </w:t>
      </w:r>
      <w:r w:rsidR="006D55CE">
        <w:rPr>
          <w:rFonts w:asciiTheme="minorHAnsi" w:hAnsiTheme="minorHAnsi" w:cstheme="minorHAnsi"/>
        </w:rPr>
        <w:t>56</w:t>
      </w:r>
    </w:p>
    <w:p w14:paraId="540CB35D" w14:textId="77777777"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Źródło danych Raport z postępu prac</w:t>
      </w:r>
    </w:p>
    <w:p w14:paraId="0649E515" w14:textId="77777777" w:rsidR="00EA25B1" w:rsidRPr="00CD424E" w:rsidRDefault="00EA25B1" w:rsidP="00EA25B1">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CD424E">
        <w:rPr>
          <w:rFonts w:asciiTheme="minorHAnsi" w:hAnsiTheme="minorHAnsi" w:cstheme="minorHAnsi"/>
        </w:rPr>
        <w:t>Uwagi</w:t>
      </w:r>
    </w:p>
    <w:p w14:paraId="40288F5F" w14:textId="77777777" w:rsidR="00EA25B1" w:rsidRPr="002F1719" w:rsidRDefault="00EA25B1" w:rsidP="00EA25B1">
      <w:pPr>
        <w:tabs>
          <w:tab w:val="left" w:pos="0"/>
        </w:tabs>
        <w:spacing w:after="120" w:line="360" w:lineRule="auto"/>
        <w:ind w:left="0" w:right="792" w:firstLine="0"/>
        <w:rPr>
          <w:rFonts w:asciiTheme="minorHAnsi" w:hAnsiTheme="minorHAnsi" w:cstheme="minorHAnsi"/>
        </w:rPr>
      </w:pPr>
    </w:p>
    <w:p w14:paraId="483213F5" w14:textId="1CACDB23" w:rsidR="00CB6F9B" w:rsidRPr="002F1719" w:rsidRDefault="00100560" w:rsidP="00384D8D">
      <w:pPr>
        <w:numPr>
          <w:ilvl w:val="2"/>
          <w:numId w:val="9"/>
        </w:numPr>
        <w:spacing w:after="227" w:line="249" w:lineRule="auto"/>
        <w:ind w:right="0"/>
        <w:rPr>
          <w:rFonts w:asciiTheme="minorHAnsi" w:hAnsiTheme="minorHAnsi" w:cstheme="minorHAnsi"/>
        </w:rPr>
      </w:pPr>
      <w:r w:rsidRPr="002F1719">
        <w:rPr>
          <w:rFonts w:asciiTheme="minorHAnsi" w:hAnsiTheme="minorHAnsi" w:cstheme="minorHAnsi"/>
          <w:b/>
        </w:rPr>
        <w:t>Główne grupy docelowe</w:t>
      </w:r>
    </w:p>
    <w:p w14:paraId="443468C9" w14:textId="7382540C" w:rsidR="00CB6F9B" w:rsidRPr="006D55CE" w:rsidRDefault="00FC3F2E" w:rsidP="00CB6F9B">
      <w:pPr>
        <w:spacing w:after="241" w:line="265" w:lineRule="auto"/>
        <w:ind w:left="-5" w:right="0" w:hanging="10"/>
        <w:rPr>
          <w:rFonts w:asciiTheme="minorHAnsi" w:hAnsiTheme="minorHAnsi" w:cstheme="minorHAnsi"/>
        </w:rPr>
      </w:pPr>
      <w:r w:rsidRPr="006D55CE">
        <w:rPr>
          <w:rFonts w:asciiTheme="minorHAnsi" w:hAnsiTheme="minorHAnsi" w:cstheme="minorHAnsi"/>
        </w:rPr>
        <w:t xml:space="preserve">Podstawa prawna: art. 17 ust. 3 lit. e) </w:t>
      </w:r>
      <w:proofErr w:type="spellStart"/>
      <w:r w:rsidRPr="006D55CE">
        <w:rPr>
          <w:rFonts w:asciiTheme="minorHAnsi" w:hAnsiTheme="minorHAnsi" w:cstheme="minorHAnsi"/>
        </w:rPr>
        <w:t>ppkt</w:t>
      </w:r>
      <w:proofErr w:type="spellEnd"/>
      <w:r w:rsidRPr="006D55CE">
        <w:rPr>
          <w:rFonts w:asciiTheme="minorHAnsi" w:hAnsiTheme="minorHAnsi" w:cstheme="minorHAnsi"/>
        </w:rPr>
        <w:t xml:space="preserve"> (iii), art. 17 ust. 9 lit. c) </w:t>
      </w:r>
      <w:proofErr w:type="spellStart"/>
      <w:r w:rsidRPr="006D55CE">
        <w:rPr>
          <w:rFonts w:asciiTheme="minorHAnsi" w:hAnsiTheme="minorHAnsi" w:cstheme="minorHAnsi"/>
        </w:rPr>
        <w:t>ppkt</w:t>
      </w:r>
      <w:proofErr w:type="spellEnd"/>
      <w:r w:rsidRPr="006D55CE">
        <w:rPr>
          <w:rFonts w:asciiTheme="minorHAnsi" w:hAnsiTheme="minorHAnsi" w:cstheme="minorHAnsi"/>
        </w:rPr>
        <w:t xml:space="preserve"> (iv)</w:t>
      </w:r>
      <w:r w:rsidR="00100560" w:rsidRPr="006D55CE">
        <w:rPr>
          <w:rFonts w:asciiTheme="minorHAnsi" w:hAnsiTheme="minorHAnsi" w:cstheme="minorHAnsi"/>
        </w:rPr>
        <w:t xml:space="preserve"> </w:t>
      </w:r>
    </w:p>
    <w:p w14:paraId="29A4BC24" w14:textId="77777777" w:rsidR="00CB6F9B" w:rsidRPr="006D55CE" w:rsidRDefault="00CB6F9B" w:rsidP="00CB6F9B">
      <w:pPr>
        <w:spacing w:after="241" w:line="265" w:lineRule="auto"/>
        <w:ind w:left="-5" w:right="0" w:hanging="10"/>
        <w:rPr>
          <w:rFonts w:asciiTheme="minorHAnsi" w:hAnsiTheme="minorHAnsi" w:cstheme="minorHAnsi"/>
        </w:rPr>
      </w:pPr>
      <w:r w:rsidRPr="006D55CE">
        <w:rPr>
          <w:rFonts w:asciiTheme="minorHAnsi" w:hAnsiTheme="minorHAnsi" w:cstheme="minorHAnsi"/>
        </w:rPr>
        <w:t>Główne grupy docelowe</w:t>
      </w:r>
    </w:p>
    <w:p w14:paraId="2FD271BE"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Małe podmioty lokalne (na przykład podmioty publiczne działające na szczeblu lokalnym, gminy lokalne, organizacje pozarządowe)</w:t>
      </w:r>
    </w:p>
    <w:p w14:paraId="3762567F"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Obywatele</w:t>
      </w:r>
    </w:p>
    <w:p w14:paraId="69DF409A" w14:textId="77777777" w:rsidR="00FC3F2E" w:rsidRPr="002F1719" w:rsidRDefault="00FC3F2E" w:rsidP="006D55CE">
      <w:pPr>
        <w:spacing w:after="120" w:line="360" w:lineRule="auto"/>
        <w:ind w:left="-5" w:right="0" w:hanging="10"/>
        <w:rPr>
          <w:rFonts w:asciiTheme="minorHAnsi" w:hAnsiTheme="minorHAnsi" w:cstheme="minorHAnsi"/>
          <w:color w:val="auto"/>
        </w:rPr>
      </w:pPr>
    </w:p>
    <w:p w14:paraId="529D231F" w14:textId="77777777" w:rsidR="00CB6F9B" w:rsidRPr="002F1719" w:rsidRDefault="00CB6F9B" w:rsidP="006D55CE">
      <w:pPr>
        <w:spacing w:after="120" w:line="360" w:lineRule="auto"/>
        <w:ind w:left="-5" w:right="0" w:hanging="10"/>
        <w:rPr>
          <w:rFonts w:asciiTheme="minorHAnsi" w:hAnsiTheme="minorHAnsi" w:cstheme="minorHAnsi"/>
          <w:color w:val="auto"/>
          <w:szCs w:val="24"/>
        </w:rPr>
      </w:pPr>
      <w:r w:rsidRPr="002F1719">
        <w:rPr>
          <w:rFonts w:asciiTheme="minorHAnsi" w:hAnsiTheme="minorHAnsi" w:cstheme="minorHAnsi"/>
          <w:color w:val="auto"/>
        </w:rPr>
        <w:t>Przykładowe rodzaje beneficjentów</w:t>
      </w:r>
    </w:p>
    <w:p w14:paraId="7159460F" w14:textId="57C42E26"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Władze lokalne i regionalne oraz ich stowarzyszenia</w:t>
      </w:r>
    </w:p>
    <w:p w14:paraId="08E19993"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organizacje pozarządowe</w:t>
      </w:r>
    </w:p>
    <w:p w14:paraId="51CD5413"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Lokalne grupy działania</w:t>
      </w:r>
    </w:p>
    <w:p w14:paraId="4D1F352B"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Szkoły, szkolnictwo wyższe i instytucje badawczo-rozwojowe</w:t>
      </w:r>
    </w:p>
    <w:p w14:paraId="41478B69"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Izby handlowe, agencje rozwoju biznesu i inne organizacje wsparcia biznesu (np. akceleratory biznesu, inkubatory, instytucje rynku pracy itp.)</w:t>
      </w:r>
    </w:p>
    <w:p w14:paraId="37859AEE" w14:textId="77777777" w:rsidR="001610EF" w:rsidRPr="002F1719" w:rsidRDefault="001610EF"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 xml:space="preserve">MŚP </w:t>
      </w:r>
    </w:p>
    <w:p w14:paraId="70BC1E59"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Instytucje ochrony dziedzictwa przyrodniczego, kulturowego i narodowego</w:t>
      </w:r>
    </w:p>
    <w:p w14:paraId="7BE5290D"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Instytucje zdrowia publicznego</w:t>
      </w:r>
    </w:p>
    <w:p w14:paraId="2164C725" w14:textId="77777777" w:rsidR="00CB6F9B" w:rsidRPr="002F1719" w:rsidRDefault="00CB6F9B"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Stowarzyszenia, klastry i sieci MŚP</w:t>
      </w:r>
    </w:p>
    <w:p w14:paraId="32388DD1" w14:textId="446484D2" w:rsidR="00CB6F9B" w:rsidRPr="002F1719" w:rsidRDefault="007272A8" w:rsidP="006D55CE">
      <w:pPr>
        <w:pStyle w:val="ListParagraph"/>
        <w:numPr>
          <w:ilvl w:val="0"/>
          <w:numId w:val="1"/>
        </w:numPr>
        <w:autoSpaceDE w:val="0"/>
        <w:autoSpaceDN w:val="0"/>
        <w:adjustRightInd w:val="0"/>
        <w:spacing w:after="120" w:line="360" w:lineRule="auto"/>
        <w:ind w:left="319" w:right="0" w:hanging="319"/>
        <w:jc w:val="both"/>
        <w:rPr>
          <w:rFonts w:asciiTheme="minorHAnsi" w:hAnsiTheme="minorHAnsi" w:cstheme="minorHAnsi"/>
          <w:szCs w:val="24"/>
        </w:rPr>
      </w:pPr>
      <w:r w:rsidRPr="002F1719">
        <w:rPr>
          <w:rFonts w:asciiTheme="minorHAnsi" w:hAnsiTheme="minorHAnsi" w:cstheme="minorHAnsi"/>
        </w:rPr>
        <w:t>Europejskie Ugrupowania Współpracy Terytorialnej</w:t>
      </w:r>
    </w:p>
    <w:p w14:paraId="0B66D3A3" w14:textId="77777777" w:rsidR="00100560" w:rsidRPr="002F1719" w:rsidRDefault="00100560" w:rsidP="00100560">
      <w:pPr>
        <w:pStyle w:val="ListParagraph"/>
        <w:autoSpaceDE w:val="0"/>
        <w:autoSpaceDN w:val="0"/>
        <w:adjustRightInd w:val="0"/>
        <w:spacing w:before="60" w:after="60" w:line="276" w:lineRule="auto"/>
        <w:ind w:left="319" w:right="0" w:firstLine="0"/>
        <w:rPr>
          <w:rFonts w:asciiTheme="minorHAnsi" w:hAnsiTheme="minorHAnsi" w:cstheme="minorHAnsi"/>
          <w:szCs w:val="24"/>
          <w:lang w:val="en-GB" w:eastAsia="pl-PL"/>
        </w:rPr>
      </w:pPr>
    </w:p>
    <w:p w14:paraId="1873CCC6" w14:textId="77777777" w:rsidR="00FC3F2E" w:rsidRPr="002F1719" w:rsidRDefault="00FC3F2E" w:rsidP="00384D8D">
      <w:pPr>
        <w:numPr>
          <w:ilvl w:val="2"/>
          <w:numId w:val="9"/>
        </w:numPr>
        <w:spacing w:after="5" w:line="443" w:lineRule="auto"/>
        <w:ind w:right="0"/>
        <w:rPr>
          <w:rFonts w:asciiTheme="minorHAnsi" w:hAnsiTheme="minorHAnsi" w:cstheme="minorHAnsi"/>
        </w:rPr>
      </w:pPr>
      <w:r w:rsidRPr="002F1719">
        <w:rPr>
          <w:rFonts w:asciiTheme="minorHAnsi" w:hAnsiTheme="minorHAnsi" w:cstheme="minorHAnsi"/>
          <w:b/>
        </w:rPr>
        <w:t>Indykatywny podział zasobów programu UE według rodzaju interwencji</w:t>
      </w:r>
    </w:p>
    <w:p w14:paraId="337DA750" w14:textId="4C71139E" w:rsidR="00CB6F9B" w:rsidRPr="006D55CE" w:rsidRDefault="00FC3F2E" w:rsidP="006D55CE">
      <w:pPr>
        <w:spacing w:after="241" w:line="265" w:lineRule="auto"/>
        <w:ind w:left="-5" w:right="0" w:hanging="10"/>
        <w:rPr>
          <w:rFonts w:asciiTheme="minorHAnsi" w:hAnsiTheme="minorHAnsi" w:cstheme="minorHAnsi"/>
        </w:rPr>
      </w:pPr>
      <w:r w:rsidRPr="006D55CE">
        <w:rPr>
          <w:rFonts w:asciiTheme="minorHAnsi" w:hAnsiTheme="minorHAnsi" w:cstheme="minorHAnsi"/>
        </w:rPr>
        <w:t xml:space="preserve">Podstawa prawna: art. 17 ust. 3 lit. e) </w:t>
      </w:r>
      <w:proofErr w:type="spellStart"/>
      <w:r w:rsidRPr="006D55CE">
        <w:rPr>
          <w:rFonts w:asciiTheme="minorHAnsi" w:hAnsiTheme="minorHAnsi" w:cstheme="minorHAnsi"/>
        </w:rPr>
        <w:t>ppkt</w:t>
      </w:r>
      <w:proofErr w:type="spellEnd"/>
      <w:r w:rsidRPr="006D55CE">
        <w:rPr>
          <w:rFonts w:asciiTheme="minorHAnsi" w:hAnsiTheme="minorHAnsi" w:cstheme="minorHAnsi"/>
        </w:rPr>
        <w:t xml:space="preserve"> (vi), art. 17 ust. 9 lit. c) </w:t>
      </w:r>
      <w:proofErr w:type="spellStart"/>
      <w:r w:rsidRPr="006D55CE">
        <w:rPr>
          <w:rFonts w:asciiTheme="minorHAnsi" w:hAnsiTheme="minorHAnsi" w:cstheme="minorHAnsi"/>
        </w:rPr>
        <w:t>ppkt</w:t>
      </w:r>
      <w:proofErr w:type="spellEnd"/>
      <w:r w:rsidRPr="006D55CE">
        <w:rPr>
          <w:rFonts w:asciiTheme="minorHAnsi" w:hAnsiTheme="minorHAnsi" w:cstheme="minorHAnsi"/>
        </w:rPr>
        <w:t xml:space="preserve"> (v)</w:t>
      </w:r>
      <w:r w:rsidR="00100560" w:rsidRPr="006D55CE">
        <w:rPr>
          <w:rFonts w:asciiTheme="minorHAnsi" w:hAnsiTheme="minorHAnsi" w:cstheme="minorHAnsi"/>
        </w:rPr>
        <w:t xml:space="preserve"> </w:t>
      </w:r>
    </w:p>
    <w:p w14:paraId="58F98222" w14:textId="77777777" w:rsidR="006D55CE" w:rsidRDefault="006D55CE" w:rsidP="006D55CE">
      <w:pPr>
        <w:pStyle w:val="Heading5"/>
      </w:pPr>
      <w:r w:rsidRPr="002F1719">
        <w:t>Tabela 4</w:t>
      </w:r>
      <w:r>
        <w:t xml:space="preserve"> </w:t>
      </w:r>
      <w:r w:rsidRPr="002F1719">
        <w:t>Wymiar 1 – zakres interwencji</w:t>
      </w:r>
    </w:p>
    <w:p w14:paraId="77024088" w14:textId="617AB558"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4</w:t>
      </w:r>
    </w:p>
    <w:p w14:paraId="2C729266" w14:textId="77777777"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42672999" w14:textId="4EE0D234"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6.1</w:t>
      </w:r>
    </w:p>
    <w:p w14:paraId="0AB3A48F" w14:textId="76215394"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Kod </w:t>
      </w:r>
      <w:r>
        <w:rPr>
          <w:rFonts w:asciiTheme="minorHAnsi" w:hAnsiTheme="minorHAnsi" w:cstheme="minorHAnsi"/>
        </w:rPr>
        <w:t>173</w:t>
      </w:r>
    </w:p>
    <w:p w14:paraId="28BCAA7D" w14:textId="6C60C177"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6D55CE">
        <w:rPr>
          <w:rFonts w:asciiTheme="minorHAnsi" w:hAnsiTheme="minorHAnsi" w:cstheme="minorHAnsi"/>
        </w:rPr>
        <w:t>7 831 776,00</w:t>
      </w:r>
    </w:p>
    <w:p w14:paraId="5C0FCE93" w14:textId="77777777" w:rsidR="006D55CE" w:rsidRPr="00CD424E" w:rsidRDefault="006D55CE" w:rsidP="006D55CE">
      <w:pPr>
        <w:pStyle w:val="Heading5"/>
      </w:pPr>
      <w:r w:rsidRPr="002F1719">
        <w:t>Tabela 5 Wymiar 2 – forma finansowania</w:t>
      </w:r>
    </w:p>
    <w:p w14:paraId="6574B956" w14:textId="44B7B539"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4</w:t>
      </w:r>
    </w:p>
    <w:p w14:paraId="49F71393" w14:textId="77777777"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26B6C77E" w14:textId="04E03BCB"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6.1</w:t>
      </w:r>
    </w:p>
    <w:p w14:paraId="4D10057D" w14:textId="77777777"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01 Dotacja bezzwrotna</w:t>
      </w:r>
    </w:p>
    <w:p w14:paraId="7AAF68A5" w14:textId="723B6228"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6D55CE">
        <w:rPr>
          <w:rFonts w:asciiTheme="minorHAnsi" w:hAnsiTheme="minorHAnsi" w:cstheme="minorHAnsi"/>
        </w:rPr>
        <w:t>7 831 776,00</w:t>
      </w:r>
    </w:p>
    <w:p w14:paraId="646D67B4" w14:textId="77777777" w:rsidR="006D55CE" w:rsidRDefault="006D55CE">
      <w:pPr>
        <w:spacing w:after="160" w:line="259" w:lineRule="auto"/>
        <w:ind w:left="0" w:right="0" w:firstLine="0"/>
        <w:rPr>
          <w:rFonts w:asciiTheme="minorHAnsi" w:eastAsiaTheme="majorEastAsia" w:hAnsiTheme="minorHAnsi" w:cstheme="minorHAnsi"/>
          <w:color w:val="000000" w:themeColor="text1"/>
        </w:rPr>
      </w:pPr>
      <w:r>
        <w:br w:type="page"/>
      </w:r>
    </w:p>
    <w:p w14:paraId="364E72C9" w14:textId="6B317BF5" w:rsidR="006D55CE" w:rsidRDefault="006D55CE" w:rsidP="006D55CE">
      <w:pPr>
        <w:pStyle w:val="Heading5"/>
      </w:pPr>
      <w:r w:rsidRPr="00CD424E">
        <w:t>Tabela 6</w:t>
      </w:r>
      <w:r>
        <w:t xml:space="preserve"> </w:t>
      </w:r>
      <w:r w:rsidRPr="00CD424E">
        <w:t>Wymiar 3 – mechanizm wkładu terytorialnego i ukierunkowanie terytorialne</w:t>
      </w:r>
    </w:p>
    <w:p w14:paraId="7A9651C6" w14:textId="5C3D132B"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Nr Priorytetu </w:t>
      </w:r>
      <w:r>
        <w:rPr>
          <w:rFonts w:asciiTheme="minorHAnsi" w:hAnsiTheme="minorHAnsi" w:cstheme="minorHAnsi"/>
        </w:rPr>
        <w:t>4</w:t>
      </w:r>
    </w:p>
    <w:p w14:paraId="73CC0114" w14:textId="77777777"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Fundusz EFRR</w:t>
      </w:r>
    </w:p>
    <w:p w14:paraId="745248AF" w14:textId="0E45DCF0"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Cel szczegółowy </w:t>
      </w:r>
      <w:r>
        <w:rPr>
          <w:rFonts w:asciiTheme="minorHAnsi" w:hAnsiTheme="minorHAnsi" w:cstheme="minorHAnsi"/>
        </w:rPr>
        <w:t>6.1</w:t>
      </w:r>
    </w:p>
    <w:p w14:paraId="13BB5B7C" w14:textId="77777777"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Kod 33</w:t>
      </w:r>
    </w:p>
    <w:p w14:paraId="15B16BE8" w14:textId="62803038" w:rsidR="006D55CE" w:rsidRPr="000A48CD" w:rsidRDefault="006D55CE" w:rsidP="006D55CE">
      <w:pPr>
        <w:pBdr>
          <w:top w:val="single" w:sz="4" w:space="1" w:color="auto"/>
          <w:left w:val="single" w:sz="4" w:space="4" w:color="auto"/>
          <w:bottom w:val="single" w:sz="4" w:space="1" w:color="auto"/>
          <w:right w:val="single" w:sz="4" w:space="4" w:color="auto"/>
        </w:pBdr>
        <w:spacing w:after="120" w:line="360" w:lineRule="auto"/>
        <w:ind w:left="576" w:right="792"/>
        <w:rPr>
          <w:rFonts w:asciiTheme="minorHAnsi" w:hAnsiTheme="minorHAnsi" w:cstheme="minorHAnsi"/>
        </w:rPr>
      </w:pPr>
      <w:r w:rsidRPr="000A48CD">
        <w:rPr>
          <w:rFonts w:asciiTheme="minorHAnsi" w:hAnsiTheme="minorHAnsi" w:cstheme="minorHAnsi"/>
        </w:rPr>
        <w:t xml:space="preserve">Kwota (w EUR) </w:t>
      </w:r>
      <w:r w:rsidRPr="006D55CE">
        <w:rPr>
          <w:rFonts w:asciiTheme="minorHAnsi" w:hAnsiTheme="minorHAnsi" w:cstheme="minorHAnsi"/>
        </w:rPr>
        <w:t>7 831 776,00</w:t>
      </w:r>
    </w:p>
    <w:p w14:paraId="61DFE61F" w14:textId="3D49EA12" w:rsidR="00E44D43" w:rsidRPr="002F1719" w:rsidRDefault="00E44D43" w:rsidP="004A0FF2">
      <w:pPr>
        <w:pStyle w:val="Heading2"/>
      </w:pPr>
      <w:r w:rsidRPr="002F1719">
        <w:t>Plan finansowy</w:t>
      </w:r>
    </w:p>
    <w:p w14:paraId="75305010" w14:textId="4D6E7B9C" w:rsidR="0062228D" w:rsidRPr="006D55CE" w:rsidRDefault="00E44D43" w:rsidP="006D55CE">
      <w:pPr>
        <w:spacing w:after="120" w:line="360" w:lineRule="auto"/>
        <w:ind w:left="540" w:right="792" w:hanging="540"/>
        <w:rPr>
          <w:rFonts w:asciiTheme="minorHAnsi" w:hAnsiTheme="minorHAnsi" w:cstheme="minorHAnsi"/>
        </w:rPr>
      </w:pPr>
      <w:r w:rsidRPr="006D55CE">
        <w:rPr>
          <w:rFonts w:asciiTheme="minorHAnsi" w:hAnsiTheme="minorHAnsi" w:cstheme="minorHAnsi"/>
        </w:rPr>
        <w:t xml:space="preserve">Podstawa prawna: art. 17 ust. 3 lit. f) </w:t>
      </w:r>
    </w:p>
    <w:p w14:paraId="50D7B3E5" w14:textId="77777777" w:rsidR="00E44D43" w:rsidRPr="002F1719" w:rsidRDefault="00E44D43" w:rsidP="00E44D43">
      <w:pPr>
        <w:autoSpaceDE w:val="0"/>
        <w:autoSpaceDN w:val="0"/>
        <w:adjustRightInd w:val="0"/>
        <w:spacing w:after="0" w:line="240" w:lineRule="auto"/>
        <w:ind w:left="0" w:right="0" w:firstLine="0"/>
        <w:rPr>
          <w:rFonts w:asciiTheme="minorHAnsi" w:eastAsiaTheme="minorEastAsia" w:hAnsiTheme="minorHAnsi" w:cstheme="minorHAnsi"/>
          <w:szCs w:val="24"/>
        </w:rPr>
      </w:pPr>
    </w:p>
    <w:p w14:paraId="7E1D4AC1" w14:textId="65A0FEFF" w:rsidR="00E44D43" w:rsidRPr="002F1719" w:rsidRDefault="00E44D43" w:rsidP="006D55CE">
      <w:pPr>
        <w:pStyle w:val="Heading3"/>
      </w:pPr>
      <w:r w:rsidRPr="002F1719">
        <w:t>3.1 Środki finansowe w podziale na poszczególne lata</w:t>
      </w:r>
    </w:p>
    <w:p w14:paraId="44C9C3E7" w14:textId="77777777" w:rsidR="00E44D43" w:rsidRPr="006D55CE" w:rsidRDefault="00E44D43" w:rsidP="006D55CE">
      <w:pPr>
        <w:spacing w:after="120" w:line="360" w:lineRule="auto"/>
        <w:ind w:left="540" w:right="792" w:hanging="540"/>
        <w:rPr>
          <w:rFonts w:asciiTheme="minorHAnsi" w:hAnsiTheme="minorHAnsi" w:cstheme="minorHAnsi"/>
        </w:rPr>
      </w:pPr>
      <w:r w:rsidRPr="006D55CE">
        <w:rPr>
          <w:rFonts w:asciiTheme="minorHAnsi" w:hAnsiTheme="minorHAnsi" w:cstheme="minorHAnsi"/>
        </w:rPr>
        <w:t xml:space="preserve">Podstawa prawna: art. 17 ust. 3 lit. g) </w:t>
      </w:r>
      <w:proofErr w:type="spellStart"/>
      <w:r w:rsidRPr="006D55CE">
        <w:rPr>
          <w:rFonts w:asciiTheme="minorHAnsi" w:hAnsiTheme="minorHAnsi" w:cstheme="minorHAnsi"/>
        </w:rPr>
        <w:t>ppkt</w:t>
      </w:r>
      <w:proofErr w:type="spellEnd"/>
      <w:r w:rsidRPr="006D55CE">
        <w:rPr>
          <w:rFonts w:asciiTheme="minorHAnsi" w:hAnsiTheme="minorHAnsi" w:cstheme="minorHAnsi"/>
        </w:rPr>
        <w:t xml:space="preserve"> (i), art. 17 ust. 4 lit. </w:t>
      </w:r>
      <w:proofErr w:type="gramStart"/>
      <w:r w:rsidRPr="006D55CE">
        <w:rPr>
          <w:rFonts w:asciiTheme="minorHAnsi" w:hAnsiTheme="minorHAnsi" w:cstheme="minorHAnsi"/>
        </w:rPr>
        <w:t>a)–</w:t>
      </w:r>
      <w:proofErr w:type="gramEnd"/>
      <w:r w:rsidRPr="006D55CE">
        <w:rPr>
          <w:rFonts w:asciiTheme="minorHAnsi" w:hAnsiTheme="minorHAnsi" w:cstheme="minorHAnsi"/>
        </w:rPr>
        <w:t>d)</w:t>
      </w:r>
    </w:p>
    <w:p w14:paraId="196BCC1E" w14:textId="656FE647" w:rsidR="00E44D43" w:rsidRPr="002F1719" w:rsidRDefault="00FE3796" w:rsidP="006D55CE">
      <w:pPr>
        <w:spacing w:after="120" w:line="360" w:lineRule="auto"/>
        <w:ind w:left="0" w:right="792" w:firstLine="0"/>
        <w:rPr>
          <w:rFonts w:asciiTheme="minorHAnsi" w:hAnsiTheme="minorHAnsi" w:cstheme="minorHAnsi"/>
        </w:rPr>
      </w:pPr>
      <w:r w:rsidRPr="002F1719">
        <w:rPr>
          <w:rFonts w:asciiTheme="minorHAnsi" w:hAnsiTheme="minorHAnsi" w:cstheme="minorHAnsi"/>
        </w:rPr>
        <w:t>Tabela ma charakter poglądowy – jest uzupełniana automatycznie w systemie SFC podczas wysyłania projektu programu do zatwierdzenia przez Komisję Europejską</w:t>
      </w:r>
    </w:p>
    <w:p w14:paraId="1327BC08" w14:textId="77777777" w:rsidR="00FE3796" w:rsidRPr="002F1719" w:rsidRDefault="00FE3796" w:rsidP="00E44D43">
      <w:pPr>
        <w:autoSpaceDE w:val="0"/>
        <w:autoSpaceDN w:val="0"/>
        <w:adjustRightInd w:val="0"/>
        <w:spacing w:after="0" w:line="240" w:lineRule="auto"/>
        <w:ind w:left="0" w:right="0" w:firstLine="0"/>
        <w:rPr>
          <w:rFonts w:asciiTheme="minorHAnsi" w:eastAsiaTheme="minorEastAsia" w:hAnsiTheme="minorHAnsi" w:cstheme="minorHAnsi"/>
          <w:szCs w:val="24"/>
        </w:rPr>
      </w:pPr>
    </w:p>
    <w:p w14:paraId="57826B12" w14:textId="6126258C" w:rsidR="00E44D43" w:rsidRDefault="00E44D43" w:rsidP="006D55CE">
      <w:pPr>
        <w:pStyle w:val="Heading5"/>
      </w:pPr>
      <w:r w:rsidRPr="002F1719">
        <w:t>Tabela 7</w:t>
      </w:r>
    </w:p>
    <w:tbl>
      <w:tblPr>
        <w:tblStyle w:val="TableGrid2"/>
        <w:tblW w:w="0" w:type="auto"/>
        <w:tblInd w:w="108" w:type="dxa"/>
        <w:tblLook w:val="06E0" w:firstRow="1" w:lastRow="1" w:firstColumn="1" w:lastColumn="0" w:noHBand="1" w:noVBand="1"/>
      </w:tblPr>
      <w:tblGrid>
        <w:gridCol w:w="1656"/>
        <w:gridCol w:w="2327"/>
        <w:gridCol w:w="2251"/>
      </w:tblGrid>
      <w:tr w:rsidR="006D55CE" w:rsidRPr="006D55CE" w14:paraId="56B88E31" w14:textId="77777777" w:rsidTr="00B079CA">
        <w:trPr>
          <w:trHeight w:val="1590"/>
        </w:trPr>
        <w:tc>
          <w:tcPr>
            <w:tcW w:w="1498" w:type="dxa"/>
            <w:noWrap/>
            <w:hideMark/>
          </w:tcPr>
          <w:p w14:paraId="58FB3CF7" w14:textId="77777777" w:rsidR="006D55CE" w:rsidRPr="006D55CE" w:rsidRDefault="006D55CE" w:rsidP="006D55CE">
            <w:pPr>
              <w:spacing w:line="360" w:lineRule="auto"/>
              <w:ind w:left="0" w:firstLine="0"/>
              <w:rPr>
                <w:rFonts w:asciiTheme="minorHAnsi" w:hAnsiTheme="minorHAnsi"/>
              </w:rPr>
            </w:pPr>
            <w:bookmarkStart w:id="3" w:name="_Hlk81900538"/>
            <w:r w:rsidRPr="006D55CE">
              <w:rPr>
                <w:rFonts w:asciiTheme="minorHAnsi" w:hAnsiTheme="minorHAnsi"/>
              </w:rPr>
              <w:t>Fund</w:t>
            </w:r>
          </w:p>
        </w:tc>
        <w:tc>
          <w:tcPr>
            <w:tcW w:w="2191" w:type="dxa"/>
            <w:hideMark/>
          </w:tcPr>
          <w:p w14:paraId="395EC691" w14:textId="3BB12155" w:rsidR="006D55CE" w:rsidRPr="006D55CE" w:rsidRDefault="006D55CE" w:rsidP="006D55CE">
            <w:pPr>
              <w:spacing w:line="360" w:lineRule="auto"/>
              <w:ind w:left="0" w:firstLine="0"/>
              <w:rPr>
                <w:rFonts w:asciiTheme="minorHAnsi" w:hAnsiTheme="minorHAnsi"/>
              </w:rPr>
            </w:pPr>
            <w:r w:rsidRPr="006D55CE">
              <w:rPr>
                <w:rFonts w:asciiTheme="minorHAnsi" w:hAnsiTheme="minorHAnsi"/>
              </w:rPr>
              <w:t>EFRR</w:t>
            </w:r>
            <w:r>
              <w:rPr>
                <w:rFonts w:asciiTheme="minorHAnsi" w:hAnsiTheme="minorHAnsi"/>
              </w:rPr>
              <w:t xml:space="preserve"> </w:t>
            </w:r>
            <w:r w:rsidRPr="006D55CE">
              <w:rPr>
                <w:rFonts w:asciiTheme="minorHAnsi" w:hAnsiTheme="minorHAnsi"/>
              </w:rPr>
              <w:t>(</w:t>
            </w:r>
            <w:proofErr w:type="spellStart"/>
            <w:r w:rsidRPr="006D55CE">
              <w:rPr>
                <w:rFonts w:asciiTheme="minorHAnsi" w:hAnsiTheme="minorHAnsi"/>
              </w:rPr>
              <w:t>cel</w:t>
            </w:r>
            <w:proofErr w:type="spellEnd"/>
            <w:r w:rsidRPr="006D55CE">
              <w:rPr>
                <w:rFonts w:asciiTheme="minorHAnsi" w:hAnsiTheme="minorHAnsi"/>
              </w:rPr>
              <w:t xml:space="preserve"> „</w:t>
            </w:r>
            <w:proofErr w:type="spellStart"/>
            <w:r w:rsidRPr="006D55CE">
              <w:rPr>
                <w:rFonts w:asciiTheme="minorHAnsi" w:hAnsiTheme="minorHAnsi"/>
              </w:rPr>
              <w:t>Współpraca</w:t>
            </w:r>
            <w:proofErr w:type="spellEnd"/>
            <w:r w:rsidRPr="006D55CE">
              <w:rPr>
                <w:rFonts w:asciiTheme="minorHAnsi" w:hAnsiTheme="minorHAnsi"/>
              </w:rPr>
              <w:t xml:space="preserve"> </w:t>
            </w:r>
            <w:proofErr w:type="spellStart"/>
            <w:r w:rsidRPr="006D55CE">
              <w:rPr>
                <w:rFonts w:asciiTheme="minorHAnsi" w:hAnsiTheme="minorHAnsi"/>
              </w:rPr>
              <w:t>terytorialna</w:t>
            </w:r>
            <w:proofErr w:type="spellEnd"/>
            <w:r w:rsidRPr="006D55CE">
              <w:rPr>
                <w:rFonts w:asciiTheme="minorHAnsi" w:hAnsiTheme="minorHAnsi"/>
              </w:rPr>
              <w:t>”)</w:t>
            </w:r>
          </w:p>
        </w:tc>
        <w:tc>
          <w:tcPr>
            <w:tcW w:w="2251" w:type="dxa"/>
            <w:noWrap/>
            <w:hideMark/>
          </w:tcPr>
          <w:p w14:paraId="03F485AA" w14:textId="3E81E4AF" w:rsidR="006D55CE" w:rsidRPr="006D55CE" w:rsidRDefault="006D55CE" w:rsidP="006D55CE">
            <w:pPr>
              <w:spacing w:line="360" w:lineRule="auto"/>
              <w:ind w:left="0" w:firstLine="0"/>
              <w:rPr>
                <w:rFonts w:asciiTheme="minorHAnsi" w:hAnsiTheme="minorHAnsi"/>
                <w:lang w:val="en-GB"/>
              </w:rPr>
            </w:pPr>
            <w:proofErr w:type="spellStart"/>
            <w:r w:rsidRPr="002F1719">
              <w:rPr>
                <w:rFonts w:asciiTheme="minorHAnsi" w:hAnsiTheme="minorHAnsi" w:cstheme="minorHAnsi"/>
                <w:sz w:val="22"/>
                <w:lang w:eastAsia="pl-PL"/>
              </w:rPr>
              <w:t>Razem</w:t>
            </w:r>
            <w:proofErr w:type="spellEnd"/>
          </w:p>
        </w:tc>
      </w:tr>
      <w:tr w:rsidR="006D55CE" w:rsidRPr="006D55CE" w14:paraId="3110BEBE" w14:textId="77777777" w:rsidTr="00B079CA">
        <w:trPr>
          <w:trHeight w:val="330"/>
        </w:trPr>
        <w:tc>
          <w:tcPr>
            <w:tcW w:w="1498" w:type="dxa"/>
            <w:noWrap/>
            <w:hideMark/>
          </w:tcPr>
          <w:p w14:paraId="0133D9ED" w14:textId="77777777" w:rsidR="006D55CE" w:rsidRPr="006D55CE" w:rsidRDefault="006D55CE" w:rsidP="006D55CE">
            <w:pPr>
              <w:spacing w:line="360" w:lineRule="auto"/>
              <w:ind w:left="0" w:firstLine="0"/>
              <w:rPr>
                <w:rFonts w:asciiTheme="minorHAnsi" w:hAnsiTheme="minorHAnsi"/>
              </w:rPr>
            </w:pPr>
            <w:r w:rsidRPr="006D55CE">
              <w:rPr>
                <w:rFonts w:asciiTheme="minorHAnsi" w:hAnsiTheme="minorHAnsi"/>
              </w:rPr>
              <w:t>2021</w:t>
            </w:r>
          </w:p>
        </w:tc>
        <w:tc>
          <w:tcPr>
            <w:tcW w:w="2191" w:type="dxa"/>
            <w:noWrap/>
            <w:hideMark/>
          </w:tcPr>
          <w:p w14:paraId="3D3C10B2" w14:textId="77777777" w:rsidR="006D55CE" w:rsidRPr="006D55CE" w:rsidRDefault="006D55CE" w:rsidP="006D55CE">
            <w:pPr>
              <w:spacing w:line="360" w:lineRule="auto"/>
              <w:ind w:left="0" w:firstLine="0"/>
              <w:rPr>
                <w:rFonts w:asciiTheme="minorHAnsi" w:hAnsiTheme="minorHAnsi"/>
              </w:rPr>
            </w:pPr>
            <w:r w:rsidRPr="006D55CE">
              <w:rPr>
                <w:rFonts w:asciiTheme="minorHAnsi" w:hAnsiTheme="minorHAnsi"/>
              </w:rPr>
              <w:t>11 272 102</w:t>
            </w:r>
          </w:p>
        </w:tc>
        <w:tc>
          <w:tcPr>
            <w:tcW w:w="2251" w:type="dxa"/>
            <w:noWrap/>
            <w:vAlign w:val="center"/>
            <w:hideMark/>
          </w:tcPr>
          <w:p w14:paraId="44594DF6" w14:textId="77777777" w:rsidR="006D55CE" w:rsidRPr="006D55CE" w:rsidRDefault="006D55CE" w:rsidP="006D55CE">
            <w:pPr>
              <w:spacing w:line="360" w:lineRule="auto"/>
              <w:ind w:left="0" w:firstLine="0"/>
              <w:rPr>
                <w:rFonts w:asciiTheme="minorHAnsi" w:hAnsiTheme="minorHAnsi"/>
              </w:rPr>
            </w:pPr>
            <w:r w:rsidRPr="006D55CE">
              <w:rPr>
                <w:rFonts w:ascii="Calibri" w:hAnsi="Calibri" w:cs="Calibri"/>
                <w:lang w:eastAsia="pl-PL"/>
              </w:rPr>
              <w:t>11 272 102</w:t>
            </w:r>
          </w:p>
        </w:tc>
      </w:tr>
      <w:tr w:rsidR="006D55CE" w:rsidRPr="006D55CE" w14:paraId="04DCB28E" w14:textId="77777777" w:rsidTr="00B079CA">
        <w:trPr>
          <w:trHeight w:val="395"/>
        </w:trPr>
        <w:tc>
          <w:tcPr>
            <w:tcW w:w="1498" w:type="dxa"/>
            <w:noWrap/>
            <w:hideMark/>
          </w:tcPr>
          <w:p w14:paraId="6A7259D6" w14:textId="77777777" w:rsidR="006D55CE" w:rsidRPr="006D55CE" w:rsidRDefault="006D55CE" w:rsidP="006D55CE">
            <w:pPr>
              <w:spacing w:line="360" w:lineRule="auto"/>
              <w:ind w:left="0" w:firstLine="0"/>
              <w:rPr>
                <w:rFonts w:asciiTheme="minorHAnsi" w:hAnsiTheme="minorHAnsi"/>
              </w:rPr>
            </w:pPr>
            <w:r w:rsidRPr="006D55CE">
              <w:rPr>
                <w:rFonts w:asciiTheme="minorHAnsi" w:hAnsiTheme="minorHAnsi"/>
              </w:rPr>
              <w:t>2022</w:t>
            </w:r>
          </w:p>
        </w:tc>
        <w:tc>
          <w:tcPr>
            <w:tcW w:w="2191" w:type="dxa"/>
            <w:noWrap/>
            <w:hideMark/>
          </w:tcPr>
          <w:p w14:paraId="3FED4647"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11 497 544</w:t>
            </w:r>
          </w:p>
        </w:tc>
        <w:tc>
          <w:tcPr>
            <w:tcW w:w="2251" w:type="dxa"/>
            <w:noWrap/>
            <w:hideMark/>
          </w:tcPr>
          <w:p w14:paraId="0CADDBFA"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11 497 544</w:t>
            </w:r>
          </w:p>
        </w:tc>
      </w:tr>
      <w:tr w:rsidR="006D55CE" w:rsidRPr="006D55CE" w14:paraId="0209728A" w14:textId="77777777" w:rsidTr="00B079CA">
        <w:trPr>
          <w:trHeight w:val="330"/>
        </w:trPr>
        <w:tc>
          <w:tcPr>
            <w:tcW w:w="1498" w:type="dxa"/>
            <w:noWrap/>
            <w:hideMark/>
          </w:tcPr>
          <w:p w14:paraId="21BAB5EC"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2023</w:t>
            </w:r>
          </w:p>
        </w:tc>
        <w:tc>
          <w:tcPr>
            <w:tcW w:w="2191" w:type="dxa"/>
            <w:noWrap/>
            <w:hideMark/>
          </w:tcPr>
          <w:p w14:paraId="12E1EB64"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11 727 495</w:t>
            </w:r>
          </w:p>
        </w:tc>
        <w:tc>
          <w:tcPr>
            <w:tcW w:w="2251" w:type="dxa"/>
            <w:noWrap/>
            <w:vAlign w:val="center"/>
            <w:hideMark/>
          </w:tcPr>
          <w:p w14:paraId="001007D7"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11 727 495</w:t>
            </w:r>
          </w:p>
        </w:tc>
      </w:tr>
      <w:tr w:rsidR="006D55CE" w:rsidRPr="006D55CE" w14:paraId="4996CE06" w14:textId="77777777" w:rsidTr="00B079CA">
        <w:trPr>
          <w:trHeight w:val="330"/>
        </w:trPr>
        <w:tc>
          <w:tcPr>
            <w:tcW w:w="1498" w:type="dxa"/>
            <w:noWrap/>
            <w:hideMark/>
          </w:tcPr>
          <w:p w14:paraId="3F7BCAC9"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2024</w:t>
            </w:r>
          </w:p>
        </w:tc>
        <w:tc>
          <w:tcPr>
            <w:tcW w:w="2191" w:type="dxa"/>
            <w:noWrap/>
            <w:hideMark/>
          </w:tcPr>
          <w:p w14:paraId="0B1F606D"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11 962 045</w:t>
            </w:r>
          </w:p>
        </w:tc>
        <w:tc>
          <w:tcPr>
            <w:tcW w:w="2251" w:type="dxa"/>
            <w:noWrap/>
            <w:vAlign w:val="center"/>
            <w:hideMark/>
          </w:tcPr>
          <w:p w14:paraId="4DC2E9F9"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11 962 045</w:t>
            </w:r>
          </w:p>
        </w:tc>
      </w:tr>
      <w:tr w:rsidR="006D55CE" w:rsidRPr="006D55CE" w14:paraId="20ACD279" w14:textId="77777777" w:rsidTr="00B079CA">
        <w:trPr>
          <w:trHeight w:val="330"/>
        </w:trPr>
        <w:tc>
          <w:tcPr>
            <w:tcW w:w="1498" w:type="dxa"/>
            <w:noWrap/>
            <w:hideMark/>
          </w:tcPr>
          <w:p w14:paraId="396A8A7B"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2025</w:t>
            </w:r>
          </w:p>
        </w:tc>
        <w:tc>
          <w:tcPr>
            <w:tcW w:w="2191" w:type="dxa"/>
            <w:noWrap/>
            <w:hideMark/>
          </w:tcPr>
          <w:p w14:paraId="474F6368"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12 201 286</w:t>
            </w:r>
          </w:p>
        </w:tc>
        <w:tc>
          <w:tcPr>
            <w:tcW w:w="2251" w:type="dxa"/>
            <w:noWrap/>
            <w:vAlign w:val="center"/>
            <w:hideMark/>
          </w:tcPr>
          <w:p w14:paraId="4BA554A3"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12 201 286</w:t>
            </w:r>
          </w:p>
        </w:tc>
      </w:tr>
      <w:tr w:rsidR="006D55CE" w:rsidRPr="006D55CE" w14:paraId="1C0C00BC" w14:textId="77777777" w:rsidTr="00B079CA">
        <w:trPr>
          <w:trHeight w:val="330"/>
        </w:trPr>
        <w:tc>
          <w:tcPr>
            <w:tcW w:w="1498" w:type="dxa"/>
            <w:noWrap/>
            <w:hideMark/>
          </w:tcPr>
          <w:p w14:paraId="21133CF5"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2026</w:t>
            </w:r>
          </w:p>
        </w:tc>
        <w:tc>
          <w:tcPr>
            <w:tcW w:w="2191" w:type="dxa"/>
            <w:noWrap/>
            <w:hideMark/>
          </w:tcPr>
          <w:p w14:paraId="7A16440A"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12 445 311</w:t>
            </w:r>
          </w:p>
        </w:tc>
        <w:tc>
          <w:tcPr>
            <w:tcW w:w="2251" w:type="dxa"/>
            <w:noWrap/>
            <w:vAlign w:val="center"/>
            <w:hideMark/>
          </w:tcPr>
          <w:p w14:paraId="433D26F3"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12 445 311</w:t>
            </w:r>
          </w:p>
        </w:tc>
      </w:tr>
      <w:tr w:rsidR="006D55CE" w:rsidRPr="006D55CE" w14:paraId="0275FD96" w14:textId="77777777" w:rsidTr="00B079CA">
        <w:trPr>
          <w:trHeight w:val="330"/>
        </w:trPr>
        <w:tc>
          <w:tcPr>
            <w:tcW w:w="1498" w:type="dxa"/>
            <w:noWrap/>
            <w:hideMark/>
          </w:tcPr>
          <w:p w14:paraId="1384F894"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2027</w:t>
            </w:r>
          </w:p>
        </w:tc>
        <w:tc>
          <w:tcPr>
            <w:tcW w:w="2191" w:type="dxa"/>
            <w:noWrap/>
            <w:hideMark/>
          </w:tcPr>
          <w:p w14:paraId="6F40F5CB"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12 694 217</w:t>
            </w:r>
          </w:p>
        </w:tc>
        <w:tc>
          <w:tcPr>
            <w:tcW w:w="2251" w:type="dxa"/>
            <w:noWrap/>
            <w:vAlign w:val="center"/>
            <w:hideMark/>
          </w:tcPr>
          <w:p w14:paraId="2A225725"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12 694 217</w:t>
            </w:r>
          </w:p>
        </w:tc>
      </w:tr>
      <w:tr w:rsidR="006D55CE" w:rsidRPr="006D55CE" w14:paraId="1E9B548F" w14:textId="77777777" w:rsidTr="00B079CA">
        <w:trPr>
          <w:trHeight w:val="330"/>
        </w:trPr>
        <w:tc>
          <w:tcPr>
            <w:tcW w:w="1498" w:type="dxa"/>
            <w:noWrap/>
            <w:hideMark/>
          </w:tcPr>
          <w:p w14:paraId="038E207D" w14:textId="2089D58F" w:rsidR="006D55CE" w:rsidRPr="006D55CE" w:rsidRDefault="000978A8" w:rsidP="006D55CE">
            <w:pPr>
              <w:spacing w:line="360" w:lineRule="auto"/>
              <w:ind w:left="0" w:firstLine="0"/>
              <w:rPr>
                <w:rFonts w:asciiTheme="minorHAnsi" w:hAnsiTheme="minorHAnsi"/>
                <w:lang w:val="en-GB"/>
              </w:rPr>
            </w:pPr>
            <w:proofErr w:type="spellStart"/>
            <w:r>
              <w:rPr>
                <w:rFonts w:asciiTheme="minorHAnsi" w:hAnsiTheme="minorHAnsi"/>
              </w:rPr>
              <w:t>Razem</w:t>
            </w:r>
            <w:proofErr w:type="spellEnd"/>
          </w:p>
        </w:tc>
        <w:tc>
          <w:tcPr>
            <w:tcW w:w="2191" w:type="dxa"/>
            <w:noWrap/>
            <w:hideMark/>
          </w:tcPr>
          <w:p w14:paraId="7E810957" w14:textId="77777777" w:rsidR="006D55CE" w:rsidRPr="006D55CE" w:rsidRDefault="006D55CE" w:rsidP="006D55CE">
            <w:pPr>
              <w:spacing w:line="360" w:lineRule="auto"/>
              <w:ind w:left="0" w:firstLine="0"/>
              <w:rPr>
                <w:rFonts w:asciiTheme="minorHAnsi" w:hAnsiTheme="minorHAnsi"/>
                <w:lang w:val="en-GB"/>
              </w:rPr>
            </w:pPr>
            <w:r w:rsidRPr="006D55CE">
              <w:rPr>
                <w:rFonts w:asciiTheme="minorHAnsi" w:hAnsiTheme="minorHAnsi"/>
              </w:rPr>
              <w:t>83 800 000</w:t>
            </w:r>
          </w:p>
        </w:tc>
        <w:tc>
          <w:tcPr>
            <w:tcW w:w="2251" w:type="dxa"/>
            <w:noWrap/>
            <w:vAlign w:val="center"/>
            <w:hideMark/>
          </w:tcPr>
          <w:p w14:paraId="37504CB4" w14:textId="77777777" w:rsidR="006D55CE" w:rsidRPr="006D55CE" w:rsidRDefault="006D55CE" w:rsidP="006D55CE">
            <w:pPr>
              <w:spacing w:line="360" w:lineRule="auto"/>
              <w:ind w:left="0" w:firstLine="0"/>
              <w:rPr>
                <w:rFonts w:asciiTheme="minorHAnsi" w:hAnsiTheme="minorHAnsi"/>
                <w:lang w:val="en-GB"/>
              </w:rPr>
            </w:pPr>
            <w:r w:rsidRPr="006D55CE">
              <w:rPr>
                <w:rFonts w:ascii="Calibri" w:hAnsi="Calibri" w:cs="Calibri"/>
                <w:lang w:eastAsia="pl-PL"/>
              </w:rPr>
              <w:t>83 800 000</w:t>
            </w:r>
          </w:p>
        </w:tc>
      </w:tr>
      <w:bookmarkEnd w:id="3"/>
    </w:tbl>
    <w:p w14:paraId="0F7B6852" w14:textId="0C5DB9F4" w:rsidR="006D55CE" w:rsidRDefault="006D55CE" w:rsidP="006D55CE"/>
    <w:p w14:paraId="3AB4CB20" w14:textId="77777777" w:rsidR="004F0D08" w:rsidRPr="002F1719" w:rsidRDefault="004F0D08" w:rsidP="004F0D08">
      <w:pPr>
        <w:autoSpaceDE w:val="0"/>
        <w:autoSpaceDN w:val="0"/>
        <w:adjustRightInd w:val="0"/>
        <w:spacing w:after="0" w:line="240" w:lineRule="auto"/>
        <w:ind w:left="0" w:right="0" w:firstLine="0"/>
        <w:rPr>
          <w:rFonts w:asciiTheme="minorHAnsi" w:eastAsiaTheme="minorEastAsia" w:hAnsiTheme="minorHAnsi" w:cstheme="minorHAnsi"/>
          <w:szCs w:val="24"/>
        </w:rPr>
      </w:pPr>
    </w:p>
    <w:p w14:paraId="44E14B4A" w14:textId="4B0888DE" w:rsidR="004F0D08" w:rsidRPr="002F1719" w:rsidRDefault="004F0D08" w:rsidP="000978A8">
      <w:pPr>
        <w:pStyle w:val="Heading3"/>
      </w:pPr>
      <w:r w:rsidRPr="002F1719">
        <w:t>3.2 Łączne środki finansowe w podziale na poszczególne fundusze oraz współfinansowanie krajowe</w:t>
      </w:r>
    </w:p>
    <w:p w14:paraId="2FA1ED23" w14:textId="77777777" w:rsidR="0000460D" w:rsidRPr="000978A8" w:rsidRDefault="0000460D" w:rsidP="000978A8">
      <w:pPr>
        <w:spacing w:after="120" w:line="360" w:lineRule="auto"/>
        <w:ind w:left="540" w:right="792" w:hanging="540"/>
        <w:rPr>
          <w:rFonts w:asciiTheme="minorHAnsi" w:hAnsiTheme="minorHAnsi" w:cstheme="minorHAnsi"/>
        </w:rPr>
      </w:pPr>
    </w:p>
    <w:p w14:paraId="1212265C" w14:textId="7AF6D9EB" w:rsidR="004F0D08" w:rsidRDefault="004F0D08" w:rsidP="000978A8">
      <w:pPr>
        <w:spacing w:after="120" w:line="360" w:lineRule="auto"/>
        <w:ind w:left="540" w:right="792" w:hanging="540"/>
        <w:rPr>
          <w:rFonts w:asciiTheme="minorHAnsi" w:hAnsiTheme="minorHAnsi" w:cstheme="minorHAnsi"/>
        </w:rPr>
      </w:pPr>
      <w:r w:rsidRPr="000978A8">
        <w:rPr>
          <w:rFonts w:asciiTheme="minorHAnsi" w:hAnsiTheme="minorHAnsi" w:cstheme="minorHAnsi"/>
        </w:rPr>
        <w:t xml:space="preserve">Podstawa prawna: art. 17 ust. 3 lit. f) </w:t>
      </w:r>
      <w:proofErr w:type="spellStart"/>
      <w:r w:rsidRPr="000978A8">
        <w:rPr>
          <w:rFonts w:asciiTheme="minorHAnsi" w:hAnsiTheme="minorHAnsi" w:cstheme="minorHAnsi"/>
        </w:rPr>
        <w:t>ppkt</w:t>
      </w:r>
      <w:proofErr w:type="spellEnd"/>
      <w:r w:rsidRPr="000978A8">
        <w:rPr>
          <w:rFonts w:asciiTheme="minorHAnsi" w:hAnsiTheme="minorHAnsi" w:cstheme="minorHAnsi"/>
        </w:rPr>
        <w:t xml:space="preserve"> (ii), art. 17 ust. 4 lit. </w:t>
      </w:r>
      <w:proofErr w:type="gramStart"/>
      <w:r w:rsidRPr="000978A8">
        <w:rPr>
          <w:rFonts w:asciiTheme="minorHAnsi" w:hAnsiTheme="minorHAnsi" w:cstheme="minorHAnsi"/>
        </w:rPr>
        <w:t>a)–</w:t>
      </w:r>
      <w:proofErr w:type="gramEnd"/>
      <w:r w:rsidRPr="000978A8">
        <w:rPr>
          <w:rFonts w:asciiTheme="minorHAnsi" w:hAnsiTheme="minorHAnsi" w:cstheme="minorHAnsi"/>
        </w:rPr>
        <w:t xml:space="preserve">d) </w:t>
      </w:r>
    </w:p>
    <w:p w14:paraId="3FAE3E6A" w14:textId="77777777" w:rsidR="000978A8" w:rsidRPr="002F1719" w:rsidRDefault="000978A8" w:rsidP="000978A8">
      <w:pPr>
        <w:pStyle w:val="Heading5"/>
      </w:pPr>
      <w:r w:rsidRPr="002F1719">
        <w:t>Tabela 8</w:t>
      </w:r>
    </w:p>
    <w:tbl>
      <w:tblPr>
        <w:tblStyle w:val="TableGrid11"/>
        <w:tblW w:w="5000" w:type="pct"/>
        <w:tblLook w:val="07A0" w:firstRow="1" w:lastRow="0" w:firstColumn="1" w:lastColumn="1" w:noHBand="1" w:noVBand="1"/>
      </w:tblPr>
      <w:tblGrid>
        <w:gridCol w:w="1462"/>
        <w:gridCol w:w="1334"/>
        <w:gridCol w:w="1334"/>
        <w:gridCol w:w="1334"/>
        <w:gridCol w:w="1334"/>
        <w:gridCol w:w="1496"/>
        <w:gridCol w:w="1334"/>
      </w:tblGrid>
      <w:tr w:rsidR="000978A8" w:rsidRPr="000978A8" w14:paraId="6D01ACDA" w14:textId="77777777" w:rsidTr="00B079CA">
        <w:trPr>
          <w:trHeight w:val="315"/>
          <w:tblHeader/>
        </w:trPr>
        <w:tc>
          <w:tcPr>
            <w:tcW w:w="1066" w:type="pct"/>
            <w:noWrap/>
            <w:hideMark/>
          </w:tcPr>
          <w:p w14:paraId="229419DB"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Policy objective No</w:t>
            </w:r>
          </w:p>
        </w:tc>
        <w:tc>
          <w:tcPr>
            <w:tcW w:w="658" w:type="pct"/>
            <w:noWrap/>
            <w:hideMark/>
          </w:tcPr>
          <w:p w14:paraId="26B09EC2" w14:textId="37C32362" w:rsidR="000978A8" w:rsidRPr="000978A8" w:rsidRDefault="004B463E" w:rsidP="000978A8">
            <w:pPr>
              <w:spacing w:after="0" w:line="360" w:lineRule="auto"/>
              <w:ind w:left="0" w:right="0" w:firstLine="0"/>
              <w:rPr>
                <w:rFonts w:ascii="Calibri" w:eastAsia="Calibri" w:hAnsi="Calibri" w:cs="Calibri"/>
                <w:color w:val="auto"/>
                <w:szCs w:val="24"/>
              </w:rPr>
            </w:pPr>
            <w:r>
              <w:rPr>
                <w:rFonts w:ascii="Calibri" w:eastAsia="Calibri" w:hAnsi="Calibri" w:cs="Calibri"/>
                <w:color w:val="auto"/>
                <w:szCs w:val="24"/>
              </w:rPr>
              <w:t>CP</w:t>
            </w:r>
            <w:r w:rsidR="000978A8" w:rsidRPr="000978A8">
              <w:rPr>
                <w:rFonts w:ascii="Calibri" w:eastAsia="Calibri" w:hAnsi="Calibri" w:cs="Calibri"/>
                <w:color w:val="auto"/>
                <w:szCs w:val="24"/>
              </w:rPr>
              <w:t>1</w:t>
            </w:r>
          </w:p>
        </w:tc>
        <w:tc>
          <w:tcPr>
            <w:tcW w:w="658" w:type="pct"/>
            <w:noWrap/>
            <w:hideMark/>
          </w:tcPr>
          <w:p w14:paraId="60C734CB" w14:textId="4A34ACAF" w:rsidR="000978A8" w:rsidRPr="000978A8" w:rsidRDefault="004B463E" w:rsidP="000978A8">
            <w:pPr>
              <w:spacing w:after="0" w:line="360" w:lineRule="auto"/>
              <w:ind w:left="0" w:right="0" w:firstLine="0"/>
              <w:rPr>
                <w:rFonts w:ascii="Calibri" w:eastAsia="Calibri" w:hAnsi="Calibri" w:cs="Calibri"/>
                <w:color w:val="auto"/>
                <w:szCs w:val="24"/>
              </w:rPr>
            </w:pPr>
            <w:r>
              <w:rPr>
                <w:rFonts w:ascii="Calibri" w:eastAsia="Calibri" w:hAnsi="Calibri" w:cs="Calibri"/>
                <w:color w:val="auto"/>
                <w:szCs w:val="24"/>
              </w:rPr>
              <w:t>CP</w:t>
            </w:r>
            <w:r w:rsidR="000978A8" w:rsidRPr="000978A8">
              <w:rPr>
                <w:rFonts w:ascii="Calibri" w:eastAsia="Calibri" w:hAnsi="Calibri" w:cs="Calibri"/>
                <w:color w:val="auto"/>
                <w:szCs w:val="24"/>
              </w:rPr>
              <w:t>2</w:t>
            </w:r>
          </w:p>
        </w:tc>
        <w:tc>
          <w:tcPr>
            <w:tcW w:w="658" w:type="pct"/>
            <w:noWrap/>
            <w:hideMark/>
          </w:tcPr>
          <w:p w14:paraId="5541320D" w14:textId="0FA97837" w:rsidR="000978A8" w:rsidRPr="000978A8" w:rsidRDefault="004B463E" w:rsidP="000978A8">
            <w:pPr>
              <w:spacing w:after="0" w:line="360" w:lineRule="auto"/>
              <w:ind w:left="0" w:right="0" w:firstLine="0"/>
              <w:rPr>
                <w:rFonts w:ascii="Calibri" w:eastAsia="Calibri" w:hAnsi="Calibri" w:cs="Calibri"/>
                <w:color w:val="auto"/>
                <w:szCs w:val="24"/>
              </w:rPr>
            </w:pPr>
            <w:r>
              <w:rPr>
                <w:rFonts w:ascii="Calibri" w:eastAsia="Calibri" w:hAnsi="Calibri" w:cs="Calibri"/>
                <w:color w:val="auto"/>
                <w:szCs w:val="24"/>
              </w:rPr>
              <w:t>CP</w:t>
            </w:r>
            <w:r w:rsidR="000978A8" w:rsidRPr="000978A8">
              <w:rPr>
                <w:rFonts w:ascii="Calibri" w:eastAsia="Calibri" w:hAnsi="Calibri" w:cs="Calibri"/>
                <w:color w:val="auto"/>
                <w:szCs w:val="24"/>
              </w:rPr>
              <w:t>4</w:t>
            </w:r>
          </w:p>
        </w:tc>
        <w:tc>
          <w:tcPr>
            <w:tcW w:w="658" w:type="pct"/>
            <w:noWrap/>
            <w:hideMark/>
          </w:tcPr>
          <w:p w14:paraId="412A028D" w14:textId="42033312" w:rsidR="000978A8" w:rsidRPr="000978A8" w:rsidRDefault="004B463E" w:rsidP="000978A8">
            <w:pPr>
              <w:spacing w:after="0" w:line="360" w:lineRule="auto"/>
              <w:ind w:left="0" w:right="0" w:firstLine="0"/>
              <w:rPr>
                <w:rFonts w:ascii="Calibri" w:eastAsia="Calibri" w:hAnsi="Calibri" w:cs="Calibri"/>
                <w:color w:val="auto"/>
                <w:szCs w:val="24"/>
              </w:rPr>
            </w:pPr>
            <w:r>
              <w:rPr>
                <w:rFonts w:ascii="Calibri" w:eastAsia="Calibri" w:hAnsi="Calibri" w:cs="Calibri"/>
                <w:color w:val="auto"/>
                <w:szCs w:val="24"/>
              </w:rPr>
              <w:t>CSI</w:t>
            </w:r>
            <w:r w:rsidR="000978A8" w:rsidRPr="000978A8">
              <w:rPr>
                <w:rFonts w:ascii="Calibri" w:eastAsia="Calibri" w:hAnsi="Calibri" w:cs="Calibri"/>
                <w:color w:val="auto"/>
                <w:szCs w:val="24"/>
              </w:rPr>
              <w:t>1</w:t>
            </w:r>
          </w:p>
        </w:tc>
        <w:tc>
          <w:tcPr>
            <w:tcW w:w="645" w:type="pct"/>
            <w:noWrap/>
            <w:hideMark/>
          </w:tcPr>
          <w:p w14:paraId="03B0AF4C" w14:textId="2F129083"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Pr>
                <w:rFonts w:ascii="Calibri" w:eastAsia="Calibri" w:hAnsi="Calibri" w:cs="Calibri"/>
                <w:color w:val="auto"/>
                <w:szCs w:val="24"/>
              </w:rPr>
              <w:t>Ogółem</w:t>
            </w:r>
            <w:proofErr w:type="spellEnd"/>
          </w:p>
        </w:tc>
        <w:tc>
          <w:tcPr>
            <w:tcW w:w="658" w:type="pct"/>
          </w:tcPr>
          <w:p w14:paraId="2C41A272" w14:textId="6F072632"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Pr>
                <w:rFonts w:ascii="Calibri" w:eastAsia="Calibri" w:hAnsi="Calibri" w:cs="Calibri"/>
                <w:color w:val="auto"/>
                <w:szCs w:val="24"/>
              </w:rPr>
              <w:t>Ogółem</w:t>
            </w:r>
            <w:proofErr w:type="spellEnd"/>
          </w:p>
        </w:tc>
      </w:tr>
      <w:tr w:rsidR="000978A8" w:rsidRPr="000978A8" w14:paraId="0684FC11" w14:textId="77777777" w:rsidTr="00B079CA">
        <w:trPr>
          <w:trHeight w:val="315"/>
          <w:tblHeader/>
        </w:trPr>
        <w:tc>
          <w:tcPr>
            <w:tcW w:w="1066" w:type="pct"/>
            <w:noWrap/>
            <w:hideMark/>
          </w:tcPr>
          <w:p w14:paraId="7451254C" w14:textId="13F29110"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Priorytet</w:t>
            </w:r>
            <w:proofErr w:type="spellEnd"/>
          </w:p>
        </w:tc>
        <w:tc>
          <w:tcPr>
            <w:tcW w:w="658" w:type="pct"/>
            <w:noWrap/>
            <w:hideMark/>
          </w:tcPr>
          <w:p w14:paraId="6810C96C" w14:textId="37351616"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Priorytet</w:t>
            </w:r>
            <w:proofErr w:type="spellEnd"/>
            <w:r w:rsidRPr="004B463E">
              <w:rPr>
                <w:rFonts w:ascii="Calibri" w:eastAsia="Calibri" w:hAnsi="Calibri" w:cs="Calibri"/>
                <w:color w:val="auto"/>
                <w:szCs w:val="24"/>
              </w:rPr>
              <w:t xml:space="preserve"> </w:t>
            </w:r>
            <w:r w:rsidR="000978A8" w:rsidRPr="000978A8">
              <w:rPr>
                <w:rFonts w:ascii="Calibri" w:eastAsia="Calibri" w:hAnsi="Calibri" w:cs="Calibri"/>
                <w:color w:val="auto"/>
                <w:szCs w:val="24"/>
              </w:rPr>
              <w:t>1</w:t>
            </w:r>
          </w:p>
        </w:tc>
        <w:tc>
          <w:tcPr>
            <w:tcW w:w="658" w:type="pct"/>
            <w:noWrap/>
            <w:hideMark/>
          </w:tcPr>
          <w:p w14:paraId="670C14F7" w14:textId="65B59040"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Priorytet</w:t>
            </w:r>
            <w:proofErr w:type="spellEnd"/>
            <w:r w:rsidRPr="004B463E">
              <w:rPr>
                <w:rFonts w:ascii="Calibri" w:eastAsia="Calibri" w:hAnsi="Calibri" w:cs="Calibri"/>
                <w:color w:val="auto"/>
                <w:szCs w:val="24"/>
              </w:rPr>
              <w:t xml:space="preserve"> </w:t>
            </w:r>
            <w:r w:rsidR="000978A8" w:rsidRPr="000978A8">
              <w:rPr>
                <w:rFonts w:ascii="Calibri" w:eastAsia="Calibri" w:hAnsi="Calibri" w:cs="Calibri"/>
                <w:color w:val="auto"/>
                <w:szCs w:val="24"/>
              </w:rPr>
              <w:t>2</w:t>
            </w:r>
          </w:p>
        </w:tc>
        <w:tc>
          <w:tcPr>
            <w:tcW w:w="658" w:type="pct"/>
            <w:noWrap/>
            <w:hideMark/>
          </w:tcPr>
          <w:p w14:paraId="558D34AD" w14:textId="22958A95"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Priorytet</w:t>
            </w:r>
            <w:proofErr w:type="spellEnd"/>
            <w:r w:rsidRPr="004B463E">
              <w:rPr>
                <w:rFonts w:ascii="Calibri" w:eastAsia="Calibri" w:hAnsi="Calibri" w:cs="Calibri"/>
                <w:color w:val="auto"/>
                <w:szCs w:val="24"/>
              </w:rPr>
              <w:t xml:space="preserve"> </w:t>
            </w:r>
            <w:r w:rsidR="000978A8" w:rsidRPr="000978A8">
              <w:rPr>
                <w:rFonts w:ascii="Calibri" w:eastAsia="Calibri" w:hAnsi="Calibri" w:cs="Calibri"/>
                <w:color w:val="auto"/>
                <w:szCs w:val="24"/>
              </w:rPr>
              <w:t>3</w:t>
            </w:r>
          </w:p>
        </w:tc>
        <w:tc>
          <w:tcPr>
            <w:tcW w:w="658" w:type="pct"/>
            <w:noWrap/>
            <w:hideMark/>
          </w:tcPr>
          <w:p w14:paraId="252AAEBC" w14:textId="3296E9EB"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Priorytet</w:t>
            </w:r>
            <w:proofErr w:type="spellEnd"/>
            <w:r w:rsidRPr="004B463E">
              <w:rPr>
                <w:rFonts w:ascii="Calibri" w:eastAsia="Calibri" w:hAnsi="Calibri" w:cs="Calibri"/>
                <w:color w:val="auto"/>
                <w:szCs w:val="24"/>
              </w:rPr>
              <w:t xml:space="preserve"> </w:t>
            </w:r>
            <w:r w:rsidR="000978A8" w:rsidRPr="000978A8">
              <w:rPr>
                <w:rFonts w:ascii="Calibri" w:eastAsia="Calibri" w:hAnsi="Calibri" w:cs="Calibri"/>
                <w:color w:val="auto"/>
                <w:szCs w:val="24"/>
              </w:rPr>
              <w:t>4</w:t>
            </w:r>
          </w:p>
        </w:tc>
        <w:tc>
          <w:tcPr>
            <w:tcW w:w="645" w:type="pct"/>
            <w:noWrap/>
            <w:hideMark/>
          </w:tcPr>
          <w:p w14:paraId="717E2CA0" w14:textId="77777777" w:rsidR="000978A8" w:rsidRPr="000978A8" w:rsidRDefault="000978A8" w:rsidP="000978A8">
            <w:pPr>
              <w:spacing w:after="0" w:line="360" w:lineRule="auto"/>
              <w:ind w:left="0" w:right="0" w:firstLine="0"/>
              <w:rPr>
                <w:rFonts w:ascii="Calibri" w:eastAsia="Calibri" w:hAnsi="Calibri" w:cs="Calibri"/>
                <w:color w:val="auto"/>
                <w:szCs w:val="24"/>
              </w:rPr>
            </w:pPr>
          </w:p>
        </w:tc>
        <w:tc>
          <w:tcPr>
            <w:tcW w:w="658" w:type="pct"/>
          </w:tcPr>
          <w:p w14:paraId="1082D729" w14:textId="77777777" w:rsidR="000978A8" w:rsidRPr="000978A8" w:rsidRDefault="000978A8" w:rsidP="000978A8">
            <w:pPr>
              <w:spacing w:after="0" w:line="360" w:lineRule="auto"/>
              <w:ind w:left="0" w:right="0" w:firstLine="0"/>
              <w:rPr>
                <w:rFonts w:ascii="Calibri" w:eastAsia="Calibri" w:hAnsi="Calibri" w:cs="Calibri"/>
                <w:color w:val="auto"/>
                <w:szCs w:val="24"/>
              </w:rPr>
            </w:pPr>
          </w:p>
        </w:tc>
      </w:tr>
      <w:tr w:rsidR="000978A8" w:rsidRPr="000978A8" w14:paraId="3EE9B3DC" w14:textId="77777777" w:rsidTr="00B079CA">
        <w:trPr>
          <w:trHeight w:val="315"/>
        </w:trPr>
        <w:tc>
          <w:tcPr>
            <w:tcW w:w="1066" w:type="pct"/>
            <w:hideMark/>
          </w:tcPr>
          <w:p w14:paraId="189507EF" w14:textId="77777777" w:rsidR="004B463E" w:rsidRPr="004B463E" w:rsidRDefault="004B463E" w:rsidP="004B463E">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Fundusz</w:t>
            </w:r>
            <w:proofErr w:type="spellEnd"/>
          </w:p>
          <w:p w14:paraId="36C6C62F" w14:textId="285E12E6" w:rsidR="000978A8" w:rsidRPr="000978A8" w:rsidRDefault="004B463E" w:rsidP="004B463E">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w:t>
            </w:r>
            <w:proofErr w:type="spellStart"/>
            <w:proofErr w:type="gramStart"/>
            <w:r w:rsidRPr="004B463E">
              <w:rPr>
                <w:rFonts w:ascii="Calibri" w:eastAsia="Calibri" w:hAnsi="Calibri" w:cs="Calibri"/>
                <w:color w:val="auto"/>
                <w:szCs w:val="24"/>
              </w:rPr>
              <w:t>stosownie</w:t>
            </w:r>
            <w:proofErr w:type="spellEnd"/>
            <w:proofErr w:type="gramEnd"/>
            <w:r w:rsidRPr="004B463E">
              <w:rPr>
                <w:rFonts w:ascii="Calibri" w:eastAsia="Calibri" w:hAnsi="Calibri" w:cs="Calibri"/>
                <w:color w:val="auto"/>
                <w:szCs w:val="24"/>
              </w:rPr>
              <w:t xml:space="preserve"> do </w:t>
            </w:r>
            <w:proofErr w:type="spellStart"/>
            <w:r w:rsidRPr="004B463E">
              <w:rPr>
                <w:rFonts w:ascii="Calibri" w:eastAsia="Calibri" w:hAnsi="Calibri" w:cs="Calibri"/>
                <w:color w:val="auto"/>
                <w:szCs w:val="24"/>
              </w:rPr>
              <w:t>przypadku</w:t>
            </w:r>
            <w:proofErr w:type="spellEnd"/>
            <w:r w:rsidRPr="004B463E">
              <w:rPr>
                <w:rFonts w:ascii="Calibri" w:eastAsia="Calibri" w:hAnsi="Calibri" w:cs="Calibri"/>
                <w:color w:val="auto"/>
                <w:szCs w:val="24"/>
              </w:rPr>
              <w:t>)</w:t>
            </w:r>
          </w:p>
        </w:tc>
        <w:tc>
          <w:tcPr>
            <w:tcW w:w="658" w:type="pct"/>
            <w:noWrap/>
            <w:hideMark/>
          </w:tcPr>
          <w:p w14:paraId="02ADC0C9" w14:textId="3364CED0" w:rsidR="000978A8" w:rsidRPr="000978A8" w:rsidRDefault="004B463E" w:rsidP="000978A8">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EFRR</w:t>
            </w:r>
          </w:p>
        </w:tc>
        <w:tc>
          <w:tcPr>
            <w:tcW w:w="658" w:type="pct"/>
            <w:noWrap/>
            <w:hideMark/>
          </w:tcPr>
          <w:p w14:paraId="5EC98BFA" w14:textId="6012FD71" w:rsidR="000978A8" w:rsidRPr="000978A8" w:rsidRDefault="004B463E" w:rsidP="000978A8">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EFRR</w:t>
            </w:r>
          </w:p>
        </w:tc>
        <w:tc>
          <w:tcPr>
            <w:tcW w:w="658" w:type="pct"/>
            <w:noWrap/>
            <w:hideMark/>
          </w:tcPr>
          <w:p w14:paraId="750BCF0F" w14:textId="17767F9A" w:rsidR="000978A8" w:rsidRPr="000978A8" w:rsidRDefault="004B463E" w:rsidP="000978A8">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EFRR</w:t>
            </w:r>
          </w:p>
        </w:tc>
        <w:tc>
          <w:tcPr>
            <w:tcW w:w="658" w:type="pct"/>
            <w:noWrap/>
            <w:hideMark/>
          </w:tcPr>
          <w:p w14:paraId="6113701A" w14:textId="6F7302E7" w:rsidR="000978A8" w:rsidRPr="000978A8" w:rsidRDefault="004B463E" w:rsidP="000978A8">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EFRR</w:t>
            </w:r>
          </w:p>
        </w:tc>
        <w:tc>
          <w:tcPr>
            <w:tcW w:w="645" w:type="pct"/>
            <w:noWrap/>
            <w:hideMark/>
          </w:tcPr>
          <w:p w14:paraId="41C086D0" w14:textId="075D941E"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sidRPr="004B463E">
              <w:rPr>
                <w:rFonts w:ascii="Calibri" w:eastAsia="Calibri" w:hAnsi="Calibri" w:cs="Calibri"/>
                <w:color w:val="auto"/>
                <w:szCs w:val="24"/>
              </w:rPr>
              <w:t>Wszystkie</w:t>
            </w:r>
            <w:proofErr w:type="spellEnd"/>
            <w:r w:rsidRPr="004B463E">
              <w:rPr>
                <w:rFonts w:ascii="Calibri" w:eastAsia="Calibri" w:hAnsi="Calibri" w:cs="Calibri"/>
                <w:color w:val="auto"/>
                <w:szCs w:val="24"/>
              </w:rPr>
              <w:t xml:space="preserve"> </w:t>
            </w:r>
            <w:proofErr w:type="spellStart"/>
            <w:r w:rsidRPr="004B463E">
              <w:rPr>
                <w:rFonts w:ascii="Calibri" w:eastAsia="Calibri" w:hAnsi="Calibri" w:cs="Calibri"/>
                <w:color w:val="auto"/>
                <w:szCs w:val="24"/>
              </w:rPr>
              <w:t>fundusze</w:t>
            </w:r>
            <w:proofErr w:type="spellEnd"/>
          </w:p>
        </w:tc>
        <w:tc>
          <w:tcPr>
            <w:tcW w:w="658" w:type="pct"/>
            <w:noWrap/>
            <w:hideMark/>
          </w:tcPr>
          <w:p w14:paraId="1200AC96" w14:textId="5EE1718E" w:rsidR="000978A8" w:rsidRPr="000978A8" w:rsidRDefault="004B463E" w:rsidP="000978A8">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EFRR</w:t>
            </w:r>
          </w:p>
        </w:tc>
      </w:tr>
      <w:tr w:rsidR="000978A8" w:rsidRPr="000978A8" w14:paraId="558666B5" w14:textId="77777777" w:rsidTr="00B079CA">
        <w:trPr>
          <w:trHeight w:val="315"/>
        </w:trPr>
        <w:tc>
          <w:tcPr>
            <w:tcW w:w="1066" w:type="pct"/>
            <w:hideMark/>
          </w:tcPr>
          <w:p w14:paraId="26A5CFB2" w14:textId="61D57641" w:rsidR="000978A8" w:rsidRPr="000978A8" w:rsidRDefault="004B463E" w:rsidP="000978A8">
            <w:pPr>
              <w:spacing w:after="0" w:line="360" w:lineRule="auto"/>
              <w:ind w:left="0" w:right="0" w:firstLine="0"/>
              <w:rPr>
                <w:rFonts w:ascii="Calibri" w:eastAsia="Calibri" w:hAnsi="Calibri" w:cs="Calibri"/>
                <w:color w:val="auto"/>
                <w:szCs w:val="24"/>
                <w:lang w:val="pl-PL"/>
              </w:rPr>
            </w:pPr>
            <w:r w:rsidRPr="004B463E">
              <w:rPr>
                <w:rFonts w:ascii="Calibri" w:eastAsia="Calibri" w:hAnsi="Calibri" w:cs="Calibri"/>
                <w:color w:val="auto"/>
                <w:szCs w:val="24"/>
                <w:lang w:val="pl-PL"/>
              </w:rPr>
              <w:t>Podstawa obliczenia wsparcia UE (ogółem koszt kwalifikowalny lub wkład publiczny)</w:t>
            </w:r>
          </w:p>
        </w:tc>
        <w:tc>
          <w:tcPr>
            <w:tcW w:w="658" w:type="pct"/>
            <w:noWrap/>
            <w:hideMark/>
          </w:tcPr>
          <w:p w14:paraId="421DB229"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total eligible cost</w:t>
            </w:r>
          </w:p>
        </w:tc>
        <w:tc>
          <w:tcPr>
            <w:tcW w:w="658" w:type="pct"/>
            <w:noWrap/>
            <w:hideMark/>
          </w:tcPr>
          <w:p w14:paraId="0848A836"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total eligible cost</w:t>
            </w:r>
          </w:p>
        </w:tc>
        <w:tc>
          <w:tcPr>
            <w:tcW w:w="658" w:type="pct"/>
            <w:noWrap/>
            <w:hideMark/>
          </w:tcPr>
          <w:p w14:paraId="6669E6DF"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total eligible cost</w:t>
            </w:r>
          </w:p>
        </w:tc>
        <w:tc>
          <w:tcPr>
            <w:tcW w:w="658" w:type="pct"/>
            <w:noWrap/>
            <w:hideMark/>
          </w:tcPr>
          <w:p w14:paraId="07CAEF41"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total eligible cost</w:t>
            </w:r>
          </w:p>
        </w:tc>
        <w:tc>
          <w:tcPr>
            <w:tcW w:w="645" w:type="pct"/>
            <w:noWrap/>
            <w:hideMark/>
          </w:tcPr>
          <w:p w14:paraId="0F4935DB"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total eligible colt</w:t>
            </w:r>
          </w:p>
        </w:tc>
        <w:tc>
          <w:tcPr>
            <w:tcW w:w="658" w:type="pct"/>
            <w:noWrap/>
            <w:hideMark/>
          </w:tcPr>
          <w:p w14:paraId="06A3D09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total eligible cost</w:t>
            </w:r>
          </w:p>
        </w:tc>
      </w:tr>
      <w:tr w:rsidR="000978A8" w:rsidRPr="000978A8" w14:paraId="266A1565" w14:textId="77777777" w:rsidTr="00B079CA">
        <w:trPr>
          <w:trHeight w:val="735"/>
        </w:trPr>
        <w:tc>
          <w:tcPr>
            <w:tcW w:w="1066" w:type="pct"/>
            <w:hideMark/>
          </w:tcPr>
          <w:p w14:paraId="201F0187" w14:textId="1CC4D73B" w:rsidR="000978A8" w:rsidRPr="000978A8" w:rsidRDefault="004B463E" w:rsidP="000978A8">
            <w:pPr>
              <w:spacing w:after="0" w:line="360" w:lineRule="auto"/>
              <w:ind w:left="0" w:right="0" w:firstLine="0"/>
              <w:rPr>
                <w:rFonts w:ascii="Calibri" w:eastAsia="Calibri" w:hAnsi="Calibri" w:cs="Calibri"/>
                <w:color w:val="auto"/>
                <w:szCs w:val="24"/>
              </w:rPr>
            </w:pPr>
            <w:proofErr w:type="spellStart"/>
            <w:r>
              <w:rPr>
                <w:rFonts w:ascii="Calibri" w:eastAsia="Calibri" w:hAnsi="Calibri" w:cs="Calibri"/>
                <w:color w:val="auto"/>
                <w:szCs w:val="24"/>
                <w:lang w:val="fr-FR"/>
              </w:rPr>
              <w:t>Wkład</w:t>
            </w:r>
            <w:proofErr w:type="spellEnd"/>
            <w:r>
              <w:rPr>
                <w:rFonts w:ascii="Calibri" w:eastAsia="Calibri" w:hAnsi="Calibri" w:cs="Calibri"/>
                <w:color w:val="auto"/>
                <w:szCs w:val="24"/>
                <w:lang w:val="fr-FR"/>
              </w:rPr>
              <w:t xml:space="preserve"> UE</w:t>
            </w:r>
          </w:p>
          <w:p w14:paraId="608A4E5D"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(a)=(a</w:t>
            </w:r>
            <w:proofErr w:type="gramStart"/>
            <w:r w:rsidRPr="000978A8">
              <w:rPr>
                <w:rFonts w:ascii="Calibri" w:eastAsia="Calibri" w:hAnsi="Calibri" w:cs="Calibri"/>
                <w:color w:val="auto"/>
                <w:szCs w:val="24"/>
              </w:rPr>
              <w:t>1)+(</w:t>
            </w:r>
            <w:proofErr w:type="gramEnd"/>
            <w:r w:rsidRPr="000978A8">
              <w:rPr>
                <w:rFonts w:ascii="Calibri" w:eastAsia="Calibri" w:hAnsi="Calibri" w:cs="Calibri"/>
                <w:color w:val="auto"/>
                <w:szCs w:val="24"/>
              </w:rPr>
              <w:t>a2)</w:t>
            </w:r>
          </w:p>
        </w:tc>
        <w:tc>
          <w:tcPr>
            <w:tcW w:w="658" w:type="pct"/>
            <w:noWrap/>
            <w:hideMark/>
          </w:tcPr>
          <w:p w14:paraId="34ED3A13"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16 760 000,00</w:t>
            </w:r>
          </w:p>
        </w:tc>
        <w:tc>
          <w:tcPr>
            <w:tcW w:w="658" w:type="pct"/>
            <w:noWrap/>
            <w:hideMark/>
          </w:tcPr>
          <w:p w14:paraId="0BD9C126"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37 710 000,00</w:t>
            </w:r>
          </w:p>
        </w:tc>
        <w:tc>
          <w:tcPr>
            <w:tcW w:w="658" w:type="pct"/>
            <w:noWrap/>
            <w:hideMark/>
          </w:tcPr>
          <w:p w14:paraId="3BD384E7"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20 950 000,00</w:t>
            </w:r>
          </w:p>
        </w:tc>
        <w:tc>
          <w:tcPr>
            <w:tcW w:w="658" w:type="pct"/>
            <w:noWrap/>
            <w:hideMark/>
          </w:tcPr>
          <w:p w14:paraId="3C9E714D"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8 380 000,00</w:t>
            </w:r>
          </w:p>
        </w:tc>
        <w:tc>
          <w:tcPr>
            <w:tcW w:w="645" w:type="pct"/>
            <w:noWrap/>
            <w:hideMark/>
          </w:tcPr>
          <w:p w14:paraId="256D7995"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83 800 000,00</w:t>
            </w:r>
          </w:p>
        </w:tc>
        <w:tc>
          <w:tcPr>
            <w:tcW w:w="658" w:type="pct"/>
            <w:noWrap/>
            <w:hideMark/>
          </w:tcPr>
          <w:p w14:paraId="73DDFE1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83 800 000,00</w:t>
            </w:r>
          </w:p>
        </w:tc>
      </w:tr>
      <w:tr w:rsidR="000978A8" w:rsidRPr="000978A8" w14:paraId="233BC722" w14:textId="77777777" w:rsidTr="00B079CA">
        <w:trPr>
          <w:trHeight w:val="1215"/>
        </w:trPr>
        <w:tc>
          <w:tcPr>
            <w:tcW w:w="1066" w:type="pct"/>
            <w:hideMark/>
          </w:tcPr>
          <w:p w14:paraId="33B28D09" w14:textId="77777777" w:rsidR="000978A8" w:rsidRPr="00703E17" w:rsidRDefault="004B463E" w:rsidP="000978A8">
            <w:pPr>
              <w:spacing w:after="0" w:line="360" w:lineRule="auto"/>
              <w:ind w:left="0" w:right="0" w:firstLine="0"/>
              <w:rPr>
                <w:rFonts w:ascii="Calibri" w:eastAsia="Calibri" w:hAnsi="Calibri" w:cs="Calibri"/>
                <w:color w:val="auto"/>
                <w:szCs w:val="24"/>
                <w:lang w:val="pl-PL"/>
              </w:rPr>
            </w:pPr>
            <w:r w:rsidRPr="00703E17">
              <w:rPr>
                <w:rFonts w:ascii="Calibri" w:eastAsia="Calibri" w:hAnsi="Calibri" w:cs="Calibri"/>
                <w:color w:val="auto"/>
                <w:szCs w:val="24"/>
                <w:lang w:val="pl-PL"/>
              </w:rPr>
              <w:t>Indykatywny podział wkładu UE</w:t>
            </w:r>
          </w:p>
          <w:p w14:paraId="4099466D" w14:textId="08DBC807" w:rsidR="004B463E" w:rsidRPr="000978A8" w:rsidRDefault="004B463E" w:rsidP="000978A8">
            <w:pPr>
              <w:spacing w:after="0" w:line="360" w:lineRule="auto"/>
              <w:ind w:left="0" w:right="0" w:firstLine="0"/>
              <w:rPr>
                <w:rFonts w:ascii="Calibri" w:eastAsia="Calibri" w:hAnsi="Calibri" w:cs="Calibri"/>
                <w:color w:val="auto"/>
                <w:szCs w:val="24"/>
                <w:lang w:val="pl-PL"/>
              </w:rPr>
            </w:pPr>
            <w:r w:rsidRPr="004B463E">
              <w:rPr>
                <w:rFonts w:ascii="Calibri" w:eastAsia="Calibri" w:hAnsi="Calibri" w:cs="Calibri"/>
                <w:color w:val="auto"/>
                <w:szCs w:val="24"/>
                <w:lang w:val="pl-PL"/>
              </w:rPr>
              <w:t>bez pomocy technicznej na podstawie art. 27 ust. 1 (a1)</w:t>
            </w:r>
          </w:p>
        </w:tc>
        <w:tc>
          <w:tcPr>
            <w:tcW w:w="658" w:type="pct"/>
            <w:noWrap/>
            <w:hideMark/>
          </w:tcPr>
          <w:p w14:paraId="532F8D67"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15 663 552,00</w:t>
            </w:r>
          </w:p>
        </w:tc>
        <w:tc>
          <w:tcPr>
            <w:tcW w:w="658" w:type="pct"/>
            <w:noWrap/>
            <w:hideMark/>
          </w:tcPr>
          <w:p w14:paraId="62507F09"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35 242 992,00</w:t>
            </w:r>
          </w:p>
        </w:tc>
        <w:tc>
          <w:tcPr>
            <w:tcW w:w="658" w:type="pct"/>
            <w:noWrap/>
            <w:hideMark/>
          </w:tcPr>
          <w:p w14:paraId="45265536"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19 579 440,00</w:t>
            </w:r>
          </w:p>
        </w:tc>
        <w:tc>
          <w:tcPr>
            <w:tcW w:w="658" w:type="pct"/>
            <w:noWrap/>
            <w:hideMark/>
          </w:tcPr>
          <w:p w14:paraId="6A9FC365"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7 831 776,00</w:t>
            </w:r>
          </w:p>
        </w:tc>
        <w:tc>
          <w:tcPr>
            <w:tcW w:w="645" w:type="pct"/>
            <w:noWrap/>
            <w:hideMark/>
          </w:tcPr>
          <w:p w14:paraId="0E17DE2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78 317 760,00</w:t>
            </w:r>
          </w:p>
        </w:tc>
        <w:tc>
          <w:tcPr>
            <w:tcW w:w="658" w:type="pct"/>
            <w:noWrap/>
            <w:hideMark/>
          </w:tcPr>
          <w:p w14:paraId="44B307B7"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78 317 760,00</w:t>
            </w:r>
          </w:p>
        </w:tc>
      </w:tr>
      <w:tr w:rsidR="000978A8" w:rsidRPr="000978A8" w14:paraId="1E7BF935" w14:textId="77777777" w:rsidTr="00B079CA">
        <w:trPr>
          <w:trHeight w:val="975"/>
        </w:trPr>
        <w:tc>
          <w:tcPr>
            <w:tcW w:w="1066" w:type="pct"/>
            <w:hideMark/>
          </w:tcPr>
          <w:p w14:paraId="3F450524" w14:textId="77777777" w:rsidR="000978A8" w:rsidRPr="00703E17" w:rsidRDefault="004B463E" w:rsidP="000978A8">
            <w:pPr>
              <w:spacing w:after="0" w:line="360" w:lineRule="auto"/>
              <w:ind w:left="0" w:right="0" w:firstLine="0"/>
              <w:rPr>
                <w:rFonts w:ascii="Calibri" w:eastAsia="Calibri" w:hAnsi="Calibri" w:cs="Calibri"/>
                <w:color w:val="auto"/>
                <w:szCs w:val="24"/>
                <w:lang w:val="pl-PL"/>
              </w:rPr>
            </w:pPr>
            <w:r w:rsidRPr="00703E17">
              <w:rPr>
                <w:rFonts w:ascii="Calibri" w:eastAsia="Calibri" w:hAnsi="Calibri" w:cs="Calibri"/>
                <w:color w:val="auto"/>
                <w:szCs w:val="24"/>
                <w:lang w:val="pl-PL"/>
              </w:rPr>
              <w:t>Indykatywny podział wkładu UE</w:t>
            </w:r>
          </w:p>
          <w:p w14:paraId="359A6C85" w14:textId="77777777" w:rsidR="004B463E" w:rsidRPr="004B463E" w:rsidRDefault="004B463E" w:rsidP="004B463E">
            <w:pPr>
              <w:spacing w:after="0" w:line="360" w:lineRule="auto"/>
              <w:ind w:left="0" w:right="0" w:firstLine="0"/>
              <w:rPr>
                <w:rFonts w:ascii="Calibri" w:eastAsia="Calibri" w:hAnsi="Calibri" w:cs="Calibri"/>
                <w:color w:val="auto"/>
                <w:szCs w:val="24"/>
                <w:lang w:val="pl-PL"/>
              </w:rPr>
            </w:pPr>
            <w:r w:rsidRPr="004B463E">
              <w:rPr>
                <w:rFonts w:ascii="Calibri" w:eastAsia="Calibri" w:hAnsi="Calibri" w:cs="Calibri"/>
                <w:color w:val="auto"/>
                <w:szCs w:val="24"/>
                <w:lang w:val="pl-PL"/>
              </w:rPr>
              <w:t>na pomoc techniczną na podstawie art. 27 ust. 1</w:t>
            </w:r>
          </w:p>
          <w:p w14:paraId="5A1B2F20" w14:textId="0041F865" w:rsidR="004B463E" w:rsidRPr="000978A8" w:rsidRDefault="004B463E" w:rsidP="004B463E">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(a2)</w:t>
            </w:r>
          </w:p>
        </w:tc>
        <w:tc>
          <w:tcPr>
            <w:tcW w:w="658" w:type="pct"/>
            <w:noWrap/>
            <w:hideMark/>
          </w:tcPr>
          <w:p w14:paraId="5FEBC6A0"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1 096 448,00</w:t>
            </w:r>
          </w:p>
        </w:tc>
        <w:tc>
          <w:tcPr>
            <w:tcW w:w="658" w:type="pct"/>
            <w:noWrap/>
            <w:hideMark/>
          </w:tcPr>
          <w:p w14:paraId="732FC675"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2 467 008,00</w:t>
            </w:r>
          </w:p>
        </w:tc>
        <w:tc>
          <w:tcPr>
            <w:tcW w:w="658" w:type="pct"/>
            <w:noWrap/>
            <w:hideMark/>
          </w:tcPr>
          <w:p w14:paraId="0ADD6AA5"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1 370 560,00</w:t>
            </w:r>
          </w:p>
        </w:tc>
        <w:tc>
          <w:tcPr>
            <w:tcW w:w="658" w:type="pct"/>
            <w:noWrap/>
            <w:hideMark/>
          </w:tcPr>
          <w:p w14:paraId="6B510465"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548 224,00</w:t>
            </w:r>
          </w:p>
        </w:tc>
        <w:tc>
          <w:tcPr>
            <w:tcW w:w="645" w:type="pct"/>
            <w:noWrap/>
            <w:hideMark/>
          </w:tcPr>
          <w:p w14:paraId="1E228956"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5 482 240,00</w:t>
            </w:r>
          </w:p>
        </w:tc>
        <w:tc>
          <w:tcPr>
            <w:tcW w:w="658" w:type="pct"/>
            <w:noWrap/>
            <w:hideMark/>
          </w:tcPr>
          <w:p w14:paraId="2DFB586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5 482 240,00</w:t>
            </w:r>
          </w:p>
        </w:tc>
      </w:tr>
      <w:tr w:rsidR="000978A8" w:rsidRPr="000978A8" w14:paraId="14AABD56" w14:textId="77777777" w:rsidTr="00B079CA">
        <w:trPr>
          <w:trHeight w:val="735"/>
        </w:trPr>
        <w:tc>
          <w:tcPr>
            <w:tcW w:w="1066" w:type="pct"/>
            <w:hideMark/>
          </w:tcPr>
          <w:p w14:paraId="4347FD46" w14:textId="25D204A1" w:rsidR="000978A8" w:rsidRPr="000978A8" w:rsidRDefault="004B463E" w:rsidP="000978A8">
            <w:pPr>
              <w:spacing w:after="0" w:line="360" w:lineRule="auto"/>
              <w:ind w:left="0" w:right="0" w:firstLine="0"/>
              <w:rPr>
                <w:rFonts w:ascii="Calibri" w:eastAsia="Calibri" w:hAnsi="Calibri" w:cs="Calibri"/>
                <w:color w:val="auto"/>
                <w:szCs w:val="24"/>
                <w:lang w:val="pl-PL"/>
              </w:rPr>
            </w:pPr>
            <w:r w:rsidRPr="004B463E">
              <w:rPr>
                <w:rFonts w:ascii="Calibri" w:eastAsia="Calibri" w:hAnsi="Calibri" w:cs="Calibri"/>
                <w:color w:val="auto"/>
                <w:szCs w:val="24"/>
                <w:lang w:val="pl-PL"/>
              </w:rPr>
              <w:t xml:space="preserve">Wkład krajowy </w:t>
            </w:r>
            <w:r w:rsidR="000978A8" w:rsidRPr="000978A8">
              <w:rPr>
                <w:rFonts w:ascii="Calibri" w:eastAsia="Calibri" w:hAnsi="Calibri" w:cs="Calibri"/>
                <w:color w:val="auto"/>
                <w:szCs w:val="24"/>
                <w:lang w:val="pl-PL"/>
              </w:rPr>
              <w:t>(b)=(c)+(d)</w:t>
            </w:r>
          </w:p>
        </w:tc>
        <w:tc>
          <w:tcPr>
            <w:tcW w:w="658" w:type="pct"/>
            <w:noWrap/>
            <w:hideMark/>
          </w:tcPr>
          <w:p w14:paraId="3BCC33AE"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4 190 000,00</w:t>
            </w:r>
          </w:p>
        </w:tc>
        <w:tc>
          <w:tcPr>
            <w:tcW w:w="658" w:type="pct"/>
            <w:noWrap/>
            <w:hideMark/>
          </w:tcPr>
          <w:p w14:paraId="23E77E78"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9 427 500,00</w:t>
            </w:r>
          </w:p>
        </w:tc>
        <w:tc>
          <w:tcPr>
            <w:tcW w:w="658" w:type="pct"/>
            <w:noWrap/>
            <w:hideMark/>
          </w:tcPr>
          <w:p w14:paraId="02EB766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5 237 500,00</w:t>
            </w:r>
          </w:p>
        </w:tc>
        <w:tc>
          <w:tcPr>
            <w:tcW w:w="658" w:type="pct"/>
            <w:noWrap/>
            <w:hideMark/>
          </w:tcPr>
          <w:p w14:paraId="1E2AC2E3"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2 095 000,00</w:t>
            </w:r>
          </w:p>
        </w:tc>
        <w:tc>
          <w:tcPr>
            <w:tcW w:w="645" w:type="pct"/>
            <w:noWrap/>
            <w:hideMark/>
          </w:tcPr>
          <w:p w14:paraId="6983340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20 950 000,00</w:t>
            </w:r>
          </w:p>
        </w:tc>
        <w:tc>
          <w:tcPr>
            <w:tcW w:w="658" w:type="pct"/>
            <w:noWrap/>
            <w:hideMark/>
          </w:tcPr>
          <w:p w14:paraId="69704F9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20 950 000,00</w:t>
            </w:r>
          </w:p>
        </w:tc>
      </w:tr>
      <w:tr w:rsidR="000978A8" w:rsidRPr="000978A8" w14:paraId="29920043" w14:textId="77777777" w:rsidTr="00B079CA">
        <w:trPr>
          <w:trHeight w:val="495"/>
        </w:trPr>
        <w:tc>
          <w:tcPr>
            <w:tcW w:w="1066" w:type="pct"/>
            <w:hideMark/>
          </w:tcPr>
          <w:p w14:paraId="4FA77271" w14:textId="77777777" w:rsidR="000978A8" w:rsidRPr="00703E17" w:rsidRDefault="004B463E" w:rsidP="000978A8">
            <w:pPr>
              <w:spacing w:after="0" w:line="360" w:lineRule="auto"/>
              <w:ind w:left="0" w:right="0" w:firstLine="0"/>
              <w:rPr>
                <w:rFonts w:ascii="Calibri" w:eastAsia="Calibri" w:hAnsi="Calibri" w:cs="Calibri"/>
                <w:color w:val="auto"/>
                <w:szCs w:val="24"/>
                <w:lang w:val="pl-PL"/>
              </w:rPr>
            </w:pPr>
            <w:r w:rsidRPr="00703E17">
              <w:rPr>
                <w:rFonts w:ascii="Calibri" w:eastAsia="Calibri" w:hAnsi="Calibri" w:cs="Calibri"/>
                <w:color w:val="auto"/>
                <w:szCs w:val="24"/>
                <w:lang w:val="pl-PL"/>
              </w:rPr>
              <w:t>Indykatywny podział wkładu krajowego</w:t>
            </w:r>
          </w:p>
          <w:p w14:paraId="24872415" w14:textId="77777777" w:rsidR="004B463E" w:rsidRPr="00703E17" w:rsidRDefault="004B463E" w:rsidP="004B463E">
            <w:pPr>
              <w:spacing w:after="0" w:line="360" w:lineRule="auto"/>
              <w:ind w:left="0" w:right="0" w:firstLine="0"/>
              <w:rPr>
                <w:rFonts w:ascii="Calibri" w:eastAsia="Calibri" w:hAnsi="Calibri" w:cs="Calibri"/>
                <w:color w:val="auto"/>
                <w:szCs w:val="24"/>
                <w:lang w:val="pl-PL"/>
              </w:rPr>
            </w:pPr>
            <w:r w:rsidRPr="00703E17">
              <w:rPr>
                <w:rFonts w:ascii="Calibri" w:eastAsia="Calibri" w:hAnsi="Calibri" w:cs="Calibri"/>
                <w:color w:val="auto"/>
                <w:szCs w:val="24"/>
                <w:lang w:val="pl-PL"/>
              </w:rPr>
              <w:t>Krajowy wkład publiczny</w:t>
            </w:r>
          </w:p>
          <w:p w14:paraId="0A43C809" w14:textId="6F7FFE30" w:rsidR="004B463E" w:rsidRPr="000978A8" w:rsidRDefault="004B463E" w:rsidP="004B463E">
            <w:pPr>
              <w:spacing w:after="0" w:line="360" w:lineRule="auto"/>
              <w:ind w:left="0" w:right="0" w:firstLine="0"/>
              <w:rPr>
                <w:rFonts w:ascii="Calibri" w:eastAsia="Calibri" w:hAnsi="Calibri" w:cs="Calibri"/>
                <w:color w:val="auto"/>
                <w:szCs w:val="24"/>
              </w:rPr>
            </w:pPr>
            <w:r w:rsidRPr="004B463E">
              <w:rPr>
                <w:rFonts w:ascii="Calibri" w:eastAsia="Calibri" w:hAnsi="Calibri" w:cs="Calibri"/>
                <w:color w:val="auto"/>
                <w:szCs w:val="24"/>
              </w:rPr>
              <w:t>(c)</w:t>
            </w:r>
          </w:p>
        </w:tc>
        <w:tc>
          <w:tcPr>
            <w:tcW w:w="658" w:type="pct"/>
            <w:noWrap/>
            <w:hideMark/>
          </w:tcPr>
          <w:p w14:paraId="655DC4EE"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3 771 000,00</w:t>
            </w:r>
          </w:p>
        </w:tc>
        <w:tc>
          <w:tcPr>
            <w:tcW w:w="658" w:type="pct"/>
            <w:noWrap/>
            <w:hideMark/>
          </w:tcPr>
          <w:p w14:paraId="5958B91F"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8 484 750,00</w:t>
            </w:r>
          </w:p>
        </w:tc>
        <w:tc>
          <w:tcPr>
            <w:tcW w:w="658" w:type="pct"/>
            <w:noWrap/>
            <w:hideMark/>
          </w:tcPr>
          <w:p w14:paraId="3BC2D239"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4 713 750,00</w:t>
            </w:r>
          </w:p>
        </w:tc>
        <w:tc>
          <w:tcPr>
            <w:tcW w:w="658" w:type="pct"/>
            <w:noWrap/>
            <w:hideMark/>
          </w:tcPr>
          <w:p w14:paraId="3C07A721"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1 885 500,00</w:t>
            </w:r>
          </w:p>
        </w:tc>
        <w:tc>
          <w:tcPr>
            <w:tcW w:w="645" w:type="pct"/>
            <w:noWrap/>
            <w:hideMark/>
          </w:tcPr>
          <w:p w14:paraId="0CA36F57"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18 855 000,00</w:t>
            </w:r>
          </w:p>
        </w:tc>
        <w:tc>
          <w:tcPr>
            <w:tcW w:w="658" w:type="pct"/>
            <w:noWrap/>
            <w:hideMark/>
          </w:tcPr>
          <w:p w14:paraId="74F3019E"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18 855 000,00</w:t>
            </w:r>
          </w:p>
        </w:tc>
      </w:tr>
      <w:tr w:rsidR="000978A8" w:rsidRPr="000978A8" w14:paraId="26B79E10" w14:textId="77777777" w:rsidTr="00B079CA">
        <w:trPr>
          <w:trHeight w:val="495"/>
        </w:trPr>
        <w:tc>
          <w:tcPr>
            <w:tcW w:w="1066" w:type="pct"/>
            <w:hideMark/>
          </w:tcPr>
          <w:p w14:paraId="782DF54A" w14:textId="77777777" w:rsidR="000978A8" w:rsidRPr="00703E17" w:rsidRDefault="004B463E" w:rsidP="000978A8">
            <w:pPr>
              <w:spacing w:after="0" w:line="360" w:lineRule="auto"/>
              <w:ind w:left="0" w:right="0" w:firstLine="0"/>
              <w:rPr>
                <w:rFonts w:ascii="Calibri" w:eastAsia="Calibri" w:hAnsi="Calibri" w:cs="Calibri"/>
                <w:color w:val="auto"/>
                <w:szCs w:val="24"/>
                <w:lang w:val="pl-PL"/>
              </w:rPr>
            </w:pPr>
            <w:r w:rsidRPr="00703E17">
              <w:rPr>
                <w:rFonts w:ascii="Calibri" w:eastAsia="Calibri" w:hAnsi="Calibri" w:cs="Calibri"/>
                <w:color w:val="auto"/>
                <w:szCs w:val="24"/>
                <w:lang w:val="pl-PL"/>
              </w:rPr>
              <w:t>Indykatywny podział wkładu krajowego</w:t>
            </w:r>
          </w:p>
          <w:p w14:paraId="44465CBF" w14:textId="32815AD1" w:rsidR="004B463E" w:rsidRPr="00703E17" w:rsidRDefault="00746717" w:rsidP="000978A8">
            <w:pPr>
              <w:spacing w:after="0" w:line="360" w:lineRule="auto"/>
              <w:ind w:left="0" w:right="0" w:firstLine="0"/>
              <w:rPr>
                <w:rFonts w:ascii="Calibri" w:eastAsia="Calibri" w:hAnsi="Calibri" w:cs="Calibri"/>
                <w:color w:val="auto"/>
                <w:szCs w:val="24"/>
                <w:lang w:val="pl-PL"/>
              </w:rPr>
            </w:pPr>
            <w:r w:rsidRPr="00703E17">
              <w:rPr>
                <w:rFonts w:ascii="Calibri" w:eastAsia="Calibri" w:hAnsi="Calibri" w:cs="Calibri"/>
                <w:color w:val="auto"/>
                <w:szCs w:val="24"/>
                <w:lang w:val="pl-PL"/>
              </w:rPr>
              <w:t>Krajowy wkład prywatny (d)</w:t>
            </w:r>
          </w:p>
        </w:tc>
        <w:tc>
          <w:tcPr>
            <w:tcW w:w="658" w:type="pct"/>
            <w:noWrap/>
            <w:hideMark/>
          </w:tcPr>
          <w:p w14:paraId="5A60EE84"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419 000,00</w:t>
            </w:r>
          </w:p>
        </w:tc>
        <w:tc>
          <w:tcPr>
            <w:tcW w:w="658" w:type="pct"/>
            <w:noWrap/>
            <w:hideMark/>
          </w:tcPr>
          <w:p w14:paraId="53AB23B4"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942 750,00</w:t>
            </w:r>
          </w:p>
        </w:tc>
        <w:tc>
          <w:tcPr>
            <w:tcW w:w="658" w:type="pct"/>
            <w:noWrap/>
            <w:hideMark/>
          </w:tcPr>
          <w:p w14:paraId="6785A3D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523 750,00</w:t>
            </w:r>
          </w:p>
        </w:tc>
        <w:tc>
          <w:tcPr>
            <w:tcW w:w="658" w:type="pct"/>
            <w:noWrap/>
            <w:hideMark/>
          </w:tcPr>
          <w:p w14:paraId="0CEBDEE1"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209 500,00</w:t>
            </w:r>
          </w:p>
        </w:tc>
        <w:tc>
          <w:tcPr>
            <w:tcW w:w="645" w:type="pct"/>
            <w:noWrap/>
            <w:hideMark/>
          </w:tcPr>
          <w:p w14:paraId="4FD21ACE"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2 095 000,00</w:t>
            </w:r>
          </w:p>
        </w:tc>
        <w:tc>
          <w:tcPr>
            <w:tcW w:w="658" w:type="pct"/>
            <w:noWrap/>
            <w:hideMark/>
          </w:tcPr>
          <w:p w14:paraId="4A5B2C19"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2 095 000,00</w:t>
            </w:r>
          </w:p>
        </w:tc>
      </w:tr>
      <w:tr w:rsidR="000978A8" w:rsidRPr="000978A8" w14:paraId="4E72AE44" w14:textId="77777777" w:rsidTr="00B079CA">
        <w:trPr>
          <w:trHeight w:val="315"/>
        </w:trPr>
        <w:tc>
          <w:tcPr>
            <w:tcW w:w="1066" w:type="pct"/>
            <w:hideMark/>
          </w:tcPr>
          <w:p w14:paraId="0A8D2CD6" w14:textId="791B8103" w:rsidR="000978A8" w:rsidRPr="000978A8" w:rsidRDefault="00746717" w:rsidP="000978A8">
            <w:pPr>
              <w:spacing w:after="0" w:line="360" w:lineRule="auto"/>
              <w:ind w:left="0" w:right="0" w:firstLine="0"/>
              <w:rPr>
                <w:rFonts w:ascii="Calibri" w:eastAsia="Calibri" w:hAnsi="Calibri" w:cs="Calibri"/>
                <w:color w:val="auto"/>
                <w:szCs w:val="24"/>
              </w:rPr>
            </w:pPr>
            <w:proofErr w:type="spellStart"/>
            <w:r w:rsidRPr="00746717">
              <w:rPr>
                <w:rFonts w:ascii="Calibri" w:eastAsia="Calibri" w:hAnsi="Calibri" w:cs="Calibri"/>
                <w:color w:val="auto"/>
                <w:szCs w:val="24"/>
              </w:rPr>
              <w:t>Ogółem</w:t>
            </w:r>
            <w:proofErr w:type="spellEnd"/>
            <w:r w:rsidRPr="00746717">
              <w:rPr>
                <w:rFonts w:ascii="Calibri" w:eastAsia="Calibri" w:hAnsi="Calibri" w:cs="Calibri"/>
                <w:color w:val="auto"/>
                <w:szCs w:val="24"/>
              </w:rPr>
              <w:t xml:space="preserve"> </w:t>
            </w:r>
            <w:r w:rsidR="000978A8" w:rsidRPr="000978A8">
              <w:rPr>
                <w:rFonts w:ascii="Calibri" w:eastAsia="Calibri" w:hAnsi="Calibri" w:cs="Calibri"/>
                <w:color w:val="auto"/>
                <w:szCs w:val="24"/>
              </w:rPr>
              <w:t>(e)=(a)+(b)</w:t>
            </w:r>
          </w:p>
        </w:tc>
        <w:tc>
          <w:tcPr>
            <w:tcW w:w="658" w:type="pct"/>
            <w:noWrap/>
            <w:hideMark/>
          </w:tcPr>
          <w:p w14:paraId="64FDBD05"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20 950 000,00</w:t>
            </w:r>
          </w:p>
        </w:tc>
        <w:tc>
          <w:tcPr>
            <w:tcW w:w="658" w:type="pct"/>
            <w:noWrap/>
            <w:hideMark/>
          </w:tcPr>
          <w:p w14:paraId="75495A41"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47 137 500,00</w:t>
            </w:r>
          </w:p>
        </w:tc>
        <w:tc>
          <w:tcPr>
            <w:tcW w:w="658" w:type="pct"/>
            <w:noWrap/>
            <w:hideMark/>
          </w:tcPr>
          <w:p w14:paraId="1A186FF8"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26 </w:t>
            </w:r>
            <w:r w:rsidRPr="000978A8">
              <w:rPr>
                <w:rFonts w:ascii="Calibri" w:eastAsia="Calibri" w:hAnsi="Calibri"/>
              </w:rPr>
              <w:t>187</w:t>
            </w:r>
            <w:r w:rsidRPr="000978A8">
              <w:rPr>
                <w:rFonts w:ascii="Calibri" w:eastAsia="Calibri" w:hAnsi="Calibri"/>
                <w:lang w:val="en-GB"/>
              </w:rPr>
              <w:t> </w:t>
            </w:r>
            <w:r w:rsidRPr="000978A8">
              <w:rPr>
                <w:rFonts w:ascii="Calibri" w:eastAsia="Calibri" w:hAnsi="Calibri"/>
              </w:rPr>
              <w:t>500</w:t>
            </w:r>
            <w:r w:rsidRPr="000978A8">
              <w:rPr>
                <w:rFonts w:ascii="Calibri" w:eastAsia="Calibri" w:hAnsi="Calibri" w:cs="Calibri"/>
                <w:color w:val="auto"/>
                <w:szCs w:val="24"/>
              </w:rPr>
              <w:t>,00</w:t>
            </w:r>
          </w:p>
        </w:tc>
        <w:tc>
          <w:tcPr>
            <w:tcW w:w="658" w:type="pct"/>
            <w:noWrap/>
            <w:hideMark/>
          </w:tcPr>
          <w:p w14:paraId="368C366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10 475 000,00</w:t>
            </w:r>
          </w:p>
        </w:tc>
        <w:tc>
          <w:tcPr>
            <w:tcW w:w="645" w:type="pct"/>
            <w:noWrap/>
            <w:hideMark/>
          </w:tcPr>
          <w:p w14:paraId="3C1058A0"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104 750 000,00</w:t>
            </w:r>
          </w:p>
        </w:tc>
        <w:tc>
          <w:tcPr>
            <w:tcW w:w="658" w:type="pct"/>
            <w:noWrap/>
            <w:hideMark/>
          </w:tcPr>
          <w:p w14:paraId="5A24BCF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104 750 000,00</w:t>
            </w:r>
          </w:p>
        </w:tc>
      </w:tr>
      <w:tr w:rsidR="000978A8" w:rsidRPr="000978A8" w14:paraId="215A717E" w14:textId="77777777" w:rsidTr="00B079CA">
        <w:trPr>
          <w:trHeight w:val="735"/>
        </w:trPr>
        <w:tc>
          <w:tcPr>
            <w:tcW w:w="1066" w:type="pct"/>
            <w:hideMark/>
          </w:tcPr>
          <w:p w14:paraId="753486DE" w14:textId="287B9FA9" w:rsidR="000978A8" w:rsidRPr="000978A8" w:rsidRDefault="00746717" w:rsidP="000978A8">
            <w:pPr>
              <w:spacing w:after="0" w:line="360" w:lineRule="auto"/>
              <w:ind w:left="0" w:right="0" w:firstLine="0"/>
              <w:rPr>
                <w:rFonts w:ascii="Calibri" w:eastAsia="Calibri" w:hAnsi="Calibri" w:cs="Calibri"/>
                <w:color w:val="auto"/>
                <w:szCs w:val="24"/>
                <w:lang w:val="pl-PL"/>
              </w:rPr>
            </w:pPr>
            <w:r w:rsidRPr="00746717">
              <w:rPr>
                <w:rFonts w:ascii="Calibri" w:eastAsia="Calibri" w:hAnsi="Calibri" w:cs="Calibri"/>
                <w:color w:val="auto"/>
                <w:szCs w:val="24"/>
                <w:lang w:val="pl-PL"/>
              </w:rPr>
              <w:t xml:space="preserve">Stopa dofinansowania </w:t>
            </w:r>
            <w:r w:rsidR="000978A8" w:rsidRPr="000978A8">
              <w:rPr>
                <w:rFonts w:ascii="Calibri" w:eastAsia="Calibri" w:hAnsi="Calibri" w:cs="Calibri"/>
                <w:color w:val="auto"/>
                <w:szCs w:val="24"/>
                <w:lang w:val="pl-PL"/>
              </w:rPr>
              <w:t>(f)=(a)/(e)</w:t>
            </w:r>
          </w:p>
        </w:tc>
        <w:tc>
          <w:tcPr>
            <w:tcW w:w="658" w:type="pct"/>
            <w:noWrap/>
            <w:hideMark/>
          </w:tcPr>
          <w:p w14:paraId="7B26F28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80,00%</w:t>
            </w:r>
          </w:p>
        </w:tc>
        <w:tc>
          <w:tcPr>
            <w:tcW w:w="658" w:type="pct"/>
            <w:noWrap/>
            <w:hideMark/>
          </w:tcPr>
          <w:p w14:paraId="2033E776"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80,00%</w:t>
            </w:r>
          </w:p>
        </w:tc>
        <w:tc>
          <w:tcPr>
            <w:tcW w:w="658" w:type="pct"/>
            <w:noWrap/>
            <w:hideMark/>
          </w:tcPr>
          <w:p w14:paraId="0243646D"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80,00%</w:t>
            </w:r>
          </w:p>
        </w:tc>
        <w:tc>
          <w:tcPr>
            <w:tcW w:w="658" w:type="pct"/>
            <w:noWrap/>
            <w:hideMark/>
          </w:tcPr>
          <w:p w14:paraId="6E7052CE"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80,00%</w:t>
            </w:r>
          </w:p>
        </w:tc>
        <w:tc>
          <w:tcPr>
            <w:tcW w:w="645" w:type="pct"/>
            <w:noWrap/>
            <w:hideMark/>
          </w:tcPr>
          <w:p w14:paraId="6625A54B"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80,00%</w:t>
            </w:r>
          </w:p>
        </w:tc>
        <w:tc>
          <w:tcPr>
            <w:tcW w:w="658" w:type="pct"/>
            <w:noWrap/>
            <w:hideMark/>
          </w:tcPr>
          <w:p w14:paraId="4D4313C6"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80,00%</w:t>
            </w:r>
          </w:p>
        </w:tc>
      </w:tr>
      <w:tr w:rsidR="000978A8" w:rsidRPr="000978A8" w14:paraId="608EFDB9" w14:textId="77777777" w:rsidTr="00B079CA">
        <w:trPr>
          <w:trHeight w:val="975"/>
        </w:trPr>
        <w:tc>
          <w:tcPr>
            <w:tcW w:w="1066" w:type="pct"/>
            <w:hideMark/>
          </w:tcPr>
          <w:p w14:paraId="2606C00B" w14:textId="77777777" w:rsidR="00746717" w:rsidRPr="00746717" w:rsidRDefault="00746717" w:rsidP="00746717">
            <w:pPr>
              <w:spacing w:after="0" w:line="360" w:lineRule="auto"/>
              <w:ind w:left="0" w:right="0" w:firstLine="0"/>
              <w:rPr>
                <w:rFonts w:ascii="Calibri" w:eastAsia="Calibri" w:hAnsi="Calibri" w:cs="Calibri"/>
                <w:color w:val="auto"/>
                <w:szCs w:val="24"/>
                <w:lang w:val="pl-PL"/>
              </w:rPr>
            </w:pPr>
            <w:r w:rsidRPr="00746717">
              <w:rPr>
                <w:rFonts w:ascii="Calibri" w:eastAsia="Calibri" w:hAnsi="Calibri" w:cs="Calibri"/>
                <w:color w:val="auto"/>
                <w:szCs w:val="24"/>
                <w:lang w:val="pl-PL"/>
              </w:rPr>
              <w:t>Wkłady państw trzecich</w:t>
            </w:r>
          </w:p>
          <w:p w14:paraId="6B7073A9" w14:textId="6C02271B" w:rsidR="000978A8" w:rsidRPr="000978A8" w:rsidRDefault="00746717" w:rsidP="00746717">
            <w:pPr>
              <w:spacing w:after="0" w:line="360" w:lineRule="auto"/>
              <w:ind w:left="0" w:right="0" w:firstLine="0"/>
              <w:rPr>
                <w:rFonts w:ascii="Calibri" w:eastAsia="Calibri" w:hAnsi="Calibri" w:cs="Calibri"/>
                <w:color w:val="auto"/>
                <w:szCs w:val="24"/>
                <w:lang w:val="pl-PL"/>
              </w:rPr>
            </w:pPr>
            <w:r w:rsidRPr="00746717">
              <w:rPr>
                <w:rFonts w:ascii="Calibri" w:eastAsia="Calibri" w:hAnsi="Calibri" w:cs="Calibri"/>
                <w:color w:val="auto"/>
                <w:szCs w:val="24"/>
                <w:lang w:val="pl-PL"/>
              </w:rPr>
              <w:t>(dla celów informacyjnych)</w:t>
            </w:r>
          </w:p>
        </w:tc>
        <w:tc>
          <w:tcPr>
            <w:tcW w:w="658" w:type="pct"/>
            <w:noWrap/>
            <w:hideMark/>
          </w:tcPr>
          <w:p w14:paraId="54120039"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0</w:t>
            </w:r>
          </w:p>
        </w:tc>
        <w:tc>
          <w:tcPr>
            <w:tcW w:w="658" w:type="pct"/>
            <w:noWrap/>
            <w:hideMark/>
          </w:tcPr>
          <w:p w14:paraId="519F5EDA"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0</w:t>
            </w:r>
          </w:p>
        </w:tc>
        <w:tc>
          <w:tcPr>
            <w:tcW w:w="658" w:type="pct"/>
            <w:noWrap/>
            <w:hideMark/>
          </w:tcPr>
          <w:p w14:paraId="6A06AA5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0</w:t>
            </w:r>
          </w:p>
        </w:tc>
        <w:tc>
          <w:tcPr>
            <w:tcW w:w="658" w:type="pct"/>
            <w:noWrap/>
            <w:hideMark/>
          </w:tcPr>
          <w:p w14:paraId="1CC26B1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0</w:t>
            </w:r>
          </w:p>
        </w:tc>
        <w:tc>
          <w:tcPr>
            <w:tcW w:w="645" w:type="pct"/>
            <w:noWrap/>
            <w:hideMark/>
          </w:tcPr>
          <w:p w14:paraId="6993C2EC"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0</w:t>
            </w:r>
          </w:p>
        </w:tc>
        <w:tc>
          <w:tcPr>
            <w:tcW w:w="658" w:type="pct"/>
            <w:noWrap/>
            <w:hideMark/>
          </w:tcPr>
          <w:p w14:paraId="64A9C8F3" w14:textId="77777777" w:rsidR="000978A8" w:rsidRPr="000978A8" w:rsidRDefault="000978A8" w:rsidP="000978A8">
            <w:pPr>
              <w:spacing w:after="0" w:line="360" w:lineRule="auto"/>
              <w:ind w:left="0" w:right="0" w:firstLine="0"/>
              <w:rPr>
                <w:rFonts w:ascii="Calibri" w:eastAsia="Calibri" w:hAnsi="Calibri" w:cs="Calibri"/>
                <w:color w:val="auto"/>
                <w:szCs w:val="24"/>
              </w:rPr>
            </w:pPr>
            <w:r w:rsidRPr="000978A8">
              <w:rPr>
                <w:rFonts w:ascii="Calibri" w:eastAsia="Calibri" w:hAnsi="Calibri" w:cs="Calibri"/>
                <w:color w:val="auto"/>
                <w:szCs w:val="24"/>
              </w:rPr>
              <w:t>0</w:t>
            </w:r>
          </w:p>
        </w:tc>
      </w:tr>
    </w:tbl>
    <w:p w14:paraId="6A9A61FE" w14:textId="77777777" w:rsidR="000978A8" w:rsidRPr="000978A8" w:rsidRDefault="000978A8" w:rsidP="000978A8">
      <w:pPr>
        <w:spacing w:after="120" w:line="360" w:lineRule="auto"/>
        <w:ind w:left="540" w:right="792" w:hanging="540"/>
        <w:rPr>
          <w:rFonts w:asciiTheme="minorHAnsi" w:hAnsiTheme="minorHAnsi" w:cstheme="minorHAnsi"/>
        </w:rPr>
      </w:pPr>
    </w:p>
    <w:p w14:paraId="31666D10" w14:textId="4172D774" w:rsidR="001B5E94" w:rsidRPr="002F1719" w:rsidRDefault="001B5E94" w:rsidP="004A0FF2">
      <w:pPr>
        <w:spacing w:after="160" w:line="259" w:lineRule="auto"/>
        <w:ind w:left="0" w:right="0" w:firstLine="0"/>
        <w:rPr>
          <w:rFonts w:asciiTheme="minorHAnsi" w:hAnsiTheme="minorHAnsi" w:cstheme="minorHAnsi"/>
        </w:rPr>
        <w:sectPr w:rsidR="001B5E94" w:rsidRPr="002F1719" w:rsidSect="004A0FF2">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593" w:left="1134" w:header="720" w:footer="567" w:gutter="0"/>
          <w:cols w:space="720"/>
          <w:docGrid w:linePitch="326"/>
        </w:sectPr>
      </w:pPr>
    </w:p>
    <w:p w14:paraId="0C9A3EC5" w14:textId="13D71E36" w:rsidR="008D6A96" w:rsidRPr="002F1719" w:rsidRDefault="008D6A96" w:rsidP="004A0FF2">
      <w:pPr>
        <w:pStyle w:val="Heading2"/>
      </w:pPr>
      <w:r w:rsidRPr="002F1719">
        <w:t>Działania podjęte w celu zaangażowania odpowiednich partnerów programu w przygotowanie programu Interreg oraz rola tych partnerów programu we wdrażaniu, monitorowaniu i ewaluacji</w:t>
      </w:r>
    </w:p>
    <w:p w14:paraId="463FE935" w14:textId="77777777" w:rsidR="008D6A96" w:rsidRPr="002F1719" w:rsidRDefault="008D6A96" w:rsidP="008D6A96">
      <w:pPr>
        <w:autoSpaceDE w:val="0"/>
        <w:autoSpaceDN w:val="0"/>
        <w:adjustRightInd w:val="0"/>
        <w:spacing w:after="0" w:line="240" w:lineRule="auto"/>
        <w:ind w:left="0" w:right="0" w:firstLine="0"/>
        <w:rPr>
          <w:rFonts w:asciiTheme="minorHAnsi" w:eastAsiaTheme="minorEastAsia" w:hAnsiTheme="minorHAnsi" w:cstheme="minorHAnsi"/>
          <w:sz w:val="19"/>
          <w:szCs w:val="19"/>
        </w:rPr>
      </w:pPr>
    </w:p>
    <w:p w14:paraId="1466C929" w14:textId="77777777" w:rsidR="008D6A96" w:rsidRPr="004A0FF2" w:rsidRDefault="008D6A96"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Podstawa prawna: art. 17 ust. 3 lit. g)</w:t>
      </w:r>
    </w:p>
    <w:p w14:paraId="6FCBC119" w14:textId="45197C17" w:rsidR="002B7808" w:rsidRPr="004A0FF2" w:rsidRDefault="002B7808"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Wspólny Komitet Programujący (WKP), główny organ decyzyjny, został </w:t>
      </w:r>
      <w:r w:rsidR="00111ADE" w:rsidRPr="004A0FF2">
        <w:rPr>
          <w:rFonts w:asciiTheme="minorHAnsi" w:hAnsiTheme="minorHAnsi" w:cstheme="minorHAnsi"/>
        </w:rPr>
        <w:t>ustanowiony</w:t>
      </w:r>
      <w:r w:rsidRPr="004A0FF2">
        <w:rPr>
          <w:rFonts w:asciiTheme="minorHAnsi" w:hAnsiTheme="minorHAnsi" w:cstheme="minorHAnsi"/>
        </w:rPr>
        <w:t xml:space="preserve"> w lutym 2020 roku</w:t>
      </w:r>
      <w:r w:rsidR="00111ADE" w:rsidRPr="004A0FF2">
        <w:rPr>
          <w:rFonts w:asciiTheme="minorHAnsi" w:hAnsiTheme="minorHAnsi" w:cstheme="minorHAnsi"/>
        </w:rPr>
        <w:t>, jak również zostały powołane jego dwie Grupy Robocze (GR</w:t>
      </w:r>
      <w:r w:rsidRPr="004A0FF2">
        <w:rPr>
          <w:rFonts w:asciiTheme="minorHAnsi" w:hAnsiTheme="minorHAnsi" w:cstheme="minorHAnsi"/>
        </w:rPr>
        <w:t>)</w:t>
      </w:r>
      <w:r w:rsidR="00111ADE" w:rsidRPr="004A0FF2">
        <w:rPr>
          <w:rFonts w:asciiTheme="minorHAnsi" w:hAnsiTheme="minorHAnsi" w:cstheme="minorHAnsi"/>
        </w:rPr>
        <w:t>,</w:t>
      </w:r>
      <w:r w:rsidRPr="004A0FF2">
        <w:rPr>
          <w:rFonts w:asciiTheme="minorHAnsi" w:hAnsiTheme="minorHAnsi" w:cstheme="minorHAnsi"/>
        </w:rPr>
        <w:t xml:space="preserve"> odpowiedzialne za omawianie str</w:t>
      </w:r>
      <w:r w:rsidR="00111ADE" w:rsidRPr="004A0FF2">
        <w:rPr>
          <w:rFonts w:asciiTheme="minorHAnsi" w:hAnsiTheme="minorHAnsi" w:cstheme="minorHAnsi"/>
        </w:rPr>
        <w:t xml:space="preserve">ategicznego ukierunkowania </w:t>
      </w:r>
      <w:r w:rsidRPr="004A0FF2">
        <w:rPr>
          <w:rFonts w:asciiTheme="minorHAnsi" w:hAnsiTheme="minorHAnsi" w:cstheme="minorHAnsi"/>
        </w:rPr>
        <w:t xml:space="preserve">programu i </w:t>
      </w:r>
      <w:r w:rsidR="00111ADE" w:rsidRPr="004A0FF2">
        <w:rPr>
          <w:rFonts w:asciiTheme="minorHAnsi" w:hAnsiTheme="minorHAnsi" w:cstheme="minorHAnsi"/>
        </w:rPr>
        <w:t>rozwiązań wdrożeniowych</w:t>
      </w:r>
      <w:r w:rsidRPr="004A0FF2">
        <w:rPr>
          <w:rFonts w:asciiTheme="minorHAnsi" w:hAnsiTheme="minorHAnsi" w:cstheme="minorHAnsi"/>
        </w:rPr>
        <w:t>. W skład WKP oraz Grup Roboczych weszli m.in. przedstawiciele szczebla krajowego i regionalnego oraz dwóch euroregionów działających na obszarze Południowego Bałtyku, Euroregionu Bałtyk i Euroregionu Pomerania.</w:t>
      </w:r>
    </w:p>
    <w:p w14:paraId="5DFB01BF" w14:textId="1F483719" w:rsidR="00111ADE" w:rsidRPr="004A0FF2" w:rsidRDefault="00111AD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Odpowiednie władze publiczne, partnerzy społeczno-gospodarczy, społeczni, środowiskowi i inni byli włączeni w przygotowanie programu poprzez bezpośredni udział w spotkaniach WKP i GR (gdy byli bezpośrednio członkami WKP/GR), odpowiednie konsultacje krajowe i serię wydarzeń konsultacyjnych dla interesariuszy programu organizowanych przez Euroregion Bałtyk.</w:t>
      </w:r>
    </w:p>
    <w:p w14:paraId="017EE6CA" w14:textId="1EC6BF47" w:rsidR="00111ADE" w:rsidRPr="004A0FF2" w:rsidRDefault="00111AD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Takie podejście pozwoliło na lepszą organizację procesu programowania i efektywną pracę WKP i jego GR, co stanowi wyzwanie dla programu, w którym uczestniczy 5 Państw Członkowskich. Wśród członków delegacji do WKP i GR znaleźli się przedstawiciele m.in. sektora akademickiego, organizacji wspierających biznes, organizacji turystycznych, władz regionalnych i lokalnych, a także wspólna delegacja Euroregionów, będących przedstawicielami społeczności lokalnych z obszaru objętego programem. W sumie odbyło się 9 formalnych spotkań WKP (do końca sierpnia 2021 r.) oraz 16 spotkań jego GR.</w:t>
      </w:r>
    </w:p>
    <w:p w14:paraId="1C97A95F" w14:textId="763CAEC6" w:rsidR="008D6A96" w:rsidRPr="004A0FF2" w:rsidRDefault="00111AD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Ponadto w 5 państwach członkowskich przeprowadzano szerokie i kompleksowe konsultacje z odpowiednimi partnerami na poziomie krajowym. W ramach tych konsultacji, do przedstawiania swoich opinii i propozycji dotyczących projektów dokumentów zostali włączeni właściwi partnerzy</w:t>
      </w:r>
      <w:r w:rsidR="008D6A96" w:rsidRPr="004A0FF2">
        <w:rPr>
          <w:rFonts w:asciiTheme="minorHAnsi" w:hAnsiTheme="minorHAnsi" w:cstheme="minorHAnsi"/>
        </w:rPr>
        <w:t>:</w:t>
      </w:r>
    </w:p>
    <w:p w14:paraId="3D17A421" w14:textId="4458DA1F" w:rsidR="00111ADE" w:rsidRPr="004A0FF2" w:rsidRDefault="00111AD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w SZWECJI: ponad 153 organizacje (z poziomu regionalnego i krajowego) zidentyfikowane w procesie konsultacji: władze lokalne i regionalne, parki naukowe, muzea, porty, organizacje zorientowane na obszary wiejskie i leśne, agencje ds. energii, uniwersytety, agencje turystyczne, instytuty badawcze, instytucje kulturalne, itp. Partnerzy wnieśli swój wkład do analizy społeczno-ekonomicznej regionu objętego Programem, SWOT, wzięli aktywny udział w otwartych ankietach przeprowadzonych w procesie programowania, jak również w tematycznych spotkaniach dialogu online (4 spotkania zorganizowane koncentrowały się na: Niebieskim i zielonym wzroście, Zielonej energii i mobilności, Zrównoważonej i innowacyjnej turystyce, włączeniu społecznym). Dodatkowo, zaangażowani partnerzy przedstawili swoje uwagi do projektów Strategii Programu.</w:t>
      </w:r>
    </w:p>
    <w:p w14:paraId="4F006658" w14:textId="3A67F655" w:rsidR="00111ADE" w:rsidRPr="004A0FF2" w:rsidRDefault="00111AD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w DANII: ponad 40 interesariuszy na poziomie regionalnym/</w:t>
      </w:r>
      <w:proofErr w:type="spellStart"/>
      <w:r w:rsidRPr="004A0FF2">
        <w:rPr>
          <w:rFonts w:asciiTheme="minorHAnsi" w:hAnsiTheme="minorHAnsi" w:cstheme="minorHAnsi"/>
        </w:rPr>
        <w:t>subregionalnym</w:t>
      </w:r>
      <w:proofErr w:type="spellEnd"/>
      <w:r w:rsidRPr="004A0FF2">
        <w:rPr>
          <w:rFonts w:asciiTheme="minorHAnsi" w:hAnsiTheme="minorHAnsi" w:cstheme="minorHAnsi"/>
        </w:rPr>
        <w:t xml:space="preserve"> ze wszystkich obszarów istotnych dla Programu zaproszonych na spotkania konsultacyjne w listopadzie/grudniu 2020 r., reprezentujących: centrum biznesowe, sektor turystyki, związki zawodowe, związki pracodawców, centrum badawcze, centra energii i zaopatrzenia, porty morskie, lotnisko, przedstawicieli społeczeństwa obywatelskiego, takich jak stowarzyszenia z zakresu rozwoju obszarów wiejskich, społeczności lokalne, środowiskowe i społeczne organizacje pozarządowe itp.</w:t>
      </w:r>
    </w:p>
    <w:p w14:paraId="177E3CBF" w14:textId="3222CF62" w:rsidR="00111ADE" w:rsidRPr="004A0FF2" w:rsidRDefault="00111AD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w NIEMCZECH: został utworzony komitet </w:t>
      </w:r>
      <w:proofErr w:type="gramStart"/>
      <w:r w:rsidRPr="004A0FF2">
        <w:rPr>
          <w:rFonts w:asciiTheme="minorHAnsi" w:hAnsiTheme="minorHAnsi" w:cstheme="minorHAnsi"/>
        </w:rPr>
        <w:t>regionalny,</w:t>
      </w:r>
      <w:proofErr w:type="gramEnd"/>
      <w:r w:rsidRPr="004A0FF2">
        <w:rPr>
          <w:rFonts w:asciiTheme="minorHAnsi" w:hAnsiTheme="minorHAnsi" w:cstheme="minorHAnsi"/>
        </w:rPr>
        <w:t xml:space="preserve"> jako samorządna struktura </w:t>
      </w:r>
      <w:r w:rsidR="0011203E" w:rsidRPr="004A0FF2">
        <w:rPr>
          <w:rFonts w:asciiTheme="minorHAnsi" w:hAnsiTheme="minorHAnsi" w:cstheme="minorHAnsi"/>
        </w:rPr>
        <w:t>dot. programu</w:t>
      </w:r>
      <w:r w:rsidRPr="004A0FF2">
        <w:rPr>
          <w:rFonts w:asciiTheme="minorHAnsi" w:hAnsiTheme="minorHAnsi" w:cstheme="minorHAnsi"/>
        </w:rPr>
        <w:t xml:space="preserve">, obejmująca 22 partnerów: władze miejskie i publiczne, izby handlowe i rzemieślnicze, uniwersytety, federację związków zawodowych, stowarzyszenia regionalne, stowarzyszenie </w:t>
      </w:r>
      <w:r w:rsidR="0011203E" w:rsidRPr="004A0FF2">
        <w:rPr>
          <w:rFonts w:asciiTheme="minorHAnsi" w:hAnsiTheme="minorHAnsi" w:cstheme="minorHAnsi"/>
        </w:rPr>
        <w:t xml:space="preserve">pracowników </w:t>
      </w:r>
      <w:r w:rsidRPr="004A0FF2">
        <w:rPr>
          <w:rFonts w:asciiTheme="minorHAnsi" w:hAnsiTheme="minorHAnsi" w:cstheme="minorHAnsi"/>
        </w:rPr>
        <w:t xml:space="preserve">opieki społecznej, stowarzyszenie turystyczne. Odbyły się trzy rundy konsultacji projektów Programu i dokumentów przygotowawczych, a partnerzy przekazali swoje uwagi. Równolegle do konsultacji z partnerami, zorganizowano dwa spotkania konsultacyjne dotyczące obszarów interwencji i tematów poruszanych w Programie. Poza konsultacjami, poszczególni partnerzy brali bezpośredni i aktywny udział w spotkaniach </w:t>
      </w:r>
      <w:r w:rsidR="0011203E" w:rsidRPr="004A0FF2">
        <w:rPr>
          <w:rFonts w:asciiTheme="minorHAnsi" w:hAnsiTheme="minorHAnsi" w:cstheme="minorHAnsi"/>
        </w:rPr>
        <w:t>GR</w:t>
      </w:r>
      <w:r w:rsidRPr="004A0FF2">
        <w:rPr>
          <w:rFonts w:asciiTheme="minorHAnsi" w:hAnsiTheme="minorHAnsi" w:cstheme="minorHAnsi"/>
        </w:rPr>
        <w:t xml:space="preserve">1 (strategiczna orientacja programu) i </w:t>
      </w:r>
      <w:r w:rsidR="0011203E" w:rsidRPr="004A0FF2">
        <w:rPr>
          <w:rFonts w:asciiTheme="minorHAnsi" w:hAnsiTheme="minorHAnsi" w:cstheme="minorHAnsi"/>
        </w:rPr>
        <w:t>WKP</w:t>
      </w:r>
      <w:r w:rsidRPr="004A0FF2">
        <w:rPr>
          <w:rFonts w:asciiTheme="minorHAnsi" w:hAnsiTheme="minorHAnsi" w:cstheme="minorHAnsi"/>
        </w:rPr>
        <w:t xml:space="preserve"> (</w:t>
      </w:r>
      <w:proofErr w:type="spellStart"/>
      <w:r w:rsidRPr="004A0FF2">
        <w:rPr>
          <w:rFonts w:asciiTheme="minorHAnsi" w:hAnsiTheme="minorHAnsi" w:cstheme="minorHAnsi"/>
        </w:rPr>
        <w:t>Balticnet</w:t>
      </w:r>
      <w:proofErr w:type="spellEnd"/>
      <w:r w:rsidRPr="004A0FF2">
        <w:rPr>
          <w:rFonts w:asciiTheme="minorHAnsi" w:hAnsiTheme="minorHAnsi" w:cstheme="minorHAnsi"/>
        </w:rPr>
        <w:t xml:space="preserve"> </w:t>
      </w:r>
      <w:proofErr w:type="spellStart"/>
      <w:r w:rsidRPr="004A0FF2">
        <w:rPr>
          <w:rFonts w:asciiTheme="minorHAnsi" w:hAnsiTheme="minorHAnsi" w:cstheme="minorHAnsi"/>
        </w:rPr>
        <w:t>Plasmatec</w:t>
      </w:r>
      <w:proofErr w:type="spellEnd"/>
      <w:r w:rsidRPr="004A0FF2">
        <w:rPr>
          <w:rFonts w:asciiTheme="minorHAnsi" w:hAnsiTheme="minorHAnsi" w:cstheme="minorHAnsi"/>
        </w:rPr>
        <w:t xml:space="preserve"> - sieć technologiczna w </w:t>
      </w:r>
      <w:r w:rsidR="0011203E" w:rsidRPr="004A0FF2">
        <w:rPr>
          <w:rFonts w:asciiTheme="minorHAnsi" w:hAnsiTheme="minorHAnsi" w:cstheme="minorHAnsi"/>
        </w:rPr>
        <w:t>GR1</w:t>
      </w:r>
      <w:r w:rsidRPr="004A0FF2">
        <w:rPr>
          <w:rFonts w:asciiTheme="minorHAnsi" w:hAnsiTheme="minorHAnsi" w:cstheme="minorHAnsi"/>
        </w:rPr>
        <w:t xml:space="preserve"> i </w:t>
      </w:r>
      <w:r w:rsidR="0011203E" w:rsidRPr="004A0FF2">
        <w:rPr>
          <w:rFonts w:asciiTheme="minorHAnsi" w:hAnsiTheme="minorHAnsi" w:cstheme="minorHAnsi"/>
        </w:rPr>
        <w:t>WKP</w:t>
      </w:r>
      <w:r w:rsidRPr="004A0FF2">
        <w:rPr>
          <w:rFonts w:asciiTheme="minorHAnsi" w:hAnsiTheme="minorHAnsi" w:cstheme="minorHAnsi"/>
        </w:rPr>
        <w:t xml:space="preserve">; </w:t>
      </w:r>
      <w:proofErr w:type="spellStart"/>
      <w:r w:rsidRPr="004A0FF2">
        <w:rPr>
          <w:rFonts w:asciiTheme="minorHAnsi" w:hAnsiTheme="minorHAnsi" w:cstheme="minorHAnsi"/>
        </w:rPr>
        <w:t>Baltic</w:t>
      </w:r>
      <w:proofErr w:type="spellEnd"/>
      <w:r w:rsidRPr="004A0FF2">
        <w:rPr>
          <w:rFonts w:asciiTheme="minorHAnsi" w:hAnsiTheme="minorHAnsi" w:cstheme="minorHAnsi"/>
        </w:rPr>
        <w:t xml:space="preserve"> Sea </w:t>
      </w:r>
      <w:proofErr w:type="spellStart"/>
      <w:r w:rsidRPr="004A0FF2">
        <w:rPr>
          <w:rFonts w:asciiTheme="minorHAnsi" w:hAnsiTheme="minorHAnsi" w:cstheme="minorHAnsi"/>
        </w:rPr>
        <w:t>Tourism</w:t>
      </w:r>
      <w:proofErr w:type="spellEnd"/>
      <w:r w:rsidRPr="004A0FF2">
        <w:rPr>
          <w:rFonts w:asciiTheme="minorHAnsi" w:hAnsiTheme="minorHAnsi" w:cstheme="minorHAnsi"/>
        </w:rPr>
        <w:t xml:space="preserve"> Center w </w:t>
      </w:r>
      <w:r w:rsidR="0011203E" w:rsidRPr="004A0FF2">
        <w:rPr>
          <w:rFonts w:asciiTheme="minorHAnsi" w:hAnsiTheme="minorHAnsi" w:cstheme="minorHAnsi"/>
        </w:rPr>
        <w:t>GR</w:t>
      </w:r>
      <w:r w:rsidRPr="004A0FF2">
        <w:rPr>
          <w:rFonts w:asciiTheme="minorHAnsi" w:hAnsiTheme="minorHAnsi" w:cstheme="minorHAnsi"/>
        </w:rPr>
        <w:t xml:space="preserve">1; EUCC </w:t>
      </w:r>
      <w:proofErr w:type="spellStart"/>
      <w:r w:rsidRPr="004A0FF2">
        <w:rPr>
          <w:rFonts w:asciiTheme="minorHAnsi" w:hAnsiTheme="minorHAnsi" w:cstheme="minorHAnsi"/>
        </w:rPr>
        <w:t>Coastal</w:t>
      </w:r>
      <w:proofErr w:type="spellEnd"/>
      <w:r w:rsidRPr="004A0FF2">
        <w:rPr>
          <w:rFonts w:asciiTheme="minorHAnsi" w:hAnsiTheme="minorHAnsi" w:cstheme="minorHAnsi"/>
        </w:rPr>
        <w:t xml:space="preserve"> Union Germany - sieć na rzecz zrównoważonego rozwoju wybrzeża i morza w </w:t>
      </w:r>
      <w:r w:rsidR="0011203E" w:rsidRPr="004A0FF2">
        <w:rPr>
          <w:rFonts w:asciiTheme="minorHAnsi" w:hAnsiTheme="minorHAnsi" w:cstheme="minorHAnsi"/>
        </w:rPr>
        <w:t>GR1</w:t>
      </w:r>
      <w:r w:rsidRPr="004A0FF2">
        <w:rPr>
          <w:rFonts w:asciiTheme="minorHAnsi" w:hAnsiTheme="minorHAnsi" w:cstheme="minorHAnsi"/>
        </w:rPr>
        <w:t>).</w:t>
      </w:r>
    </w:p>
    <w:p w14:paraId="3A3E3043" w14:textId="77777777" w:rsidR="0011203E" w:rsidRPr="004A0FF2" w:rsidRDefault="0011203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w POLSCE: powołany został krajowy podkomitet konsultacyjny („Polska Grupa Konsultacyjna PB 2021-2027) w celu prowadzenia konsultacji dokumentów przedłożonych do dyskusji przez WKP i GR. W skład podkomitetu wchodzi 48 podmiotów reprezentujących szerokie spektrum partnerów społeczno-gospodarczych, partnerów reprezentujących społeczeństwo obywatelskie, organizacje pozarządowe, administrację regionalną i lokalną oraz ich stowarzyszenia, odpowiednie ministerstwa, obszary metropolitalne, związki gmin, partnerów środowiskowych (np. WWF Polska), uniwersytety, izby handlowe lub rzemieślnicze, zarządy portów morskich, parki naukowo-technologiczne, klastry przedsiębiorstw, agencje rozwoju regionalnego, regionalny fundusz ochrony środowiska i gospodarki wodnej, sieci organizacji pozarządowych i centra wsparcia, regionalne biura planowania przestrzennego, EUWT Środkowoeuropejskiego Korytarza Transportowego itp.</w:t>
      </w:r>
    </w:p>
    <w:p w14:paraId="1A8F01EF" w14:textId="773CD2F5" w:rsidR="0011203E" w:rsidRPr="004A0FF2" w:rsidRDefault="0011203E"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na LITWIE: Zaangażowanie partnerów społeczno-gospodarczych w proces programowania i podejmowania decyzji na Litwie jest zapewnione i procedowane poprzez krajowy system polityki regionalnej, poprzez przedstawicieli zaangażowanych do Wspólnego Komitetu Programującego powołanych przez Rady Rozwoju Regionów, gdzie Grupy Partnerskie Rad Rozwoju Regionu mają zostać utworzone z partnerów społeczno-gospodarczych reprezentujących organizacje zajmujące się szerokim zakresem obszarów społecznych i gospodarczych. Dodatkowo, konsultacje z partnerami społeczno-gospodarczymi zostały wprowadzone przez władze krajowe, poprzez organizację wydarzeń informacyjnych / konsultacyjnych na temat </w:t>
      </w:r>
      <w:r w:rsidR="00987D4A" w:rsidRPr="004A0FF2">
        <w:rPr>
          <w:rFonts w:asciiTheme="minorHAnsi" w:hAnsiTheme="minorHAnsi" w:cstheme="minorHAnsi"/>
        </w:rPr>
        <w:t xml:space="preserve">programów współpracy terytorialnej </w:t>
      </w:r>
      <w:r w:rsidRPr="004A0FF2">
        <w:rPr>
          <w:rFonts w:asciiTheme="minorHAnsi" w:hAnsiTheme="minorHAnsi" w:cstheme="minorHAnsi"/>
        </w:rPr>
        <w:t xml:space="preserve">nowego okresu finansowania 2021-2027, wyboru priorytetów programu Południowy Bałtyk, konsultacji projektu dokumentu programowego (Uwaga: proces konsultacji będzie przeprowadzony przed procedurą zatwierdzenia przez rząd). W procesie programowania uczestniczyło 15 organizacji reprezentujących różne grupy partnerów społeczno-gospodarczych z regionów Kłajpedy, </w:t>
      </w:r>
      <w:proofErr w:type="spellStart"/>
      <w:r w:rsidRPr="004A0FF2">
        <w:rPr>
          <w:rFonts w:asciiTheme="minorHAnsi" w:hAnsiTheme="minorHAnsi" w:cstheme="minorHAnsi"/>
        </w:rPr>
        <w:t>Taurog</w:t>
      </w:r>
      <w:r w:rsidR="00987D4A" w:rsidRPr="004A0FF2">
        <w:rPr>
          <w:rFonts w:asciiTheme="minorHAnsi" w:hAnsiTheme="minorHAnsi" w:cstheme="minorHAnsi"/>
        </w:rPr>
        <w:t>ów</w:t>
      </w:r>
      <w:proofErr w:type="spellEnd"/>
      <w:r w:rsidRPr="004A0FF2">
        <w:rPr>
          <w:rFonts w:asciiTheme="minorHAnsi" w:hAnsiTheme="minorHAnsi" w:cstheme="minorHAnsi"/>
        </w:rPr>
        <w:t xml:space="preserve"> i </w:t>
      </w:r>
      <w:proofErr w:type="spellStart"/>
      <w:r w:rsidRPr="004A0FF2">
        <w:rPr>
          <w:rFonts w:asciiTheme="minorHAnsi" w:hAnsiTheme="minorHAnsi" w:cstheme="minorHAnsi"/>
        </w:rPr>
        <w:t>Telszy</w:t>
      </w:r>
      <w:proofErr w:type="spellEnd"/>
      <w:r w:rsidRPr="004A0FF2">
        <w:rPr>
          <w:rFonts w:asciiTheme="minorHAnsi" w:hAnsiTheme="minorHAnsi" w:cstheme="minorHAnsi"/>
        </w:rPr>
        <w:t>, reprezentują</w:t>
      </w:r>
      <w:r w:rsidR="00987D4A" w:rsidRPr="004A0FF2">
        <w:rPr>
          <w:rFonts w:asciiTheme="minorHAnsi" w:hAnsiTheme="minorHAnsi" w:cstheme="minorHAnsi"/>
        </w:rPr>
        <w:t>cych</w:t>
      </w:r>
      <w:r w:rsidRPr="004A0FF2">
        <w:rPr>
          <w:rFonts w:asciiTheme="minorHAnsi" w:hAnsiTheme="minorHAnsi" w:cstheme="minorHAnsi"/>
        </w:rPr>
        <w:t xml:space="preserve"> dziedziny </w:t>
      </w:r>
      <w:r w:rsidR="00987D4A" w:rsidRPr="004A0FF2">
        <w:rPr>
          <w:rFonts w:asciiTheme="minorHAnsi" w:hAnsiTheme="minorHAnsi" w:cstheme="minorHAnsi"/>
        </w:rPr>
        <w:t xml:space="preserve">takie, </w:t>
      </w:r>
      <w:r w:rsidRPr="004A0FF2">
        <w:rPr>
          <w:rFonts w:asciiTheme="minorHAnsi" w:hAnsiTheme="minorHAnsi" w:cstheme="minorHAnsi"/>
        </w:rPr>
        <w:t>jak</w:t>
      </w:r>
      <w:r w:rsidR="00987D4A" w:rsidRPr="004A0FF2">
        <w:rPr>
          <w:rFonts w:asciiTheme="minorHAnsi" w:hAnsiTheme="minorHAnsi" w:cstheme="minorHAnsi"/>
        </w:rPr>
        <w:t>:</w:t>
      </w:r>
      <w:r w:rsidRPr="004A0FF2">
        <w:rPr>
          <w:rFonts w:asciiTheme="minorHAnsi" w:hAnsiTheme="minorHAnsi" w:cstheme="minorHAnsi"/>
        </w:rPr>
        <w:t xml:space="preserve"> środowisko, edukacja, ochrona socjalna, prawa człowieka, polityka młodzieżowa, polityka regionalna, prawa osób niepełnosprawnych.</w:t>
      </w:r>
    </w:p>
    <w:p w14:paraId="3BE3C733" w14:textId="77777777" w:rsidR="00987D4A" w:rsidRPr="004A0FF2" w:rsidRDefault="00987D4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Dzięki systemowi konsultacji krajowych/regionalnych, odbywały się one na poziomie najbliższym grupie docelowej Programu. Pozwoliło to na zniesienie bariery językowej i zaangażowanie większej liczby mniejszych podmiotów i organizacji, które zostały odciążone administracyjnie, ale także mogły uzyskać lepsze wyjaśnienie przepisów prawa lub procesów w trakcie programowania. Ten aspekt ma szczególne znaczenie w czasie pandemii COVID-19 i konieczności skoncentrowania czasu i wysiłków na zwalczaniu pandemii oraz planowaniu odbudowy gospodarczej i społecznej po jej zakończeniu. Spotkania i konsultacje online pozwoliły również na włączenie znacznie większej liczby interesariuszy istotnych dla Programu niż w przypadku ich bezpośredniego udziału w spotkaniach WKP i WG.</w:t>
      </w:r>
    </w:p>
    <w:p w14:paraId="49736187" w14:textId="2C5DBDE7" w:rsidR="00987D4A" w:rsidRPr="004A0FF2" w:rsidRDefault="00987D4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Oprócz konsultacji na poziomie krajowym i regionalnym, przeprowadzono kilka inicjatyw konsultacyjnych w wymiarze transnarodowym i międzysektorowym. W konsultacje i przygotowanie Programu 2021-2027 od samego początku zaangażowani byli właściwi partnerzy i interesariusze Programu.  Już we wrześniu 2019 r. konsultacje i dyskusje dotyczące możliwego ukierunkowania i zakresu nowego Programu były prowadzone podczas Dorocznego Wydarzenia Programu Interreg Południowy Bałtyk 2014-2020 w Ostródzie (PL).</w:t>
      </w:r>
    </w:p>
    <w:p w14:paraId="2A14DDA6" w14:textId="77777777"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Latem 2020 r. firma doradcza </w:t>
      </w:r>
      <w:proofErr w:type="spellStart"/>
      <w:r w:rsidRPr="004A0FF2">
        <w:rPr>
          <w:rFonts w:asciiTheme="minorHAnsi" w:hAnsiTheme="minorHAnsi" w:cstheme="minorHAnsi"/>
        </w:rPr>
        <w:t>PwC</w:t>
      </w:r>
      <w:proofErr w:type="spellEnd"/>
      <w:r w:rsidRPr="004A0FF2">
        <w:rPr>
          <w:rFonts w:asciiTheme="minorHAnsi" w:hAnsiTheme="minorHAnsi" w:cstheme="minorHAnsi"/>
        </w:rPr>
        <w:t xml:space="preserve"> (wykonawca na rzecz WS) przeprowadziła szeroko zakrojone badanie wśród szerokiej grupy odpowiednich partnerów z 5 Państw </w:t>
      </w:r>
      <w:proofErr w:type="spellStart"/>
      <w:r w:rsidRPr="004A0FF2">
        <w:rPr>
          <w:rFonts w:asciiTheme="minorHAnsi" w:hAnsiTheme="minorHAnsi" w:cstheme="minorHAnsi"/>
        </w:rPr>
        <w:t>Członkowkich</w:t>
      </w:r>
      <w:proofErr w:type="spellEnd"/>
      <w:r w:rsidRPr="004A0FF2">
        <w:rPr>
          <w:rFonts w:asciiTheme="minorHAnsi" w:hAnsiTheme="minorHAnsi" w:cstheme="minorHAnsi"/>
        </w:rPr>
        <w:t xml:space="preserve"> (obejmującej m.in. władze lokalne, regionalne i krajowe lub ich stowarzyszenia, instytucje publiczne, organizacje pozarządowe, klastry i sieci MŚP, instytucje szkolnictwa wyższego, instytucje badawczo-rozwojowe i dostawcy usług kulturalnych, dostawcy usług publicznych, organizacje ekologiczne). Celem tego badania było jak najlepsze zrozumienie ogólnej wizji obszaru Południowego Bałtyku interesariuszy Programu, istniejących i potencjalnych partnerów i inne instytucje. W ramach badania respondenci byli pytani o ich doświadczenia w programach transgranicznych, jak również o wyzwania, z którymi obszar Południowego Bałtyku musi się zmierzyć w przyszłości (w aspektach gospodarki, społeczeństwa i opieki zdrowotnej, środowiska i infrastruktury oraz technologii). W trzeciej części badania skupiono się na głównych atutach regionu Południowego Bałtyku, aby sprawdzić, które zalety respondenci postrzegają jako najcenniejsze, w jakim kierunku powinien podążać Program i jakie obszary powinny być dalej rozwijane. Na pytania w pełni odpowiedziało prawie 140 podmiotów z całego regionu reprezentujących różne sektory.  Przeprowadzono również 2 dedykowane warsztaty przez </w:t>
      </w:r>
      <w:proofErr w:type="spellStart"/>
      <w:r w:rsidRPr="004A0FF2">
        <w:rPr>
          <w:rFonts w:asciiTheme="minorHAnsi" w:hAnsiTheme="minorHAnsi" w:cstheme="minorHAnsi"/>
        </w:rPr>
        <w:t>PwC</w:t>
      </w:r>
      <w:proofErr w:type="spellEnd"/>
      <w:r w:rsidRPr="004A0FF2">
        <w:rPr>
          <w:rFonts w:asciiTheme="minorHAnsi" w:hAnsiTheme="minorHAnsi" w:cstheme="minorHAnsi"/>
        </w:rPr>
        <w:t xml:space="preserve">. </w:t>
      </w:r>
    </w:p>
    <w:p w14:paraId="7D87F1FB" w14:textId="77777777"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Odpowiedni partnerzy zostali dalej włączeni poprzez krajowe konsultacje projektu analizy społeczno-ekonomicznej, analizy SWOT i Drzewa Problemów i Celów dla obszaru Południowego Bałtyku. Komentarze do tych analiz zostały dostarczone przez regionalnych ekspertów i analityków z całego regionu, a następnie do projektów propozycji Strategii i Priorytetów dla przyszłego Programu Południowy Bałtyk dostarczonych przez </w:t>
      </w:r>
      <w:proofErr w:type="spellStart"/>
      <w:r w:rsidRPr="004A0FF2">
        <w:rPr>
          <w:rFonts w:asciiTheme="minorHAnsi" w:hAnsiTheme="minorHAnsi" w:cstheme="minorHAnsi"/>
        </w:rPr>
        <w:t>PwC</w:t>
      </w:r>
      <w:proofErr w:type="spellEnd"/>
      <w:r w:rsidRPr="004A0FF2">
        <w:rPr>
          <w:rFonts w:asciiTheme="minorHAnsi" w:hAnsiTheme="minorHAnsi" w:cstheme="minorHAnsi"/>
        </w:rPr>
        <w:t>.</w:t>
      </w:r>
    </w:p>
    <w:p w14:paraId="635B31BA" w14:textId="77777777"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Projekt propozycji Strategii i Priorytetów był również przedmiotem konsultacji publicznych. Euroregion Bałtyk, działając jako partner wiodący projektu </w:t>
      </w:r>
      <w:proofErr w:type="spellStart"/>
      <w:r w:rsidRPr="004A0FF2">
        <w:rPr>
          <w:rFonts w:asciiTheme="minorHAnsi" w:hAnsiTheme="minorHAnsi" w:cstheme="minorHAnsi"/>
        </w:rPr>
        <w:t>Umbrella</w:t>
      </w:r>
      <w:proofErr w:type="spellEnd"/>
      <w:r w:rsidRPr="004A0FF2">
        <w:rPr>
          <w:rFonts w:asciiTheme="minorHAnsi" w:hAnsiTheme="minorHAnsi" w:cstheme="minorHAnsi"/>
        </w:rPr>
        <w:t>, zorganizował jesienią 2020 roku cztery tematyczne warsztaty grup fokusowych dotyczące obszarów interwencji i tematów, które będą poruszane w Programie, w których uczestniczyło ponad 40 partnerów z całego obszaru Południowego Bałtyku. Wyniki warsztatów zostały przekazane przez delegację Euroregionów do WKP i włączone do prac nad przygotowaniem Programu.</w:t>
      </w:r>
    </w:p>
    <w:p w14:paraId="3C8F9D0A" w14:textId="77777777"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Dodatkowo, liczne dyskusje panelowe i ankiety zostały przeprowadzone na różnych wydarzeniach projektowych (np. </w:t>
      </w:r>
      <w:proofErr w:type="spellStart"/>
      <w:r w:rsidRPr="004A0FF2">
        <w:rPr>
          <w:rFonts w:asciiTheme="minorHAnsi" w:hAnsiTheme="minorHAnsi" w:cstheme="minorHAnsi"/>
        </w:rPr>
        <w:t>Umbrella</w:t>
      </w:r>
      <w:proofErr w:type="spellEnd"/>
      <w:r w:rsidRPr="004A0FF2">
        <w:rPr>
          <w:rFonts w:asciiTheme="minorHAnsi" w:hAnsiTheme="minorHAnsi" w:cstheme="minorHAnsi"/>
        </w:rPr>
        <w:t xml:space="preserve">, </w:t>
      </w:r>
      <w:proofErr w:type="spellStart"/>
      <w:r w:rsidRPr="004A0FF2">
        <w:rPr>
          <w:rFonts w:asciiTheme="minorHAnsi" w:hAnsiTheme="minorHAnsi" w:cstheme="minorHAnsi"/>
        </w:rPr>
        <w:t>Interconnect</w:t>
      </w:r>
      <w:proofErr w:type="spellEnd"/>
      <w:r w:rsidRPr="004A0FF2">
        <w:rPr>
          <w:rFonts w:asciiTheme="minorHAnsi" w:hAnsiTheme="minorHAnsi" w:cstheme="minorHAnsi"/>
        </w:rPr>
        <w:t>) i konferencjach rocznych Programu (</w:t>
      </w:r>
      <w:proofErr w:type="spellStart"/>
      <w:r w:rsidRPr="004A0FF2">
        <w:rPr>
          <w:rFonts w:asciiTheme="minorHAnsi" w:hAnsiTheme="minorHAnsi" w:cstheme="minorHAnsi"/>
        </w:rPr>
        <w:t>South</w:t>
      </w:r>
      <w:proofErr w:type="spellEnd"/>
      <w:r w:rsidRPr="004A0FF2">
        <w:rPr>
          <w:rFonts w:asciiTheme="minorHAnsi" w:hAnsiTheme="minorHAnsi" w:cstheme="minorHAnsi"/>
        </w:rPr>
        <w:t xml:space="preserve"> </w:t>
      </w:r>
      <w:proofErr w:type="spellStart"/>
      <w:r w:rsidRPr="004A0FF2">
        <w:rPr>
          <w:rFonts w:asciiTheme="minorHAnsi" w:hAnsiTheme="minorHAnsi" w:cstheme="minorHAnsi"/>
        </w:rPr>
        <w:t>Baltic</w:t>
      </w:r>
      <w:proofErr w:type="spellEnd"/>
      <w:r w:rsidRPr="004A0FF2">
        <w:rPr>
          <w:rFonts w:asciiTheme="minorHAnsi" w:hAnsiTheme="minorHAnsi" w:cstheme="minorHAnsi"/>
        </w:rPr>
        <w:t xml:space="preserve"> Programme </w:t>
      </w:r>
      <w:proofErr w:type="spellStart"/>
      <w:r w:rsidRPr="004A0FF2">
        <w:rPr>
          <w:rFonts w:asciiTheme="minorHAnsi" w:hAnsiTheme="minorHAnsi" w:cstheme="minorHAnsi"/>
        </w:rPr>
        <w:t>Annual</w:t>
      </w:r>
      <w:proofErr w:type="spellEnd"/>
      <w:r w:rsidRPr="004A0FF2">
        <w:rPr>
          <w:rFonts w:asciiTheme="minorHAnsi" w:hAnsiTheme="minorHAnsi" w:cstheme="minorHAnsi"/>
        </w:rPr>
        <w:t xml:space="preserve"> </w:t>
      </w:r>
      <w:proofErr w:type="spellStart"/>
      <w:r w:rsidRPr="004A0FF2">
        <w:rPr>
          <w:rFonts w:asciiTheme="minorHAnsi" w:hAnsiTheme="minorHAnsi" w:cstheme="minorHAnsi"/>
        </w:rPr>
        <w:t>Events</w:t>
      </w:r>
      <w:proofErr w:type="spellEnd"/>
      <w:r w:rsidRPr="004A0FF2">
        <w:rPr>
          <w:rFonts w:asciiTheme="minorHAnsi" w:hAnsiTheme="minorHAnsi" w:cstheme="minorHAnsi"/>
        </w:rPr>
        <w:t xml:space="preserve"> w 2019 i 2020 roku). Wyniki tych badań zostały przedstawione i przedyskutowane przez WKP. Kolejne 2 dedykowane badania ankietowe wśród grupy małych i średnich portów obszaru Południowego Bałtyku zostały przeprowadzone przez WS w listopadzie 2019 i listopadzie 2020 roku.</w:t>
      </w:r>
    </w:p>
    <w:p w14:paraId="6C8854C2" w14:textId="77777777"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Dokumenty uzgodnione przez WKP zostały udostępnione opinii publicznej w zakładce strony internetowej programu poświęconej programowi na lata 2021-2027. Dokumenty te zostały również opublikowane na stronach internetowych instytucji programu i innych zaangażowanych interesariuszy. Zostały one także rozpowszechnione za pomocą poczty elektronicznej do organizacji biorących udział w procesie konsultacji od początku programowania.  </w:t>
      </w:r>
    </w:p>
    <w:p w14:paraId="4528854C" w14:textId="77777777"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Konsultacje społeczne projektu programu trwały od 8 września do 15 października 2021 r. i obejmowały m.in. możliwość przekazywania uwag za pośrednictwem poczty elektronicznej do WS oraz serię konferencji w regionach Południowego Bałtyku. Projekt dokumentu programowego był również dostępny na żądanie w instytucjach zaangażowanych w przygotowanie programu. Raporty z konsultacji publicznych są dostępne na wniosek Komisji Europejskiej. </w:t>
      </w:r>
    </w:p>
    <w:p w14:paraId="7FA90913" w14:textId="725953D9" w:rsidR="0011203E"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Uwagi i propozycje otrzymane w ramach konsultacji społecznych zostały przedyskutowane przez WKP i albo odpowiednio włą</w:t>
      </w:r>
      <w:r w:rsidR="0049577A" w:rsidRPr="004A0FF2">
        <w:rPr>
          <w:rFonts w:asciiTheme="minorHAnsi" w:hAnsiTheme="minorHAnsi" w:cstheme="minorHAnsi"/>
        </w:rPr>
        <w:t>czone do programu, albo odrzucone</w:t>
      </w:r>
      <w:r w:rsidRPr="004A0FF2">
        <w:rPr>
          <w:rFonts w:asciiTheme="minorHAnsi" w:hAnsiTheme="minorHAnsi" w:cstheme="minorHAnsi"/>
        </w:rPr>
        <w:t xml:space="preserve"> z odpowiednim uzasadnieniem.</w:t>
      </w:r>
    </w:p>
    <w:p w14:paraId="642AF87C" w14:textId="28217084" w:rsidR="0031483A"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Zaangażowanie partnerów społeczno-gospodarczych i środowiskowych Programu w prace Komitetu Monitorującego zostanie zapewnione przez państwa członkowskie zgodnie z Rozporządzeniem Delegowanym Komisji (UE) nr 240/2014 z dnia 7 stycznia 2014 r. w sprawie europejskiego kodeksu postępowania oraz rozporządzeniem ogólnym. W każdym Państwie Członkowskim zostaną zorganizowane odpowiednie partnerstwa, w formie krajowych/regionalnych podkomitetów lub krajowych/regionalnych sieci, grup i forów konsultacyjnych. Szczególny nacisk zostanie położony na angażowanie różnych chętnych partnerów do krajowych/regionalnych grup konsultacyjnych i wzmacnianie ich zdolności instytucjonalnych do uczestnictwa w działaniach w zakresie współpracy międzynarodowej. IZ zostanie poinformowana o uregulowaniach podjętych przez państwa członkowskie w celu zapewnienia zaangażowania odpowiednich interesariuszy w procesy konsultacyjne i decyzyjne Komitetu Monitorującego. Ponadto, w oparciu o wieloletnie doświadczenie we współpracy transgranicznej, dwa euroregiony działające na obszarze Południowego Bałtyku - Euroregion Bałtyk i Euroregion Pomerania, będą reprezentowane w Komitecie Monitorującym poprzez ich wspólną delegację </w:t>
      </w:r>
      <w:proofErr w:type="spellStart"/>
      <w:r w:rsidRPr="004A0FF2">
        <w:rPr>
          <w:rFonts w:asciiTheme="minorHAnsi" w:hAnsiTheme="minorHAnsi" w:cstheme="minorHAnsi"/>
        </w:rPr>
        <w:t>euroregionalną</w:t>
      </w:r>
      <w:proofErr w:type="spellEnd"/>
      <w:r w:rsidRPr="004A0FF2">
        <w:rPr>
          <w:rFonts w:asciiTheme="minorHAnsi" w:hAnsiTheme="minorHAnsi" w:cstheme="minorHAnsi"/>
        </w:rPr>
        <w:t>.</w:t>
      </w:r>
    </w:p>
    <w:p w14:paraId="28DEB876" w14:textId="5F8BAAC6" w:rsidR="008D6A96" w:rsidRPr="004A0FF2" w:rsidRDefault="0031483A"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Odpowiednie środki w celu uniknięcia potencjalnego konfliktu interesów zostaną podjęte w przypadku angażowania odpowiednich partnerów w przygotowanie naborów wniosków o dofinansowanie i proces podejmowania decyzji. Zapewniony zostanie udział odpowiednich partnerów w ewaluacji Programu, a wyniki ewaluacji będą przedmiotem konsultacji z partnerami. Wszystkie zasady i reguły zaangażowania zostaną szczegółowo określone w Regulaminie Komitetu Monitorującego.</w:t>
      </w:r>
    </w:p>
    <w:p w14:paraId="5006861F" w14:textId="77777777" w:rsidR="008D6A96" w:rsidRPr="004A0FF2" w:rsidRDefault="008D6A96" w:rsidP="004A0FF2">
      <w:pPr>
        <w:spacing w:after="120" w:line="360" w:lineRule="auto"/>
        <w:ind w:left="0" w:right="792" w:firstLine="0"/>
        <w:rPr>
          <w:rFonts w:asciiTheme="minorHAnsi" w:hAnsiTheme="minorHAnsi" w:cstheme="minorHAnsi"/>
        </w:rPr>
      </w:pPr>
    </w:p>
    <w:p w14:paraId="2BAA4476" w14:textId="77777777" w:rsidR="008D6A96" w:rsidRPr="002F1719" w:rsidRDefault="008D6A96" w:rsidP="008D6A96">
      <w:pPr>
        <w:autoSpaceDE w:val="0"/>
        <w:autoSpaceDN w:val="0"/>
        <w:adjustRightInd w:val="0"/>
        <w:spacing w:after="0" w:line="240" w:lineRule="auto"/>
        <w:ind w:left="0" w:right="0" w:firstLine="0"/>
        <w:rPr>
          <w:rFonts w:asciiTheme="minorHAnsi" w:eastAsiaTheme="minorEastAsia" w:hAnsiTheme="minorHAnsi" w:cstheme="minorHAnsi"/>
          <w:szCs w:val="24"/>
        </w:rPr>
      </w:pPr>
    </w:p>
    <w:p w14:paraId="4FD23A4C" w14:textId="77777777" w:rsidR="008D6A96" w:rsidRPr="004A0FF2" w:rsidRDefault="008D6A96" w:rsidP="000D773F">
      <w:pPr>
        <w:pStyle w:val="Heading2"/>
        <w:ind w:left="0"/>
      </w:pPr>
      <w:r w:rsidRPr="004A0FF2">
        <w:t>Podejście do informowania o programie Interreg i jego widoczności (cele, grupy docelowe, kanały komunikacyjne, w tym wykorzystanie mediów społecznościowych, w stosownych przypadkach, planowany budżet i stosowne wskaźniki monitorowania i ewaluacji)</w:t>
      </w:r>
    </w:p>
    <w:p w14:paraId="28A977C0" w14:textId="4F135A63" w:rsidR="008D6A96" w:rsidRPr="004A0FF2" w:rsidRDefault="008D6A96" w:rsidP="000D773F">
      <w:pPr>
        <w:spacing w:after="120" w:line="360" w:lineRule="auto"/>
        <w:ind w:left="0" w:right="792" w:firstLine="0"/>
        <w:rPr>
          <w:rFonts w:asciiTheme="minorHAnsi" w:hAnsiTheme="minorHAnsi" w:cstheme="minorHAnsi"/>
        </w:rPr>
      </w:pPr>
      <w:r w:rsidRPr="004A0FF2">
        <w:rPr>
          <w:rFonts w:asciiTheme="minorHAnsi" w:hAnsiTheme="minorHAnsi" w:cstheme="minorHAnsi"/>
        </w:rPr>
        <w:t>Podstawa prawna: art. 17 ust. 3 lit. h)</w:t>
      </w:r>
    </w:p>
    <w:p w14:paraId="79C6C80E" w14:textId="3A09D64A" w:rsidR="0000460D" w:rsidRPr="002F1719" w:rsidRDefault="00B65905" w:rsidP="004A0FF2">
      <w:pPr>
        <w:spacing w:after="120" w:line="360" w:lineRule="auto"/>
        <w:ind w:left="0" w:right="792" w:firstLine="0"/>
        <w:rPr>
          <w:rFonts w:asciiTheme="minorHAnsi" w:hAnsiTheme="minorHAnsi" w:cstheme="minorHAnsi"/>
          <w:color w:val="auto"/>
          <w:szCs w:val="24"/>
          <w:lang w:eastAsia="pl-PL"/>
        </w:rPr>
      </w:pPr>
      <w:r w:rsidRPr="002F1719">
        <w:rPr>
          <w:rFonts w:asciiTheme="minorHAnsi" w:hAnsiTheme="minorHAnsi" w:cstheme="minorHAnsi"/>
          <w:color w:val="auto"/>
          <w:szCs w:val="24"/>
          <w:lang w:eastAsia="pl-PL"/>
        </w:rPr>
        <w:t xml:space="preserve">Celem tego rozdziału jest zdefiniowanie, w jaki sposób działania informacyjno-promocyjne będą wdrażane w programie Południowy Bałtyk perspektywy 2021-2027. Działania prowadzone przez program i jego beneficjentów będą zintegrowane, skoordynowane i komplementarne w stosunku do celów komunikacyjnych Polityki Spójności. Więcej </w:t>
      </w:r>
      <w:r w:rsidRPr="004A0FF2">
        <w:rPr>
          <w:rFonts w:asciiTheme="minorHAnsi" w:hAnsiTheme="minorHAnsi" w:cstheme="minorHAnsi"/>
        </w:rPr>
        <w:t>szczegółów</w:t>
      </w:r>
      <w:r w:rsidRPr="002F1719">
        <w:rPr>
          <w:rFonts w:asciiTheme="minorHAnsi" w:hAnsiTheme="minorHAnsi" w:cstheme="minorHAnsi"/>
          <w:color w:val="auto"/>
          <w:szCs w:val="24"/>
          <w:lang w:eastAsia="pl-PL"/>
        </w:rPr>
        <w:t xml:space="preserve"> w tym zakresie będzie zawarte w Strategii komunikacji programu.</w:t>
      </w:r>
    </w:p>
    <w:p w14:paraId="250CBF4B" w14:textId="77777777" w:rsidR="00B65905" w:rsidRPr="002F1719" w:rsidRDefault="00B65905" w:rsidP="0031483A">
      <w:pPr>
        <w:spacing w:after="0" w:line="240" w:lineRule="auto"/>
        <w:ind w:left="0" w:right="0" w:firstLine="0"/>
        <w:jc w:val="both"/>
        <w:rPr>
          <w:rFonts w:asciiTheme="minorHAnsi" w:hAnsiTheme="minorHAnsi" w:cstheme="minorHAnsi"/>
          <w:color w:val="auto"/>
          <w:szCs w:val="24"/>
          <w:lang w:eastAsia="pl-PL"/>
        </w:rPr>
      </w:pPr>
    </w:p>
    <w:p w14:paraId="42341AB8" w14:textId="77777777" w:rsidR="008D6A96" w:rsidRPr="002F1719" w:rsidRDefault="008D6A96" w:rsidP="0031483A">
      <w:pPr>
        <w:spacing w:after="0" w:line="240" w:lineRule="auto"/>
        <w:ind w:left="0" w:right="0" w:firstLine="0"/>
        <w:jc w:val="both"/>
        <w:rPr>
          <w:rFonts w:asciiTheme="minorHAnsi" w:hAnsiTheme="minorHAnsi" w:cstheme="minorHAnsi"/>
          <w:b/>
          <w:bCs/>
          <w:color w:val="auto"/>
          <w:szCs w:val="24"/>
          <w:lang w:eastAsia="pl-PL"/>
        </w:rPr>
      </w:pPr>
    </w:p>
    <w:p w14:paraId="201EC3BD" w14:textId="77777777" w:rsidR="007D46C1" w:rsidRPr="004A0FF2" w:rsidRDefault="007D46C1"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Cel główny</w:t>
      </w:r>
    </w:p>
    <w:p w14:paraId="7B5D14FC" w14:textId="5B48ED08" w:rsidR="007D46C1" w:rsidRPr="004A0FF2" w:rsidRDefault="007D46C1"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Wspieranie wdrażania celów programu poprzez działania informacyjne i promocyjne, jak również przedstawianie wpływu środków europejskich na region Południowego </w:t>
      </w:r>
      <w:proofErr w:type="spellStart"/>
      <w:r w:rsidRPr="004A0FF2">
        <w:rPr>
          <w:rFonts w:asciiTheme="minorHAnsi" w:hAnsiTheme="minorHAnsi" w:cstheme="minorHAnsi"/>
        </w:rPr>
        <w:t>Batyku</w:t>
      </w:r>
      <w:proofErr w:type="spellEnd"/>
    </w:p>
    <w:p w14:paraId="20971D0D" w14:textId="77777777" w:rsidR="008D6A96" w:rsidRPr="004A0FF2" w:rsidRDefault="008D6A96" w:rsidP="004A0FF2">
      <w:pPr>
        <w:spacing w:after="120" w:line="360" w:lineRule="auto"/>
        <w:ind w:left="0" w:right="792" w:firstLine="0"/>
        <w:rPr>
          <w:rFonts w:asciiTheme="minorHAnsi" w:hAnsiTheme="minorHAnsi" w:cstheme="minorHAnsi"/>
        </w:rPr>
      </w:pPr>
    </w:p>
    <w:p w14:paraId="68FF27D5" w14:textId="6BB81840" w:rsidR="008D6A96" w:rsidRPr="004A0FF2" w:rsidRDefault="007D46C1" w:rsidP="004A0FF2">
      <w:pPr>
        <w:spacing w:after="120" w:line="360" w:lineRule="auto"/>
        <w:ind w:left="0" w:right="792" w:firstLine="0"/>
        <w:rPr>
          <w:rFonts w:asciiTheme="minorHAnsi" w:hAnsiTheme="minorHAnsi" w:cstheme="minorHAnsi"/>
        </w:rPr>
      </w:pPr>
      <w:r w:rsidRPr="004A0FF2">
        <w:rPr>
          <w:rFonts w:asciiTheme="minorHAnsi" w:hAnsiTheme="minorHAnsi" w:cstheme="minorHAnsi"/>
        </w:rPr>
        <w:t xml:space="preserve">Cele szczegółowe </w:t>
      </w:r>
    </w:p>
    <w:p w14:paraId="1FA7FAB6" w14:textId="376AAE8C" w:rsidR="008D6A96" w:rsidRPr="006A2444" w:rsidRDefault="007D46C1"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6A2444">
        <w:rPr>
          <w:rFonts w:asciiTheme="minorHAnsi" w:eastAsia="Calibri" w:hAnsiTheme="minorHAnsi" w:cstheme="minorHAnsi"/>
          <w:color w:val="auto"/>
          <w:szCs w:val="24"/>
          <w:lang w:eastAsia="ar-SA"/>
        </w:rPr>
        <w:t xml:space="preserve">informowanie o możliwościach </w:t>
      </w:r>
      <w:r w:rsidR="0031483A" w:rsidRPr="006A2444">
        <w:rPr>
          <w:rFonts w:asciiTheme="minorHAnsi" w:eastAsia="Calibri" w:hAnsiTheme="minorHAnsi" w:cstheme="minorHAnsi"/>
          <w:color w:val="auto"/>
          <w:szCs w:val="24"/>
          <w:lang w:eastAsia="ar-SA"/>
        </w:rPr>
        <w:t>współfinansowania</w:t>
      </w:r>
      <w:r w:rsidRPr="006A2444">
        <w:rPr>
          <w:rFonts w:asciiTheme="minorHAnsi" w:eastAsia="Calibri" w:hAnsiTheme="minorHAnsi" w:cstheme="minorHAnsi"/>
          <w:color w:val="auto"/>
          <w:szCs w:val="24"/>
          <w:lang w:eastAsia="ar-SA"/>
        </w:rPr>
        <w:t xml:space="preserve"> projektów transgranicznych i aktywizowanie do pozyskiwania funduszy</w:t>
      </w:r>
      <w:r w:rsidR="008D6A96" w:rsidRPr="006A2444">
        <w:rPr>
          <w:rFonts w:asciiTheme="minorHAnsi" w:eastAsia="Calibri" w:hAnsiTheme="minorHAnsi" w:cstheme="minorHAnsi"/>
          <w:color w:val="auto"/>
          <w:szCs w:val="24"/>
          <w:lang w:eastAsia="ar-SA"/>
        </w:rPr>
        <w:t>,</w:t>
      </w:r>
    </w:p>
    <w:p w14:paraId="0A49D3EA" w14:textId="10900451" w:rsidR="008D6A96" w:rsidRPr="006A2444" w:rsidRDefault="007D46C1"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6A2444">
        <w:rPr>
          <w:rFonts w:asciiTheme="minorHAnsi" w:eastAsia="Calibri" w:hAnsiTheme="minorHAnsi" w:cstheme="minorHAnsi"/>
          <w:color w:val="auto"/>
          <w:szCs w:val="24"/>
          <w:lang w:eastAsia="ar-SA"/>
        </w:rPr>
        <w:t>wspieranie wdrażania projektów, w tym działań informacyjno-promocyjnych</w:t>
      </w:r>
      <w:r w:rsidR="008D6A96" w:rsidRPr="006A2444">
        <w:rPr>
          <w:rFonts w:asciiTheme="minorHAnsi" w:eastAsia="Calibri" w:hAnsiTheme="minorHAnsi" w:cstheme="minorHAnsi"/>
          <w:color w:val="auto"/>
          <w:szCs w:val="24"/>
          <w:lang w:eastAsia="ar-SA"/>
        </w:rPr>
        <w:t>,</w:t>
      </w:r>
    </w:p>
    <w:p w14:paraId="4D536989" w14:textId="76618AA9" w:rsidR="008D6A96" w:rsidRPr="006A2444" w:rsidRDefault="007D46C1"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6A2444">
        <w:rPr>
          <w:rFonts w:asciiTheme="minorHAnsi" w:eastAsia="Calibri" w:hAnsiTheme="minorHAnsi" w:cstheme="minorHAnsi"/>
          <w:color w:val="auto"/>
          <w:szCs w:val="24"/>
          <w:lang w:eastAsia="ar-SA"/>
        </w:rPr>
        <w:t xml:space="preserve">informowanie o działaniach i rezultatach programu, pokazywanie pozytywnego wpływu projektów na życie ludzi oraz wartości dodanej funduszy europejskich. </w:t>
      </w:r>
    </w:p>
    <w:p w14:paraId="14048916" w14:textId="77777777" w:rsidR="008D6A96" w:rsidRPr="004A0FF2" w:rsidRDefault="008D6A96" w:rsidP="004A0FF2">
      <w:pPr>
        <w:spacing w:after="120" w:line="360" w:lineRule="auto"/>
        <w:ind w:left="0" w:right="0" w:firstLine="0"/>
        <w:jc w:val="both"/>
        <w:rPr>
          <w:rFonts w:asciiTheme="minorHAnsi" w:hAnsiTheme="minorHAnsi" w:cstheme="minorHAnsi"/>
          <w:color w:val="auto"/>
          <w:szCs w:val="24"/>
          <w:lang w:eastAsia="pl-PL"/>
        </w:rPr>
      </w:pPr>
    </w:p>
    <w:p w14:paraId="163B0FC1" w14:textId="28D58C94" w:rsidR="008D6A96" w:rsidRPr="004A0FF2" w:rsidRDefault="007D46C1" w:rsidP="004A0FF2">
      <w:pPr>
        <w:spacing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Grupy docelowe</w:t>
      </w:r>
    </w:p>
    <w:p w14:paraId="2D7B744E" w14:textId="301AF539" w:rsidR="007D46C1" w:rsidRPr="004A0FF2" w:rsidRDefault="007D46C1" w:rsidP="004A0FF2">
      <w:pPr>
        <w:autoSpaceDE w:val="0"/>
        <w:autoSpaceDN w:val="0"/>
        <w:adjustRightInd w:val="0"/>
        <w:spacing w:after="120" w:line="360" w:lineRule="auto"/>
        <w:ind w:left="0" w:right="0" w:firstLine="0"/>
        <w:jc w:val="both"/>
        <w:rPr>
          <w:rFonts w:asciiTheme="minorHAnsi" w:hAnsiTheme="minorHAnsi" w:cstheme="minorHAnsi"/>
          <w:szCs w:val="24"/>
          <w:lang w:eastAsia="pl-PL"/>
        </w:rPr>
      </w:pPr>
      <w:r w:rsidRPr="004A0FF2">
        <w:rPr>
          <w:rFonts w:asciiTheme="minorHAnsi" w:hAnsiTheme="minorHAnsi" w:cstheme="minorHAnsi"/>
          <w:szCs w:val="24"/>
          <w:lang w:eastAsia="pl-PL"/>
        </w:rPr>
        <w:t xml:space="preserve">Główne </w:t>
      </w:r>
      <w:proofErr w:type="spellStart"/>
      <w:r w:rsidRPr="004A0FF2">
        <w:rPr>
          <w:rFonts w:asciiTheme="minorHAnsi" w:hAnsiTheme="minorHAnsi" w:cstheme="minorHAnsi"/>
          <w:szCs w:val="24"/>
          <w:lang w:eastAsia="pl-PL"/>
        </w:rPr>
        <w:t>gupy</w:t>
      </w:r>
      <w:proofErr w:type="spellEnd"/>
      <w:r w:rsidRPr="004A0FF2">
        <w:rPr>
          <w:rFonts w:asciiTheme="minorHAnsi" w:hAnsiTheme="minorHAnsi" w:cstheme="minorHAnsi"/>
          <w:szCs w:val="24"/>
          <w:lang w:eastAsia="pl-PL"/>
        </w:rPr>
        <w:t xml:space="preserve"> docelowe programu, a więc również jego działań komunikacyjnych, to beneficjenci i potencjalni beneficjenci. Są oni jasno zdefiniowani dla każdego działania programu w sekcji „Główne grupy docelowe” w rozdziale 2. </w:t>
      </w:r>
    </w:p>
    <w:p w14:paraId="666ABB3B" w14:textId="1586A59B" w:rsidR="008D6A96" w:rsidRPr="004A0FF2" w:rsidRDefault="006677F3" w:rsidP="004A0FF2">
      <w:pPr>
        <w:spacing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Obejmują one między innymi opinię publiczną, władze publiczne szczebla lokalnego, regionalnego i krajowego, instytucje otoczenia biznesu, organizacje pozarządowe (</w:t>
      </w:r>
      <w:proofErr w:type="spellStart"/>
      <w:r w:rsidRPr="004A0FF2">
        <w:rPr>
          <w:rFonts w:asciiTheme="minorHAnsi" w:hAnsiTheme="minorHAnsi" w:cstheme="minorHAnsi"/>
          <w:color w:val="auto"/>
          <w:szCs w:val="24"/>
          <w:lang w:eastAsia="pl-PL"/>
        </w:rPr>
        <w:t>NGOs</w:t>
      </w:r>
      <w:proofErr w:type="spellEnd"/>
      <w:r w:rsidRPr="004A0FF2">
        <w:rPr>
          <w:rFonts w:asciiTheme="minorHAnsi" w:hAnsiTheme="minorHAnsi" w:cstheme="minorHAnsi"/>
          <w:color w:val="auto"/>
          <w:szCs w:val="24"/>
          <w:lang w:eastAsia="pl-PL"/>
        </w:rPr>
        <w:t>), instytucje szkolnictwa wyższego i jednostki badawcze, centra szkoleniowe.</w:t>
      </w:r>
    </w:p>
    <w:p w14:paraId="6A5BB293" w14:textId="77777777" w:rsidR="008D6A96" w:rsidRPr="004A0FF2" w:rsidRDefault="008D6A96" w:rsidP="004A0FF2">
      <w:pPr>
        <w:spacing w:after="120" w:line="360" w:lineRule="auto"/>
        <w:ind w:left="0" w:right="0" w:firstLine="0"/>
        <w:jc w:val="both"/>
        <w:rPr>
          <w:rFonts w:asciiTheme="minorHAnsi" w:hAnsiTheme="minorHAnsi" w:cstheme="minorHAnsi"/>
          <w:color w:val="auto"/>
          <w:szCs w:val="24"/>
          <w:lang w:eastAsia="pl-PL"/>
        </w:rPr>
      </w:pPr>
    </w:p>
    <w:p w14:paraId="5ADEA6AA" w14:textId="579BF4E3" w:rsidR="008D6A96" w:rsidRPr="004A0FF2" w:rsidRDefault="006677F3" w:rsidP="004A0FF2">
      <w:pPr>
        <w:spacing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 xml:space="preserve">Kanały komunikacji </w:t>
      </w:r>
    </w:p>
    <w:p w14:paraId="3D4A0A89" w14:textId="6C44727E" w:rsidR="008D6A96" w:rsidRPr="004A0FF2" w:rsidRDefault="006677F3" w:rsidP="004A0FF2">
      <w:pPr>
        <w:spacing w:before="240"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 xml:space="preserve">Biorąc pod uwagę wszystkie grupy docelowe, program Południowy Bałtyk będzie wykorzystywał następujące kanały komunikacji: </w:t>
      </w:r>
    </w:p>
    <w:p w14:paraId="074697F8" w14:textId="4A6057CD" w:rsidR="006677F3" w:rsidRPr="004A0FF2" w:rsidRDefault="0059280B"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s</w:t>
      </w:r>
      <w:r w:rsidR="006677F3" w:rsidRPr="004A0FF2">
        <w:rPr>
          <w:rFonts w:asciiTheme="minorHAnsi" w:eastAsia="Calibri" w:hAnsiTheme="minorHAnsi" w:cstheme="minorHAnsi"/>
          <w:color w:val="auto"/>
          <w:szCs w:val="24"/>
          <w:lang w:eastAsia="ar-SA"/>
        </w:rPr>
        <w:t>trony programu oraz odpowiednich instytucji zaangażowanych we wdrażanie programu i funduszy UE w każdym Państwie Członkowskim uczestniczącym w programie</w:t>
      </w:r>
    </w:p>
    <w:p w14:paraId="2ABDD75E" w14:textId="3D0B9088" w:rsidR="008D6A96" w:rsidRPr="004A0FF2" w:rsidRDefault="0059280B"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m</w:t>
      </w:r>
      <w:r w:rsidR="008D6A96" w:rsidRPr="004A0FF2">
        <w:rPr>
          <w:rFonts w:asciiTheme="minorHAnsi" w:eastAsia="Calibri" w:hAnsiTheme="minorHAnsi" w:cstheme="minorHAnsi"/>
          <w:color w:val="auto"/>
          <w:szCs w:val="24"/>
          <w:lang w:eastAsia="ar-SA"/>
        </w:rPr>
        <w:t>edia</w:t>
      </w:r>
      <w:r w:rsidR="006677F3" w:rsidRPr="004A0FF2">
        <w:rPr>
          <w:rFonts w:asciiTheme="minorHAnsi" w:eastAsia="Calibri" w:hAnsiTheme="minorHAnsi" w:cstheme="minorHAnsi"/>
          <w:color w:val="auto"/>
          <w:szCs w:val="24"/>
          <w:lang w:eastAsia="ar-SA"/>
        </w:rPr>
        <w:t xml:space="preserve"> społecznościowe</w:t>
      </w:r>
      <w:r w:rsidR="008D6A96" w:rsidRPr="004A0FF2">
        <w:rPr>
          <w:rFonts w:asciiTheme="minorHAnsi" w:eastAsia="Calibri" w:hAnsiTheme="minorHAnsi" w:cstheme="minorHAnsi"/>
          <w:color w:val="auto"/>
          <w:szCs w:val="24"/>
          <w:lang w:eastAsia="ar-SA"/>
        </w:rPr>
        <w:t>,</w:t>
      </w:r>
    </w:p>
    <w:p w14:paraId="4FFC0D29" w14:textId="79393E38" w:rsidR="008D6A96" w:rsidRPr="004A0FF2" w:rsidRDefault="008D6A96"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 xml:space="preserve">media </w:t>
      </w:r>
      <w:r w:rsidR="006677F3" w:rsidRPr="004A0FF2">
        <w:rPr>
          <w:rFonts w:asciiTheme="minorHAnsi" w:eastAsia="Calibri" w:hAnsiTheme="minorHAnsi" w:cstheme="minorHAnsi"/>
          <w:color w:val="auto"/>
          <w:szCs w:val="24"/>
          <w:lang w:eastAsia="ar-SA"/>
        </w:rPr>
        <w:t xml:space="preserve">tradycyjne </w:t>
      </w:r>
      <w:r w:rsidRPr="004A0FF2">
        <w:rPr>
          <w:rFonts w:asciiTheme="minorHAnsi" w:eastAsia="Calibri" w:hAnsiTheme="minorHAnsi" w:cstheme="minorHAnsi"/>
          <w:color w:val="auto"/>
          <w:szCs w:val="24"/>
          <w:lang w:eastAsia="ar-SA"/>
        </w:rPr>
        <w:t>(lo</w:t>
      </w:r>
      <w:r w:rsidR="006677F3" w:rsidRPr="004A0FF2">
        <w:rPr>
          <w:rFonts w:asciiTheme="minorHAnsi" w:eastAsia="Calibri" w:hAnsiTheme="minorHAnsi" w:cstheme="minorHAnsi"/>
          <w:color w:val="auto"/>
          <w:szCs w:val="24"/>
          <w:lang w:eastAsia="ar-SA"/>
        </w:rPr>
        <w:t>kalne i regionalne</w:t>
      </w:r>
      <w:r w:rsidRPr="004A0FF2">
        <w:rPr>
          <w:rFonts w:asciiTheme="minorHAnsi" w:eastAsia="Calibri" w:hAnsiTheme="minorHAnsi" w:cstheme="minorHAnsi"/>
          <w:color w:val="auto"/>
          <w:szCs w:val="24"/>
          <w:lang w:eastAsia="ar-SA"/>
        </w:rPr>
        <w:t>),</w:t>
      </w:r>
    </w:p>
    <w:p w14:paraId="1391B9D6" w14:textId="486EF616" w:rsidR="008D6A96" w:rsidRPr="004A0FF2" w:rsidRDefault="006677F3"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wydarzenia informacyjno-promocyjne</w:t>
      </w:r>
      <w:r w:rsidR="008D6A96" w:rsidRPr="004A0FF2">
        <w:rPr>
          <w:rFonts w:asciiTheme="minorHAnsi" w:eastAsia="Calibri" w:hAnsiTheme="minorHAnsi" w:cstheme="minorHAnsi"/>
          <w:color w:val="auto"/>
          <w:szCs w:val="24"/>
          <w:lang w:eastAsia="ar-SA"/>
        </w:rPr>
        <w:t>,</w:t>
      </w:r>
    </w:p>
    <w:p w14:paraId="5892F559" w14:textId="34336A41" w:rsidR="008D6A96" w:rsidRPr="004A0FF2" w:rsidRDefault="006677F3"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 xml:space="preserve">publikacje </w:t>
      </w:r>
      <w:r w:rsidR="008D6A96" w:rsidRPr="004A0FF2">
        <w:rPr>
          <w:rFonts w:asciiTheme="minorHAnsi" w:eastAsia="Calibri" w:hAnsiTheme="minorHAnsi" w:cstheme="minorHAnsi"/>
          <w:color w:val="auto"/>
          <w:szCs w:val="24"/>
          <w:lang w:eastAsia="ar-SA"/>
        </w:rPr>
        <w:t>(</w:t>
      </w:r>
      <w:r w:rsidRPr="004A0FF2">
        <w:rPr>
          <w:rFonts w:asciiTheme="minorHAnsi" w:eastAsia="Calibri" w:hAnsiTheme="minorHAnsi" w:cstheme="minorHAnsi"/>
          <w:color w:val="auto"/>
          <w:szCs w:val="24"/>
          <w:lang w:eastAsia="ar-SA"/>
        </w:rPr>
        <w:t xml:space="preserve">w tym publikacje </w:t>
      </w:r>
      <w:r w:rsidR="008D6A96" w:rsidRPr="004A0FF2">
        <w:rPr>
          <w:rFonts w:asciiTheme="minorHAnsi" w:eastAsia="Calibri" w:hAnsiTheme="minorHAnsi" w:cstheme="minorHAnsi"/>
          <w:color w:val="auto"/>
          <w:szCs w:val="24"/>
          <w:lang w:eastAsia="ar-SA"/>
        </w:rPr>
        <w:t xml:space="preserve">on-line), </w:t>
      </w:r>
    </w:p>
    <w:p w14:paraId="18DB306D" w14:textId="791B8F5D" w:rsidR="008D6A96" w:rsidRPr="004A0FF2" w:rsidRDefault="006677F3"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 xml:space="preserve">regionalne punkty kontaktowe, Punkty Informacyjne Funduszy Europejskich, sieć </w:t>
      </w:r>
      <w:proofErr w:type="spellStart"/>
      <w:r w:rsidR="008D6A96" w:rsidRPr="004A0FF2">
        <w:rPr>
          <w:rFonts w:asciiTheme="minorHAnsi" w:eastAsia="Calibri" w:hAnsiTheme="minorHAnsi" w:cstheme="minorHAnsi"/>
          <w:color w:val="auto"/>
          <w:szCs w:val="24"/>
          <w:lang w:eastAsia="ar-SA"/>
        </w:rPr>
        <w:t>EuropeDirect</w:t>
      </w:r>
      <w:proofErr w:type="spellEnd"/>
      <w:r w:rsidR="008D6A96" w:rsidRPr="004A0FF2">
        <w:rPr>
          <w:rFonts w:asciiTheme="minorHAnsi" w:eastAsia="Calibri" w:hAnsiTheme="minorHAnsi" w:cstheme="minorHAnsi"/>
          <w:color w:val="auto"/>
          <w:szCs w:val="24"/>
          <w:lang w:eastAsia="ar-SA"/>
        </w:rPr>
        <w:t>.</w:t>
      </w:r>
    </w:p>
    <w:p w14:paraId="2BDD77F3" w14:textId="6B492805" w:rsidR="008D6A96" w:rsidRPr="004A0FF2" w:rsidRDefault="006677F3" w:rsidP="004A0FF2">
      <w:pPr>
        <w:spacing w:before="240"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Komunikacja adresowana do beneficjentów i potencjalnych beneficjentów obejmować będzie następujące działania:</w:t>
      </w:r>
    </w:p>
    <w:p w14:paraId="6A4F8183" w14:textId="4AA67E7D" w:rsidR="008D6A96" w:rsidRPr="004A0FF2" w:rsidRDefault="003B3B8A"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szkolenia i warsztaty</w:t>
      </w:r>
      <w:r w:rsidR="008D6A96" w:rsidRPr="004A0FF2">
        <w:rPr>
          <w:rFonts w:asciiTheme="minorHAnsi" w:eastAsia="Calibri" w:hAnsiTheme="minorHAnsi" w:cstheme="minorHAnsi"/>
          <w:color w:val="auto"/>
          <w:szCs w:val="24"/>
          <w:lang w:eastAsia="ar-SA"/>
        </w:rPr>
        <w:t>,</w:t>
      </w:r>
    </w:p>
    <w:p w14:paraId="07286F70" w14:textId="7D1CFE96" w:rsidR="008D6A96" w:rsidRPr="004A0FF2" w:rsidRDefault="003B3B8A"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 xml:space="preserve">konsultacje „twarzą w twarz” i </w:t>
      </w:r>
      <w:r w:rsidR="008D6A96" w:rsidRPr="004A0FF2">
        <w:rPr>
          <w:rFonts w:asciiTheme="minorHAnsi" w:eastAsia="Calibri" w:hAnsiTheme="minorHAnsi" w:cstheme="minorHAnsi"/>
          <w:color w:val="auto"/>
          <w:szCs w:val="24"/>
          <w:lang w:eastAsia="ar-SA"/>
        </w:rPr>
        <w:t>on-line,</w:t>
      </w:r>
    </w:p>
    <w:p w14:paraId="3547BDEE" w14:textId="5609DCB2" w:rsidR="008D6A96" w:rsidRPr="004A0FF2" w:rsidRDefault="003B3B8A"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 xml:space="preserve">aplikacje internetowe </w:t>
      </w:r>
      <w:r w:rsidR="008D6A96" w:rsidRPr="004A0FF2">
        <w:rPr>
          <w:rFonts w:asciiTheme="minorHAnsi" w:eastAsia="Calibri" w:hAnsiTheme="minorHAnsi" w:cstheme="minorHAnsi"/>
          <w:color w:val="auto"/>
          <w:szCs w:val="24"/>
          <w:lang w:eastAsia="ar-SA"/>
        </w:rPr>
        <w:t>(</w:t>
      </w:r>
      <w:r w:rsidRPr="004A0FF2">
        <w:rPr>
          <w:rFonts w:asciiTheme="minorHAnsi" w:eastAsia="Calibri" w:hAnsiTheme="minorHAnsi" w:cstheme="minorHAnsi"/>
          <w:color w:val="auto"/>
          <w:szCs w:val="24"/>
          <w:lang w:eastAsia="ar-SA"/>
        </w:rPr>
        <w:t xml:space="preserve">system informatyczny do przygotowywania wniosków o dofinansowanie, rozliczania projektu, platformę </w:t>
      </w:r>
      <w:r w:rsidR="0031483A" w:rsidRPr="004A0FF2">
        <w:rPr>
          <w:rFonts w:asciiTheme="minorHAnsi" w:eastAsia="Calibri" w:hAnsiTheme="minorHAnsi" w:cstheme="minorHAnsi"/>
          <w:color w:val="auto"/>
          <w:szCs w:val="24"/>
          <w:lang w:eastAsia="ar-SA"/>
        </w:rPr>
        <w:t>komunikacji</w:t>
      </w:r>
      <w:r w:rsidRPr="004A0FF2">
        <w:rPr>
          <w:rFonts w:asciiTheme="minorHAnsi" w:eastAsia="Calibri" w:hAnsiTheme="minorHAnsi" w:cstheme="minorHAnsi"/>
          <w:color w:val="auto"/>
          <w:szCs w:val="24"/>
          <w:lang w:eastAsia="ar-SA"/>
        </w:rPr>
        <w:t xml:space="preserve"> on-line</w:t>
      </w:r>
      <w:r w:rsidR="008D6A96" w:rsidRPr="004A0FF2">
        <w:rPr>
          <w:rFonts w:asciiTheme="minorHAnsi" w:eastAsia="Calibri" w:hAnsiTheme="minorHAnsi" w:cstheme="minorHAnsi"/>
          <w:color w:val="auto"/>
          <w:szCs w:val="24"/>
          <w:lang w:eastAsia="ar-SA"/>
        </w:rPr>
        <w:t>).</w:t>
      </w:r>
    </w:p>
    <w:p w14:paraId="75A0B0EC" w14:textId="5608B7A5" w:rsidR="003B3B8A" w:rsidRPr="004A0FF2" w:rsidRDefault="003B3B8A" w:rsidP="004A0FF2">
      <w:pPr>
        <w:spacing w:before="240"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 xml:space="preserve">Potencjał i możliwości komunikacyjne beneficjentów będą używane w działaniach informacyjno-promocyjnych programu poprzez: </w:t>
      </w:r>
    </w:p>
    <w:p w14:paraId="7E3B13FF" w14:textId="3CB701FA" w:rsidR="008D6A96" w:rsidRPr="004A0FF2" w:rsidRDefault="003B3B8A"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budowanie i utrzymywanie relacji z beneficjentami</w:t>
      </w:r>
      <w:r w:rsidR="008D6A96" w:rsidRPr="004A0FF2">
        <w:rPr>
          <w:rFonts w:asciiTheme="minorHAnsi" w:eastAsia="Calibri" w:hAnsiTheme="minorHAnsi" w:cstheme="minorHAnsi"/>
          <w:color w:val="auto"/>
          <w:szCs w:val="24"/>
          <w:lang w:eastAsia="ar-SA"/>
        </w:rPr>
        <w:t>,</w:t>
      </w:r>
    </w:p>
    <w:p w14:paraId="3B7B08C9" w14:textId="7FEF09C1" w:rsidR="008D6A96" w:rsidRPr="004A0FF2" w:rsidRDefault="007C6D89" w:rsidP="006A2444">
      <w:pPr>
        <w:numPr>
          <w:ilvl w:val="0"/>
          <w:numId w:val="2"/>
        </w:numPr>
        <w:spacing w:after="120" w:line="360" w:lineRule="auto"/>
        <w:ind w:left="360" w:right="0"/>
        <w:contextualSpacing/>
        <w:jc w:val="both"/>
        <w:rPr>
          <w:rFonts w:asciiTheme="minorHAnsi" w:eastAsia="Calibri" w:hAnsiTheme="minorHAnsi" w:cstheme="minorHAnsi"/>
          <w:color w:val="auto"/>
          <w:szCs w:val="24"/>
          <w:lang w:eastAsia="ar-SA"/>
        </w:rPr>
      </w:pPr>
      <w:r w:rsidRPr="004A0FF2">
        <w:rPr>
          <w:rFonts w:asciiTheme="minorHAnsi" w:eastAsia="Calibri" w:hAnsiTheme="minorHAnsi" w:cstheme="minorHAnsi"/>
          <w:color w:val="auto"/>
          <w:szCs w:val="24"/>
          <w:lang w:eastAsia="ar-SA"/>
        </w:rPr>
        <w:t>angażowanie beneficjentów do roli ambasadorów programu i mar</w:t>
      </w:r>
      <w:r w:rsidR="00044902" w:rsidRPr="004A0FF2">
        <w:rPr>
          <w:rFonts w:asciiTheme="minorHAnsi" w:eastAsia="Calibri" w:hAnsiTheme="minorHAnsi" w:cstheme="minorHAnsi"/>
          <w:color w:val="auto"/>
          <w:szCs w:val="24"/>
          <w:lang w:eastAsia="ar-SA"/>
        </w:rPr>
        <w:t>k</w:t>
      </w:r>
      <w:r w:rsidRPr="004A0FF2">
        <w:rPr>
          <w:rFonts w:asciiTheme="minorHAnsi" w:eastAsia="Calibri" w:hAnsiTheme="minorHAnsi" w:cstheme="minorHAnsi"/>
          <w:color w:val="auto"/>
          <w:szCs w:val="24"/>
          <w:lang w:eastAsia="ar-SA"/>
        </w:rPr>
        <w:t>i Interreg, jak ró</w:t>
      </w:r>
      <w:r w:rsidR="00044902" w:rsidRPr="004A0FF2">
        <w:rPr>
          <w:rFonts w:asciiTheme="minorHAnsi" w:eastAsia="Calibri" w:hAnsiTheme="minorHAnsi" w:cstheme="minorHAnsi"/>
          <w:color w:val="auto"/>
          <w:szCs w:val="24"/>
          <w:lang w:eastAsia="ar-SA"/>
        </w:rPr>
        <w:t>w</w:t>
      </w:r>
      <w:r w:rsidRPr="004A0FF2">
        <w:rPr>
          <w:rFonts w:asciiTheme="minorHAnsi" w:eastAsia="Calibri" w:hAnsiTheme="minorHAnsi" w:cstheme="minorHAnsi"/>
          <w:color w:val="auto"/>
          <w:szCs w:val="24"/>
          <w:lang w:eastAsia="ar-SA"/>
        </w:rPr>
        <w:t xml:space="preserve">nież w różnych inicjatywach organizowanych przez instytucje wdrażające program. </w:t>
      </w:r>
    </w:p>
    <w:p w14:paraId="7757071D" w14:textId="77777777" w:rsidR="007C6D89" w:rsidRPr="004A0FF2" w:rsidRDefault="007C6D89" w:rsidP="004A0FF2">
      <w:pPr>
        <w:spacing w:after="120" w:line="360" w:lineRule="auto"/>
        <w:ind w:left="720" w:right="0" w:firstLine="0"/>
        <w:contextualSpacing/>
        <w:rPr>
          <w:rFonts w:asciiTheme="minorHAnsi" w:eastAsia="Calibri" w:hAnsiTheme="minorHAnsi" w:cstheme="minorHAnsi"/>
          <w:color w:val="auto"/>
          <w:szCs w:val="24"/>
          <w:lang w:eastAsia="ar-SA"/>
        </w:rPr>
      </w:pPr>
    </w:p>
    <w:p w14:paraId="59AB3A25" w14:textId="0C0A9F6C" w:rsidR="008D6A96" w:rsidRPr="004A0FF2" w:rsidRDefault="008D6A96" w:rsidP="004A0FF2">
      <w:pPr>
        <w:spacing w:after="120" w:line="360" w:lineRule="auto"/>
        <w:ind w:left="0" w:right="0" w:firstLine="0"/>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Bud</w:t>
      </w:r>
      <w:r w:rsidR="007C6D89" w:rsidRPr="004A0FF2">
        <w:rPr>
          <w:rFonts w:asciiTheme="minorHAnsi" w:hAnsiTheme="minorHAnsi" w:cstheme="minorHAnsi"/>
          <w:color w:val="auto"/>
          <w:szCs w:val="24"/>
          <w:lang w:eastAsia="pl-PL"/>
        </w:rPr>
        <w:t>że</w:t>
      </w:r>
      <w:r w:rsidRPr="004A0FF2">
        <w:rPr>
          <w:rFonts w:asciiTheme="minorHAnsi" w:hAnsiTheme="minorHAnsi" w:cstheme="minorHAnsi"/>
          <w:color w:val="auto"/>
          <w:szCs w:val="24"/>
          <w:lang w:eastAsia="pl-PL"/>
        </w:rPr>
        <w:t>t</w:t>
      </w:r>
    </w:p>
    <w:p w14:paraId="474B25AF" w14:textId="700FE8ED" w:rsidR="008D6A96" w:rsidRPr="004A0FF2" w:rsidRDefault="007C6D89" w:rsidP="004A0FF2">
      <w:pPr>
        <w:spacing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Szacowany budżet na realizację działań informacyjnych i promocyjnych zaplanowanych w strategii komunikacji wyniesie ok. 4% budżetu Pomocy Technicznej. Kwoty przeznaczone na poszczególne działania komunikacyjne będą podawane w rocznych planach działań informacyjnych i promocyjnych.</w:t>
      </w:r>
    </w:p>
    <w:p w14:paraId="2D67BA9E" w14:textId="77777777" w:rsidR="007C6D89" w:rsidRPr="004A0FF2" w:rsidRDefault="007C6D89" w:rsidP="004A0FF2">
      <w:pPr>
        <w:spacing w:after="120" w:line="360" w:lineRule="auto"/>
        <w:ind w:left="0" w:right="0" w:firstLine="0"/>
        <w:rPr>
          <w:rFonts w:asciiTheme="minorHAnsi" w:hAnsiTheme="minorHAnsi" w:cstheme="minorHAnsi"/>
          <w:color w:val="auto"/>
          <w:szCs w:val="24"/>
          <w:lang w:eastAsia="pl-PL"/>
        </w:rPr>
      </w:pPr>
    </w:p>
    <w:p w14:paraId="2C5C4D77" w14:textId="6C149E2D" w:rsidR="004A0FF2" w:rsidRDefault="008D6A96" w:rsidP="004A0FF2">
      <w:pPr>
        <w:spacing w:after="120" w:line="360" w:lineRule="auto"/>
        <w:ind w:left="0" w:right="0" w:firstLine="0"/>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Ind</w:t>
      </w:r>
      <w:r w:rsidR="007C6D89" w:rsidRPr="004A0FF2">
        <w:rPr>
          <w:rFonts w:asciiTheme="minorHAnsi" w:hAnsiTheme="minorHAnsi" w:cstheme="minorHAnsi"/>
          <w:color w:val="auto"/>
          <w:szCs w:val="24"/>
          <w:lang w:eastAsia="pl-PL"/>
        </w:rPr>
        <w:t xml:space="preserve">ykatywny plan finansowy </w:t>
      </w:r>
      <w:r w:rsidRPr="004A0FF2">
        <w:rPr>
          <w:rFonts w:asciiTheme="minorHAnsi" w:hAnsiTheme="minorHAnsi" w:cstheme="minorHAnsi"/>
          <w:color w:val="auto"/>
          <w:szCs w:val="24"/>
          <w:lang w:eastAsia="pl-PL"/>
        </w:rPr>
        <w:t>(</w:t>
      </w:r>
      <w:r w:rsidR="007C6D89" w:rsidRPr="004A0FF2">
        <w:rPr>
          <w:rFonts w:asciiTheme="minorHAnsi" w:hAnsiTheme="minorHAnsi" w:cstheme="minorHAnsi"/>
          <w:color w:val="auto"/>
          <w:szCs w:val="24"/>
          <w:lang w:eastAsia="pl-PL"/>
        </w:rPr>
        <w:t>do przygotowania w późniejszym terminie</w:t>
      </w:r>
      <w:r w:rsidRPr="004A0FF2">
        <w:rPr>
          <w:rFonts w:asciiTheme="minorHAnsi" w:hAnsiTheme="minorHAnsi" w:cstheme="minorHAnsi"/>
          <w:color w:val="auto"/>
          <w:szCs w:val="24"/>
          <w:lang w:eastAsia="pl-PL"/>
        </w:rPr>
        <w:t>)</w:t>
      </w:r>
    </w:p>
    <w:p w14:paraId="261068F9" w14:textId="6E051D48" w:rsidR="008D6A96" w:rsidRPr="004A0FF2" w:rsidRDefault="007C6D89" w:rsidP="004A0FF2">
      <w:pPr>
        <w:spacing w:after="120" w:line="360" w:lineRule="auto"/>
        <w:ind w:left="0" w:right="0" w:firstLine="0"/>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Monitoring i ewaluacja</w:t>
      </w:r>
    </w:p>
    <w:p w14:paraId="5E97DD17" w14:textId="66FC4F08" w:rsidR="008D6A96" w:rsidRPr="004A0FF2" w:rsidRDefault="007C6D89" w:rsidP="004A0FF2">
      <w:pPr>
        <w:spacing w:after="120" w:line="360" w:lineRule="auto"/>
        <w:ind w:left="0" w:right="0" w:firstLine="0"/>
        <w:jc w:val="both"/>
        <w:rPr>
          <w:rFonts w:asciiTheme="minorHAnsi" w:hAnsiTheme="minorHAnsi" w:cstheme="minorHAnsi"/>
          <w:color w:val="auto"/>
          <w:szCs w:val="24"/>
          <w:lang w:eastAsia="pl-PL"/>
        </w:rPr>
      </w:pPr>
      <w:r w:rsidRPr="004A0FF2">
        <w:rPr>
          <w:rFonts w:asciiTheme="minorHAnsi" w:hAnsiTheme="minorHAnsi" w:cstheme="minorHAnsi"/>
          <w:color w:val="auto"/>
          <w:szCs w:val="24"/>
          <w:lang w:eastAsia="pl-PL"/>
        </w:rPr>
        <w:t>Stopień realizacji założonych celów szczegółowych oraz skuteczność działań informacyjnych i promocyjnych będą oceniane w ramach ewaluacji Programu. Wskaźniki będą mierzyły, czy osiągnięte zostały szczegółowe cele komunikacyjne Programu.</w:t>
      </w:r>
    </w:p>
    <w:p w14:paraId="0309A3E2" w14:textId="77777777" w:rsidR="008D6A96" w:rsidRPr="002F1719" w:rsidRDefault="008D6A96" w:rsidP="008D6A96">
      <w:pPr>
        <w:spacing w:after="0" w:line="240" w:lineRule="auto"/>
        <w:ind w:left="0" w:right="0" w:firstLine="0"/>
        <w:rPr>
          <w:rFonts w:asciiTheme="minorHAnsi" w:hAnsiTheme="minorHAnsi" w:cstheme="minorHAnsi"/>
          <w:color w:val="auto"/>
          <w:szCs w:val="24"/>
          <w:lang w:eastAsia="pl-PL"/>
        </w:rPr>
      </w:pPr>
    </w:p>
    <w:p w14:paraId="23E0D77D" w14:textId="17116857" w:rsidR="008D6A96" w:rsidRDefault="007C6D89" w:rsidP="008D6A96">
      <w:pPr>
        <w:spacing w:after="0" w:line="240" w:lineRule="auto"/>
        <w:ind w:left="0" w:right="0" w:firstLine="0"/>
        <w:rPr>
          <w:rFonts w:asciiTheme="minorHAnsi" w:hAnsiTheme="minorHAnsi" w:cstheme="minorHAnsi"/>
          <w:b/>
          <w:color w:val="auto"/>
          <w:szCs w:val="24"/>
          <w:lang w:eastAsia="pl-PL"/>
        </w:rPr>
      </w:pPr>
      <w:r w:rsidRPr="002F1719">
        <w:rPr>
          <w:rFonts w:asciiTheme="minorHAnsi" w:hAnsiTheme="minorHAnsi" w:cstheme="minorHAnsi"/>
          <w:b/>
          <w:color w:val="auto"/>
          <w:szCs w:val="24"/>
          <w:lang w:eastAsia="pl-PL"/>
        </w:rPr>
        <w:t>Lista wskaźników</w:t>
      </w:r>
    </w:p>
    <w:p w14:paraId="11DC8516" w14:textId="23C33D03" w:rsidR="006A2444" w:rsidRDefault="006A2444" w:rsidP="008D6A96">
      <w:pPr>
        <w:spacing w:after="0" w:line="240" w:lineRule="auto"/>
        <w:ind w:left="0" w:right="0" w:firstLine="0"/>
        <w:rPr>
          <w:rFonts w:asciiTheme="minorHAnsi" w:hAnsiTheme="minorHAnsi" w:cstheme="minorHAnsi"/>
          <w:b/>
          <w:color w:val="auto"/>
          <w:szCs w:val="24"/>
          <w:lang w:eastAsia="pl-PL"/>
        </w:rPr>
      </w:pPr>
    </w:p>
    <w:p w14:paraId="140867D8" w14:textId="649D2786" w:rsidR="006A2444" w:rsidRDefault="006A2444" w:rsidP="00EE7E5B">
      <w:pPr>
        <w:spacing w:after="120" w:line="360" w:lineRule="auto"/>
        <w:ind w:left="0" w:right="0" w:firstLine="0"/>
        <w:rPr>
          <w:rFonts w:asciiTheme="minorHAnsi" w:hAnsiTheme="minorHAnsi" w:cstheme="minorHAnsi"/>
          <w:bCs/>
          <w:color w:val="auto"/>
          <w:szCs w:val="24"/>
          <w:lang w:eastAsia="pl-PL"/>
        </w:rPr>
      </w:pPr>
      <w:r w:rsidRPr="006A2444">
        <w:rPr>
          <w:rFonts w:asciiTheme="minorHAnsi" w:hAnsiTheme="minorHAnsi" w:cstheme="minorHAnsi"/>
          <w:bCs/>
          <w:color w:val="auto"/>
          <w:szCs w:val="24"/>
          <w:lang w:eastAsia="pl-PL"/>
        </w:rPr>
        <w:t>Wskaźnik rezultatu</w:t>
      </w:r>
      <w:r w:rsidR="00EE7E5B">
        <w:rPr>
          <w:rFonts w:asciiTheme="minorHAnsi" w:hAnsiTheme="minorHAnsi" w:cstheme="minorHAnsi"/>
          <w:bCs/>
          <w:color w:val="auto"/>
          <w:szCs w:val="24"/>
          <w:lang w:eastAsia="pl-PL"/>
        </w:rPr>
        <w:t xml:space="preserve">: </w:t>
      </w:r>
      <w:r w:rsidR="00EE7E5B" w:rsidRPr="00EE7E5B">
        <w:rPr>
          <w:rFonts w:asciiTheme="minorHAnsi" w:hAnsiTheme="minorHAnsi" w:cstheme="minorHAnsi"/>
          <w:bCs/>
          <w:color w:val="auto"/>
          <w:szCs w:val="24"/>
          <w:lang w:eastAsia="pl-PL"/>
        </w:rPr>
        <w:t>Zainteresowanie potencjalnych wnioskodawców realizacją projektów transgranicznych</w:t>
      </w:r>
    </w:p>
    <w:p w14:paraId="225CB3AD" w14:textId="7C802F27" w:rsidR="00EE7E5B" w:rsidRDefault="00EE7E5B" w:rsidP="00EE7E5B">
      <w:pPr>
        <w:spacing w:after="120" w:line="360" w:lineRule="auto"/>
        <w:ind w:left="0" w:right="0" w:firstLine="0"/>
        <w:rPr>
          <w:rFonts w:asciiTheme="minorHAnsi" w:hAnsiTheme="minorHAnsi" w:cstheme="minorHAnsi"/>
          <w:bCs/>
          <w:color w:val="auto"/>
          <w:szCs w:val="24"/>
          <w:lang w:eastAsia="pl-PL"/>
        </w:rPr>
      </w:pPr>
      <w:r w:rsidRPr="00EE7E5B">
        <w:rPr>
          <w:rFonts w:asciiTheme="minorHAnsi" w:hAnsiTheme="minorHAnsi" w:cstheme="minorHAnsi"/>
          <w:bCs/>
          <w:color w:val="auto"/>
          <w:szCs w:val="24"/>
          <w:lang w:eastAsia="pl-PL"/>
        </w:rPr>
        <w:t>Wskaźnik produktu</w:t>
      </w:r>
      <w:r>
        <w:rPr>
          <w:rFonts w:asciiTheme="minorHAnsi" w:hAnsiTheme="minorHAnsi" w:cstheme="minorHAnsi"/>
          <w:bCs/>
          <w:color w:val="auto"/>
          <w:szCs w:val="24"/>
          <w:lang w:eastAsia="pl-PL"/>
        </w:rPr>
        <w:t>:</w:t>
      </w:r>
    </w:p>
    <w:p w14:paraId="00353CED" w14:textId="77777777" w:rsidR="00EE7E5B" w:rsidRPr="002F1719"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2F1719">
        <w:rPr>
          <w:rFonts w:asciiTheme="minorHAnsi" w:eastAsia="Calibri" w:hAnsiTheme="minorHAnsi" w:cstheme="minorHAnsi"/>
          <w:color w:val="auto"/>
          <w:szCs w:val="24"/>
          <w:lang w:eastAsia="ar-SA"/>
        </w:rPr>
        <w:t>Liczba szkoleń dla potencjalnych beneficjentów,</w:t>
      </w:r>
    </w:p>
    <w:p w14:paraId="156EEEE5" w14:textId="77777777" w:rsidR="00EE7E5B" w:rsidRPr="002F1719"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2F1719">
        <w:rPr>
          <w:rFonts w:asciiTheme="minorHAnsi" w:eastAsia="Calibri" w:hAnsiTheme="minorHAnsi" w:cstheme="minorHAnsi"/>
          <w:color w:val="auto"/>
          <w:szCs w:val="24"/>
          <w:lang w:eastAsia="ar-SA"/>
        </w:rPr>
        <w:t xml:space="preserve">Liczba konsultacji udzielonych potencjalnym beneficjentom, </w:t>
      </w:r>
    </w:p>
    <w:p w14:paraId="5BCF93C5" w14:textId="77777777" w:rsidR="00EE7E5B" w:rsidRPr="002F1719"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2F1719">
        <w:rPr>
          <w:rFonts w:asciiTheme="minorHAnsi" w:eastAsia="Calibri" w:hAnsiTheme="minorHAnsi" w:cstheme="minorHAnsi"/>
          <w:color w:val="auto"/>
          <w:szCs w:val="24"/>
          <w:lang w:eastAsia="ar-SA"/>
        </w:rPr>
        <w:t>Liczba użytkowników, którzy widzieli na stronie internetowej Programu informację o naborze wniosków,</w:t>
      </w:r>
    </w:p>
    <w:p w14:paraId="4564C6D6" w14:textId="77777777" w:rsidR="00EE7E5B" w:rsidRPr="002F1719"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2F1719">
        <w:rPr>
          <w:rFonts w:asciiTheme="minorHAnsi" w:eastAsia="Calibri" w:hAnsiTheme="minorHAnsi" w:cstheme="minorHAnsi"/>
          <w:color w:val="auto"/>
          <w:szCs w:val="24"/>
          <w:lang w:eastAsia="ar-SA"/>
        </w:rPr>
        <w:t>Liczba użytkowników, którzy widzieli posty dotyczące naboru wniosków (zasięg w mediach społecznościowych),</w:t>
      </w:r>
    </w:p>
    <w:p w14:paraId="462CDCBA" w14:textId="77777777" w:rsidR="00EE7E5B" w:rsidRPr="002F1719"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2F1719">
        <w:rPr>
          <w:rFonts w:asciiTheme="minorHAnsi" w:eastAsia="Calibri" w:hAnsiTheme="minorHAnsi" w:cstheme="minorHAnsi"/>
          <w:color w:val="auto"/>
          <w:szCs w:val="24"/>
          <w:lang w:eastAsia="ar-SA"/>
        </w:rPr>
        <w:t>Procentowy stosunek wniosków, które pozytywnie przeszły proces oceny do złożonych wniosków o dofinansowanie w ramach naboru.</w:t>
      </w:r>
    </w:p>
    <w:p w14:paraId="5C9DDB8F" w14:textId="77777777" w:rsidR="00EE7E5B" w:rsidRDefault="00EE7E5B" w:rsidP="00EE7E5B">
      <w:pPr>
        <w:spacing w:after="120" w:line="360" w:lineRule="auto"/>
        <w:ind w:left="0" w:right="0" w:firstLine="0"/>
        <w:rPr>
          <w:rFonts w:asciiTheme="minorHAnsi" w:hAnsiTheme="minorHAnsi" w:cstheme="minorHAnsi"/>
          <w:bCs/>
          <w:color w:val="auto"/>
          <w:szCs w:val="24"/>
          <w:lang w:eastAsia="pl-PL"/>
        </w:rPr>
      </w:pPr>
    </w:p>
    <w:p w14:paraId="3138088E" w14:textId="3249653B" w:rsidR="00EE7E5B" w:rsidRPr="006A2444" w:rsidRDefault="00EE7E5B" w:rsidP="00EE7E5B">
      <w:pPr>
        <w:spacing w:after="120" w:line="360" w:lineRule="auto"/>
        <w:ind w:left="0" w:right="0" w:firstLine="0"/>
        <w:rPr>
          <w:rFonts w:asciiTheme="minorHAnsi" w:hAnsiTheme="minorHAnsi" w:cstheme="minorHAnsi"/>
          <w:bCs/>
          <w:color w:val="auto"/>
          <w:szCs w:val="24"/>
          <w:lang w:eastAsia="pl-PL"/>
        </w:rPr>
      </w:pPr>
      <w:r w:rsidRPr="006A2444">
        <w:rPr>
          <w:rFonts w:asciiTheme="minorHAnsi" w:hAnsiTheme="minorHAnsi" w:cstheme="minorHAnsi"/>
          <w:bCs/>
          <w:color w:val="auto"/>
          <w:szCs w:val="24"/>
          <w:lang w:eastAsia="pl-PL"/>
        </w:rPr>
        <w:t>Wskaźnik rezultatu</w:t>
      </w:r>
      <w:r>
        <w:rPr>
          <w:rFonts w:asciiTheme="minorHAnsi" w:hAnsiTheme="minorHAnsi" w:cstheme="minorHAnsi"/>
          <w:bCs/>
          <w:color w:val="auto"/>
          <w:szCs w:val="24"/>
          <w:lang w:eastAsia="pl-PL"/>
        </w:rPr>
        <w:t xml:space="preserve">: </w:t>
      </w:r>
      <w:r w:rsidRPr="00EE7E5B">
        <w:rPr>
          <w:rFonts w:asciiTheme="minorHAnsi" w:hAnsiTheme="minorHAnsi" w:cstheme="minorHAnsi"/>
          <w:bCs/>
          <w:color w:val="auto"/>
          <w:szCs w:val="24"/>
          <w:lang w:eastAsia="pl-PL"/>
        </w:rPr>
        <w:t>Zwiększona skuteczność w promocji Programu dzięki beneficjentom</w:t>
      </w:r>
    </w:p>
    <w:p w14:paraId="74CC952E" w14:textId="77777777" w:rsidR="00EE7E5B" w:rsidRDefault="00EE7E5B" w:rsidP="00EE7E5B">
      <w:pPr>
        <w:spacing w:after="120" w:line="360" w:lineRule="auto"/>
        <w:ind w:left="0" w:right="0" w:firstLine="0"/>
        <w:rPr>
          <w:rFonts w:asciiTheme="minorHAnsi" w:hAnsiTheme="minorHAnsi" w:cstheme="minorHAnsi"/>
          <w:bCs/>
          <w:color w:val="auto"/>
          <w:szCs w:val="24"/>
          <w:lang w:eastAsia="pl-PL"/>
        </w:rPr>
      </w:pPr>
      <w:r w:rsidRPr="00EE7E5B">
        <w:rPr>
          <w:rFonts w:asciiTheme="minorHAnsi" w:hAnsiTheme="minorHAnsi" w:cstheme="minorHAnsi"/>
          <w:bCs/>
          <w:color w:val="auto"/>
          <w:szCs w:val="24"/>
          <w:lang w:eastAsia="pl-PL"/>
        </w:rPr>
        <w:t>Wskaźnik produktu</w:t>
      </w:r>
    </w:p>
    <w:p w14:paraId="085EA942" w14:textId="77777777" w:rsidR="00EE7E5B"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2F1719">
        <w:rPr>
          <w:rFonts w:asciiTheme="minorHAnsi" w:eastAsia="Calibri" w:hAnsiTheme="minorHAnsi" w:cstheme="minorHAnsi"/>
          <w:color w:val="auto"/>
          <w:szCs w:val="24"/>
          <w:lang w:eastAsia="ar-SA"/>
        </w:rPr>
        <w:t>Liczba zorganizowanych przez beneficjentów wydarzeń wspierających promocję Programu,</w:t>
      </w:r>
    </w:p>
    <w:p w14:paraId="0749B1D6" w14:textId="2712694E" w:rsidR="00EE7E5B" w:rsidRPr="00EE7E5B"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EE7E5B">
        <w:rPr>
          <w:rFonts w:asciiTheme="minorHAnsi" w:eastAsia="Calibri" w:hAnsiTheme="minorHAnsi" w:cstheme="minorHAnsi"/>
          <w:color w:val="auto"/>
          <w:szCs w:val="24"/>
          <w:lang w:eastAsia="ar-SA"/>
        </w:rPr>
        <w:t>Liczba uczestników wydarzeń organizowanych przez beneficjentów.</w:t>
      </w:r>
    </w:p>
    <w:p w14:paraId="3699F749" w14:textId="77777777" w:rsidR="00EE7E5B" w:rsidRDefault="00EE7E5B" w:rsidP="00EE7E5B">
      <w:pPr>
        <w:spacing w:after="120" w:line="360" w:lineRule="auto"/>
        <w:ind w:left="0" w:right="0" w:firstLine="0"/>
        <w:rPr>
          <w:rFonts w:asciiTheme="minorHAnsi" w:hAnsiTheme="minorHAnsi" w:cstheme="minorHAnsi"/>
          <w:bCs/>
          <w:color w:val="auto"/>
          <w:szCs w:val="24"/>
          <w:lang w:eastAsia="pl-PL"/>
        </w:rPr>
      </w:pPr>
    </w:p>
    <w:p w14:paraId="1534EC8A" w14:textId="6A5EFDB2" w:rsidR="00EE7E5B" w:rsidRPr="006A2444" w:rsidRDefault="00EE7E5B" w:rsidP="00EE7E5B">
      <w:pPr>
        <w:spacing w:after="120" w:line="360" w:lineRule="auto"/>
        <w:ind w:left="0" w:right="0" w:firstLine="0"/>
        <w:rPr>
          <w:rFonts w:asciiTheme="minorHAnsi" w:hAnsiTheme="minorHAnsi" w:cstheme="minorHAnsi"/>
          <w:bCs/>
          <w:color w:val="auto"/>
          <w:szCs w:val="24"/>
          <w:lang w:eastAsia="pl-PL"/>
        </w:rPr>
      </w:pPr>
      <w:r w:rsidRPr="006A2444">
        <w:rPr>
          <w:rFonts w:asciiTheme="minorHAnsi" w:hAnsiTheme="minorHAnsi" w:cstheme="minorHAnsi"/>
          <w:bCs/>
          <w:color w:val="auto"/>
          <w:szCs w:val="24"/>
          <w:lang w:eastAsia="pl-PL"/>
        </w:rPr>
        <w:t>Wskaźnik rezultatu</w:t>
      </w:r>
      <w:r>
        <w:rPr>
          <w:rFonts w:asciiTheme="minorHAnsi" w:hAnsiTheme="minorHAnsi" w:cstheme="minorHAnsi"/>
          <w:bCs/>
          <w:color w:val="auto"/>
          <w:szCs w:val="24"/>
          <w:lang w:eastAsia="pl-PL"/>
        </w:rPr>
        <w:t xml:space="preserve">: </w:t>
      </w:r>
      <w:r w:rsidRPr="002F1719">
        <w:rPr>
          <w:rFonts w:asciiTheme="minorHAnsi" w:hAnsiTheme="minorHAnsi" w:cstheme="minorHAnsi"/>
          <w:color w:val="auto"/>
          <w:szCs w:val="24"/>
          <w:lang w:eastAsia="pl-PL"/>
        </w:rPr>
        <w:t>Zwiększenie świadomości społecznej na temat korzyści płynących z realizacji Programu</w:t>
      </w:r>
    </w:p>
    <w:p w14:paraId="67840696" w14:textId="77777777" w:rsidR="00EE7E5B" w:rsidRDefault="00EE7E5B" w:rsidP="00EE7E5B">
      <w:pPr>
        <w:spacing w:after="120" w:line="360" w:lineRule="auto"/>
        <w:ind w:left="0" w:right="0" w:firstLine="0"/>
        <w:rPr>
          <w:rFonts w:asciiTheme="minorHAnsi" w:hAnsiTheme="minorHAnsi" w:cstheme="minorHAnsi"/>
          <w:bCs/>
          <w:color w:val="auto"/>
          <w:szCs w:val="24"/>
          <w:lang w:eastAsia="pl-PL"/>
        </w:rPr>
      </w:pPr>
      <w:r w:rsidRPr="00EE7E5B">
        <w:rPr>
          <w:rFonts w:asciiTheme="minorHAnsi" w:hAnsiTheme="minorHAnsi" w:cstheme="minorHAnsi"/>
          <w:bCs/>
          <w:color w:val="auto"/>
          <w:szCs w:val="24"/>
          <w:lang w:eastAsia="pl-PL"/>
        </w:rPr>
        <w:t>Wskaźnik produktu</w:t>
      </w:r>
    </w:p>
    <w:p w14:paraId="622882B4" w14:textId="07E79C9A" w:rsidR="00EE7E5B" w:rsidRPr="00EE7E5B"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EE7E5B">
        <w:rPr>
          <w:rFonts w:asciiTheme="minorHAnsi" w:eastAsia="Calibri" w:hAnsiTheme="minorHAnsi" w:cstheme="minorHAnsi"/>
          <w:color w:val="auto"/>
          <w:szCs w:val="24"/>
          <w:lang w:eastAsia="ar-SA"/>
        </w:rPr>
        <w:t>Liczba użytkowników, którzy zobaczyli posty (zasięg w mediach społecznościowych),</w:t>
      </w:r>
    </w:p>
    <w:p w14:paraId="472B2DE6" w14:textId="3D2EB7CE" w:rsidR="00EE7E5B" w:rsidRPr="00EE7E5B" w:rsidRDefault="00EE7E5B" w:rsidP="00EE7E5B">
      <w:pPr>
        <w:numPr>
          <w:ilvl w:val="0"/>
          <w:numId w:val="4"/>
        </w:numPr>
        <w:spacing w:after="120" w:line="360" w:lineRule="auto"/>
        <w:ind w:right="0"/>
        <w:contextualSpacing/>
        <w:rPr>
          <w:rFonts w:asciiTheme="minorHAnsi" w:eastAsia="Calibri" w:hAnsiTheme="minorHAnsi" w:cstheme="minorHAnsi"/>
          <w:color w:val="auto"/>
          <w:szCs w:val="24"/>
          <w:lang w:eastAsia="ar-SA"/>
        </w:rPr>
      </w:pPr>
      <w:r w:rsidRPr="00EE7E5B">
        <w:rPr>
          <w:rFonts w:asciiTheme="minorHAnsi" w:eastAsia="Calibri" w:hAnsiTheme="minorHAnsi" w:cstheme="minorHAnsi"/>
          <w:color w:val="auto"/>
          <w:szCs w:val="24"/>
          <w:lang w:eastAsia="ar-SA"/>
        </w:rPr>
        <w:t>Liczba odwiedzin na stronie internetowej Program</w:t>
      </w:r>
      <w:r>
        <w:rPr>
          <w:rFonts w:asciiTheme="minorHAnsi" w:eastAsia="Calibri" w:hAnsiTheme="minorHAnsi" w:cstheme="minorHAnsi"/>
          <w:color w:val="auto"/>
          <w:szCs w:val="24"/>
          <w:lang w:eastAsia="ar-SA"/>
        </w:rPr>
        <w:t>u.</w:t>
      </w:r>
    </w:p>
    <w:p w14:paraId="77E7741B" w14:textId="77777777" w:rsidR="008D6A96" w:rsidRPr="002F1719" w:rsidRDefault="008D6A96" w:rsidP="004A0FF2">
      <w:pPr>
        <w:pStyle w:val="Heading2"/>
      </w:pPr>
      <w:r w:rsidRPr="002F1719">
        <w:t>Wskazanie wsparcia dla projektów o małej skali, w tym małych projektów w ramach funduszy małych projektów</w:t>
      </w:r>
    </w:p>
    <w:p w14:paraId="78423540" w14:textId="77777777" w:rsidR="0043207E" w:rsidRPr="00EE7E5B" w:rsidRDefault="0043207E" w:rsidP="00EE7E5B">
      <w:pPr>
        <w:spacing w:after="120" w:line="360" w:lineRule="auto"/>
        <w:ind w:left="0" w:right="792" w:firstLine="0"/>
        <w:rPr>
          <w:rFonts w:asciiTheme="minorHAnsi" w:hAnsiTheme="minorHAnsi" w:cstheme="minorHAnsi"/>
        </w:rPr>
      </w:pPr>
    </w:p>
    <w:p w14:paraId="055E1856" w14:textId="77777777" w:rsidR="008D6A96" w:rsidRPr="00EE7E5B" w:rsidRDefault="008D6A96" w:rsidP="00EE7E5B">
      <w:pPr>
        <w:spacing w:after="120" w:line="360" w:lineRule="auto"/>
        <w:ind w:left="0" w:right="792" w:firstLine="0"/>
        <w:rPr>
          <w:rFonts w:asciiTheme="minorHAnsi" w:hAnsiTheme="minorHAnsi" w:cstheme="minorHAnsi"/>
        </w:rPr>
      </w:pPr>
      <w:r w:rsidRPr="00EE7E5B">
        <w:rPr>
          <w:rFonts w:asciiTheme="minorHAnsi" w:hAnsiTheme="minorHAnsi" w:cstheme="minorHAnsi"/>
        </w:rPr>
        <w:t>Podstawa prawna: art. 17 ust. 3 lit. i), art. 24</w:t>
      </w:r>
    </w:p>
    <w:p w14:paraId="49DD2641" w14:textId="42FB48DE" w:rsidR="00E75877" w:rsidRPr="00EE7E5B" w:rsidRDefault="0059280B" w:rsidP="00EE7E5B">
      <w:pPr>
        <w:spacing w:after="120" w:line="360" w:lineRule="auto"/>
        <w:ind w:left="0" w:right="792" w:firstLine="0"/>
        <w:rPr>
          <w:rFonts w:asciiTheme="minorHAnsi" w:hAnsiTheme="minorHAnsi" w:cstheme="minorHAnsi"/>
        </w:rPr>
      </w:pPr>
      <w:r w:rsidRPr="00EE7E5B">
        <w:rPr>
          <w:rFonts w:asciiTheme="minorHAnsi" w:hAnsiTheme="minorHAnsi" w:cstheme="minorHAnsi"/>
        </w:rPr>
        <w:t xml:space="preserve">Projekty o małej skali </w:t>
      </w:r>
      <w:r w:rsidR="00E75877" w:rsidRPr="00EE7E5B">
        <w:rPr>
          <w:rFonts w:asciiTheme="minorHAnsi" w:hAnsiTheme="minorHAnsi" w:cstheme="minorHAnsi"/>
        </w:rPr>
        <w:t>będą mogły być wdrażane w ramach wszystkich priorytetów programu i wybranych celów szczegółowych Aby ułatwić wdrażanie proje</w:t>
      </w:r>
      <w:r w:rsidRPr="00EE7E5B">
        <w:rPr>
          <w:rFonts w:asciiTheme="minorHAnsi" w:hAnsiTheme="minorHAnsi" w:cstheme="minorHAnsi"/>
        </w:rPr>
        <w:t>k</w:t>
      </w:r>
      <w:r w:rsidR="00E75877" w:rsidRPr="00EE7E5B">
        <w:rPr>
          <w:rFonts w:asciiTheme="minorHAnsi" w:hAnsiTheme="minorHAnsi" w:cstheme="minorHAnsi"/>
        </w:rPr>
        <w:t>tów o małej skali, działania upraszczające zostaną zaoferowane przez program (mniejsze partnerstwa, mniej pakietów roboczych, krótszy czas trwania lub krótsze okresy sprawozdawcze dla zapewnienia szybkiej refundacji itp.). Szczegółowe wymagania programowe będą zamieszczone w Podręczniku Programu. W ramach programu nie będzie ustanawiany fundusz małych projektów.</w:t>
      </w:r>
    </w:p>
    <w:p w14:paraId="0720FB42" w14:textId="4DE9C30E" w:rsidR="00E75877" w:rsidRPr="00EE7E5B" w:rsidRDefault="00E75877" w:rsidP="00EE7E5B">
      <w:pPr>
        <w:spacing w:after="120" w:line="360" w:lineRule="auto"/>
        <w:ind w:left="0" w:right="792" w:firstLine="0"/>
        <w:rPr>
          <w:rFonts w:asciiTheme="minorHAnsi" w:hAnsiTheme="minorHAnsi" w:cstheme="minorHAnsi"/>
        </w:rPr>
      </w:pPr>
      <w:r w:rsidRPr="00EE7E5B">
        <w:rPr>
          <w:rFonts w:asciiTheme="minorHAnsi" w:hAnsiTheme="minorHAnsi" w:cstheme="minorHAnsi"/>
        </w:rPr>
        <w:t xml:space="preserve">Ponadto, planowany jest schemat kapitału zalążkowego (ang. </w:t>
      </w:r>
      <w:proofErr w:type="spellStart"/>
      <w:r w:rsidRPr="00EE7E5B">
        <w:rPr>
          <w:rFonts w:asciiTheme="minorHAnsi" w:hAnsiTheme="minorHAnsi" w:cstheme="minorHAnsi"/>
        </w:rPr>
        <w:t>Seed</w:t>
      </w:r>
      <w:proofErr w:type="spellEnd"/>
      <w:r w:rsidRPr="00EE7E5B">
        <w:rPr>
          <w:rFonts w:asciiTheme="minorHAnsi" w:hAnsiTheme="minorHAnsi" w:cstheme="minorHAnsi"/>
        </w:rPr>
        <w:t xml:space="preserve"> Money), który pozwoli potencjalnym południowo-bałtyckim partnerstwom rozwijać projekty wyższej jakości i składać je w ramach regularnych lub dedykowanych (lub trwających) naborów wniosków o dofinansowanie. O formie naboru zadecyduje Komitet Monitorujący. Równocześnie, schemat ten może służyć jako korzyść dla potencjalnych beneficjentów do przekonania lokalnych decydentów do rozpoczęcia rozwijania projektu, gdyż koszty takich działań byłyby pokryte. Program jest zainteresowany zaangażowaniem małych, lokalnych beneficjentów w działania programowe. Schemat kapitału zalążkowego </w:t>
      </w:r>
      <w:r w:rsidR="0007608A" w:rsidRPr="00EE7E5B">
        <w:rPr>
          <w:rFonts w:asciiTheme="minorHAnsi" w:hAnsiTheme="minorHAnsi" w:cstheme="minorHAnsi"/>
        </w:rPr>
        <w:t xml:space="preserve">był stosowany w poprzednich edycjach programu i okazał się być użytecznym narzędziem do osiągnięcia tego celu. </w:t>
      </w:r>
    </w:p>
    <w:p w14:paraId="0C236631" w14:textId="77777777" w:rsidR="0031483A" w:rsidRPr="00EE7E5B" w:rsidRDefault="0031483A" w:rsidP="00EE7E5B">
      <w:pPr>
        <w:spacing w:after="120" w:line="360" w:lineRule="auto"/>
        <w:ind w:left="0" w:right="792" w:firstLine="0"/>
        <w:rPr>
          <w:rFonts w:asciiTheme="minorHAnsi" w:hAnsiTheme="minorHAnsi" w:cstheme="minorHAnsi"/>
        </w:rPr>
      </w:pPr>
    </w:p>
    <w:p w14:paraId="4D244401" w14:textId="77777777" w:rsidR="000D773F" w:rsidRDefault="008D6A96" w:rsidP="000D773F">
      <w:pPr>
        <w:pStyle w:val="Heading2"/>
        <w:ind w:left="0"/>
      </w:pPr>
      <w:r w:rsidRPr="002F1719">
        <w:t>Przepisy wykonawcze</w:t>
      </w:r>
    </w:p>
    <w:p w14:paraId="0BBFD15E" w14:textId="6280D9DE" w:rsidR="008D6A96" w:rsidRPr="000D773F" w:rsidRDefault="000D773F" w:rsidP="000D773F">
      <w:pPr>
        <w:pStyle w:val="Heading3"/>
        <w:rPr>
          <w:rFonts w:eastAsiaTheme="minorEastAsia"/>
        </w:rPr>
      </w:pPr>
      <w:r>
        <w:rPr>
          <w:rFonts w:eastAsiaTheme="minorEastAsia"/>
        </w:rPr>
        <w:t xml:space="preserve">7.1 </w:t>
      </w:r>
      <w:r w:rsidR="008D6A96" w:rsidRPr="000D773F">
        <w:rPr>
          <w:rFonts w:eastAsiaTheme="minorEastAsia"/>
        </w:rPr>
        <w:t>Instytucje programu</w:t>
      </w:r>
    </w:p>
    <w:p w14:paraId="58CFC59C" w14:textId="2E7979F3" w:rsidR="008D6A96" w:rsidRPr="000D773F" w:rsidRDefault="008D6A96" w:rsidP="000D773F">
      <w:pPr>
        <w:spacing w:after="120" w:line="360" w:lineRule="auto"/>
        <w:ind w:left="0" w:right="792" w:firstLine="0"/>
        <w:rPr>
          <w:rFonts w:asciiTheme="minorHAnsi" w:hAnsiTheme="minorHAnsi" w:cstheme="minorHAnsi"/>
        </w:rPr>
      </w:pPr>
      <w:r w:rsidRPr="000D773F">
        <w:rPr>
          <w:rFonts w:asciiTheme="minorHAnsi" w:hAnsiTheme="minorHAnsi" w:cstheme="minorHAnsi"/>
        </w:rPr>
        <w:t>Podstawa prawna: art. 17 ust. 6 lit. a)</w:t>
      </w:r>
    </w:p>
    <w:p w14:paraId="158D05E3" w14:textId="35DCCFEF" w:rsidR="001B5E94" w:rsidRPr="002F1719" w:rsidRDefault="008D6A96" w:rsidP="000D773F">
      <w:pPr>
        <w:pStyle w:val="Heading5"/>
      </w:pPr>
      <w:r w:rsidRPr="002F1719">
        <w:t>Tabela 9</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57"/>
        <w:gridCol w:w="2485"/>
        <w:gridCol w:w="2485"/>
        <w:gridCol w:w="2013"/>
      </w:tblGrid>
      <w:tr w:rsidR="008D6A96" w:rsidRPr="000D773F" w14:paraId="29A46F42" w14:textId="77777777" w:rsidTr="000D773F">
        <w:trPr>
          <w:trHeight w:val="196"/>
          <w:tblHeader/>
        </w:trPr>
        <w:tc>
          <w:tcPr>
            <w:tcW w:w="2557" w:type="dxa"/>
          </w:tcPr>
          <w:p w14:paraId="1FC1F597" w14:textId="77777777" w:rsidR="008D6A96" w:rsidRPr="000D773F" w:rsidRDefault="008D6A9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Instytucje programu</w:t>
            </w:r>
          </w:p>
        </w:tc>
        <w:tc>
          <w:tcPr>
            <w:tcW w:w="2485" w:type="dxa"/>
          </w:tcPr>
          <w:p w14:paraId="6EF7619E" w14:textId="77777777" w:rsidR="008D6A96" w:rsidRPr="000D773F" w:rsidRDefault="008D6A9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Nazwa instytucji [255]</w:t>
            </w:r>
          </w:p>
        </w:tc>
        <w:tc>
          <w:tcPr>
            <w:tcW w:w="2485" w:type="dxa"/>
          </w:tcPr>
          <w:p w14:paraId="2368DA58" w14:textId="77777777" w:rsidR="008D6A96" w:rsidRPr="000D773F" w:rsidRDefault="008D6A9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Imię i nazwisko osoby do kontaktów [200]</w:t>
            </w:r>
          </w:p>
        </w:tc>
        <w:tc>
          <w:tcPr>
            <w:tcW w:w="2013" w:type="dxa"/>
          </w:tcPr>
          <w:p w14:paraId="088D23D6" w14:textId="77777777" w:rsidR="008D6A96" w:rsidRPr="000D773F" w:rsidRDefault="008D6A9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E-mail [200]</w:t>
            </w:r>
          </w:p>
        </w:tc>
      </w:tr>
      <w:tr w:rsidR="00A1799D" w:rsidRPr="000D773F" w14:paraId="1A31B971" w14:textId="77777777" w:rsidTr="000D773F">
        <w:trPr>
          <w:trHeight w:val="196"/>
        </w:trPr>
        <w:tc>
          <w:tcPr>
            <w:tcW w:w="2557" w:type="dxa"/>
          </w:tcPr>
          <w:p w14:paraId="66163A4D" w14:textId="0CFFD3F6"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Instytucja zarządzająca</w:t>
            </w:r>
          </w:p>
        </w:tc>
        <w:tc>
          <w:tcPr>
            <w:tcW w:w="2485" w:type="dxa"/>
          </w:tcPr>
          <w:p w14:paraId="137A2F60"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Ministerstwo Funduszy i Polityki Regionalnej</w:t>
            </w:r>
            <w:r w:rsidRPr="000D773F">
              <w:rPr>
                <w:rFonts w:asciiTheme="minorHAnsi" w:hAnsiTheme="minorHAnsi" w:cstheme="minorHAnsi"/>
                <w:szCs w:val="24"/>
              </w:rPr>
              <w:br/>
              <w:t>ul. Wspólna 2/4 </w:t>
            </w:r>
            <w:r w:rsidRPr="000D773F">
              <w:rPr>
                <w:rFonts w:asciiTheme="minorHAnsi" w:hAnsiTheme="minorHAnsi" w:cstheme="minorHAnsi"/>
                <w:szCs w:val="24"/>
              </w:rPr>
              <w:br/>
              <w:t>00-926 Warszawa</w:t>
            </w:r>
            <w:r w:rsidR="00A96B16" w:rsidRPr="000D773F">
              <w:rPr>
                <w:rFonts w:asciiTheme="minorHAnsi" w:hAnsiTheme="minorHAnsi" w:cstheme="minorHAnsi"/>
                <w:szCs w:val="24"/>
              </w:rPr>
              <w:t xml:space="preserve">, </w:t>
            </w:r>
            <w:r w:rsidRPr="000D773F">
              <w:rPr>
                <w:rFonts w:asciiTheme="minorHAnsi" w:hAnsiTheme="minorHAnsi" w:cstheme="minorHAnsi"/>
                <w:szCs w:val="24"/>
              </w:rPr>
              <w:t>Polska</w:t>
            </w:r>
          </w:p>
          <w:p w14:paraId="7DC793A1" w14:textId="218ED344" w:rsidR="00A96B16" w:rsidRPr="000D773F" w:rsidRDefault="00A96B1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485" w:type="dxa"/>
          </w:tcPr>
          <w:p w14:paraId="6C778AC3" w14:textId="76303936"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Minister właściwy ds. rozwoju regionalnego</w:t>
            </w:r>
          </w:p>
        </w:tc>
        <w:tc>
          <w:tcPr>
            <w:tcW w:w="2013" w:type="dxa"/>
          </w:tcPr>
          <w:p w14:paraId="41133DAC" w14:textId="3A4B123B" w:rsidR="00A1799D" w:rsidRPr="000D773F" w:rsidRDefault="00F17D77"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hyperlink r:id="rId14" w:tgtFrame="undefined" w:tooltip="kancelaria@mfipr.gov.pl" w:history="1">
              <w:r w:rsidR="00A1799D" w:rsidRPr="000D773F">
                <w:rPr>
                  <w:rFonts w:asciiTheme="minorHAnsi" w:hAnsiTheme="minorHAnsi" w:cstheme="minorHAnsi"/>
                  <w:szCs w:val="24"/>
                </w:rPr>
                <w:t>kancelaria@mfipr.gov.pl</w:t>
              </w:r>
            </w:hyperlink>
          </w:p>
        </w:tc>
      </w:tr>
      <w:tr w:rsidR="00A1799D" w:rsidRPr="000D773F" w14:paraId="4F0DEEBB" w14:textId="77777777" w:rsidTr="000D773F">
        <w:trPr>
          <w:trHeight w:val="196"/>
        </w:trPr>
        <w:tc>
          <w:tcPr>
            <w:tcW w:w="2557" w:type="dxa"/>
          </w:tcPr>
          <w:p w14:paraId="3617C1D5" w14:textId="5794B4FA"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Instytucja krajowa (w odniesieniu do programów z udziałem państw trzecich lub krajów partnerskich, w zależności od przypadku)</w:t>
            </w:r>
          </w:p>
        </w:tc>
        <w:tc>
          <w:tcPr>
            <w:tcW w:w="2485" w:type="dxa"/>
          </w:tcPr>
          <w:p w14:paraId="4873CD8A" w14:textId="55E89169"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Nie dotyczy</w:t>
            </w:r>
          </w:p>
        </w:tc>
        <w:tc>
          <w:tcPr>
            <w:tcW w:w="2485" w:type="dxa"/>
          </w:tcPr>
          <w:p w14:paraId="1DA0F3B6" w14:textId="7CBC8F0D"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Nie dotyczy</w:t>
            </w:r>
          </w:p>
        </w:tc>
        <w:tc>
          <w:tcPr>
            <w:tcW w:w="2013" w:type="dxa"/>
          </w:tcPr>
          <w:p w14:paraId="42B25905" w14:textId="3E6E105D"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Nie dotyczy</w:t>
            </w:r>
          </w:p>
        </w:tc>
      </w:tr>
      <w:tr w:rsidR="00A1799D" w:rsidRPr="000D773F" w14:paraId="4DED4DAB" w14:textId="77777777" w:rsidTr="000D773F">
        <w:trPr>
          <w:trHeight w:val="196"/>
        </w:trPr>
        <w:tc>
          <w:tcPr>
            <w:tcW w:w="2557" w:type="dxa"/>
          </w:tcPr>
          <w:p w14:paraId="2DE3595F" w14:textId="2C8BADF0"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Instytucja audytowa</w:t>
            </w:r>
          </w:p>
        </w:tc>
        <w:tc>
          <w:tcPr>
            <w:tcW w:w="2485" w:type="dxa"/>
          </w:tcPr>
          <w:p w14:paraId="5ECA7047" w14:textId="174249BC" w:rsidR="00A96B16" w:rsidRPr="000D773F" w:rsidRDefault="00A96B16" w:rsidP="000D773F">
            <w:pPr>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Szef Krajowej Administracji Skarbowej</w:t>
            </w:r>
          </w:p>
          <w:p w14:paraId="73648805" w14:textId="7D116F62" w:rsidR="00A1799D" w:rsidRPr="000D773F" w:rsidRDefault="00A1799D" w:rsidP="000D773F">
            <w:pPr>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Ministerstwo Finansów</w:t>
            </w:r>
          </w:p>
          <w:p w14:paraId="517825E7"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ul. Świętokrzyska 12</w:t>
            </w:r>
            <w:r w:rsidRPr="000D773F">
              <w:rPr>
                <w:rFonts w:asciiTheme="minorHAnsi" w:hAnsiTheme="minorHAnsi" w:cstheme="minorHAnsi"/>
                <w:szCs w:val="24"/>
              </w:rPr>
              <w:br/>
              <w:t>00-916 Warszawa</w:t>
            </w:r>
            <w:r w:rsidR="00A96B16" w:rsidRPr="000D773F">
              <w:rPr>
                <w:rFonts w:asciiTheme="minorHAnsi" w:hAnsiTheme="minorHAnsi" w:cstheme="minorHAnsi"/>
                <w:szCs w:val="24"/>
              </w:rPr>
              <w:t>, Polska</w:t>
            </w:r>
          </w:p>
          <w:p w14:paraId="05E868E2" w14:textId="45DF283C" w:rsidR="00A96B16" w:rsidRPr="000D773F" w:rsidRDefault="00A96B1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485" w:type="dxa"/>
          </w:tcPr>
          <w:p w14:paraId="2317E46F" w14:textId="77777777" w:rsidR="00A96B16" w:rsidRPr="000D773F" w:rsidRDefault="00A96B16"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Dominik Zalewski</w:t>
            </w:r>
          </w:p>
          <w:p w14:paraId="400C51A3" w14:textId="66A334E3" w:rsidR="00A1799D" w:rsidRPr="000D773F" w:rsidRDefault="00A96B1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Dyrektor Departamentu Audytu Środków Publicznych w Ministerstwie Finansów</w:t>
            </w:r>
          </w:p>
        </w:tc>
        <w:tc>
          <w:tcPr>
            <w:tcW w:w="2013" w:type="dxa"/>
          </w:tcPr>
          <w:p w14:paraId="33A4A226" w14:textId="3E776CAC" w:rsidR="00A1799D" w:rsidRPr="000D773F" w:rsidRDefault="00A96B16"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sekretariat.das@mf.gov.pl</w:t>
            </w:r>
          </w:p>
        </w:tc>
      </w:tr>
      <w:tr w:rsidR="00A1799D" w:rsidRPr="000D773F" w14:paraId="32B47D5D" w14:textId="77777777" w:rsidTr="000D773F">
        <w:trPr>
          <w:trHeight w:val="196"/>
        </w:trPr>
        <w:tc>
          <w:tcPr>
            <w:tcW w:w="2557" w:type="dxa"/>
            <w:vMerge w:val="restart"/>
          </w:tcPr>
          <w:p w14:paraId="541AA715" w14:textId="3938927F"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Przedstawiciele grupy audytorów</w:t>
            </w:r>
          </w:p>
        </w:tc>
        <w:tc>
          <w:tcPr>
            <w:tcW w:w="2485" w:type="dxa"/>
          </w:tcPr>
          <w:p w14:paraId="1D88BB41" w14:textId="2F32D138" w:rsidR="00A96B16" w:rsidRPr="000D773F" w:rsidRDefault="0059280B"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Szwedzki Krajowy Urząd Zarządzania Finansami</w:t>
            </w:r>
          </w:p>
        </w:tc>
        <w:tc>
          <w:tcPr>
            <w:tcW w:w="2485" w:type="dxa"/>
          </w:tcPr>
          <w:p w14:paraId="2184724C" w14:textId="1B4B6E01"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lang w:val="en-GB"/>
              </w:rPr>
              <w:t xml:space="preserve">Marie </w:t>
            </w:r>
            <w:proofErr w:type="spellStart"/>
            <w:r w:rsidRPr="000D773F">
              <w:rPr>
                <w:rFonts w:asciiTheme="minorHAnsi" w:hAnsiTheme="minorHAnsi" w:cstheme="minorHAnsi"/>
                <w:szCs w:val="24"/>
                <w:lang w:val="en-GB"/>
              </w:rPr>
              <w:t>Blomqvist</w:t>
            </w:r>
            <w:proofErr w:type="spellEnd"/>
          </w:p>
        </w:tc>
        <w:tc>
          <w:tcPr>
            <w:tcW w:w="2013" w:type="dxa"/>
          </w:tcPr>
          <w:p w14:paraId="0C17C7C2" w14:textId="145D24E3" w:rsidR="00A1799D" w:rsidRPr="000D773F" w:rsidRDefault="00F17D77" w:rsidP="000D773F">
            <w:pPr>
              <w:autoSpaceDE w:val="0"/>
              <w:autoSpaceDN w:val="0"/>
              <w:adjustRightInd w:val="0"/>
              <w:spacing w:after="120" w:line="360" w:lineRule="auto"/>
              <w:ind w:left="0" w:right="0" w:firstLine="0"/>
              <w:rPr>
                <w:rFonts w:asciiTheme="minorHAnsi" w:hAnsiTheme="minorHAnsi" w:cstheme="minorHAnsi"/>
                <w:szCs w:val="24"/>
              </w:rPr>
            </w:pPr>
            <w:hyperlink r:id="rId15" w:history="1">
              <w:r w:rsidR="00A1799D" w:rsidRPr="000D773F">
                <w:rPr>
                  <w:rFonts w:asciiTheme="minorHAnsi" w:hAnsiTheme="minorHAnsi" w:cstheme="minorHAnsi"/>
                  <w:szCs w:val="24"/>
                </w:rPr>
                <w:t>Marie.Blomqvist@esv.se</w:t>
              </w:r>
            </w:hyperlink>
            <w:r w:rsidR="00A1799D" w:rsidRPr="000D773F">
              <w:rPr>
                <w:rFonts w:asciiTheme="minorHAnsi" w:hAnsiTheme="minorHAnsi" w:cstheme="minorHAnsi"/>
                <w:szCs w:val="24"/>
              </w:rPr>
              <w:t xml:space="preserve"> </w:t>
            </w:r>
            <w:hyperlink r:id="rId16" w:history="1">
              <w:r w:rsidR="00A1799D" w:rsidRPr="000D773F">
                <w:rPr>
                  <w:rFonts w:asciiTheme="minorHAnsi" w:hAnsiTheme="minorHAnsi" w:cstheme="minorHAnsi"/>
                  <w:szCs w:val="24"/>
                </w:rPr>
                <w:t>registrator@esv.se</w:t>
              </w:r>
            </w:hyperlink>
            <w:r w:rsidR="00A1799D" w:rsidRPr="000D773F">
              <w:rPr>
                <w:rFonts w:asciiTheme="minorHAnsi" w:hAnsiTheme="minorHAnsi" w:cstheme="minorHAnsi"/>
                <w:szCs w:val="24"/>
              </w:rPr>
              <w:t xml:space="preserve"> </w:t>
            </w:r>
          </w:p>
          <w:p w14:paraId="7121A499"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p>
        </w:tc>
      </w:tr>
      <w:tr w:rsidR="00A1799D" w:rsidRPr="00703E17" w14:paraId="73DD0B4F" w14:textId="77777777" w:rsidTr="000D773F">
        <w:trPr>
          <w:trHeight w:val="196"/>
        </w:trPr>
        <w:tc>
          <w:tcPr>
            <w:tcW w:w="2557" w:type="dxa"/>
            <w:vMerge/>
          </w:tcPr>
          <w:p w14:paraId="46BA33D7" w14:textId="77777777"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485" w:type="dxa"/>
          </w:tcPr>
          <w:p w14:paraId="07570EDC" w14:textId="56015E5F" w:rsidR="00A1799D" w:rsidRPr="000D773F" w:rsidRDefault="0059280B" w:rsidP="000D773F">
            <w:pPr>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Duński Urząd ds. Biznesu</w:t>
            </w:r>
          </w:p>
          <w:p w14:paraId="31E1B5EF" w14:textId="1644E589" w:rsidR="00A1799D" w:rsidRPr="000D773F" w:rsidRDefault="0059280B" w:rsidP="000D773F">
            <w:pPr>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Wydział Kontroli UE</w:t>
            </w:r>
          </w:p>
          <w:p w14:paraId="3B0D6B84" w14:textId="77777777" w:rsidR="00A1799D" w:rsidRPr="000D773F" w:rsidRDefault="00A1799D" w:rsidP="000D773F">
            <w:pPr>
              <w:spacing w:after="120" w:line="360" w:lineRule="auto"/>
              <w:ind w:left="0" w:right="0" w:firstLine="0"/>
              <w:rPr>
                <w:rFonts w:asciiTheme="minorHAnsi" w:hAnsiTheme="minorHAnsi" w:cstheme="minorHAnsi"/>
                <w:szCs w:val="24"/>
                <w:lang w:val="sv-SE"/>
              </w:rPr>
            </w:pPr>
            <w:r w:rsidRPr="000D773F">
              <w:rPr>
                <w:rFonts w:asciiTheme="minorHAnsi" w:hAnsiTheme="minorHAnsi" w:cstheme="minorHAnsi"/>
                <w:szCs w:val="24"/>
                <w:lang w:val="sv-SE"/>
              </w:rPr>
              <w:t>Langelinje Allé 17</w:t>
            </w:r>
          </w:p>
          <w:p w14:paraId="70639A24" w14:textId="0CE26AB1"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lang w:val="sv-SE"/>
              </w:rPr>
              <w:t>DK-2100 København Ø</w:t>
            </w:r>
          </w:p>
        </w:tc>
        <w:tc>
          <w:tcPr>
            <w:tcW w:w="2485" w:type="dxa"/>
          </w:tcPr>
          <w:p w14:paraId="6523C391" w14:textId="77777777" w:rsidR="00A1799D" w:rsidRPr="000D773F" w:rsidRDefault="00A1799D" w:rsidP="000D773F">
            <w:pPr>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 xml:space="preserve">Fatima </w:t>
            </w:r>
            <w:proofErr w:type="spellStart"/>
            <w:r w:rsidRPr="000D773F">
              <w:rPr>
                <w:rFonts w:asciiTheme="minorHAnsi" w:hAnsiTheme="minorHAnsi" w:cstheme="minorHAnsi"/>
                <w:szCs w:val="24"/>
                <w:lang w:val="de-DE"/>
              </w:rPr>
              <w:t>Krag</w:t>
            </w:r>
            <w:proofErr w:type="spellEnd"/>
          </w:p>
          <w:p w14:paraId="28128584" w14:textId="77777777" w:rsidR="00A1799D" w:rsidRPr="000D773F" w:rsidRDefault="00A1799D" w:rsidP="000D773F">
            <w:pPr>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+45 35 29 15 29</w:t>
            </w:r>
          </w:p>
          <w:p w14:paraId="6998EBBF" w14:textId="77777777" w:rsidR="00A1799D" w:rsidRPr="000D773F" w:rsidRDefault="00A1799D" w:rsidP="000D773F">
            <w:pPr>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 xml:space="preserve">Svend Holger </w:t>
            </w:r>
            <w:proofErr w:type="spellStart"/>
            <w:r w:rsidRPr="000D773F">
              <w:rPr>
                <w:rFonts w:asciiTheme="minorHAnsi" w:hAnsiTheme="minorHAnsi" w:cstheme="minorHAnsi"/>
                <w:szCs w:val="24"/>
                <w:lang w:val="de-DE"/>
              </w:rPr>
              <w:t>Wellemberg</w:t>
            </w:r>
            <w:proofErr w:type="spellEnd"/>
          </w:p>
          <w:p w14:paraId="2A98F394" w14:textId="77777777" w:rsidR="00A1799D" w:rsidRPr="000D773F" w:rsidRDefault="00A1799D" w:rsidP="000D773F">
            <w:pPr>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+45 35 29 14 53</w:t>
            </w:r>
          </w:p>
          <w:p w14:paraId="381D4B84" w14:textId="77777777"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lang w:val="de-DE"/>
              </w:rPr>
            </w:pPr>
          </w:p>
        </w:tc>
        <w:tc>
          <w:tcPr>
            <w:tcW w:w="2013" w:type="dxa"/>
          </w:tcPr>
          <w:p w14:paraId="48C52B8A"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fatkra@erst.dk</w:t>
            </w:r>
          </w:p>
          <w:p w14:paraId="56E6EB48" w14:textId="4F241E81"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svhowe@erst.dk</w:t>
            </w:r>
          </w:p>
        </w:tc>
      </w:tr>
      <w:tr w:rsidR="00A1799D" w:rsidRPr="000D773F" w14:paraId="7F2DF042" w14:textId="77777777" w:rsidTr="000D773F">
        <w:trPr>
          <w:trHeight w:val="196"/>
        </w:trPr>
        <w:tc>
          <w:tcPr>
            <w:tcW w:w="2557" w:type="dxa"/>
            <w:vMerge/>
          </w:tcPr>
          <w:p w14:paraId="3FC968F3" w14:textId="77777777"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lang w:val="de-DE"/>
              </w:rPr>
            </w:pPr>
          </w:p>
        </w:tc>
        <w:tc>
          <w:tcPr>
            <w:tcW w:w="2485" w:type="dxa"/>
          </w:tcPr>
          <w:p w14:paraId="4F336F91" w14:textId="4155BCC5" w:rsidR="00A1799D" w:rsidRPr="000D773F" w:rsidRDefault="00A96B16"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Ministerstwo Spraw Wewnętrznych Republiki Litewskiej</w:t>
            </w:r>
          </w:p>
          <w:p w14:paraId="2CCC0347" w14:textId="08DDE8B6" w:rsidR="00A96B16" w:rsidRPr="000D773F" w:rsidRDefault="00A96B1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485" w:type="dxa"/>
          </w:tcPr>
          <w:p w14:paraId="29A67BD5" w14:textId="77777777"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013" w:type="dxa"/>
          </w:tcPr>
          <w:p w14:paraId="72E96754"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p>
        </w:tc>
      </w:tr>
      <w:tr w:rsidR="00A1799D" w:rsidRPr="000D773F" w14:paraId="34853329" w14:textId="77777777" w:rsidTr="000D773F">
        <w:trPr>
          <w:trHeight w:val="196"/>
        </w:trPr>
        <w:tc>
          <w:tcPr>
            <w:tcW w:w="2557" w:type="dxa"/>
            <w:vMerge/>
          </w:tcPr>
          <w:p w14:paraId="72C1C616" w14:textId="77777777"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485" w:type="dxa"/>
          </w:tcPr>
          <w:p w14:paraId="637DBCA5" w14:textId="712A3D89" w:rsidR="0059280B" w:rsidRPr="000D773F" w:rsidRDefault="0059280B" w:rsidP="000D773F">
            <w:pPr>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Ministerstwo Finansów Meklemburgii Pomorza Przedniego</w:t>
            </w:r>
          </w:p>
          <w:p w14:paraId="76E01F8C" w14:textId="410B25A0" w:rsidR="00A1799D" w:rsidRPr="000D773F" w:rsidRDefault="00A1799D" w:rsidP="000D773F">
            <w:pPr>
              <w:spacing w:after="120" w:line="360" w:lineRule="auto"/>
              <w:ind w:left="0" w:right="0" w:firstLine="0"/>
              <w:rPr>
                <w:rFonts w:asciiTheme="minorHAnsi" w:hAnsiTheme="minorHAnsi" w:cstheme="minorHAnsi"/>
                <w:szCs w:val="24"/>
              </w:rPr>
            </w:pPr>
            <w:proofErr w:type="spellStart"/>
            <w:r w:rsidRPr="000D773F">
              <w:rPr>
                <w:rFonts w:asciiTheme="minorHAnsi" w:hAnsiTheme="minorHAnsi" w:cstheme="minorHAnsi"/>
                <w:szCs w:val="24"/>
              </w:rPr>
              <w:t>Schloßstrasse</w:t>
            </w:r>
            <w:proofErr w:type="spellEnd"/>
            <w:r w:rsidRPr="000D773F">
              <w:rPr>
                <w:rFonts w:asciiTheme="minorHAnsi" w:hAnsiTheme="minorHAnsi" w:cstheme="minorHAnsi"/>
                <w:szCs w:val="24"/>
              </w:rPr>
              <w:t xml:space="preserve"> 9-11</w:t>
            </w:r>
          </w:p>
          <w:p w14:paraId="034BF109"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lang w:val="de-DE"/>
              </w:rPr>
            </w:pPr>
            <w:r w:rsidRPr="000D773F">
              <w:rPr>
                <w:rFonts w:asciiTheme="minorHAnsi" w:hAnsiTheme="minorHAnsi" w:cstheme="minorHAnsi"/>
                <w:szCs w:val="24"/>
                <w:lang w:val="de-DE"/>
              </w:rPr>
              <w:t>19053 Schwerin</w:t>
            </w:r>
          </w:p>
          <w:p w14:paraId="0ED92C69" w14:textId="0F273E5D" w:rsidR="00A96B16" w:rsidRPr="000D773F" w:rsidRDefault="00A96B16"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p>
        </w:tc>
        <w:tc>
          <w:tcPr>
            <w:tcW w:w="2485" w:type="dxa"/>
          </w:tcPr>
          <w:p w14:paraId="3C8979B5" w14:textId="7AA24335" w:rsidR="00A1799D" w:rsidRPr="000D773F" w:rsidRDefault="0059280B" w:rsidP="000D773F">
            <w:pPr>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Kierownik Wydziału Kontroli Finansowej UE i EFRR</w:t>
            </w:r>
          </w:p>
        </w:tc>
        <w:tc>
          <w:tcPr>
            <w:tcW w:w="2013" w:type="dxa"/>
          </w:tcPr>
          <w:p w14:paraId="0B829EE0" w14:textId="77777777" w:rsidR="00A1799D" w:rsidRPr="000D773F" w:rsidRDefault="00F17D77" w:rsidP="000D773F">
            <w:pPr>
              <w:autoSpaceDE w:val="0"/>
              <w:autoSpaceDN w:val="0"/>
              <w:adjustRightInd w:val="0"/>
              <w:spacing w:after="120" w:line="360" w:lineRule="auto"/>
              <w:ind w:left="0" w:right="0" w:firstLine="0"/>
              <w:rPr>
                <w:rFonts w:asciiTheme="minorHAnsi" w:hAnsiTheme="minorHAnsi" w:cstheme="minorHAnsi"/>
                <w:szCs w:val="24"/>
              </w:rPr>
            </w:pPr>
            <w:hyperlink r:id="rId17" w:history="1">
              <w:r w:rsidR="00A1799D" w:rsidRPr="000D773F">
                <w:rPr>
                  <w:rFonts w:asciiTheme="minorHAnsi" w:hAnsiTheme="minorHAnsi" w:cstheme="minorHAnsi"/>
                  <w:szCs w:val="24"/>
                </w:rPr>
                <w:t>poststelle@fm.mv-regierung.de</w:t>
              </w:r>
            </w:hyperlink>
          </w:p>
          <w:p w14:paraId="010EEC20"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p>
        </w:tc>
      </w:tr>
      <w:tr w:rsidR="00A1799D" w:rsidRPr="000D773F" w14:paraId="6198BFB3" w14:textId="77777777" w:rsidTr="000D773F">
        <w:trPr>
          <w:trHeight w:val="196"/>
        </w:trPr>
        <w:tc>
          <w:tcPr>
            <w:tcW w:w="2557" w:type="dxa"/>
          </w:tcPr>
          <w:p w14:paraId="6DD44C9B" w14:textId="69BADF08"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eastAsiaTheme="minorEastAsia" w:hAnsiTheme="minorHAnsi" w:cstheme="minorHAnsi"/>
                <w:szCs w:val="24"/>
              </w:rPr>
              <w:t>Podmiot, na rzecz którego Komisja ma dokonywać płatności</w:t>
            </w:r>
          </w:p>
        </w:tc>
        <w:tc>
          <w:tcPr>
            <w:tcW w:w="2485" w:type="dxa"/>
          </w:tcPr>
          <w:p w14:paraId="520638C0" w14:textId="77777777" w:rsidR="00A1799D" w:rsidRPr="000D773F" w:rsidRDefault="00A1799D" w:rsidP="000D773F">
            <w:pPr>
              <w:autoSpaceDE w:val="0"/>
              <w:autoSpaceDN w:val="0"/>
              <w:adjustRightInd w:val="0"/>
              <w:spacing w:after="120" w:line="360" w:lineRule="auto"/>
              <w:ind w:left="0" w:right="0" w:firstLine="0"/>
              <w:rPr>
                <w:rFonts w:asciiTheme="minorHAnsi" w:hAnsiTheme="minorHAnsi" w:cstheme="minorHAnsi"/>
                <w:szCs w:val="24"/>
              </w:rPr>
            </w:pPr>
            <w:r w:rsidRPr="000D773F">
              <w:rPr>
                <w:rFonts w:asciiTheme="minorHAnsi" w:hAnsiTheme="minorHAnsi" w:cstheme="minorHAnsi"/>
                <w:szCs w:val="24"/>
              </w:rPr>
              <w:t xml:space="preserve">Ministerstwo Funduszy i Polityki Regionalnej </w:t>
            </w:r>
          </w:p>
          <w:p w14:paraId="048BBBC4" w14:textId="0B193F69"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ul. Wspólna 2/4 </w:t>
            </w:r>
            <w:r w:rsidRPr="000D773F">
              <w:rPr>
                <w:rFonts w:asciiTheme="minorHAnsi" w:hAnsiTheme="minorHAnsi" w:cstheme="minorHAnsi"/>
                <w:szCs w:val="24"/>
              </w:rPr>
              <w:br/>
              <w:t>00-926 Warszawa</w:t>
            </w:r>
            <w:r w:rsidR="00A96B16" w:rsidRPr="000D773F">
              <w:rPr>
                <w:rFonts w:asciiTheme="minorHAnsi" w:hAnsiTheme="minorHAnsi" w:cstheme="minorHAnsi"/>
                <w:szCs w:val="24"/>
              </w:rPr>
              <w:t xml:space="preserve">, </w:t>
            </w:r>
            <w:r w:rsidRPr="000D773F">
              <w:rPr>
                <w:rFonts w:asciiTheme="minorHAnsi" w:hAnsiTheme="minorHAnsi" w:cstheme="minorHAnsi"/>
                <w:szCs w:val="24"/>
              </w:rPr>
              <w:t>Polska</w:t>
            </w:r>
          </w:p>
        </w:tc>
        <w:tc>
          <w:tcPr>
            <w:tcW w:w="2485" w:type="dxa"/>
          </w:tcPr>
          <w:p w14:paraId="7FAEFF94" w14:textId="6BA45D37" w:rsidR="00A1799D" w:rsidRPr="000D773F" w:rsidRDefault="00A1799D" w:rsidP="000D773F">
            <w:pPr>
              <w:autoSpaceDE w:val="0"/>
              <w:autoSpaceDN w:val="0"/>
              <w:adjustRightInd w:val="0"/>
              <w:spacing w:after="120" w:line="360" w:lineRule="auto"/>
              <w:ind w:left="0" w:right="0" w:firstLine="0"/>
              <w:rPr>
                <w:rFonts w:asciiTheme="minorHAnsi" w:eastAsiaTheme="minorEastAsia" w:hAnsiTheme="minorHAnsi" w:cstheme="minorHAnsi"/>
                <w:szCs w:val="24"/>
              </w:rPr>
            </w:pPr>
            <w:r w:rsidRPr="000D773F">
              <w:rPr>
                <w:rFonts w:asciiTheme="minorHAnsi" w:hAnsiTheme="minorHAnsi" w:cstheme="minorHAnsi"/>
                <w:szCs w:val="24"/>
              </w:rPr>
              <w:t>Minister właściwy ds. rozwoju regionalnego</w:t>
            </w:r>
          </w:p>
        </w:tc>
        <w:tc>
          <w:tcPr>
            <w:tcW w:w="2013" w:type="dxa"/>
          </w:tcPr>
          <w:p w14:paraId="778FC580" w14:textId="2F9DF28A" w:rsidR="00A1799D" w:rsidRPr="000D773F" w:rsidRDefault="00F17D77" w:rsidP="000D773F">
            <w:pPr>
              <w:autoSpaceDE w:val="0"/>
              <w:autoSpaceDN w:val="0"/>
              <w:adjustRightInd w:val="0"/>
              <w:spacing w:after="120" w:line="360" w:lineRule="auto"/>
              <w:ind w:left="0" w:right="0" w:firstLine="0"/>
              <w:rPr>
                <w:rFonts w:asciiTheme="minorHAnsi" w:hAnsiTheme="minorHAnsi" w:cstheme="minorHAnsi"/>
                <w:szCs w:val="24"/>
              </w:rPr>
            </w:pPr>
            <w:hyperlink r:id="rId18" w:tgtFrame="undefined" w:tooltip="kancelaria@mfipr.gov.pl" w:history="1">
              <w:r w:rsidR="00A1799D" w:rsidRPr="000D773F">
                <w:rPr>
                  <w:rFonts w:asciiTheme="minorHAnsi" w:hAnsiTheme="minorHAnsi" w:cstheme="minorHAnsi"/>
                  <w:szCs w:val="24"/>
                </w:rPr>
                <w:t>kancelaria@mfipr.gov.pl</w:t>
              </w:r>
            </w:hyperlink>
          </w:p>
        </w:tc>
      </w:tr>
    </w:tbl>
    <w:p w14:paraId="5BD17ABB" w14:textId="77777777" w:rsidR="008D6A96" w:rsidRPr="002F1719" w:rsidRDefault="008D6A96" w:rsidP="0043207E">
      <w:pPr>
        <w:spacing w:after="160" w:line="259" w:lineRule="auto"/>
        <w:ind w:left="0" w:right="0" w:firstLine="0"/>
        <w:rPr>
          <w:rFonts w:asciiTheme="minorHAnsi" w:hAnsiTheme="minorHAnsi" w:cstheme="minorHAnsi"/>
        </w:rPr>
      </w:pPr>
    </w:p>
    <w:p w14:paraId="2B587B88" w14:textId="77777777" w:rsidR="0043207E" w:rsidRPr="002F1719" w:rsidRDefault="0043207E" w:rsidP="0043207E">
      <w:pPr>
        <w:autoSpaceDE w:val="0"/>
        <w:autoSpaceDN w:val="0"/>
        <w:adjustRightInd w:val="0"/>
        <w:spacing w:after="0" w:line="240" w:lineRule="auto"/>
        <w:ind w:left="0" w:right="0" w:firstLine="0"/>
        <w:rPr>
          <w:rFonts w:asciiTheme="minorHAnsi" w:eastAsiaTheme="minorEastAsia" w:hAnsiTheme="minorHAnsi" w:cstheme="minorHAnsi"/>
          <w:szCs w:val="24"/>
        </w:rPr>
      </w:pPr>
    </w:p>
    <w:p w14:paraId="7C87ECCA" w14:textId="56661B81" w:rsidR="0043207E" w:rsidRPr="002F1719" w:rsidRDefault="000D773F" w:rsidP="000D773F">
      <w:pPr>
        <w:pStyle w:val="Heading3"/>
        <w:rPr>
          <w:rFonts w:eastAsiaTheme="minorEastAsia"/>
        </w:rPr>
      </w:pPr>
      <w:r>
        <w:rPr>
          <w:rFonts w:eastAsiaTheme="minorEastAsia"/>
        </w:rPr>
        <w:t>7.2</w:t>
      </w:r>
      <w:r w:rsidR="0043207E" w:rsidRPr="002F1719">
        <w:rPr>
          <w:rFonts w:eastAsiaTheme="minorEastAsia"/>
        </w:rPr>
        <w:t xml:space="preserve"> Procedura utworzenia wspólnego sekretariatu</w:t>
      </w:r>
    </w:p>
    <w:p w14:paraId="248AB4AE" w14:textId="77777777" w:rsidR="0043207E" w:rsidRPr="002F1719" w:rsidRDefault="0043207E" w:rsidP="0043207E">
      <w:pPr>
        <w:spacing w:after="5" w:line="443" w:lineRule="auto"/>
        <w:ind w:left="284" w:right="0" w:firstLine="0"/>
        <w:rPr>
          <w:rFonts w:asciiTheme="minorHAnsi" w:hAnsiTheme="minorHAnsi" w:cstheme="minorHAnsi"/>
          <w:i/>
        </w:rPr>
      </w:pPr>
    </w:p>
    <w:p w14:paraId="0594002A" w14:textId="77777777" w:rsidR="0043207E" w:rsidRPr="000D773F" w:rsidRDefault="0043207E" w:rsidP="000D773F">
      <w:pPr>
        <w:spacing w:after="120" w:line="360" w:lineRule="auto"/>
        <w:ind w:left="0" w:right="792" w:firstLine="0"/>
        <w:rPr>
          <w:rFonts w:asciiTheme="minorHAnsi" w:hAnsiTheme="minorHAnsi" w:cstheme="minorHAnsi"/>
        </w:rPr>
      </w:pPr>
      <w:r w:rsidRPr="000D773F">
        <w:rPr>
          <w:rFonts w:asciiTheme="minorHAnsi" w:hAnsiTheme="minorHAnsi" w:cstheme="minorHAnsi"/>
        </w:rPr>
        <w:t>Podstawa prawna: art. 17 ust. 6 lit. b)</w:t>
      </w:r>
    </w:p>
    <w:p w14:paraId="02820205" w14:textId="2CEC9FC2" w:rsidR="0043207E" w:rsidRPr="002F1719" w:rsidRDefault="00284366" w:rsidP="000D773F">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Instytucja zarządzająca w porozumieniu z Państwami Członkowskimi reprezentowanymi w programie ustanowi Wspólny Sekretariat (WS), który będzie wspomagał Instytucję Zarządzającą i Komitet Monitorujący w wykonywaniu ich obowiązków. </w:t>
      </w:r>
    </w:p>
    <w:p w14:paraId="0CB99804" w14:textId="7E2CB4C5" w:rsidR="00284366" w:rsidRPr="002F1719" w:rsidRDefault="00284366" w:rsidP="000D773F">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Instytucja Zarządzająca będzie odpowiedzialna za ustanowienie zasad alokowania i przekazywanie środków Pomocy Technicznej, o której mowa w art. 27 rozporządzenia Interreg, do właściwych </w:t>
      </w:r>
      <w:r w:rsidR="009E7C6C" w:rsidRPr="002F1719">
        <w:rPr>
          <w:rFonts w:asciiTheme="minorHAnsi" w:hAnsiTheme="minorHAnsi" w:cstheme="minorHAnsi"/>
        </w:rPr>
        <w:t xml:space="preserve">podmiotów, w tym WS. Szczegółowe ustalenia dotyczące przekazywania płatności do kwalifikowalnych podmiotów na cele wdrażania zadań na rzecz programu zostaną opisane w dedykowanym dokumencie przyznającym środki Pomocy Technicznej każdemu podmiotowi. </w:t>
      </w:r>
    </w:p>
    <w:p w14:paraId="486FB02C" w14:textId="6723CD3A" w:rsidR="0043207E" w:rsidRPr="002F1719" w:rsidRDefault="009E7C6C" w:rsidP="000D773F">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WS będzie ulokowany w Gdańsku (Polska) w strukturze Centrum Projektów Europejskich, która jest instytucją powołaną do tego celu przez Instytucję Zarządzającą. WS będzie działał wg podobnych rozwiązań wdrożeniowych jak ustalone na okres programowania 2014-2020. WS będzie finansowany z budżetu Pomocy Technicznej. WS będzie zatrudniać międzynarodowy personel. </w:t>
      </w:r>
      <w:r w:rsidR="00CE45F7" w:rsidRPr="002F1719">
        <w:rPr>
          <w:rFonts w:asciiTheme="minorHAnsi" w:hAnsiTheme="minorHAnsi" w:cstheme="minorHAnsi"/>
        </w:rPr>
        <w:t xml:space="preserve">Liczba i kwalifikacje personelu będą korespondować z funkcjami wykonywanymi przez WS. Zadania WS będą określone w oddzielnym porozumieniu z Instytucją Zarządzającą jak i będą zawarte w indywidualnych opisach stanowisk. </w:t>
      </w:r>
    </w:p>
    <w:p w14:paraId="45675F8F" w14:textId="77777777" w:rsidR="00CE45F7" w:rsidRPr="002F1719" w:rsidRDefault="00CE45F7" w:rsidP="000D773F">
      <w:pPr>
        <w:spacing w:after="120" w:line="360" w:lineRule="auto"/>
        <w:ind w:left="0" w:right="792" w:firstLine="0"/>
        <w:rPr>
          <w:rFonts w:asciiTheme="minorHAnsi" w:hAnsiTheme="minorHAnsi" w:cstheme="minorHAnsi"/>
        </w:rPr>
      </w:pPr>
      <w:r w:rsidRPr="002F1719">
        <w:rPr>
          <w:rFonts w:asciiTheme="minorHAnsi" w:hAnsiTheme="minorHAnsi" w:cstheme="minorHAnsi"/>
        </w:rPr>
        <w:t xml:space="preserve">Zadania WS będą obejmować, między innymi: </w:t>
      </w:r>
    </w:p>
    <w:p w14:paraId="3AA9B942" w14:textId="41B2097A"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promowanie i dostarczanie informacji o programie i jego celach;</w:t>
      </w:r>
    </w:p>
    <w:p w14:paraId="17DB55BC" w14:textId="3F870480"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udzielanie pomocy i doradztwo na rzecz potencjalnych beneficjentów programu;</w:t>
      </w:r>
    </w:p>
    <w:p w14:paraId="4826785F" w14:textId="278C4C5D"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otrzymywanie i rejestrowanie wniosków o dofinansowanie;</w:t>
      </w:r>
    </w:p>
    <w:p w14:paraId="318AA353" w14:textId="06BA8D32"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ocenę otrzymanych wniosków o dofinansowanie;</w:t>
      </w:r>
    </w:p>
    <w:p w14:paraId="7673C1D2" w14:textId="26F6BFE1"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bieżące wdrażanie programu;</w:t>
      </w:r>
    </w:p>
    <w:p w14:paraId="32B8B4CB" w14:textId="56ABF833"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przygotowywanie posiedzeń Komitetu Monitorującego i dostarczanie mu wszelkiej właściwej dokumentacji;</w:t>
      </w:r>
    </w:p>
    <w:p w14:paraId="399E0F13" w14:textId="77F8839F"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wspieranie Instytucji Zarządzającej we wdrażaniu programu jak również jego monitorowaniu;</w:t>
      </w:r>
    </w:p>
    <w:p w14:paraId="0FAD1B5D" w14:textId="6622600A" w:rsidR="00CE45F7" w:rsidRPr="000D773F" w:rsidRDefault="00CE45F7" w:rsidP="000D773F">
      <w:pPr>
        <w:pStyle w:val="ListParagraph"/>
        <w:numPr>
          <w:ilvl w:val="0"/>
          <w:numId w:val="29"/>
        </w:numPr>
        <w:spacing w:after="120" w:line="360" w:lineRule="auto"/>
        <w:ind w:right="792"/>
        <w:rPr>
          <w:rFonts w:asciiTheme="minorHAnsi" w:hAnsiTheme="minorHAnsi" w:cstheme="minorHAnsi"/>
        </w:rPr>
      </w:pPr>
      <w:r w:rsidRPr="000D773F">
        <w:rPr>
          <w:rFonts w:asciiTheme="minorHAnsi" w:hAnsiTheme="minorHAnsi" w:cstheme="minorHAnsi"/>
        </w:rPr>
        <w:t>uczestnictwo, we współpracy z Instytucją Zarządzającą, w procedurze wypłacania Pomocy Technicznej, obejmującej również Punkty Kontaktowe.</w:t>
      </w:r>
    </w:p>
    <w:p w14:paraId="4C55044F" w14:textId="3B8403E2" w:rsidR="0043207E" w:rsidRPr="002F1719" w:rsidRDefault="000D773F" w:rsidP="000D773F">
      <w:pPr>
        <w:pStyle w:val="Heading3"/>
        <w:rPr>
          <w:rFonts w:eastAsiaTheme="minorEastAsia"/>
        </w:rPr>
      </w:pPr>
      <w:r>
        <w:rPr>
          <w:rFonts w:eastAsiaTheme="minorEastAsia"/>
        </w:rPr>
        <w:t xml:space="preserve">7.3 </w:t>
      </w:r>
      <w:r w:rsidR="0043207E" w:rsidRPr="002F1719">
        <w:rPr>
          <w:rFonts w:eastAsiaTheme="minorEastAsia"/>
        </w:rPr>
        <w:t xml:space="preserve">Podział odpowiedzialności pomiędzy uczestniczącymi państwami członkowskimi </w:t>
      </w:r>
      <w:proofErr w:type="gramStart"/>
      <w:r w:rsidR="0043207E" w:rsidRPr="002F1719">
        <w:rPr>
          <w:rFonts w:eastAsiaTheme="minorEastAsia"/>
        </w:rPr>
        <w:t>oraz,</w:t>
      </w:r>
      <w:proofErr w:type="gramEnd"/>
      <w:r w:rsidR="0043207E" w:rsidRPr="002F1719">
        <w:rPr>
          <w:rFonts w:eastAsiaTheme="minorEastAsia"/>
        </w:rPr>
        <w:t xml:space="preserve"> w stosownych przypadkach, państwami trzecimi lub krajami partnerskimi oraz KTZ w przypadku korekt finansowych dokonywanych przez instytucję zarządzającą lub Komisję</w:t>
      </w:r>
    </w:p>
    <w:p w14:paraId="74932057" w14:textId="77777777" w:rsidR="0043207E" w:rsidRPr="000D773F" w:rsidRDefault="0043207E" w:rsidP="000D773F">
      <w:pPr>
        <w:spacing w:after="120" w:line="360" w:lineRule="auto"/>
        <w:ind w:left="0" w:right="792" w:firstLine="0"/>
        <w:rPr>
          <w:rFonts w:asciiTheme="minorHAnsi" w:hAnsiTheme="minorHAnsi" w:cstheme="minorHAnsi"/>
        </w:rPr>
      </w:pPr>
      <w:r w:rsidRPr="000D773F">
        <w:rPr>
          <w:rFonts w:asciiTheme="minorHAnsi" w:hAnsiTheme="minorHAnsi" w:cstheme="minorHAnsi"/>
        </w:rPr>
        <w:t>Podstawa prawna: art. 17 ust. 6 lit. c)</w:t>
      </w:r>
    </w:p>
    <w:p w14:paraId="6A9E35DD" w14:textId="4C2FB5E9" w:rsidR="0043207E" w:rsidRPr="002F1719" w:rsidRDefault="00FF22AA" w:rsidP="000D773F">
      <w:pPr>
        <w:spacing w:after="120" w:line="360" w:lineRule="auto"/>
        <w:ind w:left="0" w:right="792" w:firstLine="0"/>
        <w:rPr>
          <w:rFonts w:asciiTheme="minorHAnsi" w:hAnsiTheme="minorHAnsi" w:cstheme="minorHAnsi"/>
        </w:rPr>
      </w:pPr>
      <w:r w:rsidRPr="002F1719">
        <w:rPr>
          <w:rFonts w:asciiTheme="minorHAnsi" w:hAnsiTheme="minorHAnsi" w:cstheme="minorHAnsi"/>
        </w:rPr>
        <w:t>Państwa Członkowie będą ponosić odpowiedzialność finansową w odniesieniu do użycia E</w:t>
      </w:r>
      <w:r w:rsidR="0031483A" w:rsidRPr="002F1719">
        <w:rPr>
          <w:rFonts w:asciiTheme="minorHAnsi" w:hAnsiTheme="minorHAnsi" w:cstheme="minorHAnsi"/>
        </w:rPr>
        <w:t>F</w:t>
      </w:r>
      <w:r w:rsidRPr="002F1719">
        <w:rPr>
          <w:rFonts w:asciiTheme="minorHAnsi" w:hAnsiTheme="minorHAnsi" w:cstheme="minorHAnsi"/>
        </w:rPr>
        <w:t xml:space="preserve">RR programu Południowy Bałtyk jak niżej: </w:t>
      </w:r>
    </w:p>
    <w:p w14:paraId="3EA8419B" w14:textId="7B130F3A" w:rsidR="00FF22AA" w:rsidRPr="002F1719" w:rsidRDefault="00FF22AA" w:rsidP="000D773F">
      <w:pPr>
        <w:pStyle w:val="ListParagraph"/>
        <w:numPr>
          <w:ilvl w:val="0"/>
          <w:numId w:val="8"/>
        </w:numPr>
        <w:spacing w:after="120" w:line="360" w:lineRule="auto"/>
        <w:ind w:left="720" w:right="0" w:hanging="432"/>
        <w:rPr>
          <w:rFonts w:asciiTheme="minorHAnsi" w:hAnsiTheme="minorHAnsi" w:cstheme="minorHAnsi"/>
        </w:rPr>
      </w:pPr>
      <w:r w:rsidRPr="002F1719">
        <w:rPr>
          <w:rFonts w:asciiTheme="minorHAnsi" w:hAnsiTheme="minorHAnsi" w:cstheme="minorHAnsi"/>
        </w:rPr>
        <w:t xml:space="preserve">W przypadku korekt finansowych będących skutkiem nieprawidłowości, które mogą być przypisane do indywidualnych Państw Członkowskich, Państwa Członkowskie których to dotyczy będą ponosić konsekwencje finansowe proporcjonalnie do nieprawidłowości wykrytych na </w:t>
      </w:r>
      <w:r w:rsidR="00460ACD" w:rsidRPr="002F1719">
        <w:rPr>
          <w:rFonts w:asciiTheme="minorHAnsi" w:hAnsiTheme="minorHAnsi" w:cstheme="minorHAnsi"/>
        </w:rPr>
        <w:t>ich terytorium. Nie narusza to a</w:t>
      </w:r>
      <w:r w:rsidRPr="002F1719">
        <w:rPr>
          <w:rFonts w:asciiTheme="minorHAnsi" w:hAnsiTheme="minorHAnsi" w:cstheme="minorHAnsi"/>
        </w:rPr>
        <w:t>rt. 52 rozporządzenia Interreg.</w:t>
      </w:r>
    </w:p>
    <w:p w14:paraId="4609E2AD" w14:textId="0492017A" w:rsidR="00FF22AA" w:rsidRPr="002F1719" w:rsidRDefault="00FF22AA" w:rsidP="000D773F">
      <w:pPr>
        <w:pStyle w:val="ListParagraph"/>
        <w:numPr>
          <w:ilvl w:val="0"/>
          <w:numId w:val="8"/>
        </w:numPr>
        <w:spacing w:after="120" w:line="360" w:lineRule="auto"/>
        <w:ind w:left="720" w:right="0" w:hanging="432"/>
        <w:rPr>
          <w:rFonts w:asciiTheme="minorHAnsi" w:hAnsiTheme="minorHAnsi" w:cstheme="minorHAnsi"/>
        </w:rPr>
      </w:pPr>
      <w:r w:rsidRPr="002F1719">
        <w:rPr>
          <w:rFonts w:asciiTheme="minorHAnsi" w:hAnsiTheme="minorHAnsi" w:cstheme="minorHAnsi"/>
        </w:rPr>
        <w:t xml:space="preserve">W przypadku korekty finansowej będącej rezultatem wspólnie podjętych decyzji co do programu Południowy Bałtyk (w tym sytuacje, gdy cele wyznaczone w programie nie zostały osiągnięte), lub gdy nieprawidłowości skutkujące korektami finansowymi nie mogą być powiązane z </w:t>
      </w:r>
      <w:r w:rsidR="0031483A" w:rsidRPr="002F1719">
        <w:rPr>
          <w:rFonts w:asciiTheme="minorHAnsi" w:hAnsiTheme="minorHAnsi" w:cstheme="minorHAnsi"/>
        </w:rPr>
        <w:t>indywidualnymi</w:t>
      </w:r>
      <w:r w:rsidRPr="002F1719">
        <w:rPr>
          <w:rFonts w:asciiTheme="minorHAnsi" w:hAnsiTheme="minorHAnsi" w:cstheme="minorHAnsi"/>
        </w:rPr>
        <w:t xml:space="preserve"> Państwami Członkowskimi, wszystkie Państwa </w:t>
      </w:r>
      <w:r w:rsidR="0031483A" w:rsidRPr="002F1719">
        <w:rPr>
          <w:rFonts w:asciiTheme="minorHAnsi" w:hAnsiTheme="minorHAnsi" w:cstheme="minorHAnsi"/>
        </w:rPr>
        <w:t>Członkowskie</w:t>
      </w:r>
      <w:r w:rsidRPr="002F1719">
        <w:rPr>
          <w:rFonts w:asciiTheme="minorHAnsi" w:hAnsiTheme="minorHAnsi" w:cstheme="minorHAnsi"/>
        </w:rPr>
        <w:t xml:space="preserve"> będą wspólnie odpowiedzialne proporcjonalne do wkładu EFRR wypłaconego odpowiednim krajowym par</w:t>
      </w:r>
      <w:r w:rsidR="0059280B" w:rsidRPr="002F1719">
        <w:rPr>
          <w:rFonts w:asciiTheme="minorHAnsi" w:hAnsiTheme="minorHAnsi" w:cstheme="minorHAnsi"/>
        </w:rPr>
        <w:t>tnerom projektów.</w:t>
      </w:r>
      <w:r w:rsidRPr="002F1719">
        <w:rPr>
          <w:rFonts w:asciiTheme="minorHAnsi" w:hAnsiTheme="minorHAnsi" w:cstheme="minorHAnsi"/>
        </w:rPr>
        <w:t xml:space="preserve"> Ten wkład EFRR będzie obliczony na dzień wydania przez KE ostatecznej decyzji o korekcie finansowej. </w:t>
      </w:r>
    </w:p>
    <w:p w14:paraId="5D52A1AE" w14:textId="1EA1B79E" w:rsidR="0043207E" w:rsidRPr="002F1719" w:rsidRDefault="00FF22AA" w:rsidP="000D773F">
      <w:pPr>
        <w:pStyle w:val="ListParagraph"/>
        <w:numPr>
          <w:ilvl w:val="0"/>
          <w:numId w:val="8"/>
        </w:numPr>
        <w:spacing w:after="120" w:line="360" w:lineRule="auto"/>
        <w:ind w:left="720" w:right="0" w:hanging="432"/>
        <w:rPr>
          <w:rFonts w:asciiTheme="minorHAnsi" w:hAnsiTheme="minorHAnsi" w:cstheme="minorHAnsi"/>
        </w:rPr>
      </w:pPr>
      <w:r w:rsidRPr="002F1719">
        <w:rPr>
          <w:rFonts w:asciiTheme="minorHAnsi" w:hAnsiTheme="minorHAnsi" w:cstheme="minorHAnsi"/>
        </w:rPr>
        <w:t xml:space="preserve">W przypadku korekty finansowej będącej rezultatem działań instytucji programowych, np. IZ i/lub WS, odpowiedzialność będzie ponoszona przez Państwo Członkowskie </w:t>
      </w:r>
      <w:r w:rsidR="00E80B0E" w:rsidRPr="002F1719">
        <w:rPr>
          <w:rFonts w:asciiTheme="minorHAnsi" w:hAnsiTheme="minorHAnsi" w:cstheme="minorHAnsi"/>
        </w:rPr>
        <w:t>w którym znajduje się siedziba tych instytucji.</w:t>
      </w:r>
    </w:p>
    <w:p w14:paraId="1B69E500" w14:textId="76BEA463" w:rsidR="0043207E" w:rsidRPr="000D773F" w:rsidRDefault="00E80B0E" w:rsidP="000D773F">
      <w:pPr>
        <w:pStyle w:val="ListParagraph"/>
        <w:numPr>
          <w:ilvl w:val="0"/>
          <w:numId w:val="8"/>
        </w:numPr>
        <w:spacing w:after="120" w:line="360" w:lineRule="auto"/>
        <w:ind w:left="720" w:right="0" w:hanging="432"/>
        <w:rPr>
          <w:rFonts w:asciiTheme="minorHAnsi" w:hAnsiTheme="minorHAnsi" w:cstheme="minorHAnsi"/>
        </w:rPr>
      </w:pPr>
      <w:r w:rsidRPr="002F1719">
        <w:rPr>
          <w:rFonts w:asciiTheme="minorHAnsi" w:hAnsiTheme="minorHAnsi" w:cstheme="minorHAnsi"/>
        </w:rPr>
        <w:t xml:space="preserve">W przypadku korekty finansowej nałożonej w wyniku nieprawidłowości nieopisanych powyżej, metodologia dzielenia się odpowiedzialnością zostanie ustanowiona we współpracy pomiędzy IZ i Państwami Członkowskimi i uzgodniona z KM. </w:t>
      </w:r>
    </w:p>
    <w:sectPr w:rsidR="0043207E" w:rsidRPr="000D773F" w:rsidSect="000D773F">
      <w:pgSz w:w="11906" w:h="16838"/>
      <w:pgMar w:top="1282" w:right="1440" w:bottom="1598" w:left="1440"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6634" w14:textId="77777777" w:rsidR="00F17D77" w:rsidRDefault="00F17D77">
      <w:pPr>
        <w:spacing w:after="0" w:line="240" w:lineRule="auto"/>
      </w:pPr>
      <w:r>
        <w:separator/>
      </w:r>
    </w:p>
    <w:p w14:paraId="47CDC649" w14:textId="77777777" w:rsidR="00F17D77" w:rsidRDefault="00F17D77"/>
    <w:p w14:paraId="3C3CBFDA" w14:textId="77777777" w:rsidR="00F17D77" w:rsidRDefault="00F17D77" w:rsidP="00FC6229"/>
  </w:endnote>
  <w:endnote w:type="continuationSeparator" w:id="0">
    <w:p w14:paraId="61C2962C" w14:textId="77777777" w:rsidR="00F17D77" w:rsidRDefault="00F17D77">
      <w:pPr>
        <w:spacing w:after="0" w:line="240" w:lineRule="auto"/>
      </w:pPr>
      <w:r>
        <w:continuationSeparator/>
      </w:r>
    </w:p>
    <w:p w14:paraId="010809AE" w14:textId="77777777" w:rsidR="00F17D77" w:rsidRDefault="00F17D77"/>
    <w:p w14:paraId="2C68022C" w14:textId="77777777" w:rsidR="00F17D77" w:rsidRDefault="00F17D77" w:rsidP="00FC6229"/>
  </w:endnote>
  <w:endnote w:type="continuationNotice" w:id="1">
    <w:p w14:paraId="77882D72" w14:textId="77777777" w:rsidR="00F17D77" w:rsidRDefault="00F17D77">
      <w:pPr>
        <w:spacing w:after="0" w:line="240" w:lineRule="auto"/>
      </w:pPr>
    </w:p>
    <w:p w14:paraId="3E44686F" w14:textId="77777777" w:rsidR="00F17D77" w:rsidRDefault="00F17D77"/>
    <w:p w14:paraId="61674FDA" w14:textId="77777777" w:rsidR="00F17D77" w:rsidRDefault="00F17D77" w:rsidP="00FC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1668" w14:textId="77777777" w:rsidR="00FC6229" w:rsidRDefault="009F2FD1" w:rsidP="002F1719">
    <w:pPr>
      <w:spacing w:after="160" w:line="259" w:lineRule="auto"/>
      <w:ind w:left="0" w:right="0" w:firstLine="0"/>
      <w:rPr>
        <w:rFonts w:asciiTheme="minorHAnsi" w:hAnsiTheme="minorHAnsi" w:cstheme="minorHAnsi"/>
        <w:sz w:val="2"/>
      </w:rPr>
    </w:pPr>
    <w:r w:rsidRPr="002F1719">
      <w:rPr>
        <w:rFonts w:asciiTheme="minorHAnsi" w:hAnsiTheme="minorHAnsi" w:cstheme="minorHAnsi"/>
        <w:sz w:val="2"/>
      </w:rPr>
      <w:t xml:space="preserve"> </w:t>
    </w:r>
  </w:p>
  <w:p w14:paraId="6D6C8F0F" w14:textId="03123D37" w:rsidR="002F1719" w:rsidRPr="002F1719" w:rsidRDefault="002F1719" w:rsidP="002F1719">
    <w:pPr>
      <w:spacing w:after="160" w:line="259" w:lineRule="auto"/>
      <w:ind w:left="0" w:right="0" w:firstLine="0"/>
      <w:rPr>
        <w:rFonts w:asciiTheme="minorHAnsi" w:hAnsiTheme="minorHAnsi" w:cstheme="minorHAnsi"/>
      </w:rPr>
    </w:pPr>
    <w:r>
      <w:rPr>
        <w:rFonts w:asciiTheme="minorHAnsi" w:hAnsiTheme="minorHAnsi" w:cstheme="minorHAnsi"/>
        <w:color w:val="auto"/>
        <w:spacing w:val="4"/>
      </w:rPr>
      <w:t>D</w:t>
    </w:r>
    <w:r w:rsidRPr="002F1719">
      <w:rPr>
        <w:rFonts w:asciiTheme="minorHAnsi" w:hAnsiTheme="minorHAnsi" w:cstheme="minorHAnsi"/>
        <w:color w:val="auto"/>
        <w:spacing w:val="4"/>
      </w:rPr>
      <w:t>okument jest zgodny z zasadami dostępności</w:t>
    </w:r>
  </w:p>
  <w:p w14:paraId="382D5255" w14:textId="181951B8" w:rsidR="009F2FD1" w:rsidRPr="002F1719" w:rsidRDefault="009F2FD1" w:rsidP="002F1719">
    <w:pPr>
      <w:tabs>
        <w:tab w:val="center" w:pos="5425"/>
        <w:tab w:val="center" w:pos="7266"/>
        <w:tab w:val="right" w:pos="9663"/>
      </w:tabs>
      <w:spacing w:after="99" w:line="259" w:lineRule="auto"/>
      <w:ind w:left="0" w:right="0" w:firstLine="0"/>
      <w:rPr>
        <w:rFonts w:asciiTheme="minorHAnsi" w:hAnsiTheme="minorHAnsi" w:cstheme="minorHAnsi"/>
      </w:rPr>
    </w:pPr>
    <w:r w:rsidRPr="002F1719">
      <w:rPr>
        <w:rFonts w:asciiTheme="minorHAnsi" w:hAnsiTheme="minorHAnsi" w:cstheme="minorHAnsi"/>
      </w:rPr>
      <w:fldChar w:fldCharType="begin"/>
    </w:r>
    <w:r w:rsidRPr="002F1719">
      <w:rPr>
        <w:rFonts w:asciiTheme="minorHAnsi" w:hAnsiTheme="minorHAnsi" w:cstheme="minorHAnsi"/>
      </w:rPr>
      <w:instrText xml:space="preserve"> PAGE   \* MERGEFORMAT </w:instrText>
    </w:r>
    <w:r w:rsidRPr="002F1719">
      <w:rPr>
        <w:rFonts w:asciiTheme="minorHAnsi" w:hAnsiTheme="minorHAnsi" w:cstheme="minorHAnsi"/>
      </w:rPr>
      <w:fldChar w:fldCharType="separate"/>
    </w:r>
    <w:r w:rsidR="00460ACD" w:rsidRPr="002F1719">
      <w:rPr>
        <w:rFonts w:asciiTheme="minorHAnsi" w:hAnsiTheme="minorHAnsi" w:cstheme="minorHAnsi"/>
        <w:noProof/>
      </w:rPr>
      <w:t>62</w:t>
    </w:r>
    <w:r w:rsidRPr="002F1719">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F721" w14:textId="77777777" w:rsidR="00E87B3B" w:rsidRPr="002F1719" w:rsidRDefault="00E87B3B" w:rsidP="00E87B3B">
    <w:pPr>
      <w:spacing w:after="160" w:line="259" w:lineRule="auto"/>
      <w:ind w:left="0" w:right="0" w:firstLine="0"/>
      <w:rPr>
        <w:rFonts w:asciiTheme="minorHAnsi" w:hAnsiTheme="minorHAnsi" w:cstheme="minorHAnsi"/>
      </w:rPr>
    </w:pPr>
    <w:r>
      <w:rPr>
        <w:rFonts w:asciiTheme="minorHAnsi" w:hAnsiTheme="minorHAnsi" w:cstheme="minorHAnsi"/>
        <w:color w:val="auto"/>
        <w:spacing w:val="4"/>
      </w:rPr>
      <w:t>D</w:t>
    </w:r>
    <w:r w:rsidRPr="002F1719">
      <w:rPr>
        <w:rFonts w:asciiTheme="minorHAnsi" w:hAnsiTheme="minorHAnsi" w:cstheme="minorHAnsi"/>
        <w:color w:val="auto"/>
        <w:spacing w:val="4"/>
      </w:rPr>
      <w:t>okument jest zgodny z zasadami dostępności</w:t>
    </w:r>
  </w:p>
  <w:p w14:paraId="37124A2F" w14:textId="032CD9CA" w:rsidR="009F2FD1" w:rsidRPr="00E87B3B" w:rsidRDefault="00E87B3B" w:rsidP="00E87B3B">
    <w:pPr>
      <w:tabs>
        <w:tab w:val="center" w:pos="5425"/>
        <w:tab w:val="center" w:pos="7266"/>
        <w:tab w:val="right" w:pos="9663"/>
      </w:tabs>
      <w:spacing w:after="99" w:line="259" w:lineRule="auto"/>
      <w:ind w:left="0" w:right="0" w:firstLine="0"/>
      <w:rPr>
        <w:rFonts w:asciiTheme="minorHAnsi" w:hAnsiTheme="minorHAnsi" w:cstheme="minorHAnsi"/>
      </w:rPr>
    </w:pPr>
    <w:r w:rsidRPr="002F1719">
      <w:rPr>
        <w:rFonts w:asciiTheme="minorHAnsi" w:hAnsiTheme="minorHAnsi" w:cstheme="minorHAnsi"/>
      </w:rPr>
      <w:fldChar w:fldCharType="begin"/>
    </w:r>
    <w:r w:rsidRPr="002F1719">
      <w:rPr>
        <w:rFonts w:asciiTheme="minorHAnsi" w:hAnsiTheme="minorHAnsi" w:cstheme="minorHAnsi"/>
      </w:rPr>
      <w:instrText xml:space="preserve"> PAGE   \* MERGEFORMAT </w:instrText>
    </w:r>
    <w:r w:rsidRPr="002F1719">
      <w:rPr>
        <w:rFonts w:asciiTheme="minorHAnsi" w:hAnsiTheme="minorHAnsi" w:cstheme="minorHAnsi"/>
      </w:rPr>
      <w:fldChar w:fldCharType="separate"/>
    </w:r>
    <w:r>
      <w:rPr>
        <w:rFonts w:asciiTheme="minorHAnsi" w:hAnsiTheme="minorHAnsi" w:cstheme="minorHAnsi"/>
      </w:rPr>
      <w:t>2</w:t>
    </w:r>
    <w:r w:rsidRPr="002F1719">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7BDD" w14:textId="46FE64D7" w:rsidR="009F2FD1" w:rsidRDefault="00274DB6">
    <w:pPr>
      <w:spacing w:after="226" w:line="259" w:lineRule="auto"/>
      <w:ind w:left="0" w:right="0" w:firstLine="0"/>
    </w:pPr>
    <w:r>
      <w:rPr>
        <w:noProof/>
      </w:rPr>
      <mc:AlternateContent>
        <mc:Choice Requires="wpg">
          <w:drawing>
            <wp:inline distT="0" distB="0" distL="0" distR="0" wp14:anchorId="07CAF85C" wp14:editId="236D7F9C">
              <wp:extent cx="6123305" cy="6350"/>
              <wp:effectExtent l="0" t="0" r="0" b="0"/>
              <wp:docPr id="1" name="Group 131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6350"/>
                        <a:chOff x="0" y="0"/>
                        <a:chExt cx="61231" cy="60"/>
                      </a:xfrm>
                    </wpg:grpSpPr>
                    <wps:wsp>
                      <wps:cNvPr id="2" name="Shape 135964"/>
                      <wps:cNvSpPr>
                        <a:spLocks/>
                      </wps:cNvSpPr>
                      <wps:spPr bwMode="auto">
                        <a:xfrm>
                          <a:off x="0" y="0"/>
                          <a:ext cx="61231" cy="91"/>
                        </a:xfrm>
                        <a:custGeom>
                          <a:avLst/>
                          <a:gdLst>
                            <a:gd name="T0" fmla="*/ 0 w 6123178"/>
                            <a:gd name="T1" fmla="*/ 0 h 9144"/>
                            <a:gd name="T2" fmla="*/ 6123178 w 6123178"/>
                            <a:gd name="T3" fmla="*/ 0 h 9144"/>
                            <a:gd name="T4" fmla="*/ 6123178 w 6123178"/>
                            <a:gd name="T5" fmla="*/ 9144 h 9144"/>
                            <a:gd name="T6" fmla="*/ 0 w 6123178"/>
                            <a:gd name="T7" fmla="*/ 9144 h 9144"/>
                            <a:gd name="T8" fmla="*/ 0 w 6123178"/>
                            <a:gd name="T9" fmla="*/ 0 h 9144"/>
                            <a:gd name="T10" fmla="*/ 0 w 6123178"/>
                            <a:gd name="T11" fmla="*/ 0 h 9144"/>
                            <a:gd name="T12" fmla="*/ 6123178 w 6123178"/>
                            <a:gd name="T13" fmla="*/ 9144 h 9144"/>
                          </a:gdLst>
                          <a:ahLst/>
                          <a:cxnLst>
                            <a:cxn ang="0">
                              <a:pos x="T0" y="T1"/>
                            </a:cxn>
                            <a:cxn ang="0">
                              <a:pos x="T2" y="T3"/>
                            </a:cxn>
                            <a:cxn ang="0">
                              <a:pos x="T4" y="T5"/>
                            </a:cxn>
                            <a:cxn ang="0">
                              <a:pos x="T6" y="T7"/>
                            </a:cxn>
                            <a:cxn ang="0">
                              <a:pos x="T8" y="T9"/>
                            </a:cxn>
                          </a:cxnLst>
                          <a:rect l="T10" t="T11" r="T12" b="T13"/>
                          <a:pathLst>
                            <a:path w="6123178" h="9144">
                              <a:moveTo>
                                <a:pt x="0" y="0"/>
                              </a:moveTo>
                              <a:lnTo>
                                <a:pt x="6123178" y="0"/>
                              </a:lnTo>
                              <a:lnTo>
                                <a:pt x="61231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D3D41E" id="Group 131556" o:spid="_x0000_s1026" style="width:482.15pt;height:.5pt;mso-position-horizontal-relative:char;mso-position-vertical-relative:line" coordsize="612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">
              <v:shape id="Shape 135964" o:spid="_x0000_s1027" style="position:absolute;width:61231;height:91;visibility:visible;mso-wrap-style:square;v-text-anchor:top" coordsize="6123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" path="m,l6123178,r,9144l,9144,,e" fillcolor="black" stroked="f" strokeweight="0">
                <v:stroke miterlimit="83231f" joinstyle="miter"/>
                <v:path arrowok="t" o:connecttype="custom" o:connectlocs="0,0;61231,0;61231,91;0,91;0,0" o:connectangles="0,0,0,0,0" textboxrect="0,0,6123178,9144"/>
              </v:shape>
              <w10:anchorlock/>
            </v:group>
          </w:pict>
        </mc:Fallback>
      </mc:AlternateContent>
    </w:r>
    <w:r w:rsidR="009F2FD1">
      <w:rPr>
        <w:sz w:val="2"/>
      </w:rPr>
      <w:t xml:space="preserve"> </w:t>
    </w:r>
  </w:p>
  <w:p w14:paraId="7DBFC012" w14:textId="1AEB94C0" w:rsidR="009F2FD1" w:rsidRDefault="009F2FD1">
    <w:pPr>
      <w:tabs>
        <w:tab w:val="center" w:pos="5425"/>
        <w:tab w:val="center" w:pos="7266"/>
        <w:tab w:val="right" w:pos="9663"/>
      </w:tabs>
      <w:spacing w:after="99" w:line="259" w:lineRule="auto"/>
      <w:ind w:left="0" w:right="0" w:firstLine="0"/>
    </w:pPr>
    <w:r>
      <w:t>13697/20</w:t>
    </w:r>
    <w:r>
      <w:tab/>
    </w:r>
    <w:r>
      <w:tab/>
      <w:t xml:space="preserve"> TS/</w:t>
    </w:r>
    <w:proofErr w:type="spellStart"/>
    <w:r>
      <w:t>cs</w:t>
    </w:r>
    <w:proofErr w:type="spellEnd"/>
    <w:r>
      <w:t xml:space="preserve"> </w:t>
    </w:r>
    <w:r>
      <w:tab/>
    </w:r>
    <w:r>
      <w:fldChar w:fldCharType="begin"/>
    </w:r>
    <w:r>
      <w:instrText xml:space="preserve"> PAGE   \* MERGEFORMAT </w:instrText>
    </w:r>
    <w:r>
      <w:fldChar w:fldCharType="separate"/>
    </w:r>
    <w:r>
      <w:t>3</w:t>
    </w:r>
    <w:r>
      <w:fldChar w:fldCharType="end"/>
    </w:r>
  </w:p>
  <w:p w14:paraId="40387D3B" w14:textId="77777777" w:rsidR="009F2FD1" w:rsidRDefault="009F2FD1">
    <w:pPr>
      <w:tabs>
        <w:tab w:val="center" w:pos="4825"/>
        <w:tab w:val="center" w:pos="6945"/>
        <w:tab w:val="right" w:pos="9663"/>
      </w:tabs>
      <w:spacing w:after="0" w:line="259" w:lineRule="auto"/>
      <w:ind w:left="0" w:right="0" w:firstLine="0"/>
    </w:pPr>
    <w:r>
      <w:t>ZAŁĄCZNIK</w:t>
    </w:r>
    <w:r>
      <w:tab/>
      <w:t xml:space="preserve"> ECOMP.2</w:t>
    </w:r>
    <w:r>
      <w:tab/>
    </w:r>
    <w:r>
      <w:rPr>
        <w:b/>
        <w:sz w:val="36"/>
      </w:rPr>
      <w:t xml:space="preserve"> </w:t>
    </w:r>
    <w:r>
      <w:rPr>
        <w:b/>
        <w:sz w:val="36"/>
      </w:rPr>
      <w:tab/>
      <w:t xml:space="preserve"> PL</w:t>
    </w:r>
  </w:p>
  <w:p w14:paraId="522922AA" w14:textId="77777777" w:rsidR="009F2FD1" w:rsidRDefault="009F2FD1">
    <w:pPr>
      <w:spacing w:after="0" w:line="259" w:lineRule="auto"/>
      <w:ind w:left="0" w:righ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EBC8" w14:textId="77777777" w:rsidR="00F17D77" w:rsidRDefault="00F17D77">
      <w:pPr>
        <w:tabs>
          <w:tab w:val="center" w:pos="1173"/>
          <w:tab w:val="center" w:pos="2640"/>
        </w:tabs>
        <w:spacing w:after="0" w:line="259" w:lineRule="auto"/>
        <w:ind w:left="0" w:right="0" w:firstLine="0"/>
      </w:pPr>
      <w:r>
        <w:separator/>
      </w:r>
    </w:p>
    <w:p w14:paraId="58BF1013" w14:textId="77777777" w:rsidR="00F17D77" w:rsidRDefault="00F17D77"/>
    <w:p w14:paraId="34D8A07D" w14:textId="77777777" w:rsidR="00F17D77" w:rsidRDefault="00F17D77" w:rsidP="00FC6229"/>
  </w:footnote>
  <w:footnote w:type="continuationSeparator" w:id="0">
    <w:p w14:paraId="714DB0A5" w14:textId="77777777" w:rsidR="00F17D77" w:rsidRDefault="00F17D77">
      <w:pPr>
        <w:tabs>
          <w:tab w:val="center" w:pos="1173"/>
          <w:tab w:val="center" w:pos="2640"/>
        </w:tabs>
        <w:spacing w:after="0" w:line="259" w:lineRule="auto"/>
        <w:ind w:left="0" w:right="0" w:firstLine="0"/>
      </w:pPr>
      <w:r>
        <w:continuationSeparator/>
      </w:r>
    </w:p>
    <w:p w14:paraId="4C7E99F5" w14:textId="77777777" w:rsidR="00F17D77" w:rsidRDefault="00F17D77"/>
    <w:p w14:paraId="2FE53B20" w14:textId="77777777" w:rsidR="00F17D77" w:rsidRDefault="00F17D77" w:rsidP="00FC6229"/>
  </w:footnote>
  <w:footnote w:type="continuationNotice" w:id="1">
    <w:p w14:paraId="67F5346A" w14:textId="77777777" w:rsidR="00F17D77" w:rsidRDefault="00F17D77">
      <w:pPr>
        <w:spacing w:after="0" w:line="240" w:lineRule="auto"/>
      </w:pPr>
    </w:p>
    <w:p w14:paraId="44E8B268" w14:textId="77777777" w:rsidR="00F17D77" w:rsidRDefault="00F17D77"/>
    <w:p w14:paraId="2E1108D6" w14:textId="77777777" w:rsidR="00F17D77" w:rsidRDefault="00F17D77" w:rsidP="00FC6229"/>
  </w:footnote>
  <w:footnote w:id="2">
    <w:p w14:paraId="264014BC" w14:textId="04ECF04B" w:rsidR="009F2FD1" w:rsidRPr="005845F1" w:rsidRDefault="009F2FD1" w:rsidP="00BF6530">
      <w:pPr>
        <w:pStyle w:val="FootnoteText"/>
        <w:rPr>
          <w:rFonts w:ascii="Times New Roman" w:hAnsi="Times New Roman" w:cs="Times New Roman"/>
          <w:sz w:val="18"/>
          <w:szCs w:val="18"/>
        </w:rPr>
      </w:pPr>
      <w:r w:rsidRPr="005845F1">
        <w:rPr>
          <w:rStyle w:val="FootnoteReference"/>
          <w:rFonts w:ascii="Times New Roman" w:hAnsi="Times New Roman" w:cs="Times New Roman"/>
          <w:sz w:val="18"/>
          <w:szCs w:val="18"/>
        </w:rPr>
        <w:footnoteRef/>
      </w:r>
      <w:r w:rsidRPr="005845F1">
        <w:rPr>
          <w:rFonts w:ascii="Times New Roman" w:hAnsi="Times New Roman" w:cs="Times New Roman"/>
          <w:sz w:val="18"/>
          <w:szCs w:val="22"/>
        </w:rPr>
        <w:t xml:space="preserve"> Zgodnie z informacjami przedstawionymi w </w:t>
      </w:r>
      <w:r w:rsidRPr="005845F1">
        <w:rPr>
          <w:rFonts w:ascii="Times New Roman" w:hAnsi="Times New Roman" w:cs="Times New Roman"/>
          <w:i/>
          <w:iCs/>
          <w:sz w:val="18"/>
          <w:szCs w:val="22"/>
        </w:rPr>
        <w:t>Strategi</w:t>
      </w:r>
      <w:r>
        <w:rPr>
          <w:rFonts w:ascii="Times New Roman" w:hAnsi="Times New Roman" w:cs="Times New Roman"/>
          <w:i/>
          <w:iCs/>
          <w:sz w:val="18"/>
          <w:szCs w:val="22"/>
        </w:rPr>
        <w:t>i</w:t>
      </w:r>
      <w:r w:rsidRPr="005845F1">
        <w:rPr>
          <w:rFonts w:ascii="Times New Roman" w:hAnsi="Times New Roman" w:cs="Times New Roman"/>
          <w:i/>
          <w:iCs/>
          <w:sz w:val="18"/>
          <w:szCs w:val="22"/>
        </w:rPr>
        <w:t xml:space="preserve"> na rzecz praw osób z niepełnosprawnościami na lata 2021–2030</w:t>
      </w:r>
      <w:r>
        <w:rPr>
          <w:rFonts w:ascii="Times New Roman" w:hAnsi="Times New Roman" w:cs="Times New Roman"/>
          <w:sz w:val="18"/>
          <w:szCs w:val="22"/>
        </w:rPr>
        <w:t xml:space="preserve"> około </w:t>
      </w:r>
      <w:r w:rsidRPr="005845F1">
        <w:rPr>
          <w:rFonts w:ascii="Times New Roman" w:hAnsi="Times New Roman" w:cs="Times New Roman"/>
          <w:sz w:val="18"/>
          <w:szCs w:val="22"/>
        </w:rPr>
        <w:t>48% ludności w wieku powyżej 65 lat jest w pewien sposób niepełnosprawnych.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9CCB" w14:textId="77777777" w:rsidR="009F2FD1" w:rsidRDefault="009F2FD1">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A08" w14:textId="77777777" w:rsidR="009F2FD1" w:rsidRDefault="009F2FD1">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DAF8" w14:textId="77777777" w:rsidR="009F2FD1" w:rsidRDefault="009F2FD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6E8"/>
    <w:multiLevelType w:val="hybridMultilevel"/>
    <w:tmpl w:val="3822DD9C"/>
    <w:lvl w:ilvl="0" w:tplc="0BB8EB8E">
      <w:start w:val="7"/>
      <w:numFmt w:val="decimal"/>
      <w:lvlText w:val="%1"/>
      <w:lvlJc w:val="left"/>
      <w:pPr>
        <w:ind w:left="470" w:hanging="360"/>
      </w:pPr>
      <w:rPr>
        <w:rFonts w:hint="default"/>
        <w:sz w:val="20"/>
      </w:rPr>
    </w:lvl>
    <w:lvl w:ilvl="1" w:tplc="04150019">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 w15:restartNumberingAfterBreak="0">
    <w:nsid w:val="0E6446D8"/>
    <w:multiLevelType w:val="multilevel"/>
    <w:tmpl w:val="091CB058"/>
    <w:lvl w:ilvl="0">
      <w:start w:val="1"/>
      <w:numFmt w:val="none"/>
      <w:lvlText w:val="2"/>
      <w:lvlJc w:val="left"/>
      <w:pPr>
        <w:ind w:left="360" w:hanging="360"/>
      </w:pPr>
      <w:rPr>
        <w:rFonts w:hint="default"/>
      </w:rPr>
    </w:lvl>
    <w:lvl w:ilvl="1">
      <w:start w:val="1"/>
      <w:numFmt w:val="decimal"/>
      <w:isLgl/>
      <w:lvlText w:val="%12.%2"/>
      <w:lvlJc w:val="left"/>
      <w:pPr>
        <w:ind w:left="365" w:hanging="360"/>
      </w:pPr>
      <w:rPr>
        <w:rFonts w:hint="default"/>
        <w:b/>
        <w:bCs/>
      </w:rPr>
    </w:lvl>
    <w:lvl w:ilvl="2">
      <w:start w:val="1"/>
      <w:numFmt w:val="decimal"/>
      <w:isLgl/>
      <w:lvlText w:val="%12.%2.%3"/>
      <w:lvlJc w:val="left"/>
      <w:pPr>
        <w:ind w:left="725" w:hanging="720"/>
      </w:pPr>
      <w:rPr>
        <w:rFonts w:hint="default"/>
        <w:b/>
        <w:bCs/>
      </w:rPr>
    </w:lvl>
    <w:lvl w:ilvl="3">
      <w:start w:val="1"/>
      <w:numFmt w:val="decimal"/>
      <w:isLgl/>
      <w:lvlText w:val="%1.%2.%3.%4"/>
      <w:lvlJc w:val="left"/>
      <w:pPr>
        <w:ind w:left="725" w:hanging="72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445" w:hanging="1440"/>
      </w:pPr>
      <w:rPr>
        <w:rFonts w:hint="default"/>
      </w:rPr>
    </w:lvl>
    <w:lvl w:ilvl="8">
      <w:start w:val="1"/>
      <w:numFmt w:val="decimal"/>
      <w:isLgl/>
      <w:lvlText w:val="%1.%2.%3.%4.%5.%6.%7.%8.%9"/>
      <w:lvlJc w:val="left"/>
      <w:pPr>
        <w:ind w:left="1805" w:hanging="1800"/>
      </w:pPr>
      <w:rPr>
        <w:rFonts w:hint="default"/>
      </w:rPr>
    </w:lvl>
  </w:abstractNum>
  <w:abstractNum w:abstractNumId="2" w15:restartNumberingAfterBreak="0">
    <w:nsid w:val="1AAA0F7E"/>
    <w:multiLevelType w:val="hybridMultilevel"/>
    <w:tmpl w:val="01547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254820"/>
    <w:multiLevelType w:val="hybridMultilevel"/>
    <w:tmpl w:val="6896DB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1DD8"/>
    <w:multiLevelType w:val="hybridMultilevel"/>
    <w:tmpl w:val="CFBA90C6"/>
    <w:lvl w:ilvl="0" w:tplc="AB625792">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63F6E9A"/>
    <w:multiLevelType w:val="hybridMultilevel"/>
    <w:tmpl w:val="C03C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E345C7"/>
    <w:multiLevelType w:val="multilevel"/>
    <w:tmpl w:val="C694B44C"/>
    <w:lvl w:ilvl="0">
      <w:start w:val="2"/>
      <w:numFmt w:val="decimal"/>
      <w:lvlText w:val="%1."/>
      <w:lvlJc w:val="left"/>
      <w:pPr>
        <w:ind w:left="576"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4"/>
      <w:numFmt w:val="decimal"/>
      <w:lvlText w:val="%1.%2."/>
      <w:lvlJc w:val="left"/>
      <w:pPr>
        <w:ind w:left="1173"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2">
      <w:start w:val="1"/>
      <w:numFmt w:val="decimal"/>
      <w:lvlRestart w:val="1"/>
      <w:lvlText w:val="%1.%2.%3."/>
      <w:lvlJc w:val="left"/>
      <w:pPr>
        <w:ind w:left="1568"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3">
      <w:start w:val="1"/>
      <w:numFmt w:val="decimal"/>
      <w:lvlText w:val="%4"/>
      <w:lvlJc w:val="left"/>
      <w:pPr>
        <w:ind w:left="137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09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81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53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25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97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7" w15:restartNumberingAfterBreak="0">
    <w:nsid w:val="3082192C"/>
    <w:multiLevelType w:val="multilevel"/>
    <w:tmpl w:val="AC1E81B6"/>
    <w:lvl w:ilvl="0">
      <w:start w:val="1"/>
      <w:numFmt w:val="decimal"/>
      <w:pStyle w:val="Heading2"/>
      <w:lvlText w:val="%1."/>
      <w:lvlJc w:val="left"/>
      <w:pPr>
        <w:ind w:left="576"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1">
      <w:start w:val="5"/>
      <w:numFmt w:val="decimal"/>
      <w:lvlText w:val="%1.%2."/>
      <w:lvlJc w:val="left"/>
      <w:pPr>
        <w:ind w:left="1173"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2">
      <w:start w:val="1"/>
      <w:numFmt w:val="decimal"/>
      <w:lvlRestart w:val="1"/>
      <w:lvlText w:val="%1.%2.%3."/>
      <w:lvlJc w:val="left"/>
      <w:pPr>
        <w:ind w:left="1568"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3">
      <w:start w:val="1"/>
      <w:numFmt w:val="decimal"/>
      <w:lvlText w:val="%4"/>
      <w:lvlJc w:val="left"/>
      <w:pPr>
        <w:ind w:left="137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09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81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53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25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97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8" w15:restartNumberingAfterBreak="0">
    <w:nsid w:val="30927D09"/>
    <w:multiLevelType w:val="hybridMultilevel"/>
    <w:tmpl w:val="2D6CE7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272A"/>
    <w:multiLevelType w:val="multilevel"/>
    <w:tmpl w:val="40D6CDD8"/>
    <w:lvl w:ilvl="0">
      <w:start w:val="2"/>
      <w:numFmt w:val="decimal"/>
      <w:lvlText w:val="%1."/>
      <w:lvlJc w:val="left"/>
      <w:pPr>
        <w:ind w:left="576"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3"/>
      <w:numFmt w:val="decimal"/>
      <w:lvlText w:val="%1.%2."/>
      <w:lvlJc w:val="left"/>
      <w:pPr>
        <w:ind w:left="1173"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2">
      <w:start w:val="1"/>
      <w:numFmt w:val="decimal"/>
      <w:lvlRestart w:val="1"/>
      <w:lvlText w:val="%1.%2.%3."/>
      <w:lvlJc w:val="left"/>
      <w:pPr>
        <w:ind w:left="1568" w:firstLine="0"/>
      </w:pPr>
      <w:rPr>
        <w:rFonts w:asciiTheme="minorHAnsi" w:eastAsia="Times New Roman" w:hAnsiTheme="minorHAnsi" w:cstheme="minorHAnsi" w:hint="default"/>
        <w:b/>
        <w:bCs/>
        <w:i w:val="0"/>
        <w:strike w:val="0"/>
        <w:dstrike w:val="0"/>
        <w:color w:val="000000"/>
        <w:sz w:val="24"/>
        <w:szCs w:val="24"/>
        <w:u w:val="none" w:color="000000"/>
        <w:vertAlign w:val="baseline"/>
      </w:rPr>
    </w:lvl>
    <w:lvl w:ilvl="3">
      <w:start w:val="1"/>
      <w:numFmt w:val="decimal"/>
      <w:lvlText w:val="%4"/>
      <w:lvlJc w:val="left"/>
      <w:pPr>
        <w:ind w:left="137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09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81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53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25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972"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10" w15:restartNumberingAfterBreak="0">
    <w:nsid w:val="484B17D8"/>
    <w:multiLevelType w:val="multilevel"/>
    <w:tmpl w:val="9A68FF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B6906"/>
    <w:multiLevelType w:val="hybridMultilevel"/>
    <w:tmpl w:val="FCC6BE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ED43CD5"/>
    <w:multiLevelType w:val="multilevel"/>
    <w:tmpl w:val="F552015E"/>
    <w:lvl w:ilvl="0">
      <w:start w:val="2"/>
      <w:numFmt w:val="decimal"/>
      <w:lvlText w:val="%1."/>
      <w:lvlJc w:val="left"/>
      <w:pPr>
        <w:ind w:left="576"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firstLine="0"/>
      </w:pPr>
      <w:rPr>
        <w:rFonts w:asciiTheme="minorHAnsi" w:eastAsia="Times New Roman"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68" w:firstLine="0"/>
      </w:pPr>
      <w:rPr>
        <w:rFonts w:asciiTheme="minorHAnsi" w:eastAsia="Times New Roman"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72"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92"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12"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32"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52"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72"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7653F5"/>
    <w:multiLevelType w:val="hybridMultilevel"/>
    <w:tmpl w:val="86F04488"/>
    <w:lvl w:ilvl="0" w:tplc="B36E2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177A0"/>
    <w:multiLevelType w:val="hybridMultilevel"/>
    <w:tmpl w:val="2AE28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7E842B0"/>
    <w:multiLevelType w:val="multilevel"/>
    <w:tmpl w:val="4FFAC47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5"/>
  </w:num>
  <w:num w:numId="2">
    <w:abstractNumId w:val="13"/>
  </w:num>
  <w:num w:numId="3">
    <w:abstractNumId w:val="11"/>
  </w:num>
  <w:num w:numId="4">
    <w:abstractNumId w:val="14"/>
  </w:num>
  <w:num w:numId="5">
    <w:abstractNumId w:val="2"/>
  </w:num>
  <w:num w:numId="6">
    <w:abstractNumId w:val="0"/>
  </w:num>
  <w:num w:numId="7">
    <w:abstractNumId w:val="15"/>
  </w:num>
  <w:num w:numId="8">
    <w:abstractNumId w:val="4"/>
  </w:num>
  <w:num w:numId="9">
    <w:abstractNumId w:val="1"/>
  </w:num>
  <w:num w:numId="10">
    <w:abstractNumId w:val="8"/>
  </w:num>
  <w:num w:numId="11">
    <w:abstractNumId w:val="10"/>
  </w:num>
  <w:num w:numId="12">
    <w:abstractNumId w:val="12"/>
  </w:num>
  <w:num w:numId="13">
    <w:abstractNumId w:val="9"/>
  </w:num>
  <w:num w:numId="14">
    <w:abstractNumId w:val="6"/>
  </w:num>
  <w:num w:numId="15">
    <w:abstractNumId w:val="7"/>
  </w:num>
  <w:num w:numId="16">
    <w:abstractNumId w:val="1"/>
  </w:num>
  <w:num w:numId="17">
    <w:abstractNumId w:val="1"/>
  </w:num>
  <w:num w:numId="18">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7"/>
  </w:num>
  <w:num w:numId="2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t7A0MTQxNzI2NjBT0lEKTi0uzszPAykwrgUAi4627CwAAAA="/>
  </w:docVars>
  <w:rsids>
    <w:rsidRoot w:val="003D2012"/>
    <w:rsid w:val="0000460D"/>
    <w:rsid w:val="00006687"/>
    <w:rsid w:val="000069B2"/>
    <w:rsid w:val="00006DA0"/>
    <w:rsid w:val="00010F8D"/>
    <w:rsid w:val="000136CD"/>
    <w:rsid w:val="00015F62"/>
    <w:rsid w:val="00017D4F"/>
    <w:rsid w:val="00020955"/>
    <w:rsid w:val="000272BD"/>
    <w:rsid w:val="00027939"/>
    <w:rsid w:val="000348DE"/>
    <w:rsid w:val="00044902"/>
    <w:rsid w:val="0004656B"/>
    <w:rsid w:val="0004687C"/>
    <w:rsid w:val="0004738D"/>
    <w:rsid w:val="000479C9"/>
    <w:rsid w:val="0005478A"/>
    <w:rsid w:val="00067B50"/>
    <w:rsid w:val="000725E0"/>
    <w:rsid w:val="00072FCE"/>
    <w:rsid w:val="00073D47"/>
    <w:rsid w:val="0007608A"/>
    <w:rsid w:val="00082DB3"/>
    <w:rsid w:val="00083889"/>
    <w:rsid w:val="00085A0C"/>
    <w:rsid w:val="00090CD2"/>
    <w:rsid w:val="000917DA"/>
    <w:rsid w:val="000931CC"/>
    <w:rsid w:val="000963E0"/>
    <w:rsid w:val="000978A8"/>
    <w:rsid w:val="000A0E6D"/>
    <w:rsid w:val="000A28D9"/>
    <w:rsid w:val="000A4503"/>
    <w:rsid w:val="000A48CD"/>
    <w:rsid w:val="000C16FF"/>
    <w:rsid w:val="000C2F7A"/>
    <w:rsid w:val="000C300C"/>
    <w:rsid w:val="000C4B64"/>
    <w:rsid w:val="000D0A33"/>
    <w:rsid w:val="000D1DC1"/>
    <w:rsid w:val="000D5113"/>
    <w:rsid w:val="000D5170"/>
    <w:rsid w:val="000D773F"/>
    <w:rsid w:val="000D7E4C"/>
    <w:rsid w:val="000E14E1"/>
    <w:rsid w:val="000E57D5"/>
    <w:rsid w:val="000E652C"/>
    <w:rsid w:val="000E7210"/>
    <w:rsid w:val="00100460"/>
    <w:rsid w:val="00100560"/>
    <w:rsid w:val="00105C2A"/>
    <w:rsid w:val="00105F2D"/>
    <w:rsid w:val="0010643A"/>
    <w:rsid w:val="00111ADE"/>
    <w:rsid w:val="0011203E"/>
    <w:rsid w:val="001218A1"/>
    <w:rsid w:val="00123605"/>
    <w:rsid w:val="00126BD7"/>
    <w:rsid w:val="00133D1D"/>
    <w:rsid w:val="00160DCD"/>
    <w:rsid w:val="001610EF"/>
    <w:rsid w:val="00161ACE"/>
    <w:rsid w:val="00162751"/>
    <w:rsid w:val="00162EC0"/>
    <w:rsid w:val="00164034"/>
    <w:rsid w:val="0016765D"/>
    <w:rsid w:val="00173445"/>
    <w:rsid w:val="0017772B"/>
    <w:rsid w:val="00183047"/>
    <w:rsid w:val="00183078"/>
    <w:rsid w:val="00192B92"/>
    <w:rsid w:val="00194D01"/>
    <w:rsid w:val="001A2C1A"/>
    <w:rsid w:val="001B4179"/>
    <w:rsid w:val="001B5E94"/>
    <w:rsid w:val="001B6188"/>
    <w:rsid w:val="001C27E3"/>
    <w:rsid w:val="001D12F7"/>
    <w:rsid w:val="001D19B8"/>
    <w:rsid w:val="001E0A39"/>
    <w:rsid w:val="001E348B"/>
    <w:rsid w:val="001E5D53"/>
    <w:rsid w:val="00203A8B"/>
    <w:rsid w:val="00205BC4"/>
    <w:rsid w:val="00211E1B"/>
    <w:rsid w:val="00215111"/>
    <w:rsid w:val="00220A49"/>
    <w:rsid w:val="0023554E"/>
    <w:rsid w:val="002368D7"/>
    <w:rsid w:val="00237B42"/>
    <w:rsid w:val="002425F0"/>
    <w:rsid w:val="00243222"/>
    <w:rsid w:val="00260A8F"/>
    <w:rsid w:val="0026348D"/>
    <w:rsid w:val="00267D5B"/>
    <w:rsid w:val="00274DB6"/>
    <w:rsid w:val="002802DD"/>
    <w:rsid w:val="00284366"/>
    <w:rsid w:val="0028521F"/>
    <w:rsid w:val="00290081"/>
    <w:rsid w:val="00292748"/>
    <w:rsid w:val="00293553"/>
    <w:rsid w:val="00297D8A"/>
    <w:rsid w:val="002A07ED"/>
    <w:rsid w:val="002A22FC"/>
    <w:rsid w:val="002A5896"/>
    <w:rsid w:val="002A633A"/>
    <w:rsid w:val="002A7A71"/>
    <w:rsid w:val="002B659A"/>
    <w:rsid w:val="002B7808"/>
    <w:rsid w:val="002C2332"/>
    <w:rsid w:val="002C30F8"/>
    <w:rsid w:val="002C6282"/>
    <w:rsid w:val="002D00B9"/>
    <w:rsid w:val="002D1ADC"/>
    <w:rsid w:val="002D47EF"/>
    <w:rsid w:val="002D63AA"/>
    <w:rsid w:val="002D67DB"/>
    <w:rsid w:val="002E0F20"/>
    <w:rsid w:val="002E1FCF"/>
    <w:rsid w:val="002E294E"/>
    <w:rsid w:val="002E3ECB"/>
    <w:rsid w:val="002E68DC"/>
    <w:rsid w:val="002F1719"/>
    <w:rsid w:val="003061F1"/>
    <w:rsid w:val="0031483A"/>
    <w:rsid w:val="003232DB"/>
    <w:rsid w:val="003246FE"/>
    <w:rsid w:val="00331B62"/>
    <w:rsid w:val="00334121"/>
    <w:rsid w:val="0033623E"/>
    <w:rsid w:val="00341D71"/>
    <w:rsid w:val="00353AF0"/>
    <w:rsid w:val="00354E38"/>
    <w:rsid w:val="003635A2"/>
    <w:rsid w:val="0036647C"/>
    <w:rsid w:val="00366FD7"/>
    <w:rsid w:val="00376DF6"/>
    <w:rsid w:val="00376E86"/>
    <w:rsid w:val="00380BB6"/>
    <w:rsid w:val="00384D8D"/>
    <w:rsid w:val="00384DFE"/>
    <w:rsid w:val="00384E80"/>
    <w:rsid w:val="00394A8A"/>
    <w:rsid w:val="0039599D"/>
    <w:rsid w:val="003A1C7C"/>
    <w:rsid w:val="003A2A0D"/>
    <w:rsid w:val="003A3989"/>
    <w:rsid w:val="003A43A1"/>
    <w:rsid w:val="003A4BCF"/>
    <w:rsid w:val="003A712D"/>
    <w:rsid w:val="003A7299"/>
    <w:rsid w:val="003B3B8A"/>
    <w:rsid w:val="003B5F77"/>
    <w:rsid w:val="003C687B"/>
    <w:rsid w:val="003C7890"/>
    <w:rsid w:val="003D2012"/>
    <w:rsid w:val="003D2595"/>
    <w:rsid w:val="003E0AB5"/>
    <w:rsid w:val="003E396A"/>
    <w:rsid w:val="003E4D55"/>
    <w:rsid w:val="003E5A33"/>
    <w:rsid w:val="003E63B4"/>
    <w:rsid w:val="003F2DB8"/>
    <w:rsid w:val="003F51E4"/>
    <w:rsid w:val="003F7280"/>
    <w:rsid w:val="003F74F5"/>
    <w:rsid w:val="003F787E"/>
    <w:rsid w:val="0040214F"/>
    <w:rsid w:val="00402F1E"/>
    <w:rsid w:val="00421599"/>
    <w:rsid w:val="00424F05"/>
    <w:rsid w:val="00425B2D"/>
    <w:rsid w:val="004261AE"/>
    <w:rsid w:val="00431DEF"/>
    <w:rsid w:val="0043207E"/>
    <w:rsid w:val="00434AA4"/>
    <w:rsid w:val="004363ED"/>
    <w:rsid w:val="00441BC4"/>
    <w:rsid w:val="00441E98"/>
    <w:rsid w:val="00442D3F"/>
    <w:rsid w:val="00444261"/>
    <w:rsid w:val="00446748"/>
    <w:rsid w:val="004474F1"/>
    <w:rsid w:val="004525B2"/>
    <w:rsid w:val="00460ACD"/>
    <w:rsid w:val="00463B48"/>
    <w:rsid w:val="00464D7D"/>
    <w:rsid w:val="00465888"/>
    <w:rsid w:val="00471514"/>
    <w:rsid w:val="00472962"/>
    <w:rsid w:val="00472F8D"/>
    <w:rsid w:val="00480F6F"/>
    <w:rsid w:val="00482D8C"/>
    <w:rsid w:val="00484712"/>
    <w:rsid w:val="00485585"/>
    <w:rsid w:val="004937CC"/>
    <w:rsid w:val="0049577A"/>
    <w:rsid w:val="00495787"/>
    <w:rsid w:val="00495F5D"/>
    <w:rsid w:val="004A0FF2"/>
    <w:rsid w:val="004A4486"/>
    <w:rsid w:val="004A5429"/>
    <w:rsid w:val="004B0534"/>
    <w:rsid w:val="004B083F"/>
    <w:rsid w:val="004B463E"/>
    <w:rsid w:val="004B5BAD"/>
    <w:rsid w:val="004B5DC5"/>
    <w:rsid w:val="004B6FAD"/>
    <w:rsid w:val="004C2037"/>
    <w:rsid w:val="004C67EB"/>
    <w:rsid w:val="004D01B3"/>
    <w:rsid w:val="004D31AD"/>
    <w:rsid w:val="004D3D56"/>
    <w:rsid w:val="004D59A5"/>
    <w:rsid w:val="004D72FA"/>
    <w:rsid w:val="004E3481"/>
    <w:rsid w:val="004E5404"/>
    <w:rsid w:val="004F0D08"/>
    <w:rsid w:val="004F0FF3"/>
    <w:rsid w:val="004F31C7"/>
    <w:rsid w:val="00512ABF"/>
    <w:rsid w:val="0051412F"/>
    <w:rsid w:val="0052052F"/>
    <w:rsid w:val="00520599"/>
    <w:rsid w:val="005276DB"/>
    <w:rsid w:val="00531B76"/>
    <w:rsid w:val="00533B4F"/>
    <w:rsid w:val="00536B50"/>
    <w:rsid w:val="00537BF6"/>
    <w:rsid w:val="00541446"/>
    <w:rsid w:val="00542831"/>
    <w:rsid w:val="00542CCF"/>
    <w:rsid w:val="00547038"/>
    <w:rsid w:val="00553EFB"/>
    <w:rsid w:val="00557623"/>
    <w:rsid w:val="00562ED6"/>
    <w:rsid w:val="005654B1"/>
    <w:rsid w:val="00583181"/>
    <w:rsid w:val="00583CBB"/>
    <w:rsid w:val="00583F4C"/>
    <w:rsid w:val="005845F1"/>
    <w:rsid w:val="00585B84"/>
    <w:rsid w:val="00590904"/>
    <w:rsid w:val="00592407"/>
    <w:rsid w:val="0059280B"/>
    <w:rsid w:val="00593AE0"/>
    <w:rsid w:val="005942D9"/>
    <w:rsid w:val="00596275"/>
    <w:rsid w:val="00596858"/>
    <w:rsid w:val="005A0D91"/>
    <w:rsid w:val="005A0F49"/>
    <w:rsid w:val="005A19E1"/>
    <w:rsid w:val="005A32E9"/>
    <w:rsid w:val="005B3910"/>
    <w:rsid w:val="005B7459"/>
    <w:rsid w:val="005C3123"/>
    <w:rsid w:val="005C58C9"/>
    <w:rsid w:val="005D3F51"/>
    <w:rsid w:val="005D4A7D"/>
    <w:rsid w:val="005D4B4C"/>
    <w:rsid w:val="005E11D9"/>
    <w:rsid w:val="005E37B2"/>
    <w:rsid w:val="005E625D"/>
    <w:rsid w:val="005E6EEA"/>
    <w:rsid w:val="005E78FE"/>
    <w:rsid w:val="005F4B93"/>
    <w:rsid w:val="0060188C"/>
    <w:rsid w:val="00603D07"/>
    <w:rsid w:val="00611168"/>
    <w:rsid w:val="00613DE1"/>
    <w:rsid w:val="00613E62"/>
    <w:rsid w:val="0062208C"/>
    <w:rsid w:val="0062228D"/>
    <w:rsid w:val="006223F3"/>
    <w:rsid w:val="00622B0E"/>
    <w:rsid w:val="0062406E"/>
    <w:rsid w:val="006319CF"/>
    <w:rsid w:val="0063496A"/>
    <w:rsid w:val="00640E06"/>
    <w:rsid w:val="006433A3"/>
    <w:rsid w:val="00643A68"/>
    <w:rsid w:val="00644D5E"/>
    <w:rsid w:val="00650DCA"/>
    <w:rsid w:val="006531BB"/>
    <w:rsid w:val="00654A21"/>
    <w:rsid w:val="006653DC"/>
    <w:rsid w:val="006659A3"/>
    <w:rsid w:val="006677F3"/>
    <w:rsid w:val="006722CA"/>
    <w:rsid w:val="0067446C"/>
    <w:rsid w:val="00677168"/>
    <w:rsid w:val="0068413A"/>
    <w:rsid w:val="00684395"/>
    <w:rsid w:val="00684EB1"/>
    <w:rsid w:val="00686175"/>
    <w:rsid w:val="006870C4"/>
    <w:rsid w:val="00687543"/>
    <w:rsid w:val="00693DEB"/>
    <w:rsid w:val="00694244"/>
    <w:rsid w:val="006A04CF"/>
    <w:rsid w:val="006A2444"/>
    <w:rsid w:val="006B548A"/>
    <w:rsid w:val="006B585F"/>
    <w:rsid w:val="006B6E84"/>
    <w:rsid w:val="006B7EE9"/>
    <w:rsid w:val="006C607D"/>
    <w:rsid w:val="006D55CE"/>
    <w:rsid w:val="006E6720"/>
    <w:rsid w:val="006F2B81"/>
    <w:rsid w:val="00702E26"/>
    <w:rsid w:val="0070387C"/>
    <w:rsid w:val="00703893"/>
    <w:rsid w:val="00703E17"/>
    <w:rsid w:val="00705B82"/>
    <w:rsid w:val="00710543"/>
    <w:rsid w:val="00711A20"/>
    <w:rsid w:val="00712D60"/>
    <w:rsid w:val="0071454E"/>
    <w:rsid w:val="00721A4F"/>
    <w:rsid w:val="007272A8"/>
    <w:rsid w:val="00735DF1"/>
    <w:rsid w:val="0073609E"/>
    <w:rsid w:val="007429E0"/>
    <w:rsid w:val="0074320F"/>
    <w:rsid w:val="00745562"/>
    <w:rsid w:val="00746717"/>
    <w:rsid w:val="007616A6"/>
    <w:rsid w:val="007638D5"/>
    <w:rsid w:val="007653B3"/>
    <w:rsid w:val="00765B29"/>
    <w:rsid w:val="00767629"/>
    <w:rsid w:val="007732AD"/>
    <w:rsid w:val="00774857"/>
    <w:rsid w:val="00775569"/>
    <w:rsid w:val="00776E54"/>
    <w:rsid w:val="0077747B"/>
    <w:rsid w:val="00786C87"/>
    <w:rsid w:val="007938C2"/>
    <w:rsid w:val="007944F4"/>
    <w:rsid w:val="007A1DCD"/>
    <w:rsid w:val="007A2524"/>
    <w:rsid w:val="007A536F"/>
    <w:rsid w:val="007A687F"/>
    <w:rsid w:val="007B0E53"/>
    <w:rsid w:val="007C21FC"/>
    <w:rsid w:val="007C6D89"/>
    <w:rsid w:val="007C7C28"/>
    <w:rsid w:val="007D426F"/>
    <w:rsid w:val="007D46C1"/>
    <w:rsid w:val="007D52EE"/>
    <w:rsid w:val="007E1878"/>
    <w:rsid w:val="007E2478"/>
    <w:rsid w:val="007E273B"/>
    <w:rsid w:val="007E3AB4"/>
    <w:rsid w:val="007E6381"/>
    <w:rsid w:val="0080184B"/>
    <w:rsid w:val="0080490D"/>
    <w:rsid w:val="00810AF2"/>
    <w:rsid w:val="008205CE"/>
    <w:rsid w:val="00824B56"/>
    <w:rsid w:val="0082581C"/>
    <w:rsid w:val="00832971"/>
    <w:rsid w:val="00833C01"/>
    <w:rsid w:val="00834899"/>
    <w:rsid w:val="0083744A"/>
    <w:rsid w:val="008420CF"/>
    <w:rsid w:val="00843499"/>
    <w:rsid w:val="00845DBA"/>
    <w:rsid w:val="008461D4"/>
    <w:rsid w:val="00846FCF"/>
    <w:rsid w:val="0085204E"/>
    <w:rsid w:val="00856090"/>
    <w:rsid w:val="008675D1"/>
    <w:rsid w:val="00867E2C"/>
    <w:rsid w:val="008731FC"/>
    <w:rsid w:val="00885527"/>
    <w:rsid w:val="00891ECD"/>
    <w:rsid w:val="008A1B22"/>
    <w:rsid w:val="008A2ABB"/>
    <w:rsid w:val="008A6165"/>
    <w:rsid w:val="008A64A1"/>
    <w:rsid w:val="008A6D21"/>
    <w:rsid w:val="008A7ABA"/>
    <w:rsid w:val="008B2FB5"/>
    <w:rsid w:val="008B41B0"/>
    <w:rsid w:val="008B50CA"/>
    <w:rsid w:val="008C2786"/>
    <w:rsid w:val="008D5405"/>
    <w:rsid w:val="008D6A96"/>
    <w:rsid w:val="008E1EE1"/>
    <w:rsid w:val="008E2D40"/>
    <w:rsid w:val="008E3AFF"/>
    <w:rsid w:val="008F0992"/>
    <w:rsid w:val="008F7712"/>
    <w:rsid w:val="008F78B4"/>
    <w:rsid w:val="009007FB"/>
    <w:rsid w:val="009113A8"/>
    <w:rsid w:val="00917C20"/>
    <w:rsid w:val="00917DD7"/>
    <w:rsid w:val="0092126C"/>
    <w:rsid w:val="00924794"/>
    <w:rsid w:val="00931B6E"/>
    <w:rsid w:val="00932D2D"/>
    <w:rsid w:val="009350DD"/>
    <w:rsid w:val="00935A8F"/>
    <w:rsid w:val="00940A56"/>
    <w:rsid w:val="0094264C"/>
    <w:rsid w:val="00945125"/>
    <w:rsid w:val="00951A85"/>
    <w:rsid w:val="0095366E"/>
    <w:rsid w:val="00954893"/>
    <w:rsid w:val="00956C96"/>
    <w:rsid w:val="00960C7D"/>
    <w:rsid w:val="009674F0"/>
    <w:rsid w:val="009715B4"/>
    <w:rsid w:val="00973ABC"/>
    <w:rsid w:val="00981AF0"/>
    <w:rsid w:val="00983FE2"/>
    <w:rsid w:val="00987D4A"/>
    <w:rsid w:val="0099130A"/>
    <w:rsid w:val="009A12F4"/>
    <w:rsid w:val="009A1B2C"/>
    <w:rsid w:val="009A484E"/>
    <w:rsid w:val="009B0275"/>
    <w:rsid w:val="009B2211"/>
    <w:rsid w:val="009B2950"/>
    <w:rsid w:val="009B2A59"/>
    <w:rsid w:val="009B6BD9"/>
    <w:rsid w:val="009B7B41"/>
    <w:rsid w:val="009C36C3"/>
    <w:rsid w:val="009C688B"/>
    <w:rsid w:val="009C7576"/>
    <w:rsid w:val="009D0872"/>
    <w:rsid w:val="009D36A3"/>
    <w:rsid w:val="009D4DCB"/>
    <w:rsid w:val="009E7C6C"/>
    <w:rsid w:val="009F1CB6"/>
    <w:rsid w:val="009F2E44"/>
    <w:rsid w:val="009F2FD1"/>
    <w:rsid w:val="009F5AE6"/>
    <w:rsid w:val="00A02EA4"/>
    <w:rsid w:val="00A04BEC"/>
    <w:rsid w:val="00A04CC4"/>
    <w:rsid w:val="00A065C2"/>
    <w:rsid w:val="00A16736"/>
    <w:rsid w:val="00A1799D"/>
    <w:rsid w:val="00A20A58"/>
    <w:rsid w:val="00A245C1"/>
    <w:rsid w:val="00A27F69"/>
    <w:rsid w:val="00A3526E"/>
    <w:rsid w:val="00A43ED8"/>
    <w:rsid w:val="00A444F4"/>
    <w:rsid w:val="00A47D9B"/>
    <w:rsid w:val="00A50299"/>
    <w:rsid w:val="00A508B3"/>
    <w:rsid w:val="00A514E9"/>
    <w:rsid w:val="00A53661"/>
    <w:rsid w:val="00A56701"/>
    <w:rsid w:val="00A56A7D"/>
    <w:rsid w:val="00A57F31"/>
    <w:rsid w:val="00A62B86"/>
    <w:rsid w:val="00A7083E"/>
    <w:rsid w:val="00A71021"/>
    <w:rsid w:val="00A751C5"/>
    <w:rsid w:val="00A76D1B"/>
    <w:rsid w:val="00A77886"/>
    <w:rsid w:val="00A83771"/>
    <w:rsid w:val="00A83EC1"/>
    <w:rsid w:val="00A86549"/>
    <w:rsid w:val="00A90993"/>
    <w:rsid w:val="00A93BFC"/>
    <w:rsid w:val="00A969D4"/>
    <w:rsid w:val="00A96B16"/>
    <w:rsid w:val="00AA6F50"/>
    <w:rsid w:val="00AA7977"/>
    <w:rsid w:val="00AB09EA"/>
    <w:rsid w:val="00AB3F72"/>
    <w:rsid w:val="00AC670F"/>
    <w:rsid w:val="00AD17A5"/>
    <w:rsid w:val="00AD21C0"/>
    <w:rsid w:val="00AD42AE"/>
    <w:rsid w:val="00AD7BE9"/>
    <w:rsid w:val="00AF551E"/>
    <w:rsid w:val="00AF6D30"/>
    <w:rsid w:val="00B0025E"/>
    <w:rsid w:val="00B03C29"/>
    <w:rsid w:val="00B051C9"/>
    <w:rsid w:val="00B067D4"/>
    <w:rsid w:val="00B106E7"/>
    <w:rsid w:val="00B12429"/>
    <w:rsid w:val="00B20416"/>
    <w:rsid w:val="00B25509"/>
    <w:rsid w:val="00B25977"/>
    <w:rsid w:val="00B30026"/>
    <w:rsid w:val="00B30DFE"/>
    <w:rsid w:val="00B321EC"/>
    <w:rsid w:val="00B34BC3"/>
    <w:rsid w:val="00B37442"/>
    <w:rsid w:val="00B40E35"/>
    <w:rsid w:val="00B41207"/>
    <w:rsid w:val="00B45115"/>
    <w:rsid w:val="00B4600B"/>
    <w:rsid w:val="00B46AB1"/>
    <w:rsid w:val="00B528A1"/>
    <w:rsid w:val="00B56A82"/>
    <w:rsid w:val="00B65905"/>
    <w:rsid w:val="00B66BA7"/>
    <w:rsid w:val="00B67319"/>
    <w:rsid w:val="00B74885"/>
    <w:rsid w:val="00B75299"/>
    <w:rsid w:val="00B82953"/>
    <w:rsid w:val="00B82A05"/>
    <w:rsid w:val="00B86550"/>
    <w:rsid w:val="00B91B0A"/>
    <w:rsid w:val="00B92D99"/>
    <w:rsid w:val="00B95042"/>
    <w:rsid w:val="00B96E24"/>
    <w:rsid w:val="00BA3D97"/>
    <w:rsid w:val="00BA71C8"/>
    <w:rsid w:val="00BB06E7"/>
    <w:rsid w:val="00BC0917"/>
    <w:rsid w:val="00BC2A48"/>
    <w:rsid w:val="00BC3BF9"/>
    <w:rsid w:val="00BC4CE4"/>
    <w:rsid w:val="00BC6D43"/>
    <w:rsid w:val="00BD130C"/>
    <w:rsid w:val="00BD77EA"/>
    <w:rsid w:val="00BE6691"/>
    <w:rsid w:val="00BF60CF"/>
    <w:rsid w:val="00BF6530"/>
    <w:rsid w:val="00C02160"/>
    <w:rsid w:val="00C06972"/>
    <w:rsid w:val="00C1071F"/>
    <w:rsid w:val="00C10BFD"/>
    <w:rsid w:val="00C11009"/>
    <w:rsid w:val="00C116EB"/>
    <w:rsid w:val="00C22313"/>
    <w:rsid w:val="00C244C6"/>
    <w:rsid w:val="00C3084B"/>
    <w:rsid w:val="00C334B4"/>
    <w:rsid w:val="00C41860"/>
    <w:rsid w:val="00C42E9A"/>
    <w:rsid w:val="00C437FA"/>
    <w:rsid w:val="00C44C52"/>
    <w:rsid w:val="00C50F1B"/>
    <w:rsid w:val="00C50F85"/>
    <w:rsid w:val="00C523F1"/>
    <w:rsid w:val="00C552D6"/>
    <w:rsid w:val="00C632F3"/>
    <w:rsid w:val="00C71A80"/>
    <w:rsid w:val="00C82148"/>
    <w:rsid w:val="00C82931"/>
    <w:rsid w:val="00C83B26"/>
    <w:rsid w:val="00C90FAB"/>
    <w:rsid w:val="00C9664A"/>
    <w:rsid w:val="00CA0947"/>
    <w:rsid w:val="00CA1C76"/>
    <w:rsid w:val="00CA3DB2"/>
    <w:rsid w:val="00CA543D"/>
    <w:rsid w:val="00CB1FB1"/>
    <w:rsid w:val="00CB23F6"/>
    <w:rsid w:val="00CB6F9B"/>
    <w:rsid w:val="00CB78B0"/>
    <w:rsid w:val="00CC0298"/>
    <w:rsid w:val="00CC3E6D"/>
    <w:rsid w:val="00CC43D0"/>
    <w:rsid w:val="00CC6506"/>
    <w:rsid w:val="00CD0022"/>
    <w:rsid w:val="00CD1E8D"/>
    <w:rsid w:val="00CD424E"/>
    <w:rsid w:val="00CD5D13"/>
    <w:rsid w:val="00CD7930"/>
    <w:rsid w:val="00CE45F7"/>
    <w:rsid w:val="00CF1734"/>
    <w:rsid w:val="00CF337B"/>
    <w:rsid w:val="00CF372B"/>
    <w:rsid w:val="00CF7065"/>
    <w:rsid w:val="00D00909"/>
    <w:rsid w:val="00D02B5A"/>
    <w:rsid w:val="00D03002"/>
    <w:rsid w:val="00D03204"/>
    <w:rsid w:val="00D03853"/>
    <w:rsid w:val="00D1162D"/>
    <w:rsid w:val="00D13BE9"/>
    <w:rsid w:val="00D267D8"/>
    <w:rsid w:val="00D407DA"/>
    <w:rsid w:val="00D4415A"/>
    <w:rsid w:val="00D51296"/>
    <w:rsid w:val="00D56B05"/>
    <w:rsid w:val="00D604AF"/>
    <w:rsid w:val="00D6350A"/>
    <w:rsid w:val="00D63582"/>
    <w:rsid w:val="00D6392B"/>
    <w:rsid w:val="00D64820"/>
    <w:rsid w:val="00D65551"/>
    <w:rsid w:val="00D65D97"/>
    <w:rsid w:val="00D70A7F"/>
    <w:rsid w:val="00D73FF9"/>
    <w:rsid w:val="00D7694A"/>
    <w:rsid w:val="00D83552"/>
    <w:rsid w:val="00D84A3F"/>
    <w:rsid w:val="00D857FC"/>
    <w:rsid w:val="00D92753"/>
    <w:rsid w:val="00D92E68"/>
    <w:rsid w:val="00DA06C6"/>
    <w:rsid w:val="00DA4987"/>
    <w:rsid w:val="00DA50A9"/>
    <w:rsid w:val="00DA51D5"/>
    <w:rsid w:val="00DC6977"/>
    <w:rsid w:val="00DC697A"/>
    <w:rsid w:val="00DC6EDE"/>
    <w:rsid w:val="00DD2651"/>
    <w:rsid w:val="00DD3E08"/>
    <w:rsid w:val="00DD59D4"/>
    <w:rsid w:val="00DD7663"/>
    <w:rsid w:val="00DE2791"/>
    <w:rsid w:val="00DE4E30"/>
    <w:rsid w:val="00DE559B"/>
    <w:rsid w:val="00DE75F0"/>
    <w:rsid w:val="00DF0AC7"/>
    <w:rsid w:val="00DF16EF"/>
    <w:rsid w:val="00DF61D1"/>
    <w:rsid w:val="00E00E80"/>
    <w:rsid w:val="00E03CBB"/>
    <w:rsid w:val="00E12397"/>
    <w:rsid w:val="00E1292D"/>
    <w:rsid w:val="00E16F36"/>
    <w:rsid w:val="00E34ED9"/>
    <w:rsid w:val="00E36EA6"/>
    <w:rsid w:val="00E41AE0"/>
    <w:rsid w:val="00E429C5"/>
    <w:rsid w:val="00E4326E"/>
    <w:rsid w:val="00E44B63"/>
    <w:rsid w:val="00E44D43"/>
    <w:rsid w:val="00E460E9"/>
    <w:rsid w:val="00E5612D"/>
    <w:rsid w:val="00E635BC"/>
    <w:rsid w:val="00E64B98"/>
    <w:rsid w:val="00E72D0E"/>
    <w:rsid w:val="00E75877"/>
    <w:rsid w:val="00E77FA0"/>
    <w:rsid w:val="00E80B0E"/>
    <w:rsid w:val="00E82FF9"/>
    <w:rsid w:val="00E850FE"/>
    <w:rsid w:val="00E87B3B"/>
    <w:rsid w:val="00E9762B"/>
    <w:rsid w:val="00E97A07"/>
    <w:rsid w:val="00EA0B27"/>
    <w:rsid w:val="00EA0EF6"/>
    <w:rsid w:val="00EA25B1"/>
    <w:rsid w:val="00EA4786"/>
    <w:rsid w:val="00EB395A"/>
    <w:rsid w:val="00EB4370"/>
    <w:rsid w:val="00EB7641"/>
    <w:rsid w:val="00ED086A"/>
    <w:rsid w:val="00ED38D2"/>
    <w:rsid w:val="00ED577A"/>
    <w:rsid w:val="00EE198C"/>
    <w:rsid w:val="00EE2506"/>
    <w:rsid w:val="00EE7E5B"/>
    <w:rsid w:val="00EF37BF"/>
    <w:rsid w:val="00F00F7C"/>
    <w:rsid w:val="00F0775A"/>
    <w:rsid w:val="00F17D77"/>
    <w:rsid w:val="00F24DFE"/>
    <w:rsid w:val="00F2688D"/>
    <w:rsid w:val="00F312F5"/>
    <w:rsid w:val="00F35885"/>
    <w:rsid w:val="00F41055"/>
    <w:rsid w:val="00F437A8"/>
    <w:rsid w:val="00F4488F"/>
    <w:rsid w:val="00F44EE6"/>
    <w:rsid w:val="00F46BEE"/>
    <w:rsid w:val="00F5162B"/>
    <w:rsid w:val="00F5468E"/>
    <w:rsid w:val="00F61F39"/>
    <w:rsid w:val="00F62997"/>
    <w:rsid w:val="00F67740"/>
    <w:rsid w:val="00F735CE"/>
    <w:rsid w:val="00F73DCC"/>
    <w:rsid w:val="00F764A2"/>
    <w:rsid w:val="00F853F0"/>
    <w:rsid w:val="00F85B07"/>
    <w:rsid w:val="00F96038"/>
    <w:rsid w:val="00F974C6"/>
    <w:rsid w:val="00F97AFF"/>
    <w:rsid w:val="00FA57C9"/>
    <w:rsid w:val="00FA6ADD"/>
    <w:rsid w:val="00FC1459"/>
    <w:rsid w:val="00FC3F2E"/>
    <w:rsid w:val="00FC6229"/>
    <w:rsid w:val="00FD09D8"/>
    <w:rsid w:val="00FD1E51"/>
    <w:rsid w:val="00FD3F0F"/>
    <w:rsid w:val="00FD4B0B"/>
    <w:rsid w:val="00FE13C7"/>
    <w:rsid w:val="00FE3295"/>
    <w:rsid w:val="00FE3796"/>
    <w:rsid w:val="00FE3AD7"/>
    <w:rsid w:val="00FE3F93"/>
    <w:rsid w:val="00FF0BF5"/>
    <w:rsid w:val="00FF1CF6"/>
    <w:rsid w:val="00FF22AA"/>
    <w:rsid w:val="00FF5138"/>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73D46"/>
  <w15:docId w15:val="{0F8C814D-A6F9-4F21-85F5-422E21DD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C5"/>
    <w:pPr>
      <w:spacing w:after="266" w:line="363" w:lineRule="auto"/>
      <w:ind w:left="1709" w:right="788" w:hanging="576"/>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2F1719"/>
    <w:pPr>
      <w:keepNext/>
      <w:keepLines/>
      <w:spacing w:after="240" w:line="360" w:lineRule="auto"/>
      <w:ind w:left="14" w:hanging="14"/>
      <w:outlineLvl w:val="0"/>
    </w:pPr>
    <w:rPr>
      <w:rFonts w:eastAsia="Times New Roman" w:cstheme="minorHAnsi"/>
      <w:b/>
      <w:color w:val="000000"/>
      <w:sz w:val="28"/>
    </w:rPr>
  </w:style>
  <w:style w:type="paragraph" w:styleId="Heading2">
    <w:name w:val="heading 2"/>
    <w:next w:val="Normal"/>
    <w:link w:val="Heading2Char"/>
    <w:uiPriority w:val="9"/>
    <w:unhideWhenUsed/>
    <w:qFormat/>
    <w:rsid w:val="004A0FF2"/>
    <w:pPr>
      <w:keepNext/>
      <w:keepLines/>
      <w:numPr>
        <w:numId w:val="27"/>
      </w:numPr>
      <w:spacing w:after="373" w:line="360" w:lineRule="auto"/>
      <w:outlineLvl w:val="1"/>
    </w:pPr>
    <w:rPr>
      <w:rFonts w:cstheme="minorHAnsi"/>
      <w:b/>
      <w:iCs/>
      <w:color w:val="000000"/>
      <w:sz w:val="28"/>
      <w:szCs w:val="24"/>
    </w:rPr>
  </w:style>
  <w:style w:type="paragraph" w:styleId="Heading3">
    <w:name w:val="heading 3"/>
    <w:next w:val="Normal"/>
    <w:link w:val="Heading3Char"/>
    <w:uiPriority w:val="9"/>
    <w:unhideWhenUsed/>
    <w:qFormat/>
    <w:rsid w:val="00495F5D"/>
    <w:pPr>
      <w:keepNext/>
      <w:keepLines/>
      <w:spacing w:after="218" w:line="360" w:lineRule="auto"/>
      <w:ind w:left="365" w:hanging="360"/>
      <w:outlineLvl w:val="2"/>
    </w:pPr>
    <w:rPr>
      <w:rFonts w:eastAsia="Times New Roman" w:cstheme="minorHAnsi"/>
      <w:b/>
      <w:color w:val="000000"/>
      <w:sz w:val="24"/>
      <w:szCs w:val="24"/>
    </w:rPr>
  </w:style>
  <w:style w:type="paragraph" w:styleId="Heading4">
    <w:name w:val="heading 4"/>
    <w:basedOn w:val="Normal"/>
    <w:next w:val="Normal"/>
    <w:link w:val="Heading4Char"/>
    <w:uiPriority w:val="9"/>
    <w:unhideWhenUsed/>
    <w:qFormat/>
    <w:rsid w:val="00A751C5"/>
    <w:pPr>
      <w:spacing w:after="120" w:line="360" w:lineRule="auto"/>
      <w:ind w:left="-5" w:right="0" w:hanging="10"/>
      <w:outlineLvl w:val="3"/>
    </w:pPr>
    <w:rPr>
      <w:rFonts w:asciiTheme="minorHAnsi" w:hAnsiTheme="minorHAnsi" w:cstheme="minorHAnsi"/>
      <w:b/>
      <w:bCs/>
      <w:iCs/>
      <w:szCs w:val="24"/>
    </w:rPr>
  </w:style>
  <w:style w:type="paragraph" w:styleId="Heading5">
    <w:name w:val="heading 5"/>
    <w:aliases w:val="Table"/>
    <w:basedOn w:val="Normal"/>
    <w:next w:val="Normal"/>
    <w:link w:val="Heading5Char"/>
    <w:uiPriority w:val="9"/>
    <w:unhideWhenUsed/>
    <w:qFormat/>
    <w:rsid w:val="00293553"/>
    <w:pPr>
      <w:keepNext/>
      <w:keepLines/>
      <w:tabs>
        <w:tab w:val="left" w:pos="450"/>
      </w:tabs>
      <w:spacing w:after="120" w:line="360" w:lineRule="auto"/>
      <w:ind w:left="634" w:right="792" w:hanging="634"/>
      <w:outlineLvl w:val="4"/>
    </w:pPr>
    <w:rPr>
      <w:rFonts w:asciiTheme="minorHAnsi" w:eastAsiaTheme="majorEastAsia" w:hAnsiTheme="minorHAnsi" w:cstheme="min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1719"/>
    <w:rPr>
      <w:rFonts w:eastAsia="Times New Roman" w:cstheme="minorHAnsi"/>
      <w:b/>
      <w:color w:val="000000"/>
      <w:sz w:val="28"/>
    </w:rPr>
  </w:style>
  <w:style w:type="character" w:customStyle="1" w:styleId="Heading2Char">
    <w:name w:val="Heading 2 Char"/>
    <w:link w:val="Heading2"/>
    <w:uiPriority w:val="9"/>
    <w:rsid w:val="004A0FF2"/>
    <w:rPr>
      <w:rFonts w:cstheme="minorHAnsi"/>
      <w:b/>
      <w:iCs/>
      <w:color w:val="000000"/>
      <w:sz w:val="28"/>
      <w:szCs w:val="24"/>
    </w:rPr>
  </w:style>
  <w:style w:type="character" w:customStyle="1" w:styleId="Heading3Char">
    <w:name w:val="Heading 3 Char"/>
    <w:link w:val="Heading3"/>
    <w:uiPriority w:val="9"/>
    <w:rsid w:val="00495F5D"/>
    <w:rPr>
      <w:rFonts w:eastAsia="Times New Roman" w:cstheme="minorHAnsi"/>
      <w:b/>
      <w:color w:val="000000"/>
      <w:sz w:val="24"/>
      <w:szCs w:val="24"/>
    </w:rPr>
  </w:style>
  <w:style w:type="character" w:customStyle="1" w:styleId="Heading4Char">
    <w:name w:val="Heading 4 Char"/>
    <w:basedOn w:val="DefaultParagraphFont"/>
    <w:link w:val="Heading4"/>
    <w:uiPriority w:val="9"/>
    <w:rsid w:val="00A751C5"/>
    <w:rPr>
      <w:rFonts w:eastAsia="Times New Roman" w:cstheme="minorHAnsi"/>
      <w:b/>
      <w:bCs/>
      <w:iCs/>
      <w:color w:val="000000"/>
      <w:sz w:val="24"/>
      <w:szCs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06E7"/>
    <w:rPr>
      <w:color w:val="0000FF"/>
      <w:u w:val="single"/>
    </w:rPr>
  </w:style>
  <w:style w:type="paragraph" w:styleId="ListParagraph">
    <w:name w:val="List Paragraph"/>
    <w:basedOn w:val="Normal"/>
    <w:uiPriority w:val="34"/>
    <w:qFormat/>
    <w:rsid w:val="006722CA"/>
    <w:pPr>
      <w:ind w:left="720"/>
      <w:contextualSpacing/>
    </w:pPr>
  </w:style>
  <w:style w:type="character" w:styleId="FootnoteReference">
    <w:name w:val="footnote reference"/>
    <w:basedOn w:val="DefaultParagraphFont"/>
    <w:uiPriority w:val="99"/>
    <w:semiHidden/>
    <w:unhideWhenUsed/>
    <w:rsid w:val="006B585F"/>
    <w:rPr>
      <w:vertAlign w:val="superscript"/>
    </w:rPr>
  </w:style>
  <w:style w:type="paragraph" w:styleId="BodyText">
    <w:name w:val="Body Text"/>
    <w:basedOn w:val="Normal"/>
    <w:link w:val="BodyTextChar"/>
    <w:unhideWhenUsed/>
    <w:rsid w:val="006B585F"/>
    <w:pPr>
      <w:spacing w:after="240" w:line="240" w:lineRule="atLeast"/>
      <w:ind w:left="0" w:right="0" w:firstLine="0"/>
    </w:pPr>
    <w:rPr>
      <w:rFonts w:asciiTheme="minorHAnsi" w:eastAsiaTheme="minorHAnsi" w:hAnsiTheme="minorHAnsi" w:cstheme="minorBidi"/>
      <w:color w:val="auto"/>
      <w:sz w:val="20"/>
    </w:rPr>
  </w:style>
  <w:style w:type="character" w:customStyle="1" w:styleId="BodyTextChar">
    <w:name w:val="Body Text Char"/>
    <w:basedOn w:val="DefaultParagraphFont"/>
    <w:link w:val="BodyText"/>
    <w:rsid w:val="006B585F"/>
    <w:rPr>
      <w:rFonts w:eastAsiaTheme="minorHAnsi"/>
      <w:sz w:val="20"/>
    </w:rPr>
  </w:style>
  <w:style w:type="paragraph" w:styleId="FootnoteText">
    <w:name w:val="footnote text"/>
    <w:basedOn w:val="Normal"/>
    <w:link w:val="FootnoteTextChar"/>
    <w:uiPriority w:val="99"/>
    <w:semiHidden/>
    <w:unhideWhenUsed/>
    <w:rsid w:val="006B585F"/>
    <w:pPr>
      <w:spacing w:after="0" w:line="240" w:lineRule="auto"/>
      <w:ind w:left="0" w:right="0" w:firstLine="0"/>
      <w:jc w:val="both"/>
    </w:pPr>
    <w:rPr>
      <w:rFonts w:ascii="Calibri" w:eastAsiaTheme="minorHAnsi" w:hAnsi="Calibri" w:cstheme="minorBidi"/>
      <w:color w:val="auto"/>
      <w:sz w:val="20"/>
      <w:szCs w:val="20"/>
    </w:rPr>
  </w:style>
  <w:style w:type="character" w:customStyle="1" w:styleId="FootnoteTextChar">
    <w:name w:val="Footnote Text Char"/>
    <w:basedOn w:val="DefaultParagraphFont"/>
    <w:link w:val="FootnoteText"/>
    <w:uiPriority w:val="99"/>
    <w:semiHidden/>
    <w:rsid w:val="006B585F"/>
    <w:rPr>
      <w:rFonts w:ascii="Calibri" w:eastAsiaTheme="minorHAnsi" w:hAnsi="Calibri"/>
      <w:sz w:val="20"/>
      <w:szCs w:val="20"/>
    </w:rPr>
  </w:style>
  <w:style w:type="paragraph" w:styleId="TOC1">
    <w:name w:val="toc 1"/>
    <w:basedOn w:val="TOC2"/>
    <w:next w:val="Normal"/>
    <w:autoRedefine/>
    <w:uiPriority w:val="39"/>
    <w:unhideWhenUsed/>
    <w:rsid w:val="008F78B4"/>
    <w:pPr>
      <w:tabs>
        <w:tab w:val="left" w:pos="426"/>
        <w:tab w:val="left" w:pos="1134"/>
        <w:tab w:val="right" w:pos="9781"/>
      </w:tabs>
      <w:spacing w:line="276" w:lineRule="auto"/>
      <w:ind w:left="0" w:right="0" w:firstLine="0"/>
    </w:pPr>
    <w:rPr>
      <w:rFonts w:ascii="Arial" w:eastAsiaTheme="minorEastAsia" w:hAnsi="Arial" w:cs="Arial"/>
      <w:b/>
      <w:noProof/>
      <w:color w:val="auto"/>
      <w:sz w:val="20"/>
      <w:szCs w:val="20"/>
    </w:rPr>
  </w:style>
  <w:style w:type="paragraph" w:styleId="TOC2">
    <w:name w:val="toc 2"/>
    <w:basedOn w:val="Normal"/>
    <w:next w:val="Normal"/>
    <w:autoRedefine/>
    <w:uiPriority w:val="39"/>
    <w:semiHidden/>
    <w:unhideWhenUsed/>
    <w:rsid w:val="008F78B4"/>
    <w:pPr>
      <w:spacing w:after="100"/>
      <w:ind w:left="240"/>
    </w:pPr>
  </w:style>
  <w:style w:type="table" w:styleId="TableGrid0">
    <w:name w:val="Table Grid"/>
    <w:basedOn w:val="TableNormal"/>
    <w:uiPriority w:val="39"/>
    <w:rsid w:val="008F78B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E57D5"/>
    <w:pPr>
      <w:spacing w:after="0" w:line="240" w:lineRule="auto"/>
    </w:pPr>
    <w:rPr>
      <w:rFonts w:eastAsiaTheme="minorHAnsi"/>
    </w:rPr>
    <w:tblPr>
      <w:tblBorders>
        <w:bottom w:val="single" w:sz="4" w:space="0" w:color="BFBFBF" w:themeColor="background1" w:themeShade="BF"/>
        <w:insideH w:val="single" w:sz="4" w:space="0" w:color="BFBFBF" w:themeColor="background1" w:themeShade="BF"/>
      </w:tblBorders>
      <w:tblCellMar>
        <w:left w:w="28" w:type="dxa"/>
        <w:right w:w="28" w:type="dxa"/>
      </w:tblCellMar>
    </w:tblPr>
    <w:tblStylePr w:type="firstRow">
      <w:tblPr/>
      <w:tcPr>
        <w:shd w:val="clear" w:color="auto" w:fill="ED7D31" w:themeFill="accent2"/>
      </w:tcPr>
    </w:tblStylePr>
  </w:style>
  <w:style w:type="paragraph" w:customStyle="1" w:styleId="Default">
    <w:name w:val="Default"/>
    <w:rsid w:val="005D4B4C"/>
    <w:pPr>
      <w:autoSpaceDE w:val="0"/>
      <w:autoSpaceDN w:val="0"/>
      <w:adjustRightInd w:val="0"/>
      <w:spacing w:after="0" w:line="240" w:lineRule="auto"/>
    </w:pPr>
    <w:rPr>
      <w:rFonts w:ascii="Arial" w:eastAsiaTheme="minorHAnsi" w:hAnsi="Arial" w:cs="Arial"/>
      <w:color w:val="000000"/>
      <w:sz w:val="24"/>
      <w:szCs w:val="24"/>
    </w:rPr>
  </w:style>
  <w:style w:type="table" w:customStyle="1" w:styleId="GridTable1Light1">
    <w:name w:val="Grid Table 1 Light1"/>
    <w:basedOn w:val="TableNormal"/>
    <w:uiPriority w:val="46"/>
    <w:rsid w:val="005D4B4C"/>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702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E26"/>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702E26"/>
    <w:rPr>
      <w:sz w:val="16"/>
      <w:szCs w:val="16"/>
    </w:rPr>
  </w:style>
  <w:style w:type="paragraph" w:styleId="CommentText">
    <w:name w:val="annotation text"/>
    <w:basedOn w:val="Normal"/>
    <w:link w:val="CommentTextChar"/>
    <w:uiPriority w:val="99"/>
    <w:unhideWhenUsed/>
    <w:rsid w:val="00702E26"/>
    <w:pPr>
      <w:spacing w:line="240" w:lineRule="auto"/>
    </w:pPr>
    <w:rPr>
      <w:sz w:val="20"/>
      <w:szCs w:val="20"/>
    </w:rPr>
  </w:style>
  <w:style w:type="character" w:customStyle="1" w:styleId="CommentTextChar">
    <w:name w:val="Comment Text Char"/>
    <w:basedOn w:val="DefaultParagraphFont"/>
    <w:link w:val="CommentText"/>
    <w:uiPriority w:val="99"/>
    <w:rsid w:val="00702E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02E26"/>
    <w:rPr>
      <w:b/>
      <w:bCs/>
    </w:rPr>
  </w:style>
  <w:style w:type="character" w:customStyle="1" w:styleId="CommentSubjectChar">
    <w:name w:val="Comment Subject Char"/>
    <w:basedOn w:val="CommentTextChar"/>
    <w:link w:val="CommentSubject"/>
    <w:uiPriority w:val="99"/>
    <w:semiHidden/>
    <w:rsid w:val="00702E26"/>
    <w:rPr>
      <w:rFonts w:ascii="Times New Roman" w:eastAsia="Times New Roman" w:hAnsi="Times New Roman" w:cs="Times New Roman"/>
      <w:b/>
      <w:bCs/>
      <w:color w:val="000000"/>
      <w:sz w:val="20"/>
      <w:szCs w:val="20"/>
    </w:rPr>
  </w:style>
  <w:style w:type="paragraph" w:styleId="Revision">
    <w:name w:val="Revision"/>
    <w:hidden/>
    <w:uiPriority w:val="99"/>
    <w:semiHidden/>
    <w:rsid w:val="00DA4987"/>
    <w:pPr>
      <w:spacing w:after="0" w:line="240" w:lineRule="auto"/>
    </w:pPr>
    <w:rPr>
      <w:rFonts w:ascii="Times New Roman" w:eastAsia="Times New Roman" w:hAnsi="Times New Roman" w:cs="Times New Roman"/>
      <w:color w:val="000000"/>
      <w:sz w:val="24"/>
    </w:rPr>
  </w:style>
  <w:style w:type="table" w:customStyle="1" w:styleId="TableGrid1">
    <w:name w:val="Table Grid1"/>
    <w:basedOn w:val="TableNormal"/>
    <w:next w:val="TableGrid0"/>
    <w:uiPriority w:val="59"/>
    <w:rsid w:val="00BF65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BF6530"/>
    <w:pPr>
      <w:spacing w:after="0" w:line="240" w:lineRule="auto"/>
    </w:pPr>
    <w:rPr>
      <w:rFonts w:eastAsiaTheme="minorHAnsi"/>
    </w:rPr>
    <w:tblPr>
      <w:tblBorders>
        <w:bottom w:val="single" w:sz="4" w:space="0" w:color="BFBFBF" w:themeColor="background1" w:themeShade="BF"/>
        <w:insideH w:val="single" w:sz="4" w:space="0" w:color="BFBFBF" w:themeColor="background1" w:themeShade="BF"/>
      </w:tblBorders>
      <w:tblCellMar>
        <w:left w:w="28" w:type="dxa"/>
        <w:right w:w="28" w:type="dxa"/>
      </w:tblCellMar>
    </w:tblPr>
    <w:tblStylePr w:type="firstRow">
      <w:tblPr/>
      <w:tcPr>
        <w:shd w:val="clear" w:color="auto" w:fill="ED7D31" w:themeFill="accent2"/>
      </w:tcPr>
    </w:tblStylePr>
  </w:style>
  <w:style w:type="character" w:customStyle="1" w:styleId="UnresolvedMention1">
    <w:name w:val="Unresolved Mention1"/>
    <w:basedOn w:val="DefaultParagraphFont"/>
    <w:uiPriority w:val="99"/>
    <w:semiHidden/>
    <w:unhideWhenUsed/>
    <w:rsid w:val="00292748"/>
    <w:rPr>
      <w:color w:val="605E5C"/>
      <w:shd w:val="clear" w:color="auto" w:fill="E1DFDD"/>
    </w:rPr>
  </w:style>
  <w:style w:type="paragraph" w:styleId="NormalWeb">
    <w:name w:val="Normal (Web)"/>
    <w:basedOn w:val="Normal"/>
    <w:uiPriority w:val="99"/>
    <w:semiHidden/>
    <w:unhideWhenUsed/>
    <w:rsid w:val="00292748"/>
    <w:pPr>
      <w:spacing w:after="0" w:line="240" w:lineRule="auto"/>
      <w:ind w:left="0" w:right="0" w:firstLine="0"/>
    </w:pPr>
    <w:rPr>
      <w:rFonts w:ascii="Calibri" w:eastAsiaTheme="minorHAnsi" w:hAnsi="Calibri" w:cs="Calibri"/>
      <w:color w:val="auto"/>
      <w:sz w:val="22"/>
    </w:rPr>
  </w:style>
  <w:style w:type="character" w:customStyle="1" w:styleId="Heading5Char">
    <w:name w:val="Heading 5 Char"/>
    <w:aliases w:val="Table Char"/>
    <w:basedOn w:val="DefaultParagraphFont"/>
    <w:link w:val="Heading5"/>
    <w:uiPriority w:val="9"/>
    <w:rsid w:val="00293553"/>
    <w:rPr>
      <w:rFonts w:eastAsiaTheme="majorEastAsia" w:cstheme="minorHAnsi"/>
      <w:color w:val="000000" w:themeColor="text1"/>
      <w:sz w:val="24"/>
    </w:rPr>
  </w:style>
  <w:style w:type="paragraph" w:styleId="Footer">
    <w:name w:val="footer"/>
    <w:basedOn w:val="Normal"/>
    <w:link w:val="FooterChar"/>
    <w:uiPriority w:val="99"/>
    <w:semiHidden/>
    <w:unhideWhenUsed/>
    <w:rsid w:val="00E87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B3B"/>
    <w:rPr>
      <w:rFonts w:ascii="Times New Roman" w:eastAsia="Times New Roman" w:hAnsi="Times New Roman" w:cs="Times New Roman"/>
      <w:color w:val="000000"/>
      <w:sz w:val="24"/>
    </w:rPr>
  </w:style>
  <w:style w:type="table" w:customStyle="1" w:styleId="TableGrid2">
    <w:name w:val="Table Grid2"/>
    <w:basedOn w:val="TableNormal"/>
    <w:next w:val="TableGrid0"/>
    <w:uiPriority w:val="59"/>
    <w:rsid w:val="006D55CE"/>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0978A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157">
      <w:bodyDiv w:val="1"/>
      <w:marLeft w:val="0"/>
      <w:marRight w:val="0"/>
      <w:marTop w:val="0"/>
      <w:marBottom w:val="0"/>
      <w:divBdr>
        <w:top w:val="none" w:sz="0" w:space="0" w:color="auto"/>
        <w:left w:val="none" w:sz="0" w:space="0" w:color="auto"/>
        <w:bottom w:val="none" w:sz="0" w:space="0" w:color="auto"/>
        <w:right w:val="none" w:sz="0" w:space="0" w:color="auto"/>
      </w:divBdr>
    </w:div>
    <w:div w:id="509296247">
      <w:bodyDiv w:val="1"/>
      <w:marLeft w:val="0"/>
      <w:marRight w:val="0"/>
      <w:marTop w:val="0"/>
      <w:marBottom w:val="0"/>
      <w:divBdr>
        <w:top w:val="none" w:sz="0" w:space="0" w:color="auto"/>
        <w:left w:val="none" w:sz="0" w:space="0" w:color="auto"/>
        <w:bottom w:val="none" w:sz="0" w:space="0" w:color="auto"/>
        <w:right w:val="none" w:sz="0" w:space="0" w:color="auto"/>
      </w:divBdr>
    </w:div>
    <w:div w:id="587882377">
      <w:bodyDiv w:val="1"/>
      <w:marLeft w:val="0"/>
      <w:marRight w:val="0"/>
      <w:marTop w:val="0"/>
      <w:marBottom w:val="0"/>
      <w:divBdr>
        <w:top w:val="none" w:sz="0" w:space="0" w:color="auto"/>
        <w:left w:val="none" w:sz="0" w:space="0" w:color="auto"/>
        <w:bottom w:val="none" w:sz="0" w:space="0" w:color="auto"/>
        <w:right w:val="none" w:sz="0" w:space="0" w:color="auto"/>
      </w:divBdr>
    </w:div>
    <w:div w:id="738479501">
      <w:bodyDiv w:val="1"/>
      <w:marLeft w:val="0"/>
      <w:marRight w:val="0"/>
      <w:marTop w:val="0"/>
      <w:marBottom w:val="0"/>
      <w:divBdr>
        <w:top w:val="none" w:sz="0" w:space="0" w:color="auto"/>
        <w:left w:val="none" w:sz="0" w:space="0" w:color="auto"/>
        <w:bottom w:val="none" w:sz="0" w:space="0" w:color="auto"/>
        <w:right w:val="none" w:sz="0" w:space="0" w:color="auto"/>
      </w:divBdr>
    </w:div>
    <w:div w:id="1165317826">
      <w:bodyDiv w:val="1"/>
      <w:marLeft w:val="0"/>
      <w:marRight w:val="0"/>
      <w:marTop w:val="0"/>
      <w:marBottom w:val="0"/>
      <w:divBdr>
        <w:top w:val="none" w:sz="0" w:space="0" w:color="auto"/>
        <w:left w:val="none" w:sz="0" w:space="0" w:color="auto"/>
        <w:bottom w:val="none" w:sz="0" w:space="0" w:color="auto"/>
        <w:right w:val="none" w:sz="0" w:space="0" w:color="auto"/>
      </w:divBdr>
    </w:div>
    <w:div w:id="1595162652">
      <w:bodyDiv w:val="1"/>
      <w:marLeft w:val="0"/>
      <w:marRight w:val="0"/>
      <w:marTop w:val="0"/>
      <w:marBottom w:val="0"/>
      <w:divBdr>
        <w:top w:val="none" w:sz="0" w:space="0" w:color="auto"/>
        <w:left w:val="none" w:sz="0" w:space="0" w:color="auto"/>
        <w:bottom w:val="none" w:sz="0" w:space="0" w:color="auto"/>
        <w:right w:val="none" w:sz="0" w:space="0" w:color="auto"/>
      </w:divBdr>
    </w:div>
    <w:div w:id="1817913159">
      <w:bodyDiv w:val="1"/>
      <w:marLeft w:val="0"/>
      <w:marRight w:val="0"/>
      <w:marTop w:val="0"/>
      <w:marBottom w:val="0"/>
      <w:divBdr>
        <w:top w:val="none" w:sz="0" w:space="0" w:color="auto"/>
        <w:left w:val="none" w:sz="0" w:space="0" w:color="auto"/>
        <w:bottom w:val="none" w:sz="0" w:space="0" w:color="auto"/>
        <w:right w:val="none" w:sz="0" w:space="0" w:color="auto"/>
      </w:divBdr>
    </w:div>
    <w:div w:id="1854684781">
      <w:bodyDiv w:val="1"/>
      <w:marLeft w:val="0"/>
      <w:marRight w:val="0"/>
      <w:marTop w:val="0"/>
      <w:marBottom w:val="0"/>
      <w:divBdr>
        <w:top w:val="none" w:sz="0" w:space="0" w:color="auto"/>
        <w:left w:val="none" w:sz="0" w:space="0" w:color="auto"/>
        <w:bottom w:val="none" w:sz="0" w:space="0" w:color="auto"/>
        <w:right w:val="none" w:sz="0" w:space="0" w:color="auto"/>
      </w:divBdr>
    </w:div>
    <w:div w:id="2017071276">
      <w:bodyDiv w:val="1"/>
      <w:marLeft w:val="0"/>
      <w:marRight w:val="0"/>
      <w:marTop w:val="0"/>
      <w:marBottom w:val="0"/>
      <w:divBdr>
        <w:top w:val="none" w:sz="0" w:space="0" w:color="auto"/>
        <w:left w:val="none" w:sz="0" w:space="0" w:color="auto"/>
        <w:bottom w:val="none" w:sz="0" w:space="0" w:color="auto"/>
        <w:right w:val="none" w:sz="0" w:space="0" w:color="auto"/>
      </w:divBdr>
    </w:div>
    <w:div w:id="2088065289">
      <w:bodyDiv w:val="1"/>
      <w:marLeft w:val="0"/>
      <w:marRight w:val="0"/>
      <w:marTop w:val="0"/>
      <w:marBottom w:val="0"/>
      <w:divBdr>
        <w:top w:val="none" w:sz="0" w:space="0" w:color="auto"/>
        <w:left w:val="none" w:sz="0" w:space="0" w:color="auto"/>
        <w:bottom w:val="none" w:sz="0" w:space="0" w:color="auto"/>
        <w:right w:val="none" w:sz="0" w:space="0" w:color="auto"/>
      </w:divBdr>
    </w:div>
    <w:div w:id="209500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ancelaria@mfip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oststelle@fm.mv-regierung.de" TargetMode="External"/><Relationship Id="rId2" Type="http://schemas.openxmlformats.org/officeDocument/2006/relationships/numbering" Target="numbering.xml"/><Relationship Id="rId16" Type="http://schemas.openxmlformats.org/officeDocument/2006/relationships/hyperlink" Target="mailto:registrator@esv.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ie.Blomqvist@esv.s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ancelaria@mfip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929E-7E7D-4944-96D0-BE765992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92</Pages>
  <Words>22658</Words>
  <Characters>129153</Characters>
  <Application>Microsoft Office Word</Application>
  <DocSecurity>0</DocSecurity>
  <Lines>1076</Lines>
  <Paragraphs>303</Paragraphs>
  <ScaleCrop>false</ScaleCrop>
  <HeadingPairs>
    <vt:vector size="8" baseType="variant">
      <vt:variant>
        <vt:lpstr>Title</vt:lpstr>
      </vt:variant>
      <vt:variant>
        <vt:i4>1</vt:i4>
      </vt:variant>
      <vt:variant>
        <vt:lpstr>Headings</vt:lpstr>
      </vt:variant>
      <vt:variant>
        <vt:i4>13</vt:i4>
      </vt:variant>
      <vt:variant>
        <vt:lpstr>Tytuł</vt:lpstr>
      </vt:variant>
      <vt:variant>
        <vt:i4>1</vt:i4>
      </vt:variant>
      <vt:variant>
        <vt:lpstr>Rubrik</vt:lpstr>
      </vt:variant>
      <vt:variant>
        <vt:i4>1</vt:i4>
      </vt:variant>
    </vt:vector>
  </HeadingPairs>
  <TitlesOfParts>
    <vt:vector size="16" baseType="lpstr">
      <vt:lpstr/>
      <vt:lpstr>Tłumaczenie robocze na język polski projektu programu Interreg Południowy Bałtyk</vt:lpstr>
      <vt:lpstr>    Wspólna strategia programu: główne wyzwania w zakresie rozwoju oraz działania po</vt:lpstr>
      <vt:lpstr>        Obszar objęty programem </vt:lpstr>
      <vt:lpstr>        Wspólna strategia programu: Podsumowanie głównych wspólnych wyzwań z uwzględnien</vt:lpstr>
      <vt:lpstr>        Uzasadnienie wybranych celów polityki oraz celów specyficznych Interreg, odpowia</vt:lpstr>
      <vt:lpstr>    Priorytety [300] </vt:lpstr>
      <vt:lpstr>    OP 1 Innowacyjny Południowy Bałtyk – zwiększanie poziomu innowacji i internacjon</vt:lpstr>
      <vt:lpstr>        1.2 Czerpanie korzyści z cyfryzacji dla obywateli, przedsiębiorstw, organizacji </vt:lpstr>
      <vt:lpstr>        1.3 Wzmacnianie trwałego wzrostu i konkurencyjności MŚP oraz tworzenie miejsc pr</vt:lpstr>
      <vt:lpstr>    OP 2 Zrównoważony Południowy Bałtyk – promowanie zrównoważonego rozwoju oraz nie</vt:lpstr>
      <vt:lpstr>        2.2 Wspieranie energii odnawialnej zgodnie z dyrektywą (UE) 2018/2001, w tym okr</vt:lpstr>
      <vt:lpstr>        2.5 Wspieranie dostępu do wody oraz zrównoważonej gospodarki wodnej </vt:lpstr>
      <vt:lpstr>        2.6 Wspieranie transformacji w kierunku gospodarki o obiegu zamkniętym i gospoda</vt:lpstr>
      <vt:lpstr/>
      <vt:lpstr/>
    </vt:vector>
  </TitlesOfParts>
  <Company>MRR</Company>
  <LinksUpToDate>false</LinksUpToDate>
  <CharactersWithSpaces>151508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Niciejewska</dc:creator>
  <cp:keywords/>
  <dc:description/>
  <cp:lastModifiedBy>Marta Niciejewska</cp:lastModifiedBy>
  <cp:revision>10</cp:revision>
  <dcterms:created xsi:type="dcterms:W3CDTF">2021-09-07T11:00:00Z</dcterms:created>
  <dcterms:modified xsi:type="dcterms:W3CDTF">2021-09-08T11:26:00Z</dcterms:modified>
</cp:coreProperties>
</file>