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2908" w14:textId="77777777" w:rsidR="00B9759F" w:rsidRPr="00166B24" w:rsidRDefault="00744918" w:rsidP="00744918">
      <w:pPr>
        <w:pStyle w:val="Tytu"/>
        <w:pBdr>
          <w:bottom w:val="single" w:sz="4" w:space="1" w:color="auto"/>
        </w:pBdr>
        <w:jc w:val="center"/>
        <w:rPr>
          <w:rFonts w:asciiTheme="minorHAnsi" w:eastAsia="Times New Roman" w:hAnsiTheme="minorHAnsi" w:cstheme="minorHAnsi"/>
          <w:b/>
          <w:sz w:val="36"/>
        </w:rPr>
      </w:pPr>
      <w:r>
        <w:rPr>
          <w:rFonts w:asciiTheme="minorHAnsi" w:hAnsiTheme="minorHAnsi"/>
          <w:b/>
          <w:sz w:val="36"/>
        </w:rPr>
        <w:t xml:space="preserve">Propozycja systemu wskaźników dla programu ESPON 2030 </w:t>
      </w:r>
    </w:p>
    <w:p w14:paraId="1F2BCB3C" w14:textId="77777777" w:rsidR="00B9759F" w:rsidRPr="002F59D9" w:rsidRDefault="00B9759F" w:rsidP="00744918">
      <w:pPr>
        <w:pStyle w:val="Tytu"/>
        <w:pBdr>
          <w:bottom w:val="single" w:sz="4" w:space="1" w:color="auto"/>
        </w:pBdr>
        <w:jc w:val="center"/>
        <w:rPr>
          <w:rFonts w:asciiTheme="minorHAnsi" w:eastAsia="Times New Roman" w:hAnsiTheme="minorHAnsi" w:cstheme="minorHAnsi"/>
          <w:b/>
          <w:sz w:val="36"/>
        </w:rPr>
      </w:pPr>
    </w:p>
    <w:p w14:paraId="6E208088" w14:textId="77777777" w:rsidR="00744918" w:rsidRPr="00166B24" w:rsidRDefault="00B9759F" w:rsidP="00744918">
      <w:pPr>
        <w:pStyle w:val="Tytu"/>
        <w:pBdr>
          <w:bottom w:val="single" w:sz="4" w:space="1" w:color="auto"/>
        </w:pBdr>
        <w:jc w:val="center"/>
        <w:rPr>
          <w:rFonts w:asciiTheme="minorHAnsi" w:eastAsia="Times New Roman" w:hAnsiTheme="minorHAnsi" w:cstheme="minorHAnsi"/>
          <w:b/>
          <w:sz w:val="36"/>
        </w:rPr>
      </w:pPr>
      <w:r>
        <w:rPr>
          <w:rFonts w:asciiTheme="minorHAnsi" w:hAnsiTheme="minorHAnsi"/>
          <w:b/>
          <w:i/>
          <w:sz w:val="32"/>
          <w:szCs w:val="32"/>
        </w:rPr>
        <w:t>Dokument metodologiczny ram wykonania</w:t>
      </w:r>
    </w:p>
    <w:p w14:paraId="6FEFC309" w14:textId="77777777" w:rsidR="00744918" w:rsidRPr="00166B24" w:rsidRDefault="00744918">
      <w:pPr>
        <w:rPr>
          <w:lang w:val="en-GB"/>
        </w:rPr>
      </w:pPr>
    </w:p>
    <w:sdt>
      <w:sdtPr>
        <w:rPr>
          <w:rFonts w:asciiTheme="minorHAnsi" w:eastAsiaTheme="minorHAnsi" w:hAnsiTheme="minorHAnsi" w:cstheme="minorBidi"/>
          <w:color w:val="auto"/>
          <w:sz w:val="22"/>
          <w:szCs w:val="22"/>
        </w:rPr>
        <w:id w:val="989518048"/>
        <w:docPartObj>
          <w:docPartGallery w:val="Table of Contents"/>
          <w:docPartUnique/>
        </w:docPartObj>
      </w:sdtPr>
      <w:sdtEndPr>
        <w:rPr>
          <w:b/>
          <w:bCs/>
        </w:rPr>
      </w:sdtEndPr>
      <w:sdtContent>
        <w:p w14:paraId="5C1A242F" w14:textId="77777777" w:rsidR="00B9759F" w:rsidRPr="00166B24" w:rsidRDefault="00B9759F">
          <w:pPr>
            <w:pStyle w:val="Nagwekspisutreci"/>
          </w:pPr>
          <w:r>
            <w:t>Treść</w:t>
          </w:r>
        </w:p>
        <w:p w14:paraId="71EAF8E9" w14:textId="77777777" w:rsidR="009D594A" w:rsidRDefault="00B9759F">
          <w:pPr>
            <w:pStyle w:val="Spistreci1"/>
            <w:tabs>
              <w:tab w:val="left" w:pos="440"/>
              <w:tab w:val="right" w:leader="dot" w:pos="9017"/>
            </w:tabs>
            <w:rPr>
              <w:rFonts w:cstheme="minorBidi"/>
              <w:noProof/>
              <w:lang w:eastAsia="pl-PL"/>
            </w:rPr>
          </w:pPr>
          <w:r w:rsidRPr="00166B24">
            <w:fldChar w:fldCharType="begin"/>
          </w:r>
          <w:r w:rsidRPr="00166B24">
            <w:instrText xml:space="preserve"> TOC \o "1-3" \h \z \u </w:instrText>
          </w:r>
          <w:r w:rsidRPr="00166B24">
            <w:fldChar w:fldCharType="separate"/>
          </w:r>
          <w:hyperlink w:anchor="_Toc79480460" w:history="1">
            <w:r w:rsidR="009D594A" w:rsidRPr="006E34BF">
              <w:rPr>
                <w:rStyle w:val="Hipercze"/>
                <w:noProof/>
              </w:rPr>
              <w:t>1.</w:t>
            </w:r>
            <w:r w:rsidR="009D594A">
              <w:rPr>
                <w:rFonts w:cstheme="minorBidi"/>
                <w:noProof/>
                <w:lang w:eastAsia="pl-PL"/>
              </w:rPr>
              <w:tab/>
            </w:r>
            <w:r w:rsidR="009D594A" w:rsidRPr="006E34BF">
              <w:rPr>
                <w:rStyle w:val="Hipercze"/>
                <w:noProof/>
              </w:rPr>
              <w:t>Wnioski wyciągnięte z systemu wskaźników na lata 2014-2020</w:t>
            </w:r>
            <w:r w:rsidR="009D594A">
              <w:rPr>
                <w:noProof/>
                <w:webHidden/>
              </w:rPr>
              <w:tab/>
            </w:r>
            <w:r w:rsidR="009D594A">
              <w:rPr>
                <w:noProof/>
                <w:webHidden/>
              </w:rPr>
              <w:fldChar w:fldCharType="begin"/>
            </w:r>
            <w:r w:rsidR="009D594A">
              <w:rPr>
                <w:noProof/>
                <w:webHidden/>
              </w:rPr>
              <w:instrText xml:space="preserve"> PAGEREF _Toc79480460 \h </w:instrText>
            </w:r>
            <w:r w:rsidR="009D594A">
              <w:rPr>
                <w:noProof/>
                <w:webHidden/>
              </w:rPr>
            </w:r>
            <w:r w:rsidR="009D594A">
              <w:rPr>
                <w:noProof/>
                <w:webHidden/>
              </w:rPr>
              <w:fldChar w:fldCharType="separate"/>
            </w:r>
            <w:r w:rsidR="009D594A">
              <w:rPr>
                <w:noProof/>
                <w:webHidden/>
              </w:rPr>
              <w:t>1</w:t>
            </w:r>
            <w:r w:rsidR="009D594A">
              <w:rPr>
                <w:noProof/>
                <w:webHidden/>
              </w:rPr>
              <w:fldChar w:fldCharType="end"/>
            </w:r>
          </w:hyperlink>
        </w:p>
        <w:p w14:paraId="5E5BFAAE" w14:textId="77777777" w:rsidR="009D594A" w:rsidRDefault="00D7780E">
          <w:pPr>
            <w:pStyle w:val="Spistreci1"/>
            <w:tabs>
              <w:tab w:val="left" w:pos="440"/>
              <w:tab w:val="right" w:leader="dot" w:pos="9017"/>
            </w:tabs>
            <w:rPr>
              <w:rFonts w:cstheme="minorBidi"/>
              <w:noProof/>
              <w:lang w:eastAsia="pl-PL"/>
            </w:rPr>
          </w:pPr>
          <w:hyperlink w:anchor="_Toc79480461" w:history="1">
            <w:r w:rsidR="009D594A" w:rsidRPr="006E34BF">
              <w:rPr>
                <w:rStyle w:val="Hipercze"/>
                <w:noProof/>
              </w:rPr>
              <w:t>2.</w:t>
            </w:r>
            <w:r w:rsidR="009D594A">
              <w:rPr>
                <w:rFonts w:cstheme="minorBidi"/>
                <w:noProof/>
                <w:lang w:eastAsia="pl-PL"/>
              </w:rPr>
              <w:tab/>
            </w:r>
            <w:r w:rsidR="009D594A" w:rsidRPr="006E34BF">
              <w:rPr>
                <w:rStyle w:val="Hipercze"/>
                <w:noProof/>
              </w:rPr>
              <w:t>Elementy, które należy wziąć pod uwagę przy określaniu odpowiednich wskaźników</w:t>
            </w:r>
            <w:r w:rsidR="009D594A">
              <w:rPr>
                <w:noProof/>
                <w:webHidden/>
              </w:rPr>
              <w:tab/>
            </w:r>
            <w:r w:rsidR="009D594A">
              <w:rPr>
                <w:noProof/>
                <w:webHidden/>
              </w:rPr>
              <w:fldChar w:fldCharType="begin"/>
            </w:r>
            <w:r w:rsidR="009D594A">
              <w:rPr>
                <w:noProof/>
                <w:webHidden/>
              </w:rPr>
              <w:instrText xml:space="preserve"> PAGEREF _Toc79480461 \h </w:instrText>
            </w:r>
            <w:r w:rsidR="009D594A">
              <w:rPr>
                <w:noProof/>
                <w:webHidden/>
              </w:rPr>
            </w:r>
            <w:r w:rsidR="009D594A">
              <w:rPr>
                <w:noProof/>
                <w:webHidden/>
              </w:rPr>
              <w:fldChar w:fldCharType="separate"/>
            </w:r>
            <w:r w:rsidR="009D594A">
              <w:rPr>
                <w:noProof/>
                <w:webHidden/>
              </w:rPr>
              <w:t>2</w:t>
            </w:r>
            <w:r w:rsidR="009D594A">
              <w:rPr>
                <w:noProof/>
                <w:webHidden/>
              </w:rPr>
              <w:fldChar w:fldCharType="end"/>
            </w:r>
          </w:hyperlink>
        </w:p>
        <w:p w14:paraId="09ACBEC1" w14:textId="49B34EB9" w:rsidR="009D594A" w:rsidRDefault="0049470A">
          <w:pPr>
            <w:pStyle w:val="Spistreci1"/>
            <w:tabs>
              <w:tab w:val="left" w:pos="440"/>
              <w:tab w:val="right" w:leader="dot" w:pos="9017"/>
            </w:tabs>
            <w:rPr>
              <w:rFonts w:cstheme="minorBidi"/>
              <w:noProof/>
              <w:lang w:eastAsia="pl-PL"/>
            </w:rPr>
          </w:pPr>
          <w:hyperlink w:anchor="_Toc79480462" w:history="1">
            <w:r w:rsidR="009D594A" w:rsidRPr="006E34BF">
              <w:rPr>
                <w:rStyle w:val="Hipercze"/>
                <w:noProof/>
              </w:rPr>
              <w:t>3.</w:t>
            </w:r>
            <w:r w:rsidR="009D594A">
              <w:rPr>
                <w:rFonts w:cstheme="minorBidi"/>
                <w:noProof/>
                <w:lang w:eastAsia="pl-PL"/>
              </w:rPr>
              <w:tab/>
            </w:r>
            <w:r w:rsidR="009D594A" w:rsidRPr="006E34BF">
              <w:rPr>
                <w:rStyle w:val="Hipercze"/>
                <w:noProof/>
              </w:rPr>
              <w:t xml:space="preserve">Wskaźniki </w:t>
            </w:r>
            <w:r w:rsidR="00BD01B5">
              <w:rPr>
                <w:rStyle w:val="Hipercze"/>
                <w:noProof/>
              </w:rPr>
              <w:t>bazowe</w:t>
            </w:r>
            <w:r w:rsidR="009D594A" w:rsidRPr="006E34BF">
              <w:rPr>
                <w:rStyle w:val="Hipercze"/>
                <w:noProof/>
              </w:rPr>
              <w:t xml:space="preserve"> i rezultatu ESPON</w:t>
            </w:r>
            <w:r w:rsidR="009D594A">
              <w:rPr>
                <w:noProof/>
                <w:webHidden/>
              </w:rPr>
              <w:tab/>
            </w:r>
            <w:r w:rsidR="009D594A">
              <w:rPr>
                <w:noProof/>
                <w:webHidden/>
              </w:rPr>
              <w:fldChar w:fldCharType="begin"/>
            </w:r>
            <w:r w:rsidR="009D594A">
              <w:rPr>
                <w:noProof/>
                <w:webHidden/>
              </w:rPr>
              <w:instrText xml:space="preserve"> PAGEREF _Toc79480462 \h </w:instrText>
            </w:r>
            <w:r w:rsidR="009D594A">
              <w:rPr>
                <w:noProof/>
                <w:webHidden/>
              </w:rPr>
            </w:r>
            <w:r w:rsidR="009D594A">
              <w:rPr>
                <w:noProof/>
                <w:webHidden/>
              </w:rPr>
              <w:fldChar w:fldCharType="separate"/>
            </w:r>
            <w:r w:rsidR="009D594A">
              <w:rPr>
                <w:noProof/>
                <w:webHidden/>
              </w:rPr>
              <w:t>3</w:t>
            </w:r>
            <w:r w:rsidR="009D594A">
              <w:rPr>
                <w:noProof/>
                <w:webHidden/>
              </w:rPr>
              <w:fldChar w:fldCharType="end"/>
            </w:r>
          </w:hyperlink>
        </w:p>
        <w:p w14:paraId="431EA7E9" w14:textId="7EDFD9E8" w:rsidR="009D594A" w:rsidRDefault="0049470A">
          <w:pPr>
            <w:pStyle w:val="Spistreci2"/>
            <w:tabs>
              <w:tab w:val="right" w:leader="dot" w:pos="9017"/>
            </w:tabs>
            <w:rPr>
              <w:rFonts w:cstheme="minorBidi"/>
              <w:noProof/>
              <w:lang w:eastAsia="pl-PL"/>
            </w:rPr>
          </w:pPr>
          <w:hyperlink w:anchor="_Toc79480463" w:history="1">
            <w:r w:rsidR="009D594A" w:rsidRPr="006E34BF">
              <w:rPr>
                <w:rStyle w:val="Hipercze"/>
                <w:noProof/>
              </w:rPr>
              <w:t xml:space="preserve">Definicja wskaźników </w:t>
            </w:r>
            <w:r w:rsidR="00BD01B5">
              <w:rPr>
                <w:rStyle w:val="Hipercze"/>
                <w:noProof/>
              </w:rPr>
              <w:t>bazowych</w:t>
            </w:r>
            <w:r w:rsidR="009D594A">
              <w:rPr>
                <w:noProof/>
                <w:webHidden/>
              </w:rPr>
              <w:tab/>
            </w:r>
            <w:r w:rsidR="009D594A">
              <w:rPr>
                <w:noProof/>
                <w:webHidden/>
              </w:rPr>
              <w:fldChar w:fldCharType="begin"/>
            </w:r>
            <w:r w:rsidR="009D594A">
              <w:rPr>
                <w:noProof/>
                <w:webHidden/>
              </w:rPr>
              <w:instrText xml:space="preserve"> PAGEREF _Toc79480463 \h </w:instrText>
            </w:r>
            <w:r w:rsidR="009D594A">
              <w:rPr>
                <w:noProof/>
                <w:webHidden/>
              </w:rPr>
            </w:r>
            <w:r w:rsidR="009D594A">
              <w:rPr>
                <w:noProof/>
                <w:webHidden/>
              </w:rPr>
              <w:fldChar w:fldCharType="separate"/>
            </w:r>
            <w:r w:rsidR="009D594A">
              <w:rPr>
                <w:noProof/>
                <w:webHidden/>
              </w:rPr>
              <w:t>3</w:t>
            </w:r>
            <w:r w:rsidR="009D594A">
              <w:rPr>
                <w:noProof/>
                <w:webHidden/>
              </w:rPr>
              <w:fldChar w:fldCharType="end"/>
            </w:r>
          </w:hyperlink>
        </w:p>
        <w:p w14:paraId="0A1C7F86" w14:textId="77777777" w:rsidR="009D594A" w:rsidRDefault="00D7780E">
          <w:pPr>
            <w:pStyle w:val="Spistreci2"/>
            <w:tabs>
              <w:tab w:val="right" w:leader="dot" w:pos="9017"/>
            </w:tabs>
            <w:rPr>
              <w:rFonts w:cstheme="minorBidi"/>
              <w:noProof/>
              <w:lang w:eastAsia="pl-PL"/>
            </w:rPr>
          </w:pPr>
          <w:hyperlink w:anchor="_Toc79480464" w:history="1">
            <w:r w:rsidR="009D594A" w:rsidRPr="006E34BF">
              <w:rPr>
                <w:rStyle w:val="Hipercze"/>
                <w:noProof/>
              </w:rPr>
              <w:t>Definicja wskaźników rezultatu</w:t>
            </w:r>
            <w:r w:rsidR="009D594A">
              <w:rPr>
                <w:noProof/>
                <w:webHidden/>
              </w:rPr>
              <w:tab/>
            </w:r>
            <w:r w:rsidR="009D594A">
              <w:rPr>
                <w:noProof/>
                <w:webHidden/>
              </w:rPr>
              <w:fldChar w:fldCharType="begin"/>
            </w:r>
            <w:r w:rsidR="009D594A">
              <w:rPr>
                <w:noProof/>
                <w:webHidden/>
              </w:rPr>
              <w:instrText xml:space="preserve"> PAGEREF _Toc79480464 \h </w:instrText>
            </w:r>
            <w:r w:rsidR="009D594A">
              <w:rPr>
                <w:noProof/>
                <w:webHidden/>
              </w:rPr>
            </w:r>
            <w:r w:rsidR="009D594A">
              <w:rPr>
                <w:noProof/>
                <w:webHidden/>
              </w:rPr>
              <w:fldChar w:fldCharType="separate"/>
            </w:r>
            <w:r w:rsidR="009D594A">
              <w:rPr>
                <w:noProof/>
                <w:webHidden/>
              </w:rPr>
              <w:t>5</w:t>
            </w:r>
            <w:r w:rsidR="009D594A">
              <w:rPr>
                <w:noProof/>
                <w:webHidden/>
              </w:rPr>
              <w:fldChar w:fldCharType="end"/>
            </w:r>
          </w:hyperlink>
        </w:p>
        <w:p w14:paraId="0254DE0C" w14:textId="6CB79D27" w:rsidR="009D594A" w:rsidRDefault="0049470A">
          <w:pPr>
            <w:pStyle w:val="Spistreci2"/>
            <w:tabs>
              <w:tab w:val="right" w:leader="dot" w:pos="9017"/>
            </w:tabs>
            <w:rPr>
              <w:rFonts w:cstheme="minorBidi"/>
              <w:noProof/>
              <w:lang w:eastAsia="pl-PL"/>
            </w:rPr>
          </w:pPr>
          <w:hyperlink w:anchor="_Toc79480465" w:history="1">
            <w:r w:rsidR="009D594A" w:rsidRPr="006E34BF">
              <w:rPr>
                <w:rStyle w:val="Hipercze"/>
                <w:noProof/>
              </w:rPr>
              <w:t xml:space="preserve">Metodologia obliczania wartości docelowych i celów pośrednich dla wskaźników </w:t>
            </w:r>
            <w:r w:rsidR="00BD01B5">
              <w:rPr>
                <w:rStyle w:val="Hipercze"/>
                <w:noProof/>
              </w:rPr>
              <w:t>bazowych</w:t>
            </w:r>
            <w:r w:rsidR="009D594A" w:rsidRPr="006E34BF">
              <w:rPr>
                <w:rStyle w:val="Hipercze"/>
                <w:noProof/>
              </w:rPr>
              <w:t xml:space="preserve"> i rezultatu</w:t>
            </w:r>
            <w:r w:rsidR="009D594A">
              <w:rPr>
                <w:noProof/>
                <w:webHidden/>
              </w:rPr>
              <w:tab/>
            </w:r>
            <w:r w:rsidR="009D594A">
              <w:rPr>
                <w:noProof/>
                <w:webHidden/>
              </w:rPr>
              <w:fldChar w:fldCharType="begin"/>
            </w:r>
            <w:r w:rsidR="009D594A">
              <w:rPr>
                <w:noProof/>
                <w:webHidden/>
              </w:rPr>
              <w:instrText xml:space="preserve"> PAGEREF _Toc79480465 \h </w:instrText>
            </w:r>
            <w:r w:rsidR="009D594A">
              <w:rPr>
                <w:noProof/>
                <w:webHidden/>
              </w:rPr>
            </w:r>
            <w:r w:rsidR="009D594A">
              <w:rPr>
                <w:noProof/>
                <w:webHidden/>
              </w:rPr>
              <w:fldChar w:fldCharType="separate"/>
            </w:r>
            <w:r w:rsidR="009D594A">
              <w:rPr>
                <w:noProof/>
                <w:webHidden/>
              </w:rPr>
              <w:t>7</w:t>
            </w:r>
            <w:r w:rsidR="009D594A">
              <w:rPr>
                <w:noProof/>
                <w:webHidden/>
              </w:rPr>
              <w:fldChar w:fldCharType="end"/>
            </w:r>
          </w:hyperlink>
        </w:p>
        <w:p w14:paraId="0CD725D7" w14:textId="77777777" w:rsidR="009D594A" w:rsidRDefault="00D7780E">
          <w:pPr>
            <w:pStyle w:val="Spistreci2"/>
            <w:tabs>
              <w:tab w:val="right" w:leader="dot" w:pos="9017"/>
            </w:tabs>
            <w:rPr>
              <w:rFonts w:cstheme="minorBidi"/>
              <w:noProof/>
              <w:lang w:eastAsia="pl-PL"/>
            </w:rPr>
          </w:pPr>
          <w:hyperlink w:anchor="_Toc79480466" w:history="1">
            <w:r w:rsidR="009D594A" w:rsidRPr="006E34BF">
              <w:rPr>
                <w:rStyle w:val="Hipercze"/>
                <w:noProof/>
              </w:rPr>
              <w:t>Czas składania sprawozdań</w:t>
            </w:r>
            <w:r w:rsidR="009D594A">
              <w:rPr>
                <w:noProof/>
                <w:webHidden/>
              </w:rPr>
              <w:tab/>
            </w:r>
            <w:r w:rsidR="009D594A">
              <w:rPr>
                <w:noProof/>
                <w:webHidden/>
              </w:rPr>
              <w:fldChar w:fldCharType="begin"/>
            </w:r>
            <w:r w:rsidR="009D594A">
              <w:rPr>
                <w:noProof/>
                <w:webHidden/>
              </w:rPr>
              <w:instrText xml:space="preserve"> PAGEREF _Toc79480466 \h </w:instrText>
            </w:r>
            <w:r w:rsidR="009D594A">
              <w:rPr>
                <w:noProof/>
                <w:webHidden/>
              </w:rPr>
            </w:r>
            <w:r w:rsidR="009D594A">
              <w:rPr>
                <w:noProof/>
                <w:webHidden/>
              </w:rPr>
              <w:fldChar w:fldCharType="separate"/>
            </w:r>
            <w:r w:rsidR="009D594A">
              <w:rPr>
                <w:noProof/>
                <w:webHidden/>
              </w:rPr>
              <w:t>9</w:t>
            </w:r>
            <w:r w:rsidR="009D594A">
              <w:rPr>
                <w:noProof/>
                <w:webHidden/>
              </w:rPr>
              <w:fldChar w:fldCharType="end"/>
            </w:r>
          </w:hyperlink>
        </w:p>
        <w:p w14:paraId="34D3546B" w14:textId="77777777" w:rsidR="009D594A" w:rsidRDefault="00D7780E">
          <w:pPr>
            <w:pStyle w:val="Spistreci2"/>
            <w:tabs>
              <w:tab w:val="right" w:leader="dot" w:pos="9017"/>
            </w:tabs>
            <w:rPr>
              <w:rFonts w:cstheme="minorBidi"/>
              <w:noProof/>
              <w:lang w:eastAsia="pl-PL"/>
            </w:rPr>
          </w:pPr>
          <w:hyperlink w:anchor="_Toc79480467" w:history="1">
            <w:r w:rsidR="009D594A" w:rsidRPr="006E34BF">
              <w:rPr>
                <w:rStyle w:val="Hipercze"/>
                <w:noProof/>
              </w:rPr>
              <w:t>Zapewnienie jakości danych</w:t>
            </w:r>
            <w:r w:rsidR="009D594A">
              <w:rPr>
                <w:noProof/>
                <w:webHidden/>
              </w:rPr>
              <w:tab/>
            </w:r>
            <w:r w:rsidR="009D594A">
              <w:rPr>
                <w:noProof/>
                <w:webHidden/>
              </w:rPr>
              <w:fldChar w:fldCharType="begin"/>
            </w:r>
            <w:r w:rsidR="009D594A">
              <w:rPr>
                <w:noProof/>
                <w:webHidden/>
              </w:rPr>
              <w:instrText xml:space="preserve"> PAGEREF _Toc79480467 \h </w:instrText>
            </w:r>
            <w:r w:rsidR="009D594A">
              <w:rPr>
                <w:noProof/>
                <w:webHidden/>
              </w:rPr>
            </w:r>
            <w:r w:rsidR="009D594A">
              <w:rPr>
                <w:noProof/>
                <w:webHidden/>
              </w:rPr>
              <w:fldChar w:fldCharType="separate"/>
            </w:r>
            <w:r w:rsidR="009D594A">
              <w:rPr>
                <w:noProof/>
                <w:webHidden/>
              </w:rPr>
              <w:t>9</w:t>
            </w:r>
            <w:r w:rsidR="009D594A">
              <w:rPr>
                <w:noProof/>
                <w:webHidden/>
              </w:rPr>
              <w:fldChar w:fldCharType="end"/>
            </w:r>
          </w:hyperlink>
        </w:p>
        <w:p w14:paraId="2A5A56E4" w14:textId="77777777" w:rsidR="009D594A" w:rsidRDefault="00D7780E">
          <w:pPr>
            <w:pStyle w:val="Spistreci1"/>
            <w:tabs>
              <w:tab w:val="left" w:pos="440"/>
              <w:tab w:val="right" w:leader="dot" w:pos="9017"/>
            </w:tabs>
            <w:rPr>
              <w:rFonts w:cstheme="minorBidi"/>
              <w:noProof/>
              <w:lang w:eastAsia="pl-PL"/>
            </w:rPr>
          </w:pPr>
          <w:hyperlink w:anchor="_Toc79480468" w:history="1">
            <w:r w:rsidR="009D594A" w:rsidRPr="006E34BF">
              <w:rPr>
                <w:rStyle w:val="Hipercze"/>
                <w:noProof/>
              </w:rPr>
              <w:t>4.</w:t>
            </w:r>
            <w:r w:rsidR="009D594A">
              <w:rPr>
                <w:rFonts w:cstheme="minorBidi"/>
                <w:noProof/>
                <w:lang w:eastAsia="pl-PL"/>
              </w:rPr>
              <w:tab/>
            </w:r>
            <w:r w:rsidR="009D594A" w:rsidRPr="006E34BF">
              <w:rPr>
                <w:rStyle w:val="Hipercze"/>
                <w:noProof/>
              </w:rPr>
              <w:t>Wnioski</w:t>
            </w:r>
            <w:r w:rsidR="009D594A">
              <w:rPr>
                <w:noProof/>
                <w:webHidden/>
              </w:rPr>
              <w:tab/>
            </w:r>
            <w:r w:rsidR="009D594A">
              <w:rPr>
                <w:noProof/>
                <w:webHidden/>
              </w:rPr>
              <w:fldChar w:fldCharType="begin"/>
            </w:r>
            <w:r w:rsidR="009D594A">
              <w:rPr>
                <w:noProof/>
                <w:webHidden/>
              </w:rPr>
              <w:instrText xml:space="preserve"> PAGEREF _Toc79480468 \h </w:instrText>
            </w:r>
            <w:r w:rsidR="009D594A">
              <w:rPr>
                <w:noProof/>
                <w:webHidden/>
              </w:rPr>
            </w:r>
            <w:r w:rsidR="009D594A">
              <w:rPr>
                <w:noProof/>
                <w:webHidden/>
              </w:rPr>
              <w:fldChar w:fldCharType="separate"/>
            </w:r>
            <w:r w:rsidR="009D594A">
              <w:rPr>
                <w:noProof/>
                <w:webHidden/>
              </w:rPr>
              <w:t>9</w:t>
            </w:r>
            <w:r w:rsidR="009D594A">
              <w:rPr>
                <w:noProof/>
                <w:webHidden/>
              </w:rPr>
              <w:fldChar w:fldCharType="end"/>
            </w:r>
          </w:hyperlink>
        </w:p>
        <w:p w14:paraId="66C4451A" w14:textId="77777777" w:rsidR="00B9759F" w:rsidRPr="00166B24" w:rsidRDefault="00B9759F" w:rsidP="001D677F">
          <w:r w:rsidRPr="00166B24">
            <w:rPr>
              <w:b/>
              <w:bCs/>
            </w:rPr>
            <w:fldChar w:fldCharType="end"/>
          </w:r>
        </w:p>
      </w:sdtContent>
    </w:sdt>
    <w:p w14:paraId="129BD798" w14:textId="77777777" w:rsidR="00744918" w:rsidRPr="00166B24" w:rsidRDefault="00744918" w:rsidP="00B9759F">
      <w:pPr>
        <w:pStyle w:val="Nagwek1"/>
      </w:pPr>
      <w:bookmarkStart w:id="0" w:name="_Toc74641119"/>
      <w:bookmarkStart w:id="1" w:name="_Toc74641120"/>
      <w:bookmarkStart w:id="2" w:name="_Toc79480460"/>
      <w:bookmarkEnd w:id="0"/>
      <w:bookmarkEnd w:id="1"/>
      <w:r>
        <w:t>Wnioski wyciągnięte z systemu wskaźników na lata 2014-2020</w:t>
      </w:r>
      <w:bookmarkEnd w:id="2"/>
    </w:p>
    <w:p w14:paraId="7FAA959E" w14:textId="197B644C" w:rsidR="00246608" w:rsidRPr="00166B24" w:rsidRDefault="002467A9" w:rsidP="00F07378">
      <w:pPr>
        <w:spacing w:before="120" w:after="120" w:line="240" w:lineRule="auto"/>
        <w:jc w:val="both"/>
        <w:rPr>
          <w:rFonts w:eastAsia="Times New Roman" w:cstheme="minorHAnsi"/>
        </w:rPr>
      </w:pPr>
      <w:r>
        <w:t xml:space="preserve">W Programie Współpracy ESPON 2020 określono cztery wskaźniki </w:t>
      </w:r>
      <w:r w:rsidR="00BD01B5">
        <w:t>bazowe</w:t>
      </w:r>
      <w:r>
        <w:t xml:space="preserve"> specyficzne dla programu, z których każdy jest powiązany z czterema celami szczegółowymi Osi Priorytetowej 1. Wspólne wskaźniki </w:t>
      </w:r>
      <w:r w:rsidR="00BD01B5">
        <w:t>bazowe</w:t>
      </w:r>
      <w:r>
        <w:t xml:space="preserve"> nie zostały wybrane w okresie programowania 2014-2020 ze względu na specyfikę Programu ESPON.</w:t>
      </w:r>
    </w:p>
    <w:p w14:paraId="4E3ABF77" w14:textId="2DC37037" w:rsidR="00246608" w:rsidRPr="00166B24" w:rsidRDefault="002467A9" w:rsidP="00F07378">
      <w:pPr>
        <w:spacing w:before="120" w:after="120" w:line="240" w:lineRule="auto"/>
        <w:jc w:val="both"/>
        <w:rPr>
          <w:rFonts w:eastAsia="Times New Roman" w:cstheme="minorHAnsi"/>
        </w:rPr>
      </w:pPr>
      <w:r>
        <w:t xml:space="preserve">Wartości docelowe mają charakter ilościowy i określają ostateczny </w:t>
      </w:r>
      <w:r w:rsidR="003979F3">
        <w:t>rezultat</w:t>
      </w:r>
      <w:r>
        <w:t>, który ma zostać osiągnięty.</w:t>
      </w:r>
    </w:p>
    <w:p w14:paraId="3ED015D1" w14:textId="3DB4B5D2" w:rsidR="00246608" w:rsidRPr="00166B24" w:rsidRDefault="00246608" w:rsidP="00F07378">
      <w:pPr>
        <w:spacing w:before="120" w:after="120" w:line="240" w:lineRule="auto"/>
        <w:jc w:val="both"/>
        <w:rPr>
          <w:rFonts w:eastAsia="Times New Roman"/>
        </w:rPr>
      </w:pPr>
      <w:r>
        <w:t xml:space="preserve">W odniesieniu do wskaźników rezultatu, rewizja "logiki zmian" Programu stanowiła punkt wyjścia do prac nad wskaźnikami ESPON. Identyfikacja wskaźników rezultatu opierała się na założeniu, że wyższa świadomość działań ESPON, wyższe postrzeganie użyteczności i wyższe zadowolenie użytkowników z produktów ESPON stanowią uznane rezultaty pośrednie w realizacji ogólnego Celu Tematycznego 11 "wzmacnianie zdolności instytucjonalnych" oraz powiązanego Priorytetu Inwestycyjnego "wzmacnianie bazy dowodowej w celu wzmocnienia skuteczności polityki spójności i osiągania celów tematycznych poprzez analizę trendów rozwojowych" (Rozporządzenie </w:t>
      </w:r>
      <w:r w:rsidR="00BD01B5">
        <w:t>EWT</w:t>
      </w:r>
      <w:r>
        <w:t xml:space="preserve"> 1299/2013, 7 (c) iii).</w:t>
      </w:r>
    </w:p>
    <w:p w14:paraId="4FE1C7BE" w14:textId="68BB692E" w:rsidR="00246608" w:rsidRPr="00166B24" w:rsidRDefault="00246608" w:rsidP="00F07378">
      <w:pPr>
        <w:spacing w:before="120" w:after="120" w:line="240" w:lineRule="auto"/>
        <w:jc w:val="both"/>
        <w:rPr>
          <w:rFonts w:eastAsia="Times New Roman" w:cstheme="minorHAnsi"/>
        </w:rPr>
      </w:pPr>
      <w:r>
        <w:t xml:space="preserve">Wszystkie wybrane wskaźniki miały głównie charakter jakościowy i odnosiły się do ocen i spostrzeżeń interesariuszy. Wybór ten nie był zasadniczo błędny, pomijając niektóre istotne wymiary ewaluacyjne zdolności Programu ESPON. Informacje musiały być gromadzone przez </w:t>
      </w:r>
      <w:r w:rsidR="009D594A">
        <w:t>EGTC</w:t>
      </w:r>
      <w:r>
        <w:t xml:space="preserve"> ESPON za pomocą badań i kwestionariuszy skierowanych do różnych rodzajów grup docelowych ESPON, co wiązało się niekiedy z trudnościami dotyczącymi wielkości i reprezentatywności prób oraz dodatkowym obciążeniem dla adresatów, a także wymagało nowej organizacji działań w zakresie monitorowania programu. </w:t>
      </w:r>
    </w:p>
    <w:p w14:paraId="23B8B58B" w14:textId="58AFFC0D" w:rsidR="00A37B37" w:rsidRPr="00166B24" w:rsidRDefault="00B35CFA" w:rsidP="278BD12B">
      <w:pPr>
        <w:spacing w:before="120" w:after="120" w:line="240" w:lineRule="auto"/>
        <w:jc w:val="both"/>
        <w:rPr>
          <w:rFonts w:eastAsia="Times New Roman"/>
        </w:rPr>
      </w:pPr>
      <w:r>
        <w:t xml:space="preserve">W ocenie śródokresowej programu ESPON 2020 nie oceniono w sposób szczególny systemu wskaźników, ale wskazano, że wskaźniki nie ujmują każdego wkładu generowanego przez program </w:t>
      </w:r>
      <w:r>
        <w:lastRenderedPageBreak/>
        <w:t xml:space="preserve">ESPON 2020, głównie dlatego, że nadal ma miejsce transfer </w:t>
      </w:r>
      <w:r w:rsidR="00BD01B5">
        <w:t xml:space="preserve">wyników badań </w:t>
      </w:r>
      <w:r>
        <w:t>uzyskanych w poprzednim okresie programowania (i w konsekwencji wykorzystanie dowodów terytorialnych) z projektów i narzędzi/modeli opracowanych w tym okresie.</w:t>
      </w:r>
    </w:p>
    <w:p w14:paraId="00195018" w14:textId="77777777" w:rsidR="00744918" w:rsidRPr="00166B24" w:rsidRDefault="006C1FAC" w:rsidP="00F07378">
      <w:pPr>
        <w:spacing w:before="120" w:after="120" w:line="240" w:lineRule="auto"/>
        <w:jc w:val="both"/>
        <w:rPr>
          <w:rFonts w:eastAsia="Times New Roman"/>
        </w:rPr>
      </w:pPr>
      <w:r>
        <w:t>Podkreślono również, że aktywne działania komunikacyjne w ramach programu ESPON okazały się przydatne w zwiększaniu poziomu świadomości organów rządowych i polityków na temat wyników projektów oraz że uczestnictwo w działaniach programu faktycznie wzrosło.</w:t>
      </w:r>
    </w:p>
    <w:p w14:paraId="66225DD7" w14:textId="341A8876" w:rsidR="004547C1" w:rsidRPr="00166B24" w:rsidRDefault="00A37B37" w:rsidP="00F07378">
      <w:pPr>
        <w:spacing w:before="120" w:after="120" w:line="240" w:lineRule="auto"/>
        <w:jc w:val="both"/>
        <w:rPr>
          <w:rFonts w:eastAsia="Times New Roman" w:cstheme="minorHAnsi"/>
        </w:rPr>
      </w:pPr>
      <w:r>
        <w:t>Przy opracowywaniu systemu wskaźników dla Programu ESPON 2030 uznano zatem, że po pierwsze należy unikać stosowania wskaźników rezultatu o charakterze jakościowym, które opierają się na ocenie i postrzeganiu grup docelowych, a po drugie, że nie ma potrzeby stosowania w tym celu specjalnych działań ankietowych, jak to miało miejsce w okresie programowania 20</w:t>
      </w:r>
      <w:r w:rsidR="00BD01B5">
        <w:t>14</w:t>
      </w:r>
      <w:r>
        <w:t>-</w:t>
      </w:r>
      <w:r w:rsidR="00BD01B5">
        <w:t>2020</w:t>
      </w:r>
      <w:r>
        <w:t>. Ta ostatnia kwestia jest istotna ze względu na konieczność raportowania dwa razy w roku (zamiast raz w tym okresie programowania) w celu spełnienia wymogów sprawozdawczych.</w:t>
      </w:r>
    </w:p>
    <w:p w14:paraId="4F76F8FE" w14:textId="77777777" w:rsidR="00744918" w:rsidRPr="00166B24" w:rsidRDefault="00744918" w:rsidP="00B9759F">
      <w:pPr>
        <w:pStyle w:val="Nagwek1"/>
      </w:pPr>
      <w:bookmarkStart w:id="3" w:name="_Toc79480461"/>
      <w:r>
        <w:t>Elementy, które należy wziąć pod uwagę przy określaniu odpowiednich wskaźników</w:t>
      </w:r>
      <w:bookmarkEnd w:id="3"/>
    </w:p>
    <w:p w14:paraId="223B015E" w14:textId="77777777" w:rsidR="003A1903" w:rsidRPr="00166B24" w:rsidRDefault="003A1903" w:rsidP="003A1903">
      <w:pPr>
        <w:spacing w:before="120" w:after="120" w:line="240" w:lineRule="auto"/>
        <w:jc w:val="both"/>
        <w:rPr>
          <w:rFonts w:eastAsia="Times New Roman" w:cstheme="minorHAnsi"/>
        </w:rPr>
      </w:pPr>
      <w:r>
        <w:t>Wskaźniki Programu ESPON 2030 powinny być powiązane z celem programu, którym zgodnie z propozycją rozporządzenia (obecnie zatwierdzoną) jest:</w:t>
      </w:r>
    </w:p>
    <w:p w14:paraId="4CB02580" w14:textId="128F2AB5" w:rsidR="003A1903" w:rsidRPr="00166B24" w:rsidRDefault="003A1903" w:rsidP="003A1903">
      <w:pPr>
        <w:spacing w:before="120" w:after="120" w:line="240" w:lineRule="auto"/>
        <w:jc w:val="center"/>
        <w:rPr>
          <w:rFonts w:eastAsia="Times New Roman" w:cstheme="minorHAnsi"/>
          <w:i/>
        </w:rPr>
      </w:pPr>
      <w:r>
        <w:rPr>
          <w:i/>
        </w:rPr>
        <w:t xml:space="preserve">"Wzmocnienie skuteczności polityki spójności poprzez </w:t>
      </w:r>
      <w:r w:rsidRPr="002F59D9">
        <w:rPr>
          <w:i/>
          <w:u w:val="single"/>
        </w:rPr>
        <w:t xml:space="preserve">promowanie analizy </w:t>
      </w:r>
      <w:r>
        <w:rPr>
          <w:i/>
        </w:rPr>
        <w:t>trendów rozwojowych w odniesieniu do celów spójności terytorialnej".</w:t>
      </w:r>
    </w:p>
    <w:p w14:paraId="1C9B7BBD" w14:textId="77777777" w:rsidR="003A1903" w:rsidRPr="00166B24" w:rsidRDefault="003A1903" w:rsidP="003A1903">
      <w:pPr>
        <w:spacing w:before="120" w:after="120" w:line="240" w:lineRule="auto"/>
        <w:jc w:val="both"/>
        <w:rPr>
          <w:rFonts w:eastAsia="Times New Roman" w:cstheme="minorHAnsi"/>
        </w:rPr>
      </w:pPr>
      <w:r>
        <w:t xml:space="preserve">Zasadniczo, wskaźniki powinny być powiązane z "dokonanymi inwestycjami". Jednakże ESPON nie przyczynia się bezpośrednio do żadnej konkretnej "inwestycji", a jedynie pośrednio, poprzez oferowanie świadomości i wiedzy na temat terytorialnego otoczenia inwestycji, które zostały zrealizowane, powinny lub mogłyby zostać zrealizowane. W efekcie wkładu ESPON, lokalizacja i wpływ takich inwestycji jest zoptymalizowany. </w:t>
      </w:r>
    </w:p>
    <w:p w14:paraId="13E6CC24" w14:textId="77777777" w:rsidR="003A1903" w:rsidRPr="00166B24" w:rsidRDefault="002B53A3" w:rsidP="003A1903">
      <w:pPr>
        <w:spacing w:before="120" w:after="120" w:line="240" w:lineRule="auto"/>
        <w:jc w:val="both"/>
        <w:rPr>
          <w:rFonts w:eastAsia="Times New Roman"/>
        </w:rPr>
      </w:pPr>
      <w:r>
        <w:t>Patrząc bliżej na Program ESPON, jedyną inwestycją ESPON jest tworzenie dowodów i ich późniejsza komunikacja, interpretacja i promocja</w:t>
      </w:r>
      <w:r w:rsidR="003A1903" w:rsidRPr="00166B24">
        <w:rPr>
          <w:rStyle w:val="Odwoanieprzypisudolnego"/>
          <w:rFonts w:eastAsia="Times New Roman"/>
          <w:lang w:val="en-GB"/>
        </w:rPr>
        <w:footnoteReference w:id="2"/>
      </w:r>
      <w:r>
        <w:t>.</w:t>
      </w:r>
    </w:p>
    <w:p w14:paraId="183249B0" w14:textId="77777777" w:rsidR="001D677F" w:rsidRPr="00166B24" w:rsidRDefault="001D677F" w:rsidP="003A5090">
      <w:pPr>
        <w:jc w:val="center"/>
        <w:rPr>
          <w:rFonts w:eastAsia="Times New Roman"/>
        </w:rPr>
      </w:pPr>
      <w:r w:rsidRPr="00166B24">
        <w:rPr>
          <w:noProof/>
          <w:lang w:eastAsia="pl-PL"/>
        </w:rPr>
        <w:drawing>
          <wp:inline distT="0" distB="0" distL="0" distR="0" wp14:anchorId="32A5202C" wp14:editId="16EE637B">
            <wp:extent cx="2317750" cy="1377950"/>
            <wp:effectExtent l="0" t="0" r="0" b="0"/>
            <wp:docPr id="10" name="Picture 10" title="grafika ozdobna"/>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1" cstate="print">
                      <a:extLst>
                        <a:ext uri="{28A0092B-C50C-407E-A947-70E740481C1C}">
                          <a14:useLocalDpi xmlns:a14="http://schemas.microsoft.com/office/drawing/2010/main" val="0"/>
                        </a:ext>
                      </a:extLst>
                    </a:blip>
                    <a:srcRect l="15751" t="8938" r="20347" b="11960"/>
                    <a:stretch/>
                  </pic:blipFill>
                  <pic:spPr bwMode="auto">
                    <a:xfrm>
                      <a:off x="0" y="0"/>
                      <a:ext cx="2317750" cy="1377950"/>
                    </a:xfrm>
                    <a:prstGeom prst="rect">
                      <a:avLst/>
                    </a:prstGeom>
                    <a:noFill/>
                    <a:ln>
                      <a:noFill/>
                    </a:ln>
                    <a:extLst>
                      <a:ext uri="{53640926-AAD7-44D8-BBD7-CCE9431645EC}">
                        <a14:shadowObscured xmlns:a14="http://schemas.microsoft.com/office/drawing/2010/main"/>
                      </a:ext>
                    </a:extLst>
                  </pic:spPr>
                </pic:pic>
              </a:graphicData>
            </a:graphic>
          </wp:inline>
        </w:drawing>
      </w:r>
    </w:p>
    <w:p w14:paraId="5C4198C9" w14:textId="77777777" w:rsidR="00161723" w:rsidRPr="00166B24" w:rsidRDefault="00161723" w:rsidP="00161723">
      <w:pPr>
        <w:jc w:val="both"/>
      </w:pPr>
      <w:r>
        <w:t>Działania prowadzone w ramach programu ESPON 2030 są zorganizowane w oparciu o dwa uzupełniające się elementy: z jednej strony tworzenie dowodów, z drugiej - różnorodne działania w zakresie rozwoju wiedzy uwzględniające zróżnicowane potrzeby i pochodzenie grup docelowych ESPON, mające na celu wspieranie ich zrozumienia, przyswojenia i wykorzystania wytworzonych dowodów.</w:t>
      </w:r>
    </w:p>
    <w:p w14:paraId="5B8F4B88" w14:textId="77777777" w:rsidR="003A1903" w:rsidRPr="00166B24" w:rsidRDefault="003A1903" w:rsidP="003A1903">
      <w:pPr>
        <w:spacing w:before="120" w:after="120" w:line="240" w:lineRule="auto"/>
        <w:jc w:val="both"/>
        <w:rPr>
          <w:rFonts w:eastAsia="Times New Roman"/>
        </w:rPr>
      </w:pPr>
      <w:r>
        <w:lastRenderedPageBreak/>
        <w:t xml:space="preserve">Dlatego </w:t>
      </w:r>
      <w:r>
        <w:rPr>
          <w:b/>
        </w:rPr>
        <w:t>wskaźniki ESPON powinny być powiązane z takimi elementami, jak:</w:t>
      </w:r>
      <w:r>
        <w:t xml:space="preserve"> </w:t>
      </w:r>
    </w:p>
    <w:p w14:paraId="23518B8E" w14:textId="77777777" w:rsidR="003A1903" w:rsidRPr="00166B24" w:rsidRDefault="003A1903" w:rsidP="003A1903">
      <w:pPr>
        <w:pStyle w:val="Akapitzlist"/>
        <w:numPr>
          <w:ilvl w:val="0"/>
          <w:numId w:val="8"/>
        </w:numPr>
        <w:spacing w:before="120" w:after="120" w:line="240" w:lineRule="auto"/>
        <w:contextualSpacing w:val="0"/>
        <w:jc w:val="both"/>
        <w:rPr>
          <w:rFonts w:eastAsia="Times New Roman" w:cstheme="minorHAnsi"/>
        </w:rPr>
      </w:pPr>
      <w:r>
        <w:t>Tworzenie dowodów;</w:t>
      </w:r>
    </w:p>
    <w:p w14:paraId="0A6396B0" w14:textId="730BF6A9" w:rsidR="003A1903" w:rsidRPr="00166B24" w:rsidRDefault="00BD01B5" w:rsidP="003A1903">
      <w:pPr>
        <w:pStyle w:val="Akapitzlist"/>
        <w:numPr>
          <w:ilvl w:val="0"/>
          <w:numId w:val="8"/>
        </w:numPr>
        <w:spacing w:before="120" w:after="120" w:line="240" w:lineRule="auto"/>
        <w:contextualSpacing w:val="0"/>
        <w:jc w:val="both"/>
        <w:rPr>
          <w:rFonts w:eastAsia="Times New Roman" w:cstheme="minorHAnsi"/>
        </w:rPr>
      </w:pPr>
      <w:r>
        <w:t>P</w:t>
      </w:r>
      <w:r w:rsidR="003A1903">
        <w:t>romowanie uzyskanych dowodów poprzez działania związane z rozwojem wiedzy.</w:t>
      </w:r>
    </w:p>
    <w:p w14:paraId="29989815" w14:textId="77777777" w:rsidR="003A1903" w:rsidRPr="00166B24" w:rsidRDefault="003A1903" w:rsidP="003A1903">
      <w:pPr>
        <w:spacing w:before="120" w:after="120" w:line="240" w:lineRule="auto"/>
        <w:jc w:val="both"/>
        <w:rPr>
          <w:rFonts w:eastAsia="Times New Roman"/>
        </w:rPr>
      </w:pPr>
      <w:r>
        <w:t xml:space="preserve">Zestaw wspólnych wskaźników zaproponowany przez Komisję nie obejmuje tego, co ESPON wytwarza pod względem produktów i rezultatów. Wskaźniki zawarte w wykazie przedstawiają raczej "wpływ" programu ESPON po zakończeniu promowania dowodów dotyczących tendencji, wyzwań i wzorców rozwoju terytorialnego (co oznacza, że w zachowaniu grup docelowych zaszła pożądana zmiana, ponieważ wykorzystały one dowody i wiedzę zdobyte w ramach programu ESPON w procesie kształtowania polityki). </w:t>
      </w:r>
    </w:p>
    <w:p w14:paraId="5E0F35AB" w14:textId="2D029B7F" w:rsidR="003A1903" w:rsidRPr="00166B24" w:rsidRDefault="003A1903" w:rsidP="003A1903">
      <w:pPr>
        <w:spacing w:before="120" w:after="120" w:line="240" w:lineRule="auto"/>
        <w:jc w:val="both"/>
        <w:rPr>
          <w:rFonts w:eastAsia="Times New Roman" w:cstheme="minorHAnsi"/>
        </w:rPr>
      </w:pPr>
      <w:r>
        <w:t xml:space="preserve">Ponadto ESPON nie ma bezpośredniej roli (ani odpowiedzialności) w zapewnieniu, że dowody i wiedza są wykorzystywane w praktyce, co znacznie różni się od innych programów </w:t>
      </w:r>
      <w:r w:rsidR="00BD01B5">
        <w:t>EWT</w:t>
      </w:r>
      <w:r>
        <w:t xml:space="preserve"> w zakresie współpracy międzyregionalnej. Działania w ramach ESPON nie finansują ani nie wspierają bezpośrednio wymiany doświadczeń, innowacyjnych podejść i budowania potencjału. Ten rodzaj wsparcia odzwierciedla główne cele innych programów w ramach tego samego komponentu. W przypadku ESPON tego rodzaju wyniki są osiągane jedynie w sposób pośredni, ponieważ program ściśle współpracuje z zainteresowanymi stronami zaangażowanymi w politykę, pomagając im w określeniu konkretnych potrzeb w zakresie dowodów i wiedzy, które mogłyby zostać zaspokojone dzięki działaniom tematycznym dotyczącym rozwoju terytorialnego.</w:t>
      </w:r>
    </w:p>
    <w:p w14:paraId="088ACB60" w14:textId="1512ED43" w:rsidR="003A1903" w:rsidRPr="00166B24" w:rsidRDefault="003A1903" w:rsidP="003A1903">
      <w:pPr>
        <w:spacing w:before="120" w:after="120" w:line="240" w:lineRule="auto"/>
        <w:jc w:val="both"/>
      </w:pPr>
      <w:r>
        <w:t xml:space="preserve">Ponadto koncepcja połączenia wskaźnika </w:t>
      </w:r>
      <w:r w:rsidR="00BD01B5">
        <w:t>bazowe</w:t>
      </w:r>
      <w:r>
        <w:t xml:space="preserve">go "Wspólnie opracowane strategie i plany działania" (RCO 83) ze wskaźnikiem rezultatu "Wspólne strategie i plany działania podjęte przez organizacje (RCR 79)  ograniczyłaby wykorzystanie polityki ESPON </w:t>
      </w:r>
      <w:r w:rsidR="00BD01B5">
        <w:t xml:space="preserve">przez zainteresowane strony </w:t>
      </w:r>
      <w:r>
        <w:t>do niewielkiego ułamka i doprowadziłaby do nieproporcjonalnej relacji między wskaźnikami wyjściowymi i rezultatu.</w:t>
      </w:r>
    </w:p>
    <w:p w14:paraId="4FA8C4B7" w14:textId="77777777" w:rsidR="003A1903" w:rsidRPr="00166B24" w:rsidRDefault="003A1903" w:rsidP="003A1903">
      <w:pPr>
        <w:spacing w:before="120" w:after="120" w:line="240" w:lineRule="auto"/>
        <w:jc w:val="both"/>
      </w:pPr>
      <w:r>
        <w:t>Aby zobrazować to bardziej konkretnie, chociaż ukierunkowane analizy ESPON mogą stanowić przykład tego, jak zainteresowane strony budują strategie rozwoju w oparciu o uzyskane dowody, strategii tych nie można uznać za krótkoterminowe efekty interwencji w ramach programu, ponieważ program nie jest w stanie kontrolować ich tworzenia i wykorzystania, a zaangażowanie ogranicza się do dostarczenia wymaganych dowodów.</w:t>
      </w:r>
    </w:p>
    <w:p w14:paraId="188F8C15" w14:textId="77777777" w:rsidR="001D677F" w:rsidRPr="00166B24" w:rsidRDefault="003A1903" w:rsidP="003A1903">
      <w:pPr>
        <w:spacing w:before="120" w:after="120" w:line="240" w:lineRule="auto"/>
        <w:jc w:val="both"/>
        <w:rPr>
          <w:rFonts w:eastAsia="Times New Roman" w:cstheme="minorHAnsi"/>
        </w:rPr>
      </w:pPr>
      <w:r>
        <w:t xml:space="preserve">Wskaźniki ESPON powinny być zatem ściśle powiązane z działaniami w zakresie </w:t>
      </w:r>
      <w:r>
        <w:rPr>
          <w:b/>
        </w:rPr>
        <w:t>tworzenia dowodów i rozwoju wiedzy (jako produkty)</w:t>
      </w:r>
      <w:r>
        <w:t xml:space="preserve"> oraz </w:t>
      </w:r>
      <w:r>
        <w:rPr>
          <w:b/>
        </w:rPr>
        <w:t>promowania dowodów wśród zainteresowanych stron zaangażowanych w politykę (jako wyniki)</w:t>
      </w:r>
      <w:r>
        <w:t xml:space="preserve"> - a zatem powiązane z realizacją działań tematycznych, w tym TAP. </w:t>
      </w:r>
    </w:p>
    <w:p w14:paraId="55FDAECF" w14:textId="77777777" w:rsidR="003A1903" w:rsidRPr="002F59D9" w:rsidRDefault="003A1903" w:rsidP="003A1903">
      <w:pPr>
        <w:spacing w:before="120" w:after="120" w:line="240" w:lineRule="auto"/>
        <w:jc w:val="both"/>
        <w:rPr>
          <w:rFonts w:eastAsia="Times New Roman" w:cstheme="minorHAnsi"/>
        </w:rPr>
      </w:pPr>
    </w:p>
    <w:p w14:paraId="00282959" w14:textId="1224CFC7" w:rsidR="00744918" w:rsidRPr="00166B24" w:rsidRDefault="00744918" w:rsidP="00B9759F">
      <w:pPr>
        <w:pStyle w:val="Nagwek1"/>
      </w:pPr>
      <w:bookmarkStart w:id="4" w:name="_Toc79480462"/>
      <w:r>
        <w:t xml:space="preserve">Wskaźniki </w:t>
      </w:r>
      <w:r w:rsidR="00BD01B5">
        <w:t>bazowe</w:t>
      </w:r>
      <w:r>
        <w:t xml:space="preserve"> i rezultatu ESPON</w:t>
      </w:r>
      <w:bookmarkEnd w:id="4"/>
    </w:p>
    <w:p w14:paraId="1FC6EF42" w14:textId="303B3939" w:rsidR="004547C1" w:rsidRPr="00166B24" w:rsidRDefault="001558B9" w:rsidP="00B9759F">
      <w:pPr>
        <w:pStyle w:val="Nagwek2"/>
      </w:pPr>
      <w:bookmarkStart w:id="5" w:name="_Toc79480463"/>
      <w:r>
        <w:t xml:space="preserve">Definicja wskaźników </w:t>
      </w:r>
      <w:bookmarkEnd w:id="5"/>
      <w:r w:rsidR="00BD01B5">
        <w:t>bazowych</w:t>
      </w:r>
    </w:p>
    <w:p w14:paraId="2DD58C19" w14:textId="676EB8EC" w:rsidR="004547C1" w:rsidRPr="00166B24" w:rsidRDefault="004547C1" w:rsidP="004547C1">
      <w:pPr>
        <w:spacing w:before="120" w:after="120" w:line="240" w:lineRule="auto"/>
        <w:jc w:val="both"/>
        <w:rPr>
          <w:rFonts w:eastAsia="Times New Roman" w:cstheme="minorHAnsi"/>
        </w:rPr>
      </w:pPr>
      <w:r>
        <w:t xml:space="preserve">Propozycja wskaźników </w:t>
      </w:r>
      <w:r w:rsidR="00BD01B5">
        <w:t>bazowych</w:t>
      </w:r>
      <w:r>
        <w:t xml:space="preserve"> jest powiązana z poszczególnymi działaniami podejmowanymi w ramach programu ESPON 2030 w zakresie tworzenia dowodów i rozwoju wiedzy. Dobrym wskaźnikiem zastępczym byłaby "liczba wdrożonych TAP-ów", ale należy wziąć pod uwagę, że tak prosty wskaźnik może nie być w pełni zrozumiały dla osób niezaznajomionych z modelem wdrażania Programu ESPON 2030. </w:t>
      </w:r>
    </w:p>
    <w:p w14:paraId="746C6A21" w14:textId="77777777" w:rsidR="004547C1" w:rsidRPr="00166B24" w:rsidRDefault="004547C1" w:rsidP="00562B9E">
      <w:pPr>
        <w:spacing w:before="120" w:after="120" w:line="240" w:lineRule="auto"/>
        <w:jc w:val="both"/>
        <w:rPr>
          <w:rFonts w:eastAsia="Times New Roman" w:cstheme="minorHAnsi"/>
        </w:rPr>
      </w:pPr>
      <w:r>
        <w:t>Proponujemy zatem przybliżenie dwóch wskaźników:</w:t>
      </w:r>
    </w:p>
    <w:p w14:paraId="7E306607" w14:textId="77777777" w:rsidR="004547C1" w:rsidRPr="00166B24" w:rsidRDefault="004547C1" w:rsidP="00562B9E">
      <w:pPr>
        <w:pStyle w:val="Akapitzlist"/>
        <w:numPr>
          <w:ilvl w:val="0"/>
          <w:numId w:val="9"/>
        </w:numPr>
        <w:spacing w:before="120" w:after="120" w:line="240" w:lineRule="auto"/>
        <w:jc w:val="both"/>
        <w:rPr>
          <w:rFonts w:eastAsia="Times New Roman"/>
          <w:b/>
          <w:bCs/>
        </w:rPr>
      </w:pPr>
      <w:r>
        <w:rPr>
          <w:b/>
          <w:bCs/>
        </w:rPr>
        <w:lastRenderedPageBreak/>
        <w:t>"Liczba działań w zakresie tworzenia dowodów terytorialnych”</w:t>
      </w:r>
      <w:r w:rsidR="00D634DF" w:rsidRPr="00166B24">
        <w:rPr>
          <w:rStyle w:val="Odwoanieprzypisudolnego"/>
          <w:rFonts w:eastAsia="Times New Roman"/>
          <w:b/>
          <w:bCs/>
          <w:lang w:val="en-GB"/>
        </w:rPr>
        <w:footnoteReference w:id="3"/>
      </w:r>
      <w:r>
        <w:rPr>
          <w:b/>
          <w:bCs/>
        </w:rPr>
        <w:t>;</w:t>
      </w:r>
    </w:p>
    <w:p w14:paraId="21C70611" w14:textId="77777777" w:rsidR="004547C1" w:rsidRPr="00166B24" w:rsidRDefault="004547C1" w:rsidP="278BD12B">
      <w:pPr>
        <w:pStyle w:val="Akapitzlist"/>
        <w:numPr>
          <w:ilvl w:val="0"/>
          <w:numId w:val="9"/>
        </w:numPr>
        <w:spacing w:before="120" w:after="120" w:line="240" w:lineRule="auto"/>
        <w:jc w:val="both"/>
        <w:rPr>
          <w:rFonts w:eastAsia="Times New Roman"/>
          <w:b/>
          <w:bCs/>
        </w:rPr>
      </w:pPr>
      <w:r>
        <w:rPr>
          <w:b/>
        </w:rPr>
        <w:t>"Liczba działań w zakresie rozwoju wiedzy</w:t>
      </w:r>
      <w:r>
        <w:t xml:space="preserve"> </w:t>
      </w:r>
      <w:r w:rsidR="00D634DF" w:rsidRPr="00166B24">
        <w:rPr>
          <w:rStyle w:val="Odwoanieprzypisudolnego"/>
          <w:rFonts w:eastAsia="Times New Roman"/>
          <w:b/>
          <w:bCs/>
          <w:lang w:val="en-GB"/>
        </w:rPr>
        <w:footnoteReference w:id="4"/>
      </w:r>
      <w:r>
        <w:t>mających na celu transfer wiedzy z produkcji dowodów do decydentów".</w:t>
      </w:r>
    </w:p>
    <w:p w14:paraId="6B4086D3" w14:textId="77777777" w:rsidR="00BD5333" w:rsidRPr="00166B24" w:rsidRDefault="00BD5333" w:rsidP="004547C1">
      <w:pPr>
        <w:spacing w:before="120" w:after="120" w:line="240" w:lineRule="auto"/>
        <w:jc w:val="both"/>
        <w:rPr>
          <w:rFonts w:eastAsia="Times New Roman" w:cstheme="minorHAnsi"/>
          <w:b/>
        </w:rPr>
      </w:pPr>
      <w:r>
        <w:rPr>
          <w:b/>
        </w:rPr>
        <w:t>Definicja wskaźników:</w:t>
      </w:r>
    </w:p>
    <w:p w14:paraId="258145E3" w14:textId="77777777" w:rsidR="00F049A2" w:rsidRPr="00166B24" w:rsidRDefault="00F049A2" w:rsidP="004547C1">
      <w:pPr>
        <w:spacing w:before="120" w:after="120" w:line="240" w:lineRule="auto"/>
        <w:jc w:val="both"/>
        <w:rPr>
          <w:rFonts w:eastAsia="Times New Roman" w:cstheme="minorHAnsi"/>
        </w:rPr>
      </w:pPr>
      <w:r>
        <w:t>Rodzaje działań, które należy wziąć pod uwagę w przypadku dwóch proponowanych wskaźników, są następujące.</w:t>
      </w:r>
    </w:p>
    <w:p w14:paraId="6B62EB68" w14:textId="77777777" w:rsidR="00586467" w:rsidRPr="00166B24" w:rsidRDefault="0047493E" w:rsidP="00586467">
      <w:pPr>
        <w:spacing w:before="120" w:after="120" w:line="240" w:lineRule="auto"/>
        <w:jc w:val="both"/>
        <w:rPr>
          <w:rFonts w:eastAsia="Times New Roman"/>
        </w:rPr>
      </w:pPr>
      <w:r>
        <w:t>Tworzenie dowodów terytorialnych: Działanie związane z tworzeniem dowodów terytorialnych to działanie, którego celem jest tworzenie i/lub aktualizacja danych terytorialnych, ustaleń analitycznych, dowodów ewaluacyjnych lub prognoz analitycznych dotyczących polityki.</w:t>
      </w:r>
    </w:p>
    <w:p w14:paraId="4CEDDBBB" w14:textId="1DB933C4" w:rsidR="00F049A2" w:rsidRPr="00166B24" w:rsidRDefault="00586467" w:rsidP="004547C1">
      <w:pPr>
        <w:spacing w:before="120" w:after="120" w:line="240" w:lineRule="auto"/>
        <w:jc w:val="both"/>
        <w:rPr>
          <w:rFonts w:eastAsia="Times New Roman" w:cstheme="minorHAnsi"/>
        </w:rPr>
      </w:pPr>
      <w:r>
        <w:t xml:space="preserve">Następujące zakończone działania zostaną uwzględnione w ramach wskaźnika </w:t>
      </w:r>
      <w:r w:rsidR="00BD01B5">
        <w:t>bazowe</w:t>
      </w:r>
      <w:r>
        <w:t>go OI01:</w:t>
      </w:r>
    </w:p>
    <w:p w14:paraId="5C1384F3" w14:textId="77777777" w:rsidR="00C17BAC" w:rsidRPr="00166B24" w:rsidRDefault="003228D8" w:rsidP="00433039">
      <w:pPr>
        <w:pStyle w:val="Akapitzlist"/>
        <w:numPr>
          <w:ilvl w:val="0"/>
          <w:numId w:val="9"/>
        </w:numPr>
        <w:spacing w:before="120" w:after="120" w:line="240" w:lineRule="auto"/>
        <w:jc w:val="both"/>
        <w:rPr>
          <w:rFonts w:eastAsia="Times New Roman" w:cstheme="minorHAnsi"/>
        </w:rPr>
      </w:pPr>
      <w:r>
        <w:rPr>
          <w:u w:val="single"/>
        </w:rPr>
        <w:t>Ogólnoeuropejskie działania tematyczne:</w:t>
      </w:r>
      <w:r>
        <w:t xml:space="preserve"> </w:t>
      </w:r>
    </w:p>
    <w:p w14:paraId="73E04D51" w14:textId="77777777" w:rsidR="00C17BAC" w:rsidRPr="00166B24" w:rsidRDefault="003228D8" w:rsidP="005561E3">
      <w:pPr>
        <w:pStyle w:val="Akapitzlist"/>
        <w:numPr>
          <w:ilvl w:val="1"/>
          <w:numId w:val="20"/>
        </w:numPr>
        <w:spacing w:before="120" w:after="120" w:line="240" w:lineRule="auto"/>
        <w:jc w:val="both"/>
        <w:rPr>
          <w:rFonts w:eastAsia="Times New Roman" w:cstheme="minorHAnsi"/>
        </w:rPr>
      </w:pPr>
      <w:r>
        <w:t xml:space="preserve">badania podobne do obecnych projektów badań stosowanych, w tym paneuropejskie działania w ramach współpracy z organizacjami wielostronnymi i/lub obejmujące zaangażowanie krajowych/regionalnych zainteresowanych stron (w przypadku studiów przypadku); </w:t>
      </w:r>
    </w:p>
    <w:p w14:paraId="7F0323F8" w14:textId="77777777" w:rsidR="00C17BAC" w:rsidRPr="00166B24" w:rsidRDefault="00863EEE" w:rsidP="7C7B5934">
      <w:pPr>
        <w:pStyle w:val="Akapitzlist"/>
        <w:numPr>
          <w:ilvl w:val="1"/>
          <w:numId w:val="20"/>
        </w:numPr>
        <w:spacing w:before="120" w:after="120" w:line="240" w:lineRule="auto"/>
        <w:jc w:val="both"/>
        <w:rPr>
          <w:rFonts w:eastAsia="Times New Roman"/>
        </w:rPr>
      </w:pPr>
      <w:r>
        <w:t xml:space="preserve">dokumenty określające stanowisko, komunikaty polityczne, dokumenty tematyczne; </w:t>
      </w:r>
    </w:p>
    <w:p w14:paraId="3687D190" w14:textId="77777777" w:rsidR="003228D8" w:rsidRPr="00166B24" w:rsidRDefault="00863EEE" w:rsidP="005561E3">
      <w:pPr>
        <w:pStyle w:val="Akapitzlist"/>
        <w:numPr>
          <w:ilvl w:val="1"/>
          <w:numId w:val="20"/>
        </w:numPr>
        <w:spacing w:before="120" w:after="120" w:line="240" w:lineRule="auto"/>
        <w:jc w:val="both"/>
        <w:rPr>
          <w:rFonts w:eastAsia="Times New Roman" w:cstheme="minorHAnsi"/>
        </w:rPr>
      </w:pPr>
      <w:r>
        <w:t>scenariusze polityk terytorialnych i publicznych dotyczące konkretnych tematów; ogólnoeuropejskie analizy porównawcze i badania (na różnych poziomach terytorialnych);</w:t>
      </w:r>
    </w:p>
    <w:p w14:paraId="137F4D85" w14:textId="6503AD9C" w:rsidR="00C17BAC" w:rsidRPr="00166B24" w:rsidRDefault="006D6030" w:rsidP="00433039">
      <w:pPr>
        <w:pStyle w:val="Akapitzlist"/>
        <w:numPr>
          <w:ilvl w:val="0"/>
          <w:numId w:val="9"/>
        </w:numPr>
        <w:spacing w:before="120" w:after="120" w:line="240" w:lineRule="auto"/>
        <w:jc w:val="both"/>
        <w:rPr>
          <w:rFonts w:eastAsia="Times New Roman" w:cstheme="minorHAnsi"/>
        </w:rPr>
      </w:pPr>
      <w:r>
        <w:rPr>
          <w:u w:val="single"/>
        </w:rPr>
        <w:t>D</w:t>
      </w:r>
      <w:r w:rsidR="003228D8">
        <w:rPr>
          <w:u w:val="single"/>
        </w:rPr>
        <w:t>ziałania tematyczne dostosowane do zapotrzebowania w zakresie tematów TAP:</w:t>
      </w:r>
      <w:r w:rsidR="003228D8">
        <w:t xml:space="preserve"> </w:t>
      </w:r>
    </w:p>
    <w:p w14:paraId="15CD9061" w14:textId="77777777" w:rsidR="00C17BAC" w:rsidRPr="00166B24" w:rsidRDefault="003228D8" w:rsidP="005561E3">
      <w:pPr>
        <w:pStyle w:val="Akapitzlist"/>
        <w:numPr>
          <w:ilvl w:val="1"/>
          <w:numId w:val="21"/>
        </w:numPr>
        <w:spacing w:before="120" w:after="120" w:line="240" w:lineRule="auto"/>
        <w:jc w:val="both"/>
        <w:rPr>
          <w:rFonts w:eastAsia="Times New Roman" w:cstheme="minorHAnsi"/>
        </w:rPr>
      </w:pPr>
      <w:r>
        <w:t xml:space="preserve">przyspieszone ukierunkowane analizy (o krótkim czasie trwania i/lub o ograniczonym ukierunkowaniu terytorialnym); ukierunkowane analizy (tradycyjne i oparte na prognozowaniu); </w:t>
      </w:r>
    </w:p>
    <w:p w14:paraId="0A28A166" w14:textId="5928177B" w:rsidR="00C17BAC" w:rsidRPr="00166B24" w:rsidRDefault="00863EEE" w:rsidP="005561E3">
      <w:pPr>
        <w:pStyle w:val="Akapitzlist"/>
        <w:numPr>
          <w:ilvl w:val="1"/>
          <w:numId w:val="21"/>
        </w:numPr>
        <w:spacing w:before="120" w:after="120" w:line="240" w:lineRule="auto"/>
        <w:jc w:val="both"/>
        <w:rPr>
          <w:rFonts w:eastAsia="Times New Roman" w:cstheme="minorHAnsi"/>
        </w:rPr>
      </w:pPr>
      <w:r>
        <w:t xml:space="preserve">rozszerzone ukierunkowane analizy obejmujące dalej rozwinięte europejskie dowody terytorialne i ocenę możliwości </w:t>
      </w:r>
      <w:r w:rsidR="0079666C">
        <w:t>transferu</w:t>
      </w:r>
      <w:r>
        <w:t xml:space="preserve">; </w:t>
      </w:r>
    </w:p>
    <w:p w14:paraId="53C47675" w14:textId="7219B368" w:rsidR="00F049A2" w:rsidRPr="00166B24" w:rsidRDefault="00863EEE" w:rsidP="005561E3">
      <w:pPr>
        <w:pStyle w:val="Akapitzlist"/>
        <w:numPr>
          <w:ilvl w:val="1"/>
          <w:numId w:val="19"/>
        </w:numPr>
        <w:spacing w:before="120" w:after="120" w:line="240" w:lineRule="auto"/>
        <w:jc w:val="both"/>
        <w:rPr>
          <w:rFonts w:eastAsia="Times New Roman" w:cstheme="minorHAnsi"/>
        </w:rPr>
      </w:pPr>
      <w:r>
        <w:t xml:space="preserve">studia przypadków, zarówno typu spin-off, jak i na żądanie; sprawozdania terytorialne (związane z TAP na różnych poziomach terytorialnych: krajowym, lokalnym, </w:t>
      </w:r>
      <w:r w:rsidR="0079666C">
        <w:t>miejskie obszary funkcjonalne</w:t>
      </w:r>
      <w:r>
        <w:t>...).</w:t>
      </w:r>
    </w:p>
    <w:p w14:paraId="33014D62" w14:textId="77777777" w:rsidR="0074199B" w:rsidRPr="002F59D9" w:rsidRDefault="0074199B" w:rsidP="0074199B">
      <w:pPr>
        <w:pStyle w:val="Akapitzlist"/>
        <w:spacing w:before="120" w:after="120" w:line="240" w:lineRule="auto"/>
        <w:ind w:left="1800"/>
        <w:jc w:val="both"/>
        <w:rPr>
          <w:rFonts w:eastAsia="Times New Roman" w:cstheme="minorHAnsi"/>
        </w:rPr>
      </w:pPr>
    </w:p>
    <w:p w14:paraId="54026B23" w14:textId="77777777" w:rsidR="00C17BAC" w:rsidRPr="00166B24" w:rsidRDefault="003228D8" w:rsidP="00433039">
      <w:pPr>
        <w:pStyle w:val="Akapitzlist"/>
        <w:numPr>
          <w:ilvl w:val="0"/>
          <w:numId w:val="9"/>
        </w:numPr>
        <w:spacing w:before="120" w:after="120" w:line="240" w:lineRule="auto"/>
        <w:jc w:val="both"/>
        <w:rPr>
          <w:rFonts w:eastAsia="Times New Roman" w:cstheme="minorHAnsi"/>
        </w:rPr>
      </w:pPr>
      <w:r>
        <w:t xml:space="preserve">Działania przekrojowe: </w:t>
      </w:r>
    </w:p>
    <w:p w14:paraId="7BD502F1" w14:textId="77777777" w:rsidR="00C17BAC" w:rsidRPr="00166B24" w:rsidRDefault="003228D8" w:rsidP="005561E3">
      <w:pPr>
        <w:pStyle w:val="Akapitzlist"/>
        <w:numPr>
          <w:ilvl w:val="1"/>
          <w:numId w:val="9"/>
        </w:numPr>
        <w:spacing w:before="120" w:after="120" w:line="240" w:lineRule="auto"/>
        <w:jc w:val="both"/>
        <w:rPr>
          <w:rFonts w:eastAsia="Times New Roman" w:cstheme="minorHAnsi"/>
        </w:rPr>
      </w:pPr>
      <w:r>
        <w:t xml:space="preserve">Badania i scenariusze przekrojowe; </w:t>
      </w:r>
    </w:p>
    <w:p w14:paraId="35DEC09A" w14:textId="77777777" w:rsidR="00C17BAC" w:rsidRPr="00166B24" w:rsidRDefault="00863EEE" w:rsidP="005561E3">
      <w:pPr>
        <w:pStyle w:val="Akapitzlist"/>
        <w:numPr>
          <w:ilvl w:val="1"/>
          <w:numId w:val="9"/>
        </w:numPr>
        <w:spacing w:before="120" w:after="120" w:line="240" w:lineRule="auto"/>
        <w:jc w:val="both"/>
        <w:rPr>
          <w:rFonts w:eastAsia="Times New Roman" w:cstheme="minorHAnsi"/>
        </w:rPr>
      </w:pPr>
      <w:r>
        <w:t xml:space="preserve">terytorialne raporty prognostyczne (zorientowane na polityki publiczne); terytorialne raporty obserwacyjne i atlasy; </w:t>
      </w:r>
    </w:p>
    <w:p w14:paraId="3D8FA0E6" w14:textId="77777777" w:rsidR="00C17BAC" w:rsidRPr="00166B24" w:rsidRDefault="00863EEE" w:rsidP="005561E3">
      <w:pPr>
        <w:pStyle w:val="Akapitzlist"/>
        <w:numPr>
          <w:ilvl w:val="1"/>
          <w:numId w:val="9"/>
        </w:numPr>
        <w:spacing w:before="120" w:after="120" w:line="240" w:lineRule="auto"/>
        <w:jc w:val="both"/>
        <w:rPr>
          <w:rFonts w:eastAsia="Times New Roman" w:cstheme="minorHAnsi"/>
        </w:rPr>
      </w:pPr>
      <w:r>
        <w:t xml:space="preserve">oceny oddziaływania terytorialnego lub inne nowe metodologie (np. modelowanie, ocena, analiza polityki); sprawozdania terytorialne (kompleksowe na poziomie UE/krajowym); </w:t>
      </w:r>
    </w:p>
    <w:p w14:paraId="4A1C5FEF" w14:textId="77777777" w:rsidR="00F049A2" w:rsidRPr="00166B24" w:rsidRDefault="00863EEE" w:rsidP="005561E3">
      <w:pPr>
        <w:pStyle w:val="Akapitzlist"/>
        <w:numPr>
          <w:ilvl w:val="1"/>
          <w:numId w:val="9"/>
        </w:numPr>
        <w:spacing w:before="120" w:after="120" w:line="240" w:lineRule="auto"/>
        <w:jc w:val="both"/>
        <w:rPr>
          <w:rFonts w:eastAsia="Times New Roman" w:cstheme="minorHAnsi"/>
        </w:rPr>
      </w:pPr>
      <w:r>
        <w:t xml:space="preserve">działania wspierające realizację TA2030 (np. ramy monitorowania wyników). </w:t>
      </w:r>
    </w:p>
    <w:p w14:paraId="3D993F7F" w14:textId="77777777" w:rsidR="00F049A2" w:rsidRPr="00166B24" w:rsidRDefault="00F049A2" w:rsidP="00F049A2">
      <w:pPr>
        <w:spacing w:before="120" w:after="120" w:line="240" w:lineRule="auto"/>
        <w:jc w:val="both"/>
        <w:rPr>
          <w:rFonts w:eastAsia="Times New Roman" w:cstheme="minorHAnsi"/>
        </w:rPr>
      </w:pPr>
      <w:r>
        <w:t xml:space="preserve">Powyższe wybrane działania odpowiadają co najmniej 75% wszystkich zasobów dostępnych na tworzenie dowodów terytorialnych w ramach programu ESPON 2030. </w:t>
      </w:r>
    </w:p>
    <w:p w14:paraId="3B25C5A7" w14:textId="77777777" w:rsidR="001A4F85" w:rsidRPr="00166B24" w:rsidRDefault="00F049A2" w:rsidP="001A4F85">
      <w:pPr>
        <w:spacing w:before="120" w:after="120" w:line="240" w:lineRule="auto"/>
        <w:jc w:val="both"/>
        <w:rPr>
          <w:rFonts w:eastAsia="Times New Roman"/>
        </w:rPr>
      </w:pPr>
      <w:r>
        <w:rPr>
          <w:b/>
        </w:rPr>
        <w:lastRenderedPageBreak/>
        <w:t>Rozwój wiedzy:</w:t>
      </w:r>
      <w:r>
        <w:t xml:space="preserve"> Działanie polegające na rozwoju wiedzy to działanie zaplanowane i realizowane za pomocą Tematycznych Planów Działań (lub w ramach komponentu horyzontalnego / przekrojowego), które ma na celu przekazanie dowodów decydentom i lepsze powiązanie ich z cyklem politycznym. </w:t>
      </w:r>
    </w:p>
    <w:p w14:paraId="331C5B54" w14:textId="5F0481EF" w:rsidR="00F049A2" w:rsidRPr="00166B24" w:rsidRDefault="00387F63" w:rsidP="278BD12B">
      <w:pPr>
        <w:spacing w:before="120" w:after="120" w:line="240" w:lineRule="auto"/>
        <w:jc w:val="both"/>
        <w:rPr>
          <w:rFonts w:eastAsia="Times New Roman"/>
        </w:rPr>
      </w:pPr>
      <w:r>
        <w:t xml:space="preserve">Następujące zakończone działania zostaną uwzględnione w ramach wskaźnika </w:t>
      </w:r>
      <w:r w:rsidR="00BD01B5">
        <w:t>bazowe</w:t>
      </w:r>
      <w:r>
        <w:t>go OI02:</w:t>
      </w:r>
    </w:p>
    <w:p w14:paraId="61E8802D" w14:textId="52373B56" w:rsidR="00586467" w:rsidRPr="00166B24" w:rsidRDefault="003228D8" w:rsidP="00C17BAC">
      <w:pPr>
        <w:pStyle w:val="Akapitzlist"/>
        <w:numPr>
          <w:ilvl w:val="0"/>
          <w:numId w:val="9"/>
        </w:numPr>
        <w:spacing w:before="120" w:after="120" w:line="240" w:lineRule="auto"/>
        <w:jc w:val="both"/>
        <w:rPr>
          <w:rFonts w:eastAsia="Times New Roman" w:cstheme="minorHAnsi"/>
        </w:rPr>
      </w:pPr>
      <w:r>
        <w:t xml:space="preserve">Usługi w zakresie transferu wiedzy realizowane przez </w:t>
      </w:r>
      <w:r w:rsidR="009D594A">
        <w:t>EGTC</w:t>
      </w:r>
      <w:r>
        <w:t xml:space="preserve"> ESPON za pośrednictwem formatów fizycznych, hybrydowych i cyfrowych:</w:t>
      </w:r>
    </w:p>
    <w:p w14:paraId="2F8A364F" w14:textId="77777777" w:rsidR="00586467" w:rsidRPr="00166B24" w:rsidRDefault="00586467" w:rsidP="005561E3">
      <w:pPr>
        <w:pStyle w:val="Akapitzlist"/>
        <w:numPr>
          <w:ilvl w:val="1"/>
          <w:numId w:val="9"/>
        </w:numPr>
        <w:spacing w:before="120" w:after="120" w:line="240" w:lineRule="auto"/>
        <w:jc w:val="both"/>
        <w:rPr>
          <w:rFonts w:eastAsia="Times New Roman" w:cstheme="minorHAnsi"/>
        </w:rPr>
      </w:pPr>
      <w:r>
        <w:t>Wydarzenia europejskie i ponadnarodowe (takie jak seminaria, konferencje lub inne wydarzenia związane z upowszechnianiem wiedzy);</w:t>
      </w:r>
    </w:p>
    <w:p w14:paraId="6452471E" w14:textId="0E3024A8" w:rsidR="00586467" w:rsidRPr="00166B24" w:rsidRDefault="00586467" w:rsidP="005561E3">
      <w:pPr>
        <w:pStyle w:val="Akapitzlist"/>
        <w:numPr>
          <w:ilvl w:val="1"/>
          <w:numId w:val="9"/>
        </w:numPr>
        <w:spacing w:before="120" w:after="120" w:line="240" w:lineRule="auto"/>
        <w:jc w:val="both"/>
        <w:rPr>
          <w:rFonts w:eastAsia="Times New Roman" w:cstheme="minorHAnsi"/>
        </w:rPr>
      </w:pPr>
      <w:r>
        <w:t xml:space="preserve">Sesje szkoleniowe i warsztaty podnoszące umiejętności (takie jak obozy </w:t>
      </w:r>
      <w:r w:rsidR="002F59D9">
        <w:t>szkoleniowe</w:t>
      </w:r>
      <w:r>
        <w:t xml:space="preserve"> w zakresie nauk terytorialnych, </w:t>
      </w:r>
      <w:r w:rsidR="002F59D9">
        <w:t>analizowanie</w:t>
      </w:r>
      <w:r>
        <w:t xml:space="preserve"> polityki);</w:t>
      </w:r>
    </w:p>
    <w:p w14:paraId="437F429C" w14:textId="77777777" w:rsidR="00586467" w:rsidRPr="00166B24" w:rsidRDefault="00586467" w:rsidP="005561E3">
      <w:pPr>
        <w:pStyle w:val="Akapitzlist"/>
        <w:numPr>
          <w:ilvl w:val="1"/>
          <w:numId w:val="9"/>
        </w:numPr>
        <w:spacing w:before="120" w:after="120" w:line="240" w:lineRule="auto"/>
        <w:jc w:val="both"/>
        <w:rPr>
          <w:rFonts w:eastAsia="Times New Roman" w:cstheme="minorHAnsi"/>
        </w:rPr>
      </w:pPr>
      <w:r>
        <w:t>Działania związane z wzajemnym uczeniem się i tworzeniem sieci kontaktów (np. tematyczne grupy robocze, warsztaty peer-to-peer, wzajemne oceny i spotkania dialogowe między badaczami i decydentami, wydarzenia w ramach krajowych obserwatoriów terytorialnych);</w:t>
      </w:r>
    </w:p>
    <w:p w14:paraId="042B260E" w14:textId="77777777" w:rsidR="00586467" w:rsidRPr="00166B24" w:rsidRDefault="007E3F3F" w:rsidP="005561E3">
      <w:pPr>
        <w:pStyle w:val="Akapitzlist"/>
        <w:numPr>
          <w:ilvl w:val="1"/>
          <w:numId w:val="9"/>
        </w:numPr>
        <w:spacing w:before="120" w:after="120" w:line="240" w:lineRule="auto"/>
        <w:jc w:val="both"/>
        <w:rPr>
          <w:rFonts w:eastAsia="Times New Roman"/>
        </w:rPr>
      </w:pPr>
      <w:r>
        <w:t>Wsparcie ad hoc dla decydentów (np. ocena skutków; grupa zadaniowa wspierająca określone procesy polityczne).</w:t>
      </w:r>
    </w:p>
    <w:p w14:paraId="065F903A" w14:textId="77777777" w:rsidR="00CD6225" w:rsidRPr="002F59D9" w:rsidRDefault="00CD6225" w:rsidP="00CD6225">
      <w:pPr>
        <w:pStyle w:val="Akapitzlist"/>
        <w:spacing w:before="120" w:after="120" w:line="240" w:lineRule="auto"/>
        <w:ind w:left="1800"/>
        <w:jc w:val="both"/>
        <w:rPr>
          <w:rFonts w:eastAsia="Times New Roman"/>
        </w:rPr>
      </w:pPr>
    </w:p>
    <w:p w14:paraId="1B2CA9D5" w14:textId="77777777" w:rsidR="00586467" w:rsidRPr="00166B24" w:rsidRDefault="003228D8" w:rsidP="00433039">
      <w:pPr>
        <w:pStyle w:val="Akapitzlist"/>
        <w:numPr>
          <w:ilvl w:val="0"/>
          <w:numId w:val="9"/>
        </w:numPr>
        <w:spacing w:before="120" w:after="120" w:line="240" w:lineRule="auto"/>
        <w:jc w:val="both"/>
        <w:rPr>
          <w:rFonts w:eastAsia="Times New Roman" w:cstheme="minorHAnsi"/>
        </w:rPr>
      </w:pPr>
      <w:r>
        <w:rPr>
          <w:u w:val="single"/>
        </w:rPr>
        <w:t>Usługi w zakresie transferu wiedzy realizowane przez punkty kontaktowe ESPON:</w:t>
      </w:r>
    </w:p>
    <w:p w14:paraId="1B7C2307" w14:textId="77777777" w:rsidR="00F049A2" w:rsidRPr="00166B24" w:rsidRDefault="001C010E" w:rsidP="005561E3">
      <w:pPr>
        <w:pStyle w:val="Akapitzlist"/>
        <w:numPr>
          <w:ilvl w:val="1"/>
          <w:numId w:val="9"/>
        </w:numPr>
        <w:spacing w:before="120" w:after="120" w:line="240" w:lineRule="auto"/>
        <w:jc w:val="both"/>
        <w:rPr>
          <w:rFonts w:eastAsia="Times New Roman" w:cstheme="minorHAnsi"/>
        </w:rPr>
      </w:pPr>
      <w:r>
        <w:t>Krajowe wydarzenia z udziałem zainteresowanych stron; tłumaczenia itp.</w:t>
      </w:r>
    </w:p>
    <w:p w14:paraId="0458846F" w14:textId="631847F1" w:rsidR="00DD5952" w:rsidRPr="00166B24" w:rsidRDefault="00DD5952" w:rsidP="00DD5952">
      <w:pPr>
        <w:spacing w:before="120" w:after="120" w:line="240" w:lineRule="auto"/>
        <w:jc w:val="both"/>
        <w:rPr>
          <w:rFonts w:eastAsia="Times New Roman" w:cstheme="minorHAnsi"/>
        </w:rPr>
      </w:pPr>
      <w:r>
        <w:t xml:space="preserve">Wyżej wymienione działania na rzecz rozwoju wiedzy odpowiadają 100 % </w:t>
      </w:r>
      <w:r w:rsidR="0079666C">
        <w:t xml:space="preserve">alokacji </w:t>
      </w:r>
      <w:r>
        <w:t xml:space="preserve">środków na rozwój wiedzy w programie ESPON 2030. W ten sposób uwzględnia się również finansowanie działań pomocniczych, które nie zostały wymienione w powyższym wykazie, ale które są niezbędne do realizacji wyżej wymienionych działań. </w:t>
      </w:r>
    </w:p>
    <w:p w14:paraId="52DD5557" w14:textId="77777777" w:rsidR="00DD5952" w:rsidRPr="002F59D9" w:rsidRDefault="00DD5952" w:rsidP="00DD5952">
      <w:pPr>
        <w:spacing w:before="120" w:after="120" w:line="240" w:lineRule="auto"/>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854"/>
        <w:gridCol w:w="568"/>
        <w:gridCol w:w="1677"/>
        <w:gridCol w:w="1390"/>
        <w:gridCol w:w="1223"/>
        <w:gridCol w:w="1468"/>
      </w:tblGrid>
      <w:tr w:rsidR="004547C1" w:rsidRPr="00166B24" w14:paraId="182EBBCE" w14:textId="77777777" w:rsidTr="00B72BC3">
        <w:trPr>
          <w:trHeight w:val="836"/>
        </w:trPr>
        <w:tc>
          <w:tcPr>
            <w:tcW w:w="464" w:type="pct"/>
            <w:shd w:val="clear" w:color="auto" w:fill="DEEAF6" w:themeFill="accent1" w:themeFillTint="33"/>
          </w:tcPr>
          <w:p w14:paraId="101FBB3B" w14:textId="77777777" w:rsidR="004547C1" w:rsidRPr="00166B24" w:rsidRDefault="004547C1" w:rsidP="00433039">
            <w:pPr>
              <w:rPr>
                <w:rFonts w:eastAsia="Times New Roman"/>
                <w:b/>
                <w:iCs/>
                <w:sz w:val="16"/>
                <w:szCs w:val="16"/>
              </w:rPr>
            </w:pPr>
            <w:r>
              <w:rPr>
                <w:b/>
                <w:iCs/>
                <w:sz w:val="16"/>
                <w:szCs w:val="16"/>
              </w:rPr>
              <w:t xml:space="preserve">Priorytet </w:t>
            </w:r>
          </w:p>
        </w:tc>
        <w:tc>
          <w:tcPr>
            <w:tcW w:w="1028" w:type="pct"/>
            <w:shd w:val="clear" w:color="auto" w:fill="DEEAF6" w:themeFill="accent1" w:themeFillTint="33"/>
          </w:tcPr>
          <w:p w14:paraId="2C5E8AFF" w14:textId="77777777" w:rsidR="004547C1" w:rsidRPr="00166B24" w:rsidRDefault="004547C1" w:rsidP="00433039">
            <w:pPr>
              <w:rPr>
                <w:rFonts w:eastAsia="Times New Roman"/>
                <w:b/>
                <w:iCs/>
                <w:sz w:val="16"/>
                <w:szCs w:val="16"/>
              </w:rPr>
            </w:pPr>
            <w:r>
              <w:rPr>
                <w:b/>
                <w:iCs/>
                <w:sz w:val="16"/>
                <w:szCs w:val="16"/>
              </w:rPr>
              <w:t>Cel szczegółowy</w:t>
            </w:r>
          </w:p>
        </w:tc>
        <w:tc>
          <w:tcPr>
            <w:tcW w:w="315" w:type="pct"/>
            <w:shd w:val="clear" w:color="auto" w:fill="DEEAF6" w:themeFill="accent1" w:themeFillTint="33"/>
          </w:tcPr>
          <w:p w14:paraId="420713D5" w14:textId="77777777" w:rsidR="004547C1" w:rsidRPr="00166B24" w:rsidRDefault="004547C1" w:rsidP="00433039">
            <w:pPr>
              <w:rPr>
                <w:rFonts w:eastAsia="Times New Roman"/>
                <w:b/>
                <w:iCs/>
                <w:sz w:val="16"/>
                <w:szCs w:val="16"/>
              </w:rPr>
            </w:pPr>
            <w:r>
              <w:rPr>
                <w:b/>
                <w:iCs/>
                <w:sz w:val="16"/>
                <w:szCs w:val="16"/>
              </w:rPr>
              <w:t>ID</w:t>
            </w:r>
          </w:p>
          <w:p w14:paraId="249098E3" w14:textId="77777777" w:rsidR="004547C1" w:rsidRPr="00166B24" w:rsidRDefault="004547C1" w:rsidP="00433039">
            <w:pPr>
              <w:rPr>
                <w:rFonts w:eastAsia="Times New Roman"/>
                <w:b/>
                <w:iCs/>
                <w:sz w:val="16"/>
                <w:szCs w:val="16"/>
              </w:rPr>
            </w:pPr>
            <w:r>
              <w:rPr>
                <w:b/>
                <w:iCs/>
                <w:sz w:val="16"/>
                <w:szCs w:val="16"/>
              </w:rPr>
              <w:t>[5]</w:t>
            </w:r>
          </w:p>
        </w:tc>
        <w:tc>
          <w:tcPr>
            <w:tcW w:w="930" w:type="pct"/>
            <w:shd w:val="clear" w:color="auto" w:fill="DEEAF6" w:themeFill="accent1" w:themeFillTint="33"/>
          </w:tcPr>
          <w:p w14:paraId="5A461361" w14:textId="77777777" w:rsidR="004547C1" w:rsidRPr="00166B24" w:rsidRDefault="004547C1" w:rsidP="00433039">
            <w:pPr>
              <w:rPr>
                <w:rFonts w:eastAsia="Times New Roman"/>
                <w:b/>
                <w:iCs/>
                <w:sz w:val="16"/>
                <w:szCs w:val="16"/>
              </w:rPr>
            </w:pPr>
            <w:r>
              <w:rPr>
                <w:b/>
                <w:iCs/>
                <w:sz w:val="16"/>
                <w:szCs w:val="16"/>
              </w:rPr>
              <w:t xml:space="preserve">Wskaźnik </w:t>
            </w:r>
          </w:p>
        </w:tc>
        <w:tc>
          <w:tcPr>
            <w:tcW w:w="771" w:type="pct"/>
            <w:shd w:val="clear" w:color="auto" w:fill="DEEAF6" w:themeFill="accent1" w:themeFillTint="33"/>
          </w:tcPr>
          <w:p w14:paraId="4D62650D" w14:textId="77777777" w:rsidR="004547C1" w:rsidRPr="00166B24" w:rsidRDefault="004547C1" w:rsidP="00433039">
            <w:pPr>
              <w:rPr>
                <w:rFonts w:eastAsia="Times New Roman"/>
                <w:b/>
                <w:iCs/>
                <w:sz w:val="16"/>
                <w:szCs w:val="16"/>
              </w:rPr>
            </w:pPr>
            <w:r>
              <w:rPr>
                <w:b/>
                <w:iCs/>
                <w:sz w:val="16"/>
                <w:szCs w:val="16"/>
              </w:rPr>
              <w:t>Jednostka miary</w:t>
            </w:r>
          </w:p>
          <w:p w14:paraId="52CB8461" w14:textId="77777777" w:rsidR="004547C1" w:rsidRPr="00166B24" w:rsidRDefault="004547C1" w:rsidP="00433039">
            <w:pPr>
              <w:rPr>
                <w:rFonts w:eastAsia="Times New Roman"/>
                <w:b/>
                <w:iCs/>
                <w:sz w:val="16"/>
                <w:szCs w:val="16"/>
              </w:rPr>
            </w:pPr>
            <w:r>
              <w:rPr>
                <w:b/>
                <w:iCs/>
                <w:sz w:val="16"/>
                <w:szCs w:val="16"/>
              </w:rPr>
              <w:t>[255]</w:t>
            </w:r>
          </w:p>
        </w:tc>
        <w:tc>
          <w:tcPr>
            <w:tcW w:w="678" w:type="pct"/>
            <w:shd w:val="clear" w:color="auto" w:fill="DEEAF6" w:themeFill="accent1" w:themeFillTint="33"/>
          </w:tcPr>
          <w:p w14:paraId="64A26337" w14:textId="77777777" w:rsidR="004547C1" w:rsidRPr="00166B24" w:rsidRDefault="004547C1" w:rsidP="00433039">
            <w:pPr>
              <w:rPr>
                <w:rFonts w:eastAsia="Times New Roman"/>
                <w:b/>
                <w:iCs/>
                <w:sz w:val="16"/>
                <w:szCs w:val="16"/>
              </w:rPr>
            </w:pPr>
            <w:r>
              <w:rPr>
                <w:b/>
                <w:iCs/>
                <w:sz w:val="16"/>
                <w:szCs w:val="16"/>
              </w:rPr>
              <w:t>Kamień milowy (2024)</w:t>
            </w:r>
          </w:p>
          <w:p w14:paraId="44C516FD" w14:textId="77777777" w:rsidR="004547C1" w:rsidRPr="00166B24" w:rsidRDefault="004547C1" w:rsidP="00433039">
            <w:pPr>
              <w:rPr>
                <w:rFonts w:eastAsia="Times New Roman"/>
                <w:b/>
                <w:iCs/>
                <w:sz w:val="16"/>
                <w:szCs w:val="16"/>
              </w:rPr>
            </w:pPr>
            <w:r>
              <w:rPr>
                <w:b/>
                <w:iCs/>
                <w:sz w:val="16"/>
                <w:szCs w:val="16"/>
              </w:rPr>
              <w:t>[200]</w:t>
            </w:r>
          </w:p>
        </w:tc>
        <w:tc>
          <w:tcPr>
            <w:tcW w:w="814" w:type="pct"/>
            <w:shd w:val="clear" w:color="auto" w:fill="DEEAF6" w:themeFill="accent1" w:themeFillTint="33"/>
          </w:tcPr>
          <w:p w14:paraId="580FB1DD" w14:textId="77777777" w:rsidR="004547C1" w:rsidRPr="00166B24" w:rsidRDefault="004547C1" w:rsidP="00433039">
            <w:pPr>
              <w:rPr>
                <w:rFonts w:eastAsia="Times New Roman"/>
                <w:b/>
                <w:iCs/>
                <w:sz w:val="16"/>
                <w:szCs w:val="16"/>
              </w:rPr>
            </w:pPr>
            <w:r>
              <w:rPr>
                <w:b/>
                <w:iCs/>
                <w:sz w:val="16"/>
                <w:szCs w:val="16"/>
              </w:rPr>
              <w:t>Cel końcowy (2029)</w:t>
            </w:r>
          </w:p>
          <w:p w14:paraId="6D274FD6" w14:textId="77777777" w:rsidR="004547C1" w:rsidRPr="00166B24" w:rsidRDefault="004547C1" w:rsidP="00433039">
            <w:pPr>
              <w:rPr>
                <w:rFonts w:eastAsia="Times New Roman"/>
                <w:b/>
                <w:iCs/>
                <w:sz w:val="16"/>
                <w:szCs w:val="16"/>
              </w:rPr>
            </w:pPr>
            <w:r>
              <w:rPr>
                <w:b/>
                <w:iCs/>
                <w:sz w:val="16"/>
                <w:szCs w:val="16"/>
              </w:rPr>
              <w:t>[200]</w:t>
            </w:r>
          </w:p>
        </w:tc>
      </w:tr>
      <w:tr w:rsidR="004547C1" w:rsidRPr="00166B24" w14:paraId="1530B173" w14:textId="77777777" w:rsidTr="7C7B5934">
        <w:trPr>
          <w:trHeight w:val="579"/>
        </w:trPr>
        <w:tc>
          <w:tcPr>
            <w:tcW w:w="464" w:type="pct"/>
          </w:tcPr>
          <w:p w14:paraId="53E79970" w14:textId="77777777" w:rsidR="004547C1" w:rsidRPr="00166B24" w:rsidRDefault="004547C1" w:rsidP="00433039">
            <w:pPr>
              <w:rPr>
                <w:rFonts w:eastAsia="Times New Roman"/>
                <w:iCs/>
                <w:sz w:val="16"/>
                <w:szCs w:val="16"/>
              </w:rPr>
            </w:pPr>
            <w:r>
              <w:rPr>
                <w:sz w:val="16"/>
                <w:szCs w:val="16"/>
              </w:rPr>
              <w:t>1</w:t>
            </w:r>
          </w:p>
        </w:tc>
        <w:tc>
          <w:tcPr>
            <w:tcW w:w="1028" w:type="pct"/>
          </w:tcPr>
          <w:p w14:paraId="76F64217" w14:textId="77777777" w:rsidR="004547C1" w:rsidRPr="00166B24" w:rsidRDefault="004547C1" w:rsidP="00433039">
            <w:pPr>
              <w:rPr>
                <w:rFonts w:eastAsia="Times New Roman"/>
                <w:iCs/>
                <w:sz w:val="16"/>
                <w:szCs w:val="16"/>
              </w:rPr>
            </w:pPr>
            <w:r>
              <w:rPr>
                <w:sz w:val="16"/>
                <w:szCs w:val="16"/>
              </w:rPr>
              <w:t>Cel szczegółowy #6 „Inne działania wspierające lepsze zarządzanie współpracą”</w:t>
            </w:r>
          </w:p>
        </w:tc>
        <w:tc>
          <w:tcPr>
            <w:tcW w:w="315" w:type="pct"/>
          </w:tcPr>
          <w:p w14:paraId="6052557A" w14:textId="77777777" w:rsidR="004547C1" w:rsidRPr="00166B24" w:rsidRDefault="004547C1" w:rsidP="00433039">
            <w:pPr>
              <w:rPr>
                <w:rFonts w:eastAsia="Times New Roman"/>
                <w:iCs/>
                <w:sz w:val="16"/>
                <w:szCs w:val="16"/>
              </w:rPr>
            </w:pPr>
            <w:r>
              <w:rPr>
                <w:iCs/>
                <w:sz w:val="16"/>
                <w:szCs w:val="16"/>
              </w:rPr>
              <w:t>OI01</w:t>
            </w:r>
          </w:p>
        </w:tc>
        <w:tc>
          <w:tcPr>
            <w:tcW w:w="930" w:type="pct"/>
            <w:shd w:val="clear" w:color="auto" w:fill="auto"/>
          </w:tcPr>
          <w:p w14:paraId="51A62387" w14:textId="77777777" w:rsidR="004547C1" w:rsidRPr="00166B24" w:rsidRDefault="004547C1" w:rsidP="00433039">
            <w:pPr>
              <w:rPr>
                <w:sz w:val="16"/>
                <w:szCs w:val="16"/>
              </w:rPr>
            </w:pPr>
            <w:r>
              <w:rPr>
                <w:sz w:val="16"/>
                <w:szCs w:val="16"/>
              </w:rPr>
              <w:t xml:space="preserve">Liczba działań związanych z tworzeniem dowodów </w:t>
            </w:r>
            <w:bookmarkStart w:id="6" w:name="_GoBack"/>
            <w:bookmarkEnd w:id="6"/>
            <w:r>
              <w:rPr>
                <w:sz w:val="16"/>
                <w:szCs w:val="16"/>
              </w:rPr>
              <w:t>terytorialnych</w:t>
            </w:r>
          </w:p>
        </w:tc>
        <w:tc>
          <w:tcPr>
            <w:tcW w:w="771" w:type="pct"/>
          </w:tcPr>
          <w:p w14:paraId="6DADD5B2" w14:textId="77777777" w:rsidR="004547C1" w:rsidRPr="00166B24" w:rsidRDefault="004547C1" w:rsidP="00433039">
            <w:pPr>
              <w:rPr>
                <w:rFonts w:eastAsia="Times New Roman"/>
                <w:iCs/>
                <w:sz w:val="16"/>
                <w:szCs w:val="16"/>
              </w:rPr>
            </w:pPr>
            <w:r>
              <w:rPr>
                <w:sz w:val="16"/>
                <w:szCs w:val="16"/>
              </w:rPr>
              <w:t>Liczba</w:t>
            </w:r>
          </w:p>
        </w:tc>
        <w:tc>
          <w:tcPr>
            <w:tcW w:w="678" w:type="pct"/>
            <w:shd w:val="clear" w:color="auto" w:fill="auto"/>
          </w:tcPr>
          <w:p w14:paraId="40EBFDD5" w14:textId="77777777" w:rsidR="004547C1" w:rsidRPr="00166B24" w:rsidRDefault="009B4559" w:rsidP="00CC7588">
            <w:pPr>
              <w:jc w:val="center"/>
              <w:rPr>
                <w:rFonts w:eastAsia="Times New Roman"/>
                <w:i/>
                <w:iCs/>
                <w:color w:val="000000" w:themeColor="text1"/>
                <w:sz w:val="16"/>
                <w:szCs w:val="16"/>
              </w:rPr>
            </w:pPr>
            <w:r>
              <w:rPr>
                <w:i/>
                <w:color w:val="000000" w:themeColor="text1"/>
                <w:sz w:val="16"/>
                <w:szCs w:val="16"/>
              </w:rPr>
              <w:t>18</w:t>
            </w:r>
          </w:p>
        </w:tc>
        <w:tc>
          <w:tcPr>
            <w:tcW w:w="814" w:type="pct"/>
            <w:shd w:val="clear" w:color="auto" w:fill="auto"/>
          </w:tcPr>
          <w:p w14:paraId="3875AB12" w14:textId="77777777" w:rsidR="00923C40" w:rsidRPr="00166B24" w:rsidRDefault="00CC7588" w:rsidP="00923C40">
            <w:pPr>
              <w:jc w:val="center"/>
              <w:rPr>
                <w:i/>
                <w:color w:val="000000" w:themeColor="text1"/>
                <w:sz w:val="16"/>
                <w:szCs w:val="16"/>
              </w:rPr>
            </w:pPr>
            <w:r>
              <w:rPr>
                <w:i/>
                <w:color w:val="000000" w:themeColor="text1"/>
                <w:sz w:val="16"/>
                <w:szCs w:val="16"/>
              </w:rPr>
              <w:t>105</w:t>
            </w:r>
          </w:p>
        </w:tc>
      </w:tr>
      <w:tr w:rsidR="004547C1" w:rsidRPr="00166B24" w14:paraId="5B5E1A0D" w14:textId="77777777" w:rsidTr="7C7B5934">
        <w:trPr>
          <w:trHeight w:val="579"/>
        </w:trPr>
        <w:tc>
          <w:tcPr>
            <w:tcW w:w="464" w:type="pct"/>
          </w:tcPr>
          <w:p w14:paraId="08144F70" w14:textId="77777777" w:rsidR="004547C1" w:rsidRPr="00166B24" w:rsidRDefault="004547C1" w:rsidP="00433039">
            <w:pPr>
              <w:rPr>
                <w:sz w:val="16"/>
                <w:szCs w:val="16"/>
              </w:rPr>
            </w:pPr>
            <w:r>
              <w:rPr>
                <w:sz w:val="16"/>
                <w:szCs w:val="16"/>
              </w:rPr>
              <w:t>1</w:t>
            </w:r>
          </w:p>
        </w:tc>
        <w:tc>
          <w:tcPr>
            <w:tcW w:w="1028" w:type="pct"/>
          </w:tcPr>
          <w:p w14:paraId="0E383A2E" w14:textId="77777777" w:rsidR="004547C1" w:rsidRPr="00166B24" w:rsidRDefault="004547C1" w:rsidP="00433039">
            <w:pPr>
              <w:rPr>
                <w:sz w:val="16"/>
                <w:szCs w:val="16"/>
              </w:rPr>
            </w:pPr>
            <w:r>
              <w:rPr>
                <w:sz w:val="16"/>
                <w:szCs w:val="16"/>
              </w:rPr>
              <w:t>Cel szczegółowy #6 „Inne działania wspierające lepsze zarządzanie współpracą”</w:t>
            </w:r>
          </w:p>
        </w:tc>
        <w:tc>
          <w:tcPr>
            <w:tcW w:w="315" w:type="pct"/>
          </w:tcPr>
          <w:p w14:paraId="1E1CBCEC" w14:textId="77777777" w:rsidR="004547C1" w:rsidRPr="00166B24" w:rsidRDefault="004547C1" w:rsidP="00433039">
            <w:pPr>
              <w:rPr>
                <w:rFonts w:eastAsia="Times New Roman"/>
                <w:iCs/>
                <w:sz w:val="16"/>
                <w:szCs w:val="16"/>
              </w:rPr>
            </w:pPr>
            <w:r>
              <w:rPr>
                <w:iCs/>
                <w:sz w:val="16"/>
                <w:szCs w:val="16"/>
              </w:rPr>
              <w:t>OI02</w:t>
            </w:r>
          </w:p>
        </w:tc>
        <w:tc>
          <w:tcPr>
            <w:tcW w:w="930" w:type="pct"/>
            <w:shd w:val="clear" w:color="auto" w:fill="auto"/>
          </w:tcPr>
          <w:p w14:paraId="4F8864C7" w14:textId="77777777" w:rsidR="004547C1" w:rsidRPr="00166B24" w:rsidRDefault="004547C1" w:rsidP="00433039">
            <w:pPr>
              <w:rPr>
                <w:sz w:val="16"/>
                <w:szCs w:val="16"/>
              </w:rPr>
            </w:pPr>
            <w:r>
              <w:rPr>
                <w:sz w:val="16"/>
                <w:szCs w:val="16"/>
              </w:rPr>
              <w:t>Liczba działań w zakresie rozwoju wiedzy</w:t>
            </w:r>
          </w:p>
        </w:tc>
        <w:tc>
          <w:tcPr>
            <w:tcW w:w="771" w:type="pct"/>
          </w:tcPr>
          <w:p w14:paraId="3E8F053A" w14:textId="77777777" w:rsidR="004547C1" w:rsidRPr="00166B24" w:rsidRDefault="004547C1" w:rsidP="00433039">
            <w:pPr>
              <w:rPr>
                <w:sz w:val="16"/>
                <w:szCs w:val="16"/>
              </w:rPr>
            </w:pPr>
            <w:r>
              <w:rPr>
                <w:sz w:val="16"/>
                <w:szCs w:val="16"/>
              </w:rPr>
              <w:t>Liczba</w:t>
            </w:r>
          </w:p>
        </w:tc>
        <w:tc>
          <w:tcPr>
            <w:tcW w:w="678" w:type="pct"/>
            <w:shd w:val="clear" w:color="auto" w:fill="auto"/>
          </w:tcPr>
          <w:p w14:paraId="0FC8613C" w14:textId="77777777" w:rsidR="004547C1" w:rsidRPr="00166B24" w:rsidRDefault="00982E6B" w:rsidP="00E00B7D">
            <w:pPr>
              <w:jc w:val="center"/>
              <w:rPr>
                <w:i/>
                <w:color w:val="000000" w:themeColor="text1"/>
                <w:sz w:val="16"/>
                <w:szCs w:val="16"/>
              </w:rPr>
            </w:pPr>
            <w:r>
              <w:rPr>
                <w:i/>
                <w:color w:val="000000" w:themeColor="text1"/>
                <w:sz w:val="16"/>
                <w:szCs w:val="16"/>
              </w:rPr>
              <w:t>20</w:t>
            </w:r>
          </w:p>
        </w:tc>
        <w:tc>
          <w:tcPr>
            <w:tcW w:w="814" w:type="pct"/>
            <w:shd w:val="clear" w:color="auto" w:fill="auto"/>
          </w:tcPr>
          <w:p w14:paraId="1546E223" w14:textId="77777777" w:rsidR="004547C1" w:rsidRPr="00166B24" w:rsidRDefault="00AF336D" w:rsidP="00982E6B">
            <w:pPr>
              <w:jc w:val="center"/>
              <w:rPr>
                <w:i/>
                <w:color w:val="000000" w:themeColor="text1"/>
                <w:sz w:val="16"/>
                <w:szCs w:val="16"/>
              </w:rPr>
            </w:pPr>
            <w:r>
              <w:rPr>
                <w:i/>
                <w:color w:val="000000" w:themeColor="text1"/>
                <w:sz w:val="16"/>
                <w:szCs w:val="16"/>
              </w:rPr>
              <w:t>150</w:t>
            </w:r>
          </w:p>
        </w:tc>
      </w:tr>
    </w:tbl>
    <w:p w14:paraId="441A4D8C" w14:textId="77777777" w:rsidR="0094577C" w:rsidRPr="00166B24" w:rsidRDefault="0094577C" w:rsidP="00FE5447">
      <w:pPr>
        <w:rPr>
          <w:lang w:val="en-GB"/>
        </w:rPr>
      </w:pPr>
    </w:p>
    <w:p w14:paraId="401DD21F" w14:textId="77777777" w:rsidR="004547C1" w:rsidRPr="00166B24" w:rsidRDefault="001558B9" w:rsidP="00B9759F">
      <w:pPr>
        <w:pStyle w:val="Nagwek2"/>
      </w:pPr>
      <w:bookmarkStart w:id="7" w:name="_Toc79480464"/>
      <w:r>
        <w:t>Definicja wskaźników rezultatu</w:t>
      </w:r>
      <w:bookmarkEnd w:id="7"/>
    </w:p>
    <w:p w14:paraId="5312B611" w14:textId="798AC8A1" w:rsidR="004547C1" w:rsidRPr="00166B24" w:rsidRDefault="004547C1" w:rsidP="004547C1">
      <w:pPr>
        <w:spacing w:before="120" w:after="120" w:line="240" w:lineRule="auto"/>
        <w:jc w:val="both"/>
      </w:pPr>
      <w:r>
        <w:t>Jeśli chodzi o definicję wskaźników rezultatu, ESPON wykorzystał zestaw kryteriów do opracowania takich wskaźników przeznaczonych dla wszystkich programów Interreg. Dobry wskaźnik rezultatu powinien być adekwatny (zapewniający powiązanie z celem szczegółowym lub celem programu), mierzalny, łatwy do monitorowania, bezstronny, solidny</w:t>
      </w:r>
      <w:r w:rsidR="009945CF">
        <w:t xml:space="preserve"> </w:t>
      </w:r>
      <w:r>
        <w:t xml:space="preserve">i porównywalny. Zalecenia te są również brane pod uwagę dla Programu ESPON. </w:t>
      </w:r>
    </w:p>
    <w:p w14:paraId="0FDF9CF8" w14:textId="77777777" w:rsidR="005D69BE" w:rsidRPr="00166B24" w:rsidRDefault="004547C1" w:rsidP="005D69BE">
      <w:pPr>
        <w:spacing w:before="120" w:after="120" w:line="240" w:lineRule="auto"/>
        <w:jc w:val="both"/>
        <w:rPr>
          <w:rFonts w:eastAsia="Times New Roman"/>
        </w:rPr>
      </w:pPr>
      <w:r>
        <w:t xml:space="preserve">Wniosek dotyczący </w:t>
      </w:r>
      <w:r>
        <w:rPr>
          <w:b/>
        </w:rPr>
        <w:t>wskaźników rezultatu</w:t>
      </w:r>
      <w:r>
        <w:t xml:space="preserve">, jak uzasadniono powyżej, powinien być powiązany z "częścią promocyjną" dowodów ESPON, ponieważ działanie to ma bezpośrednio na celu pomoc </w:t>
      </w:r>
      <w:r>
        <w:lastRenderedPageBreak/>
        <w:t xml:space="preserve">osobom odpowiedzialnym i decydentom w interpretacji, przyswajaniu i stosowaniu dowodów w konkretnych kontekstach terytorialnych. Działania w zakresie rozwoju wiedzy mają na celu przekształcenie uzyskanych dowodów w wiedzę dla zainteresowanych stron zaangażowanych w politykę. </w:t>
      </w:r>
    </w:p>
    <w:p w14:paraId="10959410" w14:textId="34C084E6" w:rsidR="005D69BE" w:rsidRPr="00166B24" w:rsidRDefault="004547C1" w:rsidP="005D69BE">
      <w:pPr>
        <w:spacing w:before="120" w:after="120" w:line="240" w:lineRule="auto"/>
        <w:jc w:val="both"/>
        <w:rPr>
          <w:rFonts w:eastAsia="Times New Roman"/>
        </w:rPr>
      </w:pPr>
      <w:r>
        <w:t xml:space="preserve">Zgodnie z tą logiką działania ESPON w ramach promowania dowodów terytorialnych mają na celu zachęcenie decydentów i ich organizacji do zaangażowania się w działania związane z rozwojem wiedzy oraz do uczenia się/nabywania wiedzy w wyniku tego uczestnictwa. Oznacza to, że dowiadują się oni o dowodach ESPON i są w stanie potencjalnie wykorzystać je w swojej codziennej pracy. </w:t>
      </w:r>
    </w:p>
    <w:p w14:paraId="555DE59B" w14:textId="77777777" w:rsidR="005D69BE" w:rsidRPr="00166B24" w:rsidRDefault="005D69BE" w:rsidP="004547C1">
      <w:pPr>
        <w:spacing w:before="120" w:after="120" w:line="240" w:lineRule="auto"/>
        <w:jc w:val="both"/>
        <w:rPr>
          <w:rFonts w:eastAsia="Times New Roman"/>
        </w:rPr>
      </w:pPr>
      <w:r>
        <w:t xml:space="preserve">Aby uchwycić te docelowe wyniki w kategoriach ilościowych, dostępne były dwie opcje: </w:t>
      </w:r>
    </w:p>
    <w:p w14:paraId="0E3E4334" w14:textId="77777777" w:rsidR="005D69BE" w:rsidRPr="00166B24" w:rsidRDefault="005D69BE" w:rsidP="005D69BE">
      <w:pPr>
        <w:pStyle w:val="Akapitzlist"/>
        <w:numPr>
          <w:ilvl w:val="0"/>
          <w:numId w:val="9"/>
        </w:numPr>
        <w:spacing w:before="120" w:after="120" w:line="240" w:lineRule="auto"/>
        <w:jc w:val="both"/>
        <w:rPr>
          <w:rFonts w:eastAsia="Times New Roman"/>
        </w:rPr>
      </w:pPr>
      <w:r>
        <w:t>Rzeczywiste wykorzystanie opracowanych i dostarczonych dowodów</w:t>
      </w:r>
      <w:r w:rsidR="004369E6" w:rsidRPr="00166B24">
        <w:rPr>
          <w:rStyle w:val="Odwoanieprzypisudolnego"/>
          <w:rFonts w:eastAsia="Times New Roman"/>
          <w:lang w:val="en-GB"/>
        </w:rPr>
        <w:footnoteReference w:id="5"/>
      </w:r>
      <w:r>
        <w:t xml:space="preserve">; </w:t>
      </w:r>
    </w:p>
    <w:p w14:paraId="05A4D7D8" w14:textId="77777777" w:rsidR="005D69BE" w:rsidRPr="00166B24" w:rsidRDefault="005D69BE" w:rsidP="005D69BE">
      <w:pPr>
        <w:pStyle w:val="Akapitzlist"/>
        <w:numPr>
          <w:ilvl w:val="0"/>
          <w:numId w:val="9"/>
        </w:numPr>
        <w:spacing w:before="120" w:after="120" w:line="240" w:lineRule="auto"/>
        <w:jc w:val="both"/>
        <w:rPr>
          <w:rFonts w:eastAsia="Times New Roman"/>
        </w:rPr>
      </w:pPr>
      <w:r>
        <w:t xml:space="preserve">„Absorpcja" i "użyteczność" wytworzonych i dostarczonych dowodów. </w:t>
      </w:r>
    </w:p>
    <w:p w14:paraId="1FF9248E" w14:textId="77777777" w:rsidR="004547C1" w:rsidRPr="00166B24" w:rsidRDefault="005D69BE" w:rsidP="004547C1">
      <w:pPr>
        <w:spacing w:before="120" w:after="120" w:line="240" w:lineRule="auto"/>
        <w:jc w:val="both"/>
        <w:rPr>
          <w:rFonts w:eastAsia="Times New Roman"/>
        </w:rPr>
      </w:pPr>
      <w:r>
        <w:t xml:space="preserve">W odniesieniu do pierwszego wariantu, czyli wykorzystania wytworzonych i dostarczonych dowodów, dotychczasowe doświadczenia (wskaźniki programu ESPON 2013) wyraźnie wskazywały, że faktycznego wykorzystania nie można zmierzyć ani prześledzić, ponieważ żadna zainteresowana strona nie jest w stanie zobowiązać się do informowania o faktycznym wykorzystaniu, natomiast wyniki ESPON są często wykorzystywane jako informacje ogólne i nie można ich zidentyfikować w procesie kształtowania polityki. </w:t>
      </w:r>
    </w:p>
    <w:p w14:paraId="33FC2012" w14:textId="77777777" w:rsidR="002D24F4" w:rsidRPr="00166B24" w:rsidRDefault="00201724" w:rsidP="00412D7A">
      <w:pPr>
        <w:jc w:val="both"/>
      </w:pPr>
      <w:r>
        <w:t xml:space="preserve">Z tego powodu program ESPON 2030 koncentruje się na zdobywaniu wiedzy przez decydentów politycznych i organizacje poprzez uczestnictwo w działaniach ESPON (uznając jednak, że zgodnie ze ścisłą interpretacją metodologii ewaluacji stanowi to raczej wskaźnik wpływu w kontekście programu ESPON) i wymaga zadeklarowanego zamiaru potencjalnego wykorzystania zdobytej wiedzy, jako wskaźnika przydatności dla celów organizacji. Powiązanie ze wskaźnikami wyjściowymi jest zapewnione przez fakt, że działania związane z tworzeniem dowodów i rozwojem wiedzy mają na celu zwrócenie uwagi uczestniczących decydentów i ich organizacji, ponieważ są dostosowane do ich potrzeb. </w:t>
      </w:r>
    </w:p>
    <w:p w14:paraId="6A672D20" w14:textId="77777777" w:rsidR="007E3F3F" w:rsidRPr="00166B24" w:rsidRDefault="007E3F3F" w:rsidP="00412D7A">
      <w:pPr>
        <w:jc w:val="both"/>
      </w:pPr>
      <w:r>
        <w:t xml:space="preserve">Powyższe działania (wraz z infrastrukturą niezbędną do ich realizacji) stanowią 100% budżetu działań związanych z rozwojem wiedzy. </w:t>
      </w:r>
    </w:p>
    <w:p w14:paraId="133B159F" w14:textId="77777777" w:rsidR="002D24F4" w:rsidRPr="00166B24" w:rsidRDefault="002D24F4" w:rsidP="00412D7A">
      <w:pPr>
        <w:jc w:val="both"/>
      </w:pPr>
      <w:r>
        <w:t xml:space="preserve">Na podstawie powyższego proponujemy następujący zestaw wskaźników: </w:t>
      </w:r>
    </w:p>
    <w:tbl>
      <w:tblPr>
        <w:tblStyle w:val="Tabela-Siatka"/>
        <w:tblW w:w="9067" w:type="dxa"/>
        <w:tblLook w:val="04A0" w:firstRow="1" w:lastRow="0" w:firstColumn="1" w:lastColumn="0" w:noHBand="0" w:noVBand="1"/>
        <w:tblCaption w:val="Zestaw wzkaźników"/>
      </w:tblPr>
      <w:tblGrid>
        <w:gridCol w:w="1271"/>
        <w:gridCol w:w="1462"/>
        <w:gridCol w:w="3074"/>
        <w:gridCol w:w="3260"/>
      </w:tblGrid>
      <w:tr w:rsidR="006266C0" w:rsidRPr="00166B24" w14:paraId="0D29AF44" w14:textId="77777777" w:rsidTr="00E91B53">
        <w:trPr>
          <w:trHeight w:val="387"/>
          <w:tblHeader/>
        </w:trPr>
        <w:tc>
          <w:tcPr>
            <w:tcW w:w="1271" w:type="dxa"/>
            <w:shd w:val="clear" w:color="auto" w:fill="D9D9D9" w:themeFill="background1" w:themeFillShade="D9"/>
            <w:vAlign w:val="center"/>
          </w:tcPr>
          <w:p w14:paraId="5CB924F0" w14:textId="77777777" w:rsidR="002D24F4" w:rsidRPr="00166B24" w:rsidRDefault="002D24F4" w:rsidP="000C22C7">
            <w:pPr>
              <w:tabs>
                <w:tab w:val="center" w:pos="4536"/>
                <w:tab w:val="right" w:pos="9072"/>
              </w:tabs>
              <w:spacing w:before="120" w:after="120"/>
              <w:jc w:val="center"/>
              <w:rPr>
                <w:rFonts w:cstheme="minorHAnsi"/>
                <w:b/>
                <w:sz w:val="16"/>
                <w:szCs w:val="16"/>
              </w:rPr>
            </w:pPr>
            <w:r>
              <w:rPr>
                <w:b/>
                <w:sz w:val="16"/>
                <w:szCs w:val="16"/>
              </w:rPr>
              <w:t>Cel polityki</w:t>
            </w:r>
          </w:p>
        </w:tc>
        <w:tc>
          <w:tcPr>
            <w:tcW w:w="1462" w:type="dxa"/>
            <w:shd w:val="clear" w:color="auto" w:fill="D9D9D9" w:themeFill="background1" w:themeFillShade="D9"/>
            <w:vAlign w:val="center"/>
          </w:tcPr>
          <w:p w14:paraId="45CB0386" w14:textId="77777777" w:rsidR="002D24F4" w:rsidRPr="00166B24" w:rsidRDefault="002D24F4" w:rsidP="000C22C7">
            <w:pPr>
              <w:tabs>
                <w:tab w:val="center" w:pos="4536"/>
                <w:tab w:val="right" w:pos="9072"/>
              </w:tabs>
              <w:spacing w:before="120" w:after="120"/>
              <w:jc w:val="center"/>
              <w:rPr>
                <w:rFonts w:cstheme="minorHAnsi"/>
                <w:b/>
                <w:sz w:val="16"/>
                <w:szCs w:val="16"/>
              </w:rPr>
            </w:pPr>
            <w:r>
              <w:rPr>
                <w:b/>
                <w:sz w:val="16"/>
                <w:szCs w:val="16"/>
              </w:rPr>
              <w:t>Cel szczegółowy</w:t>
            </w:r>
          </w:p>
        </w:tc>
        <w:tc>
          <w:tcPr>
            <w:tcW w:w="3074" w:type="dxa"/>
            <w:shd w:val="clear" w:color="auto" w:fill="D9D9D9" w:themeFill="background1" w:themeFillShade="D9"/>
            <w:vAlign w:val="center"/>
          </w:tcPr>
          <w:p w14:paraId="1852FA95" w14:textId="5C3FAFD0" w:rsidR="002D24F4" w:rsidRPr="00166B24" w:rsidRDefault="002D24F4" w:rsidP="000C22C7">
            <w:pPr>
              <w:tabs>
                <w:tab w:val="center" w:pos="4536"/>
                <w:tab w:val="right" w:pos="9072"/>
              </w:tabs>
              <w:spacing w:before="120" w:after="120"/>
              <w:jc w:val="center"/>
              <w:rPr>
                <w:rFonts w:cstheme="minorHAnsi"/>
                <w:b/>
                <w:sz w:val="16"/>
                <w:szCs w:val="16"/>
              </w:rPr>
            </w:pPr>
            <w:r>
              <w:rPr>
                <w:b/>
                <w:sz w:val="16"/>
                <w:szCs w:val="16"/>
              </w:rPr>
              <w:t xml:space="preserve">Wskaźniki </w:t>
            </w:r>
            <w:r w:rsidR="00BD01B5">
              <w:rPr>
                <w:b/>
                <w:sz w:val="16"/>
                <w:szCs w:val="16"/>
              </w:rPr>
              <w:t>bazowe</w:t>
            </w:r>
          </w:p>
        </w:tc>
        <w:tc>
          <w:tcPr>
            <w:tcW w:w="3260" w:type="dxa"/>
            <w:shd w:val="clear" w:color="auto" w:fill="D9D9D9" w:themeFill="background1" w:themeFillShade="D9"/>
            <w:vAlign w:val="center"/>
          </w:tcPr>
          <w:p w14:paraId="4263E3DF" w14:textId="77777777" w:rsidR="002D24F4" w:rsidRPr="00166B24" w:rsidRDefault="002D24F4" w:rsidP="000C22C7">
            <w:pPr>
              <w:tabs>
                <w:tab w:val="center" w:pos="4536"/>
                <w:tab w:val="right" w:pos="9072"/>
              </w:tabs>
              <w:spacing w:before="120" w:after="120"/>
              <w:jc w:val="center"/>
              <w:rPr>
                <w:rFonts w:cstheme="minorHAnsi"/>
                <w:b/>
                <w:sz w:val="16"/>
                <w:szCs w:val="16"/>
              </w:rPr>
            </w:pPr>
            <w:r>
              <w:rPr>
                <w:b/>
                <w:sz w:val="16"/>
                <w:szCs w:val="16"/>
              </w:rPr>
              <w:t>Wskaźniki rezultatu</w:t>
            </w:r>
          </w:p>
        </w:tc>
      </w:tr>
      <w:tr w:rsidR="006266C0" w:rsidRPr="00166B24" w14:paraId="5AA84E40" w14:textId="77777777" w:rsidTr="00E91B53">
        <w:trPr>
          <w:trHeight w:val="1717"/>
        </w:trPr>
        <w:tc>
          <w:tcPr>
            <w:tcW w:w="1271" w:type="dxa"/>
          </w:tcPr>
          <w:p w14:paraId="13358199" w14:textId="77777777" w:rsidR="002D24F4" w:rsidRPr="00166B24" w:rsidRDefault="002D24F4">
            <w:pPr>
              <w:tabs>
                <w:tab w:val="center" w:pos="4536"/>
                <w:tab w:val="right" w:pos="9072"/>
              </w:tabs>
              <w:spacing w:before="120" w:after="120"/>
              <w:rPr>
                <w:rFonts w:cstheme="minorHAnsi"/>
                <w:sz w:val="16"/>
                <w:szCs w:val="16"/>
              </w:rPr>
            </w:pPr>
            <w:r>
              <w:rPr>
                <w:sz w:val="16"/>
                <w:szCs w:val="16"/>
              </w:rPr>
              <w:t>Cel polityki ESPON: Inne działania wspierające lepsze zarządzanie współpracą</w:t>
            </w:r>
          </w:p>
        </w:tc>
        <w:tc>
          <w:tcPr>
            <w:tcW w:w="1462" w:type="dxa"/>
          </w:tcPr>
          <w:p w14:paraId="06B97F69" w14:textId="77777777" w:rsidR="002D24F4" w:rsidRPr="00166B24" w:rsidRDefault="002D24F4" w:rsidP="000C22C7">
            <w:pPr>
              <w:tabs>
                <w:tab w:val="center" w:pos="4536"/>
                <w:tab w:val="right" w:pos="9072"/>
              </w:tabs>
              <w:spacing w:before="120" w:after="120"/>
              <w:rPr>
                <w:rFonts w:cstheme="minorHAnsi"/>
                <w:sz w:val="16"/>
                <w:szCs w:val="16"/>
              </w:rPr>
            </w:pPr>
            <w:r>
              <w:rPr>
                <w:sz w:val="16"/>
                <w:szCs w:val="16"/>
              </w:rPr>
              <w:t xml:space="preserve">Wzmocnienie zdolności instytucjonalnych na rzecz skuteczniejszej polityki rozwoju regionalnego </w:t>
            </w:r>
          </w:p>
        </w:tc>
        <w:tc>
          <w:tcPr>
            <w:tcW w:w="3074" w:type="dxa"/>
          </w:tcPr>
          <w:p w14:paraId="155994CC" w14:textId="77777777" w:rsidR="002D24F4" w:rsidRPr="00166B24" w:rsidRDefault="00405AA0" w:rsidP="000C22C7">
            <w:pPr>
              <w:tabs>
                <w:tab w:val="center" w:pos="4536"/>
                <w:tab w:val="right" w:pos="9072"/>
              </w:tabs>
              <w:spacing w:before="120" w:after="120"/>
              <w:rPr>
                <w:rFonts w:cstheme="minorHAnsi"/>
                <w:sz w:val="16"/>
                <w:szCs w:val="16"/>
              </w:rPr>
            </w:pPr>
            <w:r>
              <w:rPr>
                <w:b/>
                <w:sz w:val="16"/>
                <w:szCs w:val="16"/>
              </w:rPr>
              <w:t>OI01: Liczba działań związanych z tworzeniem dowodów terytorialnych</w:t>
            </w:r>
          </w:p>
          <w:p w14:paraId="28AE0BAF" w14:textId="77777777" w:rsidR="002D24F4" w:rsidRPr="002F59D9" w:rsidRDefault="002D24F4" w:rsidP="000C22C7">
            <w:pPr>
              <w:tabs>
                <w:tab w:val="center" w:pos="4536"/>
                <w:tab w:val="right" w:pos="9072"/>
              </w:tabs>
              <w:spacing w:before="120" w:after="120"/>
              <w:rPr>
                <w:rFonts w:cstheme="minorHAnsi"/>
                <w:b/>
                <w:sz w:val="16"/>
                <w:szCs w:val="16"/>
              </w:rPr>
            </w:pPr>
          </w:p>
          <w:p w14:paraId="38030D8B" w14:textId="77777777" w:rsidR="002D24F4" w:rsidRPr="00166B24" w:rsidRDefault="00405AA0">
            <w:pPr>
              <w:tabs>
                <w:tab w:val="center" w:pos="4536"/>
                <w:tab w:val="right" w:pos="9072"/>
              </w:tabs>
              <w:spacing w:before="120" w:after="120"/>
              <w:rPr>
                <w:rFonts w:cstheme="minorHAnsi"/>
                <w:b/>
                <w:sz w:val="16"/>
                <w:szCs w:val="16"/>
              </w:rPr>
            </w:pPr>
            <w:r>
              <w:rPr>
                <w:b/>
                <w:sz w:val="16"/>
                <w:szCs w:val="16"/>
              </w:rPr>
              <w:t>OI02:  Liczba działań w zakresie rozwoju wiedzy</w:t>
            </w:r>
          </w:p>
        </w:tc>
        <w:tc>
          <w:tcPr>
            <w:tcW w:w="3260" w:type="dxa"/>
          </w:tcPr>
          <w:p w14:paraId="682B6695" w14:textId="77777777" w:rsidR="002D24F4" w:rsidRPr="00166B24" w:rsidRDefault="002D24F4" w:rsidP="000C22C7">
            <w:pPr>
              <w:tabs>
                <w:tab w:val="center" w:pos="4536"/>
                <w:tab w:val="right" w:pos="9072"/>
              </w:tabs>
              <w:spacing w:before="120" w:after="120"/>
              <w:rPr>
                <w:rFonts w:cstheme="minorHAnsi"/>
                <w:b/>
                <w:sz w:val="16"/>
                <w:szCs w:val="16"/>
              </w:rPr>
            </w:pPr>
            <w:r>
              <w:rPr>
                <w:b/>
                <w:sz w:val="16"/>
                <w:szCs w:val="16"/>
              </w:rPr>
              <w:t>RI01: Uczestnicy o zwiększonym potencjale dzięki uczestnictwu w działaniach ESPON</w:t>
            </w:r>
          </w:p>
          <w:p w14:paraId="640B6135" w14:textId="77777777" w:rsidR="002D24F4" w:rsidRPr="002F59D9" w:rsidRDefault="002D24F4" w:rsidP="000C22C7">
            <w:pPr>
              <w:tabs>
                <w:tab w:val="center" w:pos="4536"/>
                <w:tab w:val="right" w:pos="9072"/>
              </w:tabs>
              <w:spacing w:before="120" w:after="120"/>
              <w:rPr>
                <w:rFonts w:cstheme="minorHAnsi"/>
                <w:b/>
                <w:sz w:val="16"/>
                <w:szCs w:val="16"/>
              </w:rPr>
            </w:pPr>
          </w:p>
          <w:p w14:paraId="239D0A7E" w14:textId="77777777" w:rsidR="002D24F4" w:rsidRPr="00166B24" w:rsidRDefault="002D24F4" w:rsidP="00AC5DFA">
            <w:pPr>
              <w:tabs>
                <w:tab w:val="center" w:pos="4536"/>
                <w:tab w:val="right" w:pos="9072"/>
              </w:tabs>
              <w:spacing w:before="120" w:after="120"/>
              <w:rPr>
                <w:rFonts w:cstheme="minorHAnsi"/>
                <w:b/>
                <w:sz w:val="16"/>
                <w:szCs w:val="16"/>
              </w:rPr>
            </w:pPr>
            <w:r>
              <w:rPr>
                <w:b/>
                <w:sz w:val="16"/>
                <w:szCs w:val="16"/>
              </w:rPr>
              <w:t>RI02: Uczestnicy wskazujący na potencjalne wykorzystanie wiedzy ESPON w swoich organizacjach</w:t>
            </w:r>
          </w:p>
        </w:tc>
      </w:tr>
    </w:tbl>
    <w:p w14:paraId="05CEDC39" w14:textId="77777777" w:rsidR="002D24F4" w:rsidRPr="002F59D9" w:rsidRDefault="002D24F4" w:rsidP="00412D7A">
      <w:pPr>
        <w:jc w:val="both"/>
      </w:pPr>
    </w:p>
    <w:p w14:paraId="6BE32A8E" w14:textId="77777777" w:rsidR="00BD5333" w:rsidRPr="00166B24" w:rsidRDefault="00BD5333" w:rsidP="00CD6225">
      <w:pPr>
        <w:jc w:val="both"/>
        <w:rPr>
          <w:rFonts w:eastAsia="Times New Roman" w:cstheme="minorHAnsi"/>
          <w:b/>
        </w:rPr>
      </w:pPr>
      <w:r>
        <w:rPr>
          <w:b/>
        </w:rPr>
        <w:t>Definicja wskaźników:</w:t>
      </w:r>
    </w:p>
    <w:p w14:paraId="04E47E1A" w14:textId="77777777" w:rsidR="00BD5333" w:rsidRPr="00166B24" w:rsidRDefault="00BD5333" w:rsidP="00BD5333">
      <w:pPr>
        <w:spacing w:before="120" w:after="120" w:line="240" w:lineRule="auto"/>
        <w:jc w:val="both"/>
        <w:rPr>
          <w:rFonts w:eastAsia="Times New Roman"/>
        </w:rPr>
      </w:pPr>
      <w:r>
        <w:lastRenderedPageBreak/>
        <w:t>Wskaźniki rezultatu odnoszą się do skuteczności systemu transferu wiedzy ESPON i użyteczności wytworzonych dowodów.</w:t>
      </w:r>
    </w:p>
    <w:p w14:paraId="4CC6704E" w14:textId="77777777" w:rsidR="00892C0B" w:rsidRPr="00166B24" w:rsidRDefault="00BD5333" w:rsidP="00F07378">
      <w:pPr>
        <w:spacing w:before="120" w:after="120" w:line="240" w:lineRule="auto"/>
        <w:jc w:val="both"/>
        <w:rPr>
          <w:rFonts w:eastAsia="Times New Roman"/>
        </w:rPr>
      </w:pPr>
      <w:r>
        <w:t>Podczas gdy wartość docelowa może być oszacowana na podstawie danych historycznych programu, wartość bazowa będzie wynosiła 0. Wynika to z faktu, że wskaźnik rezultatu nie mierzy zmiany (jako "wzrost" lub "spadek"), ale określa ilościowo wkład do hipotetycznej zmiany.</w:t>
      </w:r>
    </w:p>
    <w:p w14:paraId="73CF3766" w14:textId="77777777" w:rsidR="00996084" w:rsidRPr="00166B24" w:rsidRDefault="00996084" w:rsidP="00D20558">
      <w:pPr>
        <w:spacing w:before="120" w:after="120" w:line="240" w:lineRule="auto"/>
        <w:jc w:val="both"/>
        <w:rPr>
          <w:rFonts w:eastAsia="Times New Roman"/>
        </w:rPr>
      </w:pPr>
      <w:r>
        <w:t xml:space="preserve">Wskaźniki rezultatu będą następujące: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416"/>
        <w:gridCol w:w="566"/>
        <w:gridCol w:w="1461"/>
        <w:gridCol w:w="1107"/>
        <w:gridCol w:w="552"/>
        <w:gridCol w:w="849"/>
        <w:gridCol w:w="821"/>
        <w:gridCol w:w="1398"/>
      </w:tblGrid>
      <w:tr w:rsidR="00E91B53" w:rsidRPr="00166B24" w14:paraId="7F9393C9" w14:textId="77777777" w:rsidTr="0049345B">
        <w:trPr>
          <w:trHeight w:val="699"/>
        </w:trPr>
        <w:tc>
          <w:tcPr>
            <w:tcW w:w="470" w:type="pct"/>
            <w:shd w:val="clear" w:color="auto" w:fill="DEEAF6" w:themeFill="accent1" w:themeFillTint="33"/>
          </w:tcPr>
          <w:p w14:paraId="6F8D46CD" w14:textId="77777777" w:rsidR="00BD5333" w:rsidRPr="00166B24" w:rsidRDefault="00BD5333" w:rsidP="00433039">
            <w:pPr>
              <w:rPr>
                <w:rFonts w:eastAsia="Times New Roman"/>
                <w:b/>
                <w:iCs/>
                <w:sz w:val="16"/>
                <w:szCs w:val="16"/>
              </w:rPr>
            </w:pPr>
            <w:r>
              <w:rPr>
                <w:b/>
                <w:iCs/>
                <w:sz w:val="16"/>
                <w:szCs w:val="16"/>
              </w:rPr>
              <w:t xml:space="preserve">Priorytet </w:t>
            </w:r>
          </w:p>
        </w:tc>
        <w:tc>
          <w:tcPr>
            <w:tcW w:w="785" w:type="pct"/>
            <w:shd w:val="clear" w:color="auto" w:fill="DEEAF6" w:themeFill="accent1" w:themeFillTint="33"/>
          </w:tcPr>
          <w:p w14:paraId="19E22554" w14:textId="77777777" w:rsidR="00BD5333" w:rsidRPr="00166B24" w:rsidRDefault="00BD5333" w:rsidP="00433039">
            <w:pPr>
              <w:rPr>
                <w:rFonts w:eastAsia="Times New Roman"/>
                <w:b/>
                <w:iCs/>
                <w:sz w:val="16"/>
                <w:szCs w:val="16"/>
              </w:rPr>
            </w:pPr>
            <w:r>
              <w:rPr>
                <w:b/>
                <w:iCs/>
                <w:sz w:val="16"/>
                <w:szCs w:val="16"/>
              </w:rPr>
              <w:t>Cel szczegółowy</w:t>
            </w:r>
          </w:p>
        </w:tc>
        <w:tc>
          <w:tcPr>
            <w:tcW w:w="314" w:type="pct"/>
            <w:shd w:val="clear" w:color="auto" w:fill="DEEAF6" w:themeFill="accent1" w:themeFillTint="33"/>
          </w:tcPr>
          <w:p w14:paraId="13BECEED" w14:textId="77777777" w:rsidR="00BD5333" w:rsidRPr="00166B24" w:rsidRDefault="00BD5333" w:rsidP="00433039">
            <w:pPr>
              <w:rPr>
                <w:rFonts w:eastAsia="Times New Roman"/>
                <w:b/>
                <w:iCs/>
                <w:sz w:val="16"/>
                <w:szCs w:val="16"/>
              </w:rPr>
            </w:pPr>
            <w:r>
              <w:rPr>
                <w:b/>
                <w:iCs/>
                <w:sz w:val="16"/>
                <w:szCs w:val="16"/>
              </w:rPr>
              <w:t>ID</w:t>
            </w:r>
          </w:p>
        </w:tc>
        <w:tc>
          <w:tcPr>
            <w:tcW w:w="810" w:type="pct"/>
            <w:shd w:val="clear" w:color="auto" w:fill="DEEAF6" w:themeFill="accent1" w:themeFillTint="33"/>
          </w:tcPr>
          <w:p w14:paraId="1A15118C" w14:textId="77777777" w:rsidR="00BD5333" w:rsidRPr="00166B24" w:rsidRDefault="00BD5333" w:rsidP="00433039">
            <w:pPr>
              <w:rPr>
                <w:rFonts w:eastAsia="Times New Roman"/>
                <w:b/>
                <w:iCs/>
                <w:sz w:val="16"/>
                <w:szCs w:val="16"/>
              </w:rPr>
            </w:pPr>
            <w:r>
              <w:rPr>
                <w:b/>
                <w:iCs/>
                <w:sz w:val="16"/>
                <w:szCs w:val="16"/>
              </w:rPr>
              <w:t xml:space="preserve">Wskaźnik </w:t>
            </w:r>
          </w:p>
        </w:tc>
        <w:tc>
          <w:tcPr>
            <w:tcW w:w="614" w:type="pct"/>
            <w:shd w:val="clear" w:color="auto" w:fill="DEEAF6" w:themeFill="accent1" w:themeFillTint="33"/>
          </w:tcPr>
          <w:p w14:paraId="354EEB39" w14:textId="77777777" w:rsidR="00BD5333" w:rsidRPr="00166B24" w:rsidRDefault="00BD5333" w:rsidP="00433039">
            <w:pPr>
              <w:rPr>
                <w:rFonts w:eastAsia="Times New Roman"/>
                <w:b/>
                <w:iCs/>
                <w:sz w:val="16"/>
                <w:szCs w:val="16"/>
              </w:rPr>
            </w:pPr>
            <w:r>
              <w:rPr>
                <w:b/>
                <w:iCs/>
                <w:sz w:val="16"/>
                <w:szCs w:val="16"/>
              </w:rPr>
              <w:t>Jednostka miary</w:t>
            </w:r>
          </w:p>
        </w:tc>
        <w:tc>
          <w:tcPr>
            <w:tcW w:w="306" w:type="pct"/>
            <w:shd w:val="clear" w:color="auto" w:fill="DEEAF6" w:themeFill="accent1" w:themeFillTint="33"/>
          </w:tcPr>
          <w:p w14:paraId="2FA2A880" w14:textId="77777777" w:rsidR="00BD5333" w:rsidRPr="00166B24" w:rsidRDefault="00BD5333" w:rsidP="00433039">
            <w:pPr>
              <w:rPr>
                <w:rFonts w:eastAsia="Times New Roman"/>
                <w:b/>
                <w:iCs/>
                <w:sz w:val="16"/>
                <w:szCs w:val="16"/>
              </w:rPr>
            </w:pPr>
            <w:r>
              <w:rPr>
                <w:b/>
                <w:iCs/>
                <w:sz w:val="16"/>
                <w:szCs w:val="16"/>
              </w:rPr>
              <w:t>Punkt odniesienia</w:t>
            </w:r>
          </w:p>
        </w:tc>
        <w:tc>
          <w:tcPr>
            <w:tcW w:w="471" w:type="pct"/>
            <w:shd w:val="clear" w:color="auto" w:fill="DEEAF6" w:themeFill="accent1" w:themeFillTint="33"/>
          </w:tcPr>
          <w:p w14:paraId="0E26F239" w14:textId="77777777" w:rsidR="00BD5333" w:rsidRPr="00166B24" w:rsidRDefault="00BD5333" w:rsidP="00433039">
            <w:pPr>
              <w:rPr>
                <w:rFonts w:eastAsia="Times New Roman"/>
                <w:b/>
                <w:iCs/>
                <w:sz w:val="16"/>
                <w:szCs w:val="16"/>
              </w:rPr>
            </w:pPr>
            <w:r>
              <w:rPr>
                <w:b/>
                <w:iCs/>
                <w:sz w:val="16"/>
                <w:szCs w:val="16"/>
              </w:rPr>
              <w:t>Rok odniesienia</w:t>
            </w:r>
          </w:p>
        </w:tc>
        <w:tc>
          <w:tcPr>
            <w:tcW w:w="455" w:type="pct"/>
            <w:shd w:val="clear" w:color="auto" w:fill="DEEAF6" w:themeFill="accent1" w:themeFillTint="33"/>
          </w:tcPr>
          <w:p w14:paraId="07271F45" w14:textId="77777777" w:rsidR="00BD5333" w:rsidRPr="00166B24" w:rsidRDefault="00BD5333" w:rsidP="00433039">
            <w:pPr>
              <w:rPr>
                <w:rFonts w:eastAsia="Times New Roman"/>
                <w:b/>
                <w:iCs/>
                <w:sz w:val="16"/>
                <w:szCs w:val="16"/>
              </w:rPr>
            </w:pPr>
            <w:r>
              <w:rPr>
                <w:b/>
                <w:iCs/>
                <w:sz w:val="16"/>
                <w:szCs w:val="16"/>
              </w:rPr>
              <w:t>Cel końcowy (2029)</w:t>
            </w:r>
          </w:p>
        </w:tc>
        <w:tc>
          <w:tcPr>
            <w:tcW w:w="775" w:type="pct"/>
            <w:shd w:val="clear" w:color="auto" w:fill="DEEAF6" w:themeFill="accent1" w:themeFillTint="33"/>
          </w:tcPr>
          <w:p w14:paraId="02E75424" w14:textId="77777777" w:rsidR="00BD5333" w:rsidRPr="00166B24" w:rsidRDefault="00BD5333" w:rsidP="00433039">
            <w:pPr>
              <w:rPr>
                <w:rFonts w:eastAsia="Times New Roman"/>
                <w:b/>
                <w:iCs/>
                <w:sz w:val="16"/>
                <w:szCs w:val="16"/>
              </w:rPr>
            </w:pPr>
            <w:r>
              <w:rPr>
                <w:b/>
                <w:iCs/>
                <w:sz w:val="16"/>
                <w:szCs w:val="16"/>
              </w:rPr>
              <w:t>Źródło danych</w:t>
            </w:r>
          </w:p>
        </w:tc>
      </w:tr>
      <w:tr w:rsidR="00E91B53" w:rsidRPr="00166B24" w14:paraId="1109314C" w14:textId="77777777" w:rsidTr="0049345B">
        <w:trPr>
          <w:trHeight w:val="1418"/>
        </w:trPr>
        <w:tc>
          <w:tcPr>
            <w:tcW w:w="470" w:type="pct"/>
          </w:tcPr>
          <w:p w14:paraId="5B997464" w14:textId="77777777" w:rsidR="00BD5333" w:rsidRPr="00166B24" w:rsidRDefault="00BD5333" w:rsidP="00433039">
            <w:pPr>
              <w:rPr>
                <w:rFonts w:eastAsia="Times New Roman"/>
                <w:iCs/>
                <w:sz w:val="16"/>
                <w:szCs w:val="16"/>
              </w:rPr>
            </w:pPr>
            <w:r>
              <w:rPr>
                <w:sz w:val="16"/>
                <w:szCs w:val="16"/>
              </w:rPr>
              <w:t>1</w:t>
            </w:r>
          </w:p>
        </w:tc>
        <w:tc>
          <w:tcPr>
            <w:tcW w:w="785" w:type="pct"/>
          </w:tcPr>
          <w:p w14:paraId="2913002A" w14:textId="77777777" w:rsidR="00BD5333" w:rsidRPr="00166B24" w:rsidRDefault="00BD5333" w:rsidP="00433039">
            <w:pPr>
              <w:rPr>
                <w:rFonts w:eastAsia="Times New Roman"/>
                <w:iCs/>
                <w:sz w:val="16"/>
                <w:szCs w:val="16"/>
              </w:rPr>
            </w:pPr>
            <w:r>
              <w:rPr>
                <w:sz w:val="16"/>
                <w:szCs w:val="16"/>
              </w:rPr>
              <w:t>Cel szczegółowy #6 „Inne działania wspierające lepsze zarządzanie współpracą”</w:t>
            </w:r>
          </w:p>
        </w:tc>
        <w:tc>
          <w:tcPr>
            <w:tcW w:w="314" w:type="pct"/>
          </w:tcPr>
          <w:p w14:paraId="58FA0AF2" w14:textId="77777777" w:rsidR="00BD5333" w:rsidRPr="00166B24" w:rsidRDefault="00BD5333" w:rsidP="00433039">
            <w:pPr>
              <w:rPr>
                <w:rFonts w:eastAsia="Times New Roman"/>
                <w:iCs/>
                <w:sz w:val="16"/>
                <w:szCs w:val="16"/>
              </w:rPr>
            </w:pPr>
            <w:r>
              <w:rPr>
                <w:iCs/>
                <w:sz w:val="16"/>
                <w:szCs w:val="16"/>
              </w:rPr>
              <w:t>RI01</w:t>
            </w:r>
          </w:p>
        </w:tc>
        <w:tc>
          <w:tcPr>
            <w:tcW w:w="810" w:type="pct"/>
            <w:shd w:val="clear" w:color="auto" w:fill="auto"/>
          </w:tcPr>
          <w:p w14:paraId="0B82CEE4" w14:textId="77777777" w:rsidR="00BD5333" w:rsidRPr="00166B24" w:rsidRDefault="00B473FF" w:rsidP="004557CA">
            <w:pPr>
              <w:rPr>
                <w:rFonts w:eastAsia="Times New Roman"/>
                <w:iCs/>
                <w:sz w:val="16"/>
                <w:szCs w:val="16"/>
              </w:rPr>
            </w:pPr>
            <w:r>
              <w:rPr>
                <w:sz w:val="16"/>
                <w:szCs w:val="16"/>
              </w:rPr>
              <w:t>Uczestnicy o zwiększonym potencjale dzięki uczestnictwu w działaniach ESPON</w:t>
            </w:r>
          </w:p>
        </w:tc>
        <w:tc>
          <w:tcPr>
            <w:tcW w:w="614" w:type="pct"/>
          </w:tcPr>
          <w:p w14:paraId="3447C6AA" w14:textId="77777777" w:rsidR="00BD5333" w:rsidRPr="00166B24" w:rsidRDefault="00CD6225" w:rsidP="00FF7F82">
            <w:pPr>
              <w:rPr>
                <w:rFonts w:eastAsia="Times New Roman"/>
                <w:iCs/>
                <w:sz w:val="16"/>
                <w:szCs w:val="16"/>
              </w:rPr>
            </w:pPr>
            <w:r>
              <w:rPr>
                <w:sz w:val="16"/>
                <w:szCs w:val="16"/>
              </w:rPr>
              <w:t>Procent w stosunku do liczby uczestników</w:t>
            </w:r>
          </w:p>
        </w:tc>
        <w:tc>
          <w:tcPr>
            <w:tcW w:w="306" w:type="pct"/>
          </w:tcPr>
          <w:p w14:paraId="409D2653" w14:textId="77777777" w:rsidR="00BD5333" w:rsidRPr="00166B24" w:rsidRDefault="00BD5333" w:rsidP="00433039">
            <w:pPr>
              <w:rPr>
                <w:rFonts w:eastAsia="Times New Roman"/>
                <w:iCs/>
                <w:sz w:val="16"/>
                <w:szCs w:val="16"/>
              </w:rPr>
            </w:pPr>
            <w:r>
              <w:rPr>
                <w:iCs/>
                <w:sz w:val="16"/>
                <w:szCs w:val="16"/>
              </w:rPr>
              <w:t>0</w:t>
            </w:r>
          </w:p>
        </w:tc>
        <w:tc>
          <w:tcPr>
            <w:tcW w:w="471" w:type="pct"/>
          </w:tcPr>
          <w:p w14:paraId="67D40B54" w14:textId="77777777" w:rsidR="00BD5333" w:rsidRPr="00166B24" w:rsidRDefault="00BD5333" w:rsidP="00433039">
            <w:pPr>
              <w:rPr>
                <w:rFonts w:eastAsia="Times New Roman"/>
                <w:iCs/>
                <w:sz w:val="16"/>
                <w:szCs w:val="16"/>
              </w:rPr>
            </w:pPr>
            <w:r>
              <w:rPr>
                <w:iCs/>
                <w:sz w:val="16"/>
                <w:szCs w:val="16"/>
              </w:rPr>
              <w:t>2022</w:t>
            </w:r>
          </w:p>
        </w:tc>
        <w:tc>
          <w:tcPr>
            <w:tcW w:w="455" w:type="pct"/>
            <w:shd w:val="clear" w:color="auto" w:fill="auto"/>
          </w:tcPr>
          <w:p w14:paraId="4CC372CD" w14:textId="77777777" w:rsidR="00BD5333" w:rsidRPr="0049345B" w:rsidRDefault="00CD6225" w:rsidP="00433039">
            <w:pPr>
              <w:rPr>
                <w:rFonts w:eastAsia="Times New Roman"/>
                <w:iCs/>
                <w:sz w:val="16"/>
                <w:szCs w:val="16"/>
              </w:rPr>
            </w:pPr>
            <w:r>
              <w:rPr>
                <w:iCs/>
                <w:sz w:val="16"/>
                <w:szCs w:val="16"/>
              </w:rPr>
              <w:t>75%</w:t>
            </w:r>
          </w:p>
        </w:tc>
        <w:tc>
          <w:tcPr>
            <w:tcW w:w="775" w:type="pct"/>
            <w:shd w:val="clear" w:color="auto" w:fill="auto"/>
          </w:tcPr>
          <w:p w14:paraId="011801C9" w14:textId="77777777" w:rsidR="00BD5333" w:rsidRPr="00166B24" w:rsidRDefault="0014579F" w:rsidP="009F70B5">
            <w:pPr>
              <w:rPr>
                <w:rFonts w:eastAsia="Times New Roman"/>
                <w:iCs/>
                <w:sz w:val="16"/>
                <w:szCs w:val="16"/>
              </w:rPr>
            </w:pPr>
            <w:r>
              <w:rPr>
                <w:iCs/>
                <w:sz w:val="16"/>
                <w:szCs w:val="16"/>
              </w:rPr>
              <w:t xml:space="preserve">Szybkie ankiety cyfrowe </w:t>
            </w:r>
          </w:p>
        </w:tc>
      </w:tr>
      <w:tr w:rsidR="00E91B53" w:rsidRPr="00166B24" w14:paraId="0DBE1F43" w14:textId="77777777" w:rsidTr="0049345B">
        <w:trPr>
          <w:trHeight w:val="629"/>
        </w:trPr>
        <w:tc>
          <w:tcPr>
            <w:tcW w:w="470" w:type="pct"/>
          </w:tcPr>
          <w:p w14:paraId="28B4E9B5" w14:textId="77777777" w:rsidR="00BD5333" w:rsidRPr="00166B24" w:rsidRDefault="00BD5333" w:rsidP="00433039">
            <w:pPr>
              <w:rPr>
                <w:sz w:val="16"/>
                <w:szCs w:val="16"/>
              </w:rPr>
            </w:pPr>
            <w:r>
              <w:rPr>
                <w:sz w:val="16"/>
                <w:szCs w:val="16"/>
              </w:rPr>
              <w:t>1</w:t>
            </w:r>
          </w:p>
        </w:tc>
        <w:tc>
          <w:tcPr>
            <w:tcW w:w="785" w:type="pct"/>
          </w:tcPr>
          <w:p w14:paraId="3F769377" w14:textId="77777777" w:rsidR="00BD5333" w:rsidRPr="00166B24" w:rsidRDefault="00BD5333" w:rsidP="00433039">
            <w:pPr>
              <w:rPr>
                <w:sz w:val="16"/>
                <w:szCs w:val="16"/>
              </w:rPr>
            </w:pPr>
            <w:r>
              <w:rPr>
                <w:sz w:val="16"/>
                <w:szCs w:val="16"/>
              </w:rPr>
              <w:t>Cel szczegółowy #6 „Inne działania wspierające lepsze zarządzanie współpracą”</w:t>
            </w:r>
          </w:p>
        </w:tc>
        <w:tc>
          <w:tcPr>
            <w:tcW w:w="314" w:type="pct"/>
          </w:tcPr>
          <w:p w14:paraId="43042218" w14:textId="77777777" w:rsidR="00BD5333" w:rsidRPr="00166B24" w:rsidRDefault="00BD5333" w:rsidP="00433039">
            <w:pPr>
              <w:rPr>
                <w:rFonts w:eastAsia="Times New Roman"/>
                <w:iCs/>
                <w:sz w:val="16"/>
                <w:szCs w:val="16"/>
              </w:rPr>
            </w:pPr>
            <w:r>
              <w:rPr>
                <w:iCs/>
                <w:sz w:val="16"/>
                <w:szCs w:val="16"/>
              </w:rPr>
              <w:t>RI02</w:t>
            </w:r>
          </w:p>
        </w:tc>
        <w:tc>
          <w:tcPr>
            <w:tcW w:w="810" w:type="pct"/>
            <w:shd w:val="clear" w:color="auto" w:fill="auto"/>
          </w:tcPr>
          <w:p w14:paraId="109CDD6B" w14:textId="77777777" w:rsidR="00BD5333" w:rsidRPr="00166B24" w:rsidRDefault="002F3C55" w:rsidP="00AC5DFA">
            <w:pPr>
              <w:rPr>
                <w:sz w:val="16"/>
                <w:szCs w:val="16"/>
              </w:rPr>
            </w:pPr>
            <w:r>
              <w:rPr>
                <w:sz w:val="16"/>
                <w:szCs w:val="16"/>
              </w:rPr>
              <w:t>Uczestnicy wskazujący na potencjalne wykorzystanie wiedzy ESPON w swoich organizacjach</w:t>
            </w:r>
          </w:p>
        </w:tc>
        <w:tc>
          <w:tcPr>
            <w:tcW w:w="614" w:type="pct"/>
          </w:tcPr>
          <w:p w14:paraId="6CE71E85" w14:textId="77777777" w:rsidR="00BD5333" w:rsidRPr="00166B24" w:rsidRDefault="00B473FF" w:rsidP="00B473FF">
            <w:pPr>
              <w:rPr>
                <w:sz w:val="16"/>
                <w:szCs w:val="16"/>
              </w:rPr>
            </w:pPr>
            <w:r>
              <w:rPr>
                <w:sz w:val="16"/>
                <w:szCs w:val="16"/>
              </w:rPr>
              <w:t xml:space="preserve">Procent w stosunku do liczby uczestników </w:t>
            </w:r>
          </w:p>
        </w:tc>
        <w:tc>
          <w:tcPr>
            <w:tcW w:w="306" w:type="pct"/>
          </w:tcPr>
          <w:p w14:paraId="798ACD8C" w14:textId="77777777" w:rsidR="00BD5333" w:rsidRPr="00166B24" w:rsidRDefault="00BD5333" w:rsidP="00433039">
            <w:pPr>
              <w:rPr>
                <w:rFonts w:eastAsia="Times New Roman"/>
                <w:iCs/>
                <w:sz w:val="16"/>
                <w:szCs w:val="16"/>
              </w:rPr>
            </w:pPr>
            <w:r>
              <w:rPr>
                <w:iCs/>
                <w:sz w:val="16"/>
                <w:szCs w:val="16"/>
              </w:rPr>
              <w:t>0</w:t>
            </w:r>
          </w:p>
        </w:tc>
        <w:tc>
          <w:tcPr>
            <w:tcW w:w="471" w:type="pct"/>
          </w:tcPr>
          <w:p w14:paraId="5CFC702A" w14:textId="77777777" w:rsidR="00BD5333" w:rsidRPr="00166B24" w:rsidRDefault="00BD5333" w:rsidP="00433039">
            <w:pPr>
              <w:rPr>
                <w:rFonts w:eastAsia="Times New Roman"/>
                <w:iCs/>
                <w:sz w:val="16"/>
                <w:szCs w:val="16"/>
              </w:rPr>
            </w:pPr>
            <w:r>
              <w:rPr>
                <w:iCs/>
                <w:sz w:val="16"/>
                <w:szCs w:val="16"/>
              </w:rPr>
              <w:t>2022</w:t>
            </w:r>
          </w:p>
        </w:tc>
        <w:tc>
          <w:tcPr>
            <w:tcW w:w="455" w:type="pct"/>
            <w:shd w:val="clear" w:color="auto" w:fill="auto"/>
          </w:tcPr>
          <w:p w14:paraId="5B67E248" w14:textId="77777777" w:rsidR="00BD5333" w:rsidRPr="0049345B" w:rsidRDefault="00B473FF" w:rsidP="00433039">
            <w:pPr>
              <w:rPr>
                <w:rFonts w:eastAsia="Times New Roman"/>
                <w:iCs/>
                <w:sz w:val="16"/>
                <w:szCs w:val="16"/>
              </w:rPr>
            </w:pPr>
            <w:r>
              <w:rPr>
                <w:iCs/>
                <w:sz w:val="16"/>
                <w:szCs w:val="16"/>
              </w:rPr>
              <w:t>50%</w:t>
            </w:r>
          </w:p>
        </w:tc>
        <w:tc>
          <w:tcPr>
            <w:tcW w:w="775" w:type="pct"/>
            <w:shd w:val="clear" w:color="auto" w:fill="auto"/>
          </w:tcPr>
          <w:p w14:paraId="3B60DAFE" w14:textId="77777777" w:rsidR="00BD5333" w:rsidRPr="00166B24" w:rsidRDefault="0014579F" w:rsidP="009F70B5">
            <w:pPr>
              <w:rPr>
                <w:rFonts w:eastAsia="Times New Roman"/>
                <w:iCs/>
                <w:sz w:val="16"/>
                <w:szCs w:val="16"/>
              </w:rPr>
            </w:pPr>
            <w:r>
              <w:rPr>
                <w:iCs/>
                <w:sz w:val="16"/>
                <w:szCs w:val="16"/>
              </w:rPr>
              <w:t xml:space="preserve">Szybkie ankiety cyfrowe </w:t>
            </w:r>
          </w:p>
        </w:tc>
      </w:tr>
    </w:tbl>
    <w:p w14:paraId="51C210C6" w14:textId="77777777" w:rsidR="00A4407F" w:rsidRPr="00166B24" w:rsidRDefault="00A4407F" w:rsidP="00F07378">
      <w:pPr>
        <w:spacing w:before="120" w:after="120" w:line="240" w:lineRule="auto"/>
        <w:jc w:val="both"/>
        <w:rPr>
          <w:lang w:val="en-GB"/>
        </w:rPr>
      </w:pPr>
    </w:p>
    <w:p w14:paraId="1D0A680E" w14:textId="1248AAFD" w:rsidR="00744918" w:rsidRPr="00166B24" w:rsidRDefault="00EB6187" w:rsidP="00B9759F">
      <w:pPr>
        <w:pStyle w:val="Nagwek2"/>
      </w:pPr>
      <w:bookmarkStart w:id="8" w:name="_Toc79480465"/>
      <w:r>
        <w:t xml:space="preserve">Metodologia obliczania wartości docelowych i celów pośrednich dla wskaźników </w:t>
      </w:r>
      <w:r w:rsidR="00BD01B5">
        <w:t>bazowych</w:t>
      </w:r>
      <w:r>
        <w:t xml:space="preserve"> i rezultatu</w:t>
      </w:r>
      <w:bookmarkEnd w:id="8"/>
    </w:p>
    <w:p w14:paraId="334698AF" w14:textId="072C831D" w:rsidR="00B9759F" w:rsidRPr="00166B24" w:rsidRDefault="00B9759F" w:rsidP="00B9759F">
      <w:pPr>
        <w:jc w:val="both"/>
        <w:rPr>
          <w:u w:val="single"/>
        </w:rPr>
      </w:pPr>
      <w:r>
        <w:t xml:space="preserve">Wartość bazowa wynosi zero zarówno dla wskaźników </w:t>
      </w:r>
      <w:r w:rsidR="00BD01B5">
        <w:t>bazowych</w:t>
      </w:r>
      <w:r>
        <w:t>, jak i wskaźników celu. W oparciu o dane historyczne zgromadzone przez EGTC, do obliczenia wartości docelowych zastosowano następujące zasady:</w:t>
      </w:r>
    </w:p>
    <w:p w14:paraId="365C42DF" w14:textId="77777777" w:rsidR="00B9759F" w:rsidRPr="00166B24" w:rsidRDefault="00B9759F" w:rsidP="003A5090">
      <w:pPr>
        <w:keepNext/>
        <w:jc w:val="both"/>
        <w:rPr>
          <w:u w:val="single"/>
        </w:rPr>
      </w:pPr>
      <w:r>
        <w:rPr>
          <w:u w:val="single"/>
        </w:rPr>
        <w:t xml:space="preserve">OI1 / Liczba działań związanych z tworzeniem dowodów terytorialnych: </w:t>
      </w:r>
      <w:r>
        <w:rPr>
          <w:b/>
          <w:bCs/>
          <w:u w:val="single"/>
        </w:rPr>
        <w:t>105</w:t>
      </w:r>
    </w:p>
    <w:p w14:paraId="0C7E41ED" w14:textId="203DCF17" w:rsidR="00B9759F" w:rsidRPr="00166B24" w:rsidRDefault="00B9759F" w:rsidP="00B9759F">
      <w:pPr>
        <w:pStyle w:val="Akapitzlist"/>
        <w:numPr>
          <w:ilvl w:val="0"/>
          <w:numId w:val="22"/>
        </w:numPr>
        <w:jc w:val="both"/>
        <w:rPr>
          <w:rFonts w:eastAsia="Times New Roman"/>
        </w:rPr>
      </w:pPr>
      <w:r>
        <w:t xml:space="preserve">Ogólnoeuropejskie działania tematyczne: przy minimalnym budżecie wynoszącym około 17,7 mln EUR i średnim koszcie wynoszącym 500 </w:t>
      </w:r>
      <w:r w:rsidR="00EB08A4">
        <w:t xml:space="preserve">tysięcy </w:t>
      </w:r>
      <w:r>
        <w:t xml:space="preserve">EUR (w tym m.in. większe działania w zakresie badań stosowanych i mniejsze badania) wartość docelową ustalono na </w:t>
      </w:r>
      <w:r>
        <w:rPr>
          <w:b/>
        </w:rPr>
        <w:t>36 działań.</w:t>
      </w:r>
    </w:p>
    <w:p w14:paraId="62B3DD90" w14:textId="51BD264F" w:rsidR="00B9759F" w:rsidRPr="00166B24" w:rsidRDefault="00B9759F" w:rsidP="00B9759F">
      <w:pPr>
        <w:pStyle w:val="Akapitzlist"/>
        <w:numPr>
          <w:ilvl w:val="0"/>
          <w:numId w:val="22"/>
        </w:numPr>
        <w:jc w:val="both"/>
      </w:pPr>
      <w:r>
        <w:t xml:space="preserve">Działania tematyczne stymulowane zapotrzebowaniem: przy minimalnym budżecie wynoszącym około 6,5 mln EUR i średnim koszcie 150 </w:t>
      </w:r>
      <w:r w:rsidR="00C15B4E">
        <w:t xml:space="preserve">tysięcy </w:t>
      </w:r>
      <w:r>
        <w:t xml:space="preserve">EUR (w tym m.in. ukierunkowane analizy i studia przypadków), wartość docelową ustala się na </w:t>
      </w:r>
      <w:r>
        <w:rPr>
          <w:b/>
        </w:rPr>
        <w:t>43 działania.</w:t>
      </w:r>
    </w:p>
    <w:p w14:paraId="2947CD8F" w14:textId="51AE9B11" w:rsidR="00B9759F" w:rsidRPr="00166B24" w:rsidRDefault="00B9759F" w:rsidP="00B9759F">
      <w:pPr>
        <w:pStyle w:val="Akapitzlist"/>
        <w:numPr>
          <w:ilvl w:val="0"/>
          <w:numId w:val="22"/>
        </w:numPr>
        <w:jc w:val="both"/>
        <w:rPr>
          <w:rFonts w:eastAsia="Times New Roman" w:cstheme="minorHAnsi"/>
        </w:rPr>
      </w:pPr>
      <w:r>
        <w:t xml:space="preserve">Działania przekrojowe: przy minimalnym budżecie wynoszącym około 3,2 mln EUR i średnim koszcie 120 </w:t>
      </w:r>
      <w:r w:rsidR="00C15B4E">
        <w:t xml:space="preserve">tysięcy </w:t>
      </w:r>
      <w:r>
        <w:t xml:space="preserve">EUR (w tym m.in. badania przekrojowe i sprawozdania z obserwacji terytorialnych), wartość docelową ustalono na </w:t>
      </w:r>
      <w:r>
        <w:rPr>
          <w:b/>
        </w:rPr>
        <w:t>26 działań.</w:t>
      </w:r>
    </w:p>
    <w:p w14:paraId="42A59E2C" w14:textId="77777777" w:rsidR="00B9759F" w:rsidRPr="00166B24" w:rsidRDefault="00B9759F" w:rsidP="00B9759F">
      <w:pPr>
        <w:jc w:val="both"/>
      </w:pPr>
      <w:r>
        <w:t xml:space="preserve">Biorąc pod uwagę, że odpowiednie działania tematyczne muszą zostać "zatwierdzone" przez pojedynczego beneficjenta, aby mogły zostać uwzględnione, oraz że ich realizacja wymaga od 0,5 do 2,5 roku do momentu osiągnięcia etapu decyzji zatwierdzającej (począwszy od konsultacji, poprzez zamówienia publiczne, realizację umowy i ostateczną dostawę), kamień milowy na 2024 r. został ustalony na poziomie 17% wartości docelowej, tj. </w:t>
      </w:r>
      <w:r>
        <w:rPr>
          <w:b/>
        </w:rPr>
        <w:t>18 działań.</w:t>
      </w:r>
    </w:p>
    <w:p w14:paraId="66B1D2CD" w14:textId="77777777" w:rsidR="00B9759F" w:rsidRPr="00166B24" w:rsidRDefault="00B9759F" w:rsidP="00B9759F">
      <w:pPr>
        <w:jc w:val="both"/>
        <w:rPr>
          <w:u w:val="single"/>
        </w:rPr>
      </w:pPr>
      <w:r>
        <w:rPr>
          <w:u w:val="single"/>
        </w:rPr>
        <w:lastRenderedPageBreak/>
        <w:t xml:space="preserve">OI2 / Liczba działań w zakresie rozwoju wiedzy: </w:t>
      </w:r>
      <w:r>
        <w:rPr>
          <w:b/>
          <w:bCs/>
          <w:u w:val="single"/>
        </w:rPr>
        <w:t>150</w:t>
      </w:r>
    </w:p>
    <w:p w14:paraId="4EF0F3FD" w14:textId="203B5E18" w:rsidR="00B9759F" w:rsidRPr="00166B24" w:rsidRDefault="00B9759F" w:rsidP="00B9759F">
      <w:pPr>
        <w:pStyle w:val="Akapitzlist"/>
        <w:numPr>
          <w:ilvl w:val="0"/>
          <w:numId w:val="22"/>
        </w:numPr>
        <w:jc w:val="both"/>
        <w:rPr>
          <w:rFonts w:eastAsia="Times New Roman"/>
        </w:rPr>
      </w:pPr>
      <w:r>
        <w:t xml:space="preserve">Usługi w zakresie transferu wiedzy realizowane przez pojedynczego beneficjenta za pośrednictwem formatów fizycznych, hybrydowych i cyfrowych: przy minimalnym budżecie wynoszącym około 2,8 mln EUR i w oparciu o dane historyczne zgromadzone przez </w:t>
      </w:r>
      <w:r w:rsidR="009D594A">
        <w:t>EGTC</w:t>
      </w:r>
      <w:r>
        <w:t xml:space="preserve">, wartość docelową ustalono na </w:t>
      </w:r>
      <w:r>
        <w:rPr>
          <w:b/>
        </w:rPr>
        <w:t>100 działań.</w:t>
      </w:r>
    </w:p>
    <w:p w14:paraId="0CCD11DF" w14:textId="77777777" w:rsidR="00B9759F" w:rsidRPr="00166B24" w:rsidRDefault="00B9759F" w:rsidP="00B9759F">
      <w:pPr>
        <w:pStyle w:val="Akapitzlist"/>
        <w:numPr>
          <w:ilvl w:val="0"/>
          <w:numId w:val="22"/>
        </w:numPr>
        <w:jc w:val="both"/>
        <w:rPr>
          <w:rFonts w:eastAsia="Times New Roman"/>
        </w:rPr>
      </w:pPr>
      <w:r>
        <w:t xml:space="preserve">Usługi w zakresie transferu wiedzy realizowane przez punkty kontaktowe ESPON: przy maksymalnym budżecie w wysokości 4 mln EUR i średnio 2 działaniach na państwo, wartość docelową ustalono na </w:t>
      </w:r>
      <w:r>
        <w:rPr>
          <w:b/>
        </w:rPr>
        <w:t>50 działań.</w:t>
      </w:r>
    </w:p>
    <w:p w14:paraId="32334D23" w14:textId="77777777" w:rsidR="00B9759F" w:rsidRPr="00166B24" w:rsidRDefault="00B9759F" w:rsidP="00B9759F">
      <w:pPr>
        <w:jc w:val="both"/>
      </w:pPr>
      <w:r>
        <w:t xml:space="preserve">Realizacja tych działań będzie wymagała w większości przypadków wkładu z działań związanych z dowodami tematycznymi oraz uprzedniego podpisania umów o dofinansowanie we wszystkich krajach objętych programem ESPON. W związku z tym kamień milowy na rok 2024 określono na poziomie 13% wartości docelowej, tj. </w:t>
      </w:r>
      <w:r>
        <w:rPr>
          <w:b/>
        </w:rPr>
        <w:t>20 działań.</w:t>
      </w:r>
    </w:p>
    <w:p w14:paraId="7523093C" w14:textId="77777777" w:rsidR="00982E6B" w:rsidRPr="00166B24" w:rsidRDefault="00982E6B" w:rsidP="001558B9">
      <w:pPr>
        <w:jc w:val="both"/>
        <w:rPr>
          <w:u w:val="single"/>
        </w:rPr>
      </w:pPr>
      <w:r>
        <w:rPr>
          <w:u w:val="single"/>
        </w:rPr>
        <w:t xml:space="preserve">RI01 / Uczestnicy o zwiększonym potencjale dzięki uczestnictwu w działaniach ESPON: </w:t>
      </w:r>
      <w:r>
        <w:rPr>
          <w:b/>
          <w:bCs/>
          <w:u w:val="single"/>
        </w:rPr>
        <w:t>75% z całkowitej liczby uczestników</w:t>
      </w:r>
    </w:p>
    <w:p w14:paraId="5C26349D" w14:textId="77777777" w:rsidR="00982E6B" w:rsidRPr="00166B24" w:rsidRDefault="003B4256" w:rsidP="003B4256">
      <w:pPr>
        <w:jc w:val="both"/>
        <w:rPr>
          <w:b/>
          <w:bCs/>
        </w:rPr>
      </w:pPr>
      <w:r>
        <w:t>Wskaźnik ten ma na celu wykrycie sukcesu działań związanych z rozwojem wiedzy, które mają na celu dostarczenie grupom docelowym dowodów terytorialnych opracowanych przez ESPON. W oparciu o analizę odpowiedzi udzielonych w ankiecie przez uczestników wydarzeń w ramach Programu ESPON 2030, wartość docelowa została ustalona na poziomie 75% uczestników, którzy zwiększyli swoją wiedzę dzięki uczestnictwu.</w:t>
      </w:r>
    </w:p>
    <w:p w14:paraId="40BD4194" w14:textId="77777777" w:rsidR="00982E6B" w:rsidRPr="00166B24" w:rsidRDefault="00982E6B" w:rsidP="003A5090">
      <w:pPr>
        <w:keepNext/>
        <w:jc w:val="both"/>
        <w:rPr>
          <w:u w:val="single"/>
        </w:rPr>
      </w:pPr>
      <w:r>
        <w:rPr>
          <w:u w:val="single"/>
        </w:rPr>
        <w:t xml:space="preserve">RI02 / Uczestnicy wskazujący na potencjalne wykorzystanie wiedzy ESPON w swoich organizacjach: </w:t>
      </w:r>
      <w:r>
        <w:rPr>
          <w:b/>
          <w:bCs/>
          <w:u w:val="single"/>
        </w:rPr>
        <w:t>50%</w:t>
      </w:r>
    </w:p>
    <w:p w14:paraId="37899CBD" w14:textId="77777777" w:rsidR="00A30C6C" w:rsidRPr="00166B24" w:rsidRDefault="00556D2D" w:rsidP="00895C4A">
      <w:pPr>
        <w:jc w:val="both"/>
      </w:pPr>
      <w:r>
        <w:t xml:space="preserve">Program ESPON 2030 ma na celu zwiększenie kompetencji grup docelowych programu poprzez promowanie dowodów terytorialnych opracowanych w ramach programu. Aby uzupełnić RI01, który wychwytuje zdobywanie wiedzy, RI02 koncentruje się na jej potencjalnym wykorzystaniu przez uczestników w kontekście ich pracy i jej przyswajaniu przez organizacje. Ponieważ konkretne wykorzystanie zdobytej wiedzy zależy nie tylko od jej przydatności i jakości, ale także od ogólnego kontekstu tworzenia polityki na terytorium interesariusza i konkretnej możliwości jej zastosowania, wartość docelowa dla tego drugiego wskaźnika rezultatu jest zatem ustalona na poziomie </w:t>
      </w:r>
      <w:r>
        <w:rPr>
          <w:b/>
        </w:rPr>
        <w:t>50% uczestników, którzy potencjalnie wykorzystają ją w swoich organizacjach.</w:t>
      </w:r>
    </w:p>
    <w:p w14:paraId="354ECD90" w14:textId="77777777" w:rsidR="00981EC2" w:rsidRPr="00166B24" w:rsidRDefault="00981EC2" w:rsidP="001558B9">
      <w:pPr>
        <w:jc w:val="both"/>
      </w:pPr>
      <w:r>
        <w:t>Poniższa tabela przedstawia przegląd wskaźników Programu ESPON 2030 i ich powiązania z alokacją finansową EFRR i współfinansowaniem krajowym.</w:t>
      </w:r>
    </w:p>
    <w:tbl>
      <w:tblPr>
        <w:tblW w:w="9241" w:type="dxa"/>
        <w:tblCellMar>
          <w:left w:w="0" w:type="dxa"/>
          <w:right w:w="0" w:type="dxa"/>
        </w:tblCellMar>
        <w:tblLook w:val="04A0" w:firstRow="1" w:lastRow="0" w:firstColumn="1" w:lastColumn="0" w:noHBand="0" w:noVBand="1"/>
      </w:tblPr>
      <w:tblGrid>
        <w:gridCol w:w="827"/>
        <w:gridCol w:w="1323"/>
        <w:gridCol w:w="542"/>
        <w:gridCol w:w="1610"/>
        <w:gridCol w:w="1019"/>
        <w:gridCol w:w="770"/>
        <w:gridCol w:w="714"/>
        <w:gridCol w:w="819"/>
        <w:gridCol w:w="602"/>
        <w:gridCol w:w="1015"/>
      </w:tblGrid>
      <w:tr w:rsidR="00E91B53" w:rsidRPr="00166B24" w14:paraId="2E95D7CF" w14:textId="77777777" w:rsidTr="00E91B53">
        <w:trPr>
          <w:trHeight w:val="449"/>
        </w:trPr>
        <w:tc>
          <w:tcPr>
            <w:tcW w:w="647" w:type="dxa"/>
            <w:vMerge w:val="restart"/>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B30CB0E"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Działanie</w:t>
            </w:r>
          </w:p>
        </w:tc>
        <w:tc>
          <w:tcPr>
            <w:tcW w:w="1414" w:type="dxa"/>
            <w:vMerge w:val="restar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9EAA557"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Całkowity przydział na poziomie działania (orientacyjnie)</w:t>
            </w:r>
          </w:p>
        </w:tc>
        <w:tc>
          <w:tcPr>
            <w:tcW w:w="2477" w:type="dxa"/>
            <w:gridSpan w:val="2"/>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9D5B880"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Wskaźnik</w:t>
            </w:r>
          </w:p>
        </w:tc>
        <w:tc>
          <w:tcPr>
            <w:tcW w:w="989" w:type="dxa"/>
            <w:vMerge w:val="restar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713BB53" w14:textId="4C946C7A" w:rsidR="00E91B53" w:rsidRPr="00166B24" w:rsidRDefault="009D594A">
            <w:pPr>
              <w:pStyle w:val="NormalnyWeb"/>
              <w:spacing w:after="160" w:line="252" w:lineRule="auto"/>
              <w:jc w:val="center"/>
              <w:rPr>
                <w:rFonts w:ascii="Calibri" w:hAnsi="Calibri"/>
                <w:sz w:val="22"/>
                <w:szCs w:val="22"/>
              </w:rPr>
            </w:pPr>
            <w:r>
              <w:rPr>
                <w:rFonts w:ascii="Calibri" w:hAnsi="Calibri"/>
                <w:b/>
                <w:bCs/>
                <w:sz w:val="16"/>
                <w:szCs w:val="16"/>
              </w:rPr>
              <w:t>Jednostka</w:t>
            </w:r>
            <w:r w:rsidR="00E91B53">
              <w:rPr>
                <w:rFonts w:ascii="Calibri" w:hAnsi="Calibri"/>
                <w:b/>
                <w:bCs/>
                <w:sz w:val="16"/>
                <w:szCs w:val="16"/>
              </w:rPr>
              <w:t xml:space="preserve"> pomiaru</w:t>
            </w:r>
          </w:p>
        </w:tc>
        <w:tc>
          <w:tcPr>
            <w:tcW w:w="1137" w:type="dxa"/>
            <w:gridSpan w:val="2"/>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B063B29"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Punkt odniesienia</w:t>
            </w:r>
          </w:p>
        </w:tc>
        <w:tc>
          <w:tcPr>
            <w:tcW w:w="887" w:type="dxa"/>
            <w:vMerge w:val="restar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9189632"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Kamień milowy 2024</w:t>
            </w:r>
          </w:p>
        </w:tc>
        <w:tc>
          <w:tcPr>
            <w:tcW w:w="643" w:type="dxa"/>
            <w:vMerge w:val="restar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F46D134"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Cel 2029 r.</w:t>
            </w:r>
          </w:p>
        </w:tc>
        <w:tc>
          <w:tcPr>
            <w:tcW w:w="1047"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5AD4BE50"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Dziedzina interwencji</w:t>
            </w:r>
          </w:p>
        </w:tc>
      </w:tr>
      <w:tr w:rsidR="00E91B53" w:rsidRPr="00166B24" w14:paraId="62C725FF" w14:textId="77777777" w:rsidTr="00E91B53">
        <w:tc>
          <w:tcPr>
            <w:tcW w:w="0" w:type="auto"/>
            <w:vMerge/>
            <w:tcBorders>
              <w:top w:val="single" w:sz="8" w:space="0" w:color="auto"/>
              <w:left w:val="single" w:sz="8" w:space="0" w:color="auto"/>
              <w:bottom w:val="single" w:sz="8" w:space="0" w:color="auto"/>
              <w:right w:val="single" w:sz="8" w:space="0" w:color="auto"/>
            </w:tcBorders>
            <w:vAlign w:val="center"/>
            <w:hideMark/>
          </w:tcPr>
          <w:p w14:paraId="4584E462" w14:textId="77777777" w:rsidR="00E91B53" w:rsidRPr="00166B24" w:rsidRDefault="00E91B53">
            <w:pPr>
              <w:rPr>
                <w:rFonts w:ascii="Calibri" w:hAnsi="Calibri"/>
              </w:rPr>
            </w:pPr>
          </w:p>
        </w:tc>
        <w:tc>
          <w:tcPr>
            <w:tcW w:w="0" w:type="auto"/>
            <w:vMerge/>
            <w:tcBorders>
              <w:top w:val="single" w:sz="8" w:space="0" w:color="auto"/>
              <w:left w:val="nil"/>
              <w:bottom w:val="single" w:sz="8" w:space="0" w:color="auto"/>
              <w:right w:val="single" w:sz="8" w:space="0" w:color="auto"/>
            </w:tcBorders>
            <w:vAlign w:val="center"/>
            <w:hideMark/>
          </w:tcPr>
          <w:p w14:paraId="163A68AF" w14:textId="77777777" w:rsidR="00E91B53" w:rsidRPr="00166B24" w:rsidRDefault="00E91B53">
            <w:pPr>
              <w:rPr>
                <w:rFonts w:ascii="Calibri" w:hAnsi="Calibri"/>
              </w:rPr>
            </w:pPr>
          </w:p>
        </w:tc>
        <w:tc>
          <w:tcPr>
            <w:tcW w:w="554"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9CEB653"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Kod</w:t>
            </w:r>
          </w:p>
        </w:tc>
        <w:tc>
          <w:tcPr>
            <w:tcW w:w="1923"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6A356332"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Nazwa</w:t>
            </w:r>
          </w:p>
        </w:tc>
        <w:tc>
          <w:tcPr>
            <w:tcW w:w="0" w:type="auto"/>
            <w:vMerge/>
            <w:tcBorders>
              <w:top w:val="single" w:sz="8" w:space="0" w:color="auto"/>
              <w:left w:val="nil"/>
              <w:bottom w:val="single" w:sz="8" w:space="0" w:color="auto"/>
              <w:right w:val="single" w:sz="8" w:space="0" w:color="auto"/>
            </w:tcBorders>
            <w:vAlign w:val="center"/>
            <w:hideMark/>
          </w:tcPr>
          <w:p w14:paraId="1D2B5539" w14:textId="77777777" w:rsidR="00E91B53" w:rsidRPr="00166B24" w:rsidRDefault="00E91B53">
            <w:pPr>
              <w:rPr>
                <w:rFonts w:ascii="Calibri" w:hAnsi="Calibri"/>
              </w:rPr>
            </w:pPr>
          </w:p>
        </w:tc>
        <w:tc>
          <w:tcPr>
            <w:tcW w:w="59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2271404E"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Wartość</w:t>
            </w:r>
          </w:p>
        </w:tc>
        <w:tc>
          <w:tcPr>
            <w:tcW w:w="541"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6DBCA695"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Rok</w:t>
            </w:r>
          </w:p>
        </w:tc>
        <w:tc>
          <w:tcPr>
            <w:tcW w:w="0" w:type="auto"/>
            <w:vMerge/>
            <w:tcBorders>
              <w:top w:val="single" w:sz="8" w:space="0" w:color="auto"/>
              <w:left w:val="nil"/>
              <w:bottom w:val="single" w:sz="8" w:space="0" w:color="auto"/>
              <w:right w:val="single" w:sz="8" w:space="0" w:color="auto"/>
            </w:tcBorders>
            <w:vAlign w:val="center"/>
            <w:hideMark/>
          </w:tcPr>
          <w:p w14:paraId="794F8F72" w14:textId="77777777" w:rsidR="00E91B53" w:rsidRPr="00166B24" w:rsidRDefault="00E91B53">
            <w:pPr>
              <w:rPr>
                <w:rFonts w:ascii="Calibri" w:hAnsi="Calibri"/>
              </w:rPr>
            </w:pPr>
          </w:p>
        </w:tc>
        <w:tc>
          <w:tcPr>
            <w:tcW w:w="0" w:type="auto"/>
            <w:vMerge/>
            <w:tcBorders>
              <w:top w:val="single" w:sz="8" w:space="0" w:color="auto"/>
              <w:left w:val="nil"/>
              <w:bottom w:val="single" w:sz="8" w:space="0" w:color="auto"/>
              <w:right w:val="single" w:sz="8" w:space="0" w:color="auto"/>
            </w:tcBorders>
            <w:vAlign w:val="center"/>
            <w:hideMark/>
          </w:tcPr>
          <w:p w14:paraId="7C3F0936" w14:textId="77777777" w:rsidR="00E91B53" w:rsidRPr="00166B24" w:rsidRDefault="00E91B53">
            <w:pPr>
              <w:rPr>
                <w:rFonts w:ascii="Calibri" w:hAnsi="Calibri"/>
              </w:rPr>
            </w:pPr>
          </w:p>
        </w:tc>
        <w:tc>
          <w:tcPr>
            <w:tcW w:w="1047"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1951661D" w14:textId="77777777" w:rsidR="00E91B53" w:rsidRPr="00166B24" w:rsidRDefault="00E91B53">
            <w:pPr>
              <w:pStyle w:val="NormalnyWeb"/>
              <w:spacing w:after="160" w:line="252" w:lineRule="auto"/>
              <w:jc w:val="center"/>
              <w:rPr>
                <w:rFonts w:ascii="Calibri" w:hAnsi="Calibri"/>
                <w:sz w:val="22"/>
                <w:szCs w:val="22"/>
              </w:rPr>
            </w:pPr>
            <w:r>
              <w:rPr>
                <w:rFonts w:ascii="Calibri" w:hAnsi="Calibri"/>
                <w:b/>
                <w:bCs/>
                <w:sz w:val="16"/>
                <w:szCs w:val="16"/>
              </w:rPr>
              <w:t>Kod i nazwa</w:t>
            </w:r>
          </w:p>
        </w:tc>
      </w:tr>
      <w:tr w:rsidR="00E91B53" w:rsidRPr="00166B24" w14:paraId="6C8181E7" w14:textId="77777777" w:rsidTr="00E91B53">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9A213"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P1</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459B5EBC" w14:textId="77777777" w:rsidR="00E91B53" w:rsidRPr="00166B24" w:rsidRDefault="00E91B53">
            <w:pPr>
              <w:rPr>
                <w:rFonts w:ascii="Times New Roman" w:eastAsia="Times New Roman" w:hAnsi="Times New Roman"/>
                <w:sz w:val="24"/>
                <w:szCs w:val="24"/>
              </w:rPr>
            </w:pPr>
            <w:r>
              <w:rPr>
                <w:sz w:val="16"/>
                <w:szCs w:val="16"/>
                <w:shd w:val="clear" w:color="auto" w:fill="FFFFFF"/>
              </w:rPr>
              <w:t>26.500.000 €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748E3619" w14:textId="77777777" w:rsidR="00E91B53" w:rsidRPr="00166B24" w:rsidRDefault="00E91B53">
            <w:pPr>
              <w:pStyle w:val="NormalnyWeb"/>
              <w:spacing w:after="160" w:line="252" w:lineRule="auto"/>
              <w:rPr>
                <w:rFonts w:ascii="Calibri" w:eastAsiaTheme="minorHAnsi" w:hAnsi="Calibri"/>
                <w:sz w:val="22"/>
                <w:szCs w:val="22"/>
              </w:rPr>
            </w:pPr>
            <w:r>
              <w:rPr>
                <w:rFonts w:ascii="Calibri" w:hAnsi="Calibri"/>
                <w:sz w:val="16"/>
                <w:szCs w:val="16"/>
              </w:rPr>
              <w:t>OI01</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EBE5B31"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Liczba działań związanych z tworzeniem dowodów terytorialnych</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14:paraId="37BD0EE3"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Liczba</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14:paraId="6AF0FB1F"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nie dotyczy</w:t>
            </w:r>
          </w:p>
        </w:tc>
        <w:tc>
          <w:tcPr>
            <w:tcW w:w="541" w:type="dxa"/>
            <w:tcBorders>
              <w:top w:val="nil"/>
              <w:left w:val="nil"/>
              <w:bottom w:val="single" w:sz="8" w:space="0" w:color="auto"/>
              <w:right w:val="single" w:sz="8" w:space="0" w:color="auto"/>
            </w:tcBorders>
            <w:tcMar>
              <w:top w:w="0" w:type="dxa"/>
              <w:left w:w="108" w:type="dxa"/>
              <w:bottom w:w="0" w:type="dxa"/>
              <w:right w:w="108" w:type="dxa"/>
            </w:tcMar>
            <w:hideMark/>
          </w:tcPr>
          <w:p w14:paraId="39DEBA3D"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nie dotyczy</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14:paraId="309B983E"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18</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5C2C5372"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105</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2B8A1CD9"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132</w:t>
            </w:r>
          </w:p>
        </w:tc>
      </w:tr>
      <w:tr w:rsidR="00E91B53" w:rsidRPr="00166B24" w14:paraId="601D67B7" w14:textId="77777777" w:rsidTr="00E91B53">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1694A"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P1</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171104CA"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7.810.000 €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02F1891C"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OI02</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725B4D7"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Liczba działań w zakresie rozwoju wiedzy</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14:paraId="4C976264"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Liczba</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14:paraId="66A66F55"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nie dotyczy</w:t>
            </w:r>
          </w:p>
        </w:tc>
        <w:tc>
          <w:tcPr>
            <w:tcW w:w="541" w:type="dxa"/>
            <w:tcBorders>
              <w:top w:val="nil"/>
              <w:left w:val="nil"/>
              <w:bottom w:val="single" w:sz="8" w:space="0" w:color="auto"/>
              <w:right w:val="single" w:sz="8" w:space="0" w:color="auto"/>
            </w:tcBorders>
            <w:tcMar>
              <w:top w:w="0" w:type="dxa"/>
              <w:left w:w="108" w:type="dxa"/>
              <w:bottom w:w="0" w:type="dxa"/>
              <w:right w:w="108" w:type="dxa"/>
            </w:tcMar>
            <w:hideMark/>
          </w:tcPr>
          <w:p w14:paraId="1A09F8B5"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nie dotyczy</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14:paraId="0B96EFA7"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20</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3874A07A"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150</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6D3D34BF"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132</w:t>
            </w:r>
          </w:p>
        </w:tc>
      </w:tr>
      <w:tr w:rsidR="00E91B53" w:rsidRPr="00166B24" w14:paraId="60A8393C" w14:textId="77777777" w:rsidTr="00686085">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0B9B6"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lastRenderedPageBreak/>
              <w:t>P1</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798159F9"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shd w:val="clear" w:color="auto" w:fill="FFFFFF"/>
              </w:rPr>
              <w:t>39.050.000 €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7265A402"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RI01</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4051D8FD"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Osoby o zwiększonym potencjale dzięki uczestnictwu w działaniach ESPON</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14:paraId="1EFE29EB"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Procent w stosunku do liczby uczestników</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14:paraId="179AE534"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0</w:t>
            </w:r>
          </w:p>
        </w:tc>
        <w:tc>
          <w:tcPr>
            <w:tcW w:w="541" w:type="dxa"/>
            <w:tcBorders>
              <w:top w:val="nil"/>
              <w:left w:val="nil"/>
              <w:bottom w:val="single" w:sz="8" w:space="0" w:color="auto"/>
              <w:right w:val="single" w:sz="8" w:space="0" w:color="auto"/>
            </w:tcBorders>
            <w:tcMar>
              <w:top w:w="0" w:type="dxa"/>
              <w:left w:w="108" w:type="dxa"/>
              <w:bottom w:w="0" w:type="dxa"/>
              <w:right w:w="108" w:type="dxa"/>
            </w:tcMar>
            <w:hideMark/>
          </w:tcPr>
          <w:p w14:paraId="2C57C4A6"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2022</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1FD618" w14:textId="77777777" w:rsidR="00E91B53" w:rsidRPr="00166B24" w:rsidRDefault="00E91B53">
            <w:pPr>
              <w:pStyle w:val="NormalnyWeb"/>
              <w:spacing w:after="160" w:line="252" w:lineRule="auto"/>
              <w:jc w:val="both"/>
              <w:rPr>
                <w:rFonts w:ascii="Calibri" w:hAnsi="Calibri"/>
                <w:sz w:val="16"/>
                <w:szCs w:val="16"/>
              </w:rPr>
            </w:pPr>
            <w:r>
              <w:rPr>
                <w:rFonts w:ascii="Calibri" w:hAnsi="Calibri"/>
                <w:sz w:val="16"/>
                <w:szCs w:val="16"/>
              </w:rPr>
              <w:t>nie dotyczy</w:t>
            </w:r>
          </w:p>
        </w:tc>
        <w:tc>
          <w:tcPr>
            <w:tcW w:w="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651CA0" w14:textId="77777777" w:rsidR="00E91B53" w:rsidRPr="00166B24" w:rsidRDefault="00E91B53">
            <w:pPr>
              <w:pStyle w:val="NormalnyWeb"/>
              <w:spacing w:after="160" w:line="252" w:lineRule="auto"/>
              <w:jc w:val="both"/>
              <w:rPr>
                <w:rFonts w:ascii="Calibri" w:hAnsi="Calibri"/>
                <w:sz w:val="16"/>
                <w:szCs w:val="16"/>
              </w:rPr>
            </w:pPr>
            <w:r>
              <w:rPr>
                <w:rFonts w:ascii="Calibri" w:hAnsi="Calibri"/>
                <w:sz w:val="16"/>
                <w:szCs w:val="16"/>
              </w:rPr>
              <w:t>75%</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50081205"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132</w:t>
            </w:r>
          </w:p>
        </w:tc>
      </w:tr>
      <w:tr w:rsidR="00E91B53" w:rsidRPr="00166B24" w14:paraId="24466E02" w14:textId="77777777" w:rsidTr="00686085">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89075"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shd w:val="clear" w:color="auto" w:fill="FFFFFF"/>
              </w:rPr>
              <w:t>P1</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4DBAB44A"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shd w:val="clear" w:color="auto" w:fill="FFFFFF"/>
              </w:rPr>
              <w:t>39.050.000 €</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0EA36848"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RI02</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DE44D20"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Uczestnicy wskazujący na potencjalne wykorzystanie wiedzy ESPON w swoich organizacjach</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14:paraId="2A6F9C98" w14:textId="77777777" w:rsidR="00E91B53" w:rsidRPr="00166B24" w:rsidRDefault="00E91B53">
            <w:pPr>
              <w:pStyle w:val="NormalnyWeb"/>
              <w:spacing w:after="160" w:line="252" w:lineRule="auto"/>
              <w:rPr>
                <w:rFonts w:ascii="Calibri" w:hAnsi="Calibri"/>
                <w:sz w:val="22"/>
                <w:szCs w:val="22"/>
              </w:rPr>
            </w:pPr>
            <w:r>
              <w:rPr>
                <w:rFonts w:ascii="Calibri" w:hAnsi="Calibri"/>
                <w:sz w:val="16"/>
                <w:szCs w:val="16"/>
              </w:rPr>
              <w:t xml:space="preserve">Procent w stosunku do liczby uczestników </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14:paraId="16D73023"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0</w:t>
            </w:r>
          </w:p>
        </w:tc>
        <w:tc>
          <w:tcPr>
            <w:tcW w:w="541" w:type="dxa"/>
            <w:tcBorders>
              <w:top w:val="nil"/>
              <w:left w:val="nil"/>
              <w:bottom w:val="single" w:sz="8" w:space="0" w:color="auto"/>
              <w:right w:val="single" w:sz="8" w:space="0" w:color="auto"/>
            </w:tcBorders>
            <w:tcMar>
              <w:top w:w="0" w:type="dxa"/>
              <w:left w:w="108" w:type="dxa"/>
              <w:bottom w:w="0" w:type="dxa"/>
              <w:right w:w="108" w:type="dxa"/>
            </w:tcMar>
            <w:hideMark/>
          </w:tcPr>
          <w:p w14:paraId="585E7C0A"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2022</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C976DB" w14:textId="77777777" w:rsidR="00E91B53" w:rsidRPr="00166B24" w:rsidRDefault="00E91B53">
            <w:pPr>
              <w:pStyle w:val="NormalnyWeb"/>
              <w:spacing w:after="160" w:line="252" w:lineRule="auto"/>
              <w:jc w:val="both"/>
              <w:rPr>
                <w:rFonts w:ascii="Calibri" w:hAnsi="Calibri"/>
                <w:sz w:val="16"/>
                <w:szCs w:val="16"/>
              </w:rPr>
            </w:pPr>
            <w:r>
              <w:rPr>
                <w:rFonts w:ascii="Calibri" w:hAnsi="Calibri"/>
                <w:sz w:val="16"/>
                <w:szCs w:val="16"/>
              </w:rPr>
              <w:t>nie dotyczy</w:t>
            </w:r>
          </w:p>
        </w:tc>
        <w:tc>
          <w:tcPr>
            <w:tcW w:w="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E186A0" w14:textId="77777777" w:rsidR="00E91B53" w:rsidRPr="00166B24" w:rsidRDefault="00E91B53">
            <w:pPr>
              <w:pStyle w:val="NormalnyWeb"/>
              <w:spacing w:after="160" w:line="252" w:lineRule="auto"/>
              <w:jc w:val="both"/>
              <w:rPr>
                <w:rFonts w:ascii="Calibri" w:hAnsi="Calibri"/>
                <w:sz w:val="16"/>
                <w:szCs w:val="16"/>
              </w:rPr>
            </w:pPr>
            <w:r>
              <w:rPr>
                <w:rFonts w:ascii="Calibri" w:hAnsi="Calibri"/>
                <w:sz w:val="16"/>
                <w:szCs w:val="16"/>
              </w:rPr>
              <w:t>50%</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78F68482" w14:textId="77777777" w:rsidR="00E91B53" w:rsidRPr="00166B24" w:rsidRDefault="00E91B53">
            <w:pPr>
              <w:pStyle w:val="NormalnyWeb"/>
              <w:spacing w:after="160" w:line="252" w:lineRule="auto"/>
              <w:jc w:val="both"/>
              <w:rPr>
                <w:rFonts w:ascii="Calibri" w:hAnsi="Calibri"/>
                <w:sz w:val="22"/>
                <w:szCs w:val="22"/>
              </w:rPr>
            </w:pPr>
            <w:r>
              <w:rPr>
                <w:rFonts w:ascii="Calibri" w:hAnsi="Calibri"/>
                <w:sz w:val="16"/>
                <w:szCs w:val="16"/>
              </w:rPr>
              <w:t>132</w:t>
            </w:r>
          </w:p>
        </w:tc>
      </w:tr>
    </w:tbl>
    <w:p w14:paraId="3CF70317" w14:textId="77777777" w:rsidR="001F4AAB" w:rsidRPr="00166B24" w:rsidRDefault="001F4AAB" w:rsidP="001558B9">
      <w:pPr>
        <w:jc w:val="both"/>
        <w:rPr>
          <w:lang w:val="en-GB"/>
        </w:rPr>
      </w:pPr>
    </w:p>
    <w:p w14:paraId="6B3E6451" w14:textId="77777777" w:rsidR="00F2123A" w:rsidRPr="00166B24" w:rsidRDefault="00F2123A" w:rsidP="00F2123A">
      <w:pPr>
        <w:pStyle w:val="Nagwek2"/>
      </w:pPr>
      <w:bookmarkStart w:id="9" w:name="_Toc79480466"/>
      <w:r>
        <w:t>Czas składania sprawozdań</w:t>
      </w:r>
      <w:bookmarkEnd w:id="9"/>
    </w:p>
    <w:p w14:paraId="539B64E5" w14:textId="327FC979" w:rsidR="00F2123A" w:rsidRPr="00166B24" w:rsidRDefault="00F2123A" w:rsidP="001558B9">
      <w:pPr>
        <w:jc w:val="both"/>
      </w:pPr>
      <w:r>
        <w:t xml:space="preserve">Wartości wskaźników </w:t>
      </w:r>
      <w:r w:rsidR="00BD01B5">
        <w:t>bazowych</w:t>
      </w:r>
      <w:r>
        <w:t xml:space="preserve"> i rezultatu będą przekazywane drogą elektroniczną do dnia 31 stycznia i 31 lipca każdego roku, zgodnie z art. CPR 37 i szablonem określonym w załączniku VII do CPR.</w:t>
      </w:r>
    </w:p>
    <w:p w14:paraId="0B7A8D92" w14:textId="77777777" w:rsidR="00F2123A" w:rsidRPr="002F59D9" w:rsidRDefault="00F2123A" w:rsidP="001558B9">
      <w:pPr>
        <w:jc w:val="both"/>
      </w:pPr>
    </w:p>
    <w:p w14:paraId="7795CE7C" w14:textId="77777777" w:rsidR="00744918" w:rsidRPr="00166B24" w:rsidRDefault="00744918" w:rsidP="00B9759F">
      <w:pPr>
        <w:pStyle w:val="Nagwek2"/>
      </w:pPr>
      <w:bookmarkStart w:id="10" w:name="_Toc79480467"/>
      <w:r>
        <w:t>Zapewnienie jakości danych</w:t>
      </w:r>
      <w:bookmarkEnd w:id="10"/>
    </w:p>
    <w:p w14:paraId="491F70F2" w14:textId="5BAE44E7" w:rsidR="00D02A3B" w:rsidRPr="00166B24" w:rsidRDefault="00D02A3B" w:rsidP="00267C73">
      <w:pPr>
        <w:jc w:val="both"/>
      </w:pPr>
      <w:r>
        <w:t xml:space="preserve">Dane dotyczące wskaźników będą przekazywane przez </w:t>
      </w:r>
      <w:r w:rsidR="009D594A">
        <w:t>EGTC</w:t>
      </w:r>
      <w:r>
        <w:t xml:space="preserve"> ESPON dwa razy w roku w kontekście oficjalnej sprawozdawczości dla Instytucji Zarządzającej. Instytucja </w:t>
      </w:r>
      <w:r w:rsidR="002276D2">
        <w:t>Z</w:t>
      </w:r>
      <w:r>
        <w:t xml:space="preserve">arządzająca zweryfikuje dane przed ich przekazaniem do KE. Dane te będą łączone z danymi zbieranymi bezpośrednio przez Instytucję Zarządzającą podczas wydarzeń organizowanych bezpośrednio przez IZ (średnio 2 wydarzenia rocznie). </w:t>
      </w:r>
    </w:p>
    <w:p w14:paraId="563CBE2B" w14:textId="479626D0" w:rsidR="00D02A3B" w:rsidRPr="00166B24" w:rsidRDefault="00D02A3B" w:rsidP="00D02A3B">
      <w:pPr>
        <w:jc w:val="both"/>
      </w:pPr>
      <w:r>
        <w:t xml:space="preserve">W odniesieniu do dwóch </w:t>
      </w:r>
      <w:r>
        <w:rPr>
          <w:b/>
        </w:rPr>
        <w:t xml:space="preserve">wskaźników </w:t>
      </w:r>
      <w:r w:rsidR="00BD01B5">
        <w:rPr>
          <w:b/>
        </w:rPr>
        <w:t>bazowych</w:t>
      </w:r>
      <w:r>
        <w:rPr>
          <w:b/>
        </w:rPr>
        <w:t>, działania</w:t>
      </w:r>
      <w:r>
        <w:t xml:space="preserve"> będą liczone na podstawie ich opisu i włączenia do Tematycznych Planów Działań lub działań horyzontalnych. Tylko w pełni wdrożone działania będą brane pod uwagę i liczone (wdrożone działania to te, dla których zatwierdzono ostateczną realizację).</w:t>
      </w:r>
    </w:p>
    <w:p w14:paraId="735851AF" w14:textId="77777777" w:rsidR="00267C73" w:rsidRPr="00166B24" w:rsidRDefault="00D02A3B" w:rsidP="00D02A3B">
      <w:pPr>
        <w:jc w:val="both"/>
      </w:pPr>
      <w:r>
        <w:t xml:space="preserve">W odniesieniu do </w:t>
      </w:r>
      <w:r>
        <w:rPr>
          <w:b/>
        </w:rPr>
        <w:t>wskaźników rezultatu</w:t>
      </w:r>
      <w:r>
        <w:t>,</w:t>
      </w:r>
      <w:r>
        <w:rPr>
          <w:b/>
        </w:rPr>
        <w:t xml:space="preserve"> wydarzenia</w:t>
      </w:r>
      <w:r>
        <w:t xml:space="preserve"> związane z rozwojem wiedzy będą rozpatrywane na podstawie ich włączenia do Tematycznych Planów Działań. Wydarzenia na poziomie programu organizowane bezpośrednio przez Instytucję Zarządzającą również będą brane pod uwagę.</w:t>
      </w:r>
    </w:p>
    <w:p w14:paraId="1E428D27" w14:textId="77777777" w:rsidR="00892C0B" w:rsidRPr="00166B24" w:rsidRDefault="00267C73" w:rsidP="00D02A3B">
      <w:pPr>
        <w:jc w:val="both"/>
      </w:pPr>
      <w:r>
        <w:t xml:space="preserve">W celu zebrania danych, uczestnicy zostaną poproszeni o zarejestrowanie się i przekazanie informacji zwrotnej za pomocą narzędzi cyfrowych, na miejscu podczas wydarzenia lub bezpośrednio po nim. </w:t>
      </w:r>
    </w:p>
    <w:p w14:paraId="7A2DDE44" w14:textId="77777777" w:rsidR="00744918" w:rsidRPr="00166B24" w:rsidRDefault="00744918" w:rsidP="00B9759F">
      <w:pPr>
        <w:pStyle w:val="Nagwek1"/>
      </w:pPr>
      <w:bookmarkStart w:id="11" w:name="_Toc79480468"/>
      <w:r>
        <w:t>Wnioski</w:t>
      </w:r>
      <w:bookmarkEnd w:id="11"/>
    </w:p>
    <w:p w14:paraId="4CB4D362" w14:textId="665BCBAF" w:rsidR="002467A9" w:rsidRPr="0056615A" w:rsidRDefault="002467A9" w:rsidP="00A30C6C">
      <w:pPr>
        <w:jc w:val="both"/>
        <w:rPr>
          <w:sz w:val="24"/>
          <w:szCs w:val="24"/>
        </w:rPr>
      </w:pPr>
      <w:r>
        <w:t xml:space="preserve">Biorąc pod uwagę, że raportowanie powinno odbywać się dwa razy w roku, ten zestaw wskaźników </w:t>
      </w:r>
      <w:r w:rsidR="00BD01B5">
        <w:t>bazowych</w:t>
      </w:r>
      <w:r>
        <w:t xml:space="preserve"> i rezultatu może najlepiej pokazać dynamikę programu, jest łatwy do zrozumienia i możliwy do kwantyfikacji w sposób efektywny kosztowo.</w:t>
      </w:r>
    </w:p>
    <w:p w14:paraId="501E3A08" w14:textId="77777777" w:rsidR="00744918" w:rsidRPr="002F59D9" w:rsidRDefault="00744918"/>
    <w:sectPr w:rsidR="00744918" w:rsidRPr="002F59D9" w:rsidSect="001D08D3">
      <w:headerReference w:type="default" r:id="rId12"/>
      <w:footerReference w:type="default" r:id="rId13"/>
      <w:pgSz w:w="11907" w:h="16840" w:code="9"/>
      <w:pgMar w:top="1440" w:right="1440" w:bottom="21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E67C" w14:textId="77777777" w:rsidR="00D7780E" w:rsidRDefault="00D7780E" w:rsidP="00744918">
      <w:pPr>
        <w:spacing w:after="0" w:line="240" w:lineRule="auto"/>
      </w:pPr>
      <w:r>
        <w:separator/>
      </w:r>
    </w:p>
  </w:endnote>
  <w:endnote w:type="continuationSeparator" w:id="0">
    <w:p w14:paraId="673FA351" w14:textId="77777777" w:rsidR="00D7780E" w:rsidRDefault="00D7780E" w:rsidP="00744918">
      <w:pPr>
        <w:spacing w:after="0" w:line="240" w:lineRule="auto"/>
      </w:pPr>
      <w:r>
        <w:continuationSeparator/>
      </w:r>
    </w:p>
  </w:endnote>
  <w:endnote w:type="continuationNotice" w:id="1">
    <w:p w14:paraId="52CA5D94" w14:textId="77777777" w:rsidR="00D7780E" w:rsidRDefault="00D77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6C3E" w14:textId="3751879B" w:rsidR="00892C0B" w:rsidRDefault="00892C0B" w:rsidP="00F07378">
    <w:pPr>
      <w:pStyle w:val="Stopka"/>
      <w:jc w:val="center"/>
    </w:pPr>
    <w:r>
      <w:fldChar w:fldCharType="begin"/>
    </w:r>
    <w:r>
      <w:instrText>PAGE   \* MERGEFORMAT</w:instrText>
    </w:r>
    <w:r>
      <w:fldChar w:fldCharType="separate"/>
    </w:r>
    <w:r w:rsidR="007F7B6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16B3D" w14:textId="77777777" w:rsidR="00D7780E" w:rsidRDefault="00D7780E" w:rsidP="00744918">
      <w:pPr>
        <w:spacing w:after="0" w:line="240" w:lineRule="auto"/>
      </w:pPr>
      <w:r>
        <w:separator/>
      </w:r>
    </w:p>
  </w:footnote>
  <w:footnote w:type="continuationSeparator" w:id="0">
    <w:p w14:paraId="43811563" w14:textId="77777777" w:rsidR="00D7780E" w:rsidRDefault="00D7780E" w:rsidP="00744918">
      <w:pPr>
        <w:spacing w:after="0" w:line="240" w:lineRule="auto"/>
      </w:pPr>
      <w:r>
        <w:continuationSeparator/>
      </w:r>
    </w:p>
  </w:footnote>
  <w:footnote w:type="continuationNotice" w:id="1">
    <w:p w14:paraId="06AA508C" w14:textId="77777777" w:rsidR="00D7780E" w:rsidRDefault="00D7780E">
      <w:pPr>
        <w:spacing w:after="0" w:line="240" w:lineRule="auto"/>
      </w:pPr>
    </w:p>
  </w:footnote>
  <w:footnote w:id="2">
    <w:p w14:paraId="7D09F6EB" w14:textId="77777777" w:rsidR="003A1903" w:rsidRPr="00F93E84" w:rsidRDefault="003A1903" w:rsidP="003A1903">
      <w:pPr>
        <w:pStyle w:val="Tekstprzypisudolnego"/>
        <w:jc w:val="both"/>
      </w:pPr>
      <w:r>
        <w:rPr>
          <w:rStyle w:val="Odwoanieprzypisudolnego"/>
        </w:rPr>
        <w:footnoteRef/>
      </w:r>
      <w:r>
        <w:t>Termin "analiza" nie jest już używany w kontekście ESPON i jest zastąpiony terminem "tworzenie dowodów", ponieważ wdrożenie analizy prowadzi do tworzenia dowodów. W tym sensie wyrażenie "tworzenie dowodów" jest bardziej odpowiednie do opisania szerszego zakresu prac związanych z ustalaniem faktów i prac analitycznych.</w:t>
      </w:r>
    </w:p>
  </w:footnote>
  <w:footnote w:id="3">
    <w:p w14:paraId="02529CEC" w14:textId="6AA1D568" w:rsidR="00D634DF" w:rsidRPr="00D634DF" w:rsidRDefault="00D634DF">
      <w:pPr>
        <w:pStyle w:val="Tekstprzypisudolnego"/>
      </w:pPr>
      <w:r>
        <w:rPr>
          <w:rStyle w:val="Odwoanieprzypisudolnego"/>
        </w:rPr>
        <w:footnoteRef/>
      </w:r>
      <w:r>
        <w:t xml:space="preserve"> </w:t>
      </w:r>
      <w:r w:rsidR="006D6030">
        <w:t>Określona została dokładna lista aktywności w tym zakresie</w:t>
      </w:r>
      <w:r>
        <w:t xml:space="preserve"> </w:t>
      </w:r>
    </w:p>
  </w:footnote>
  <w:footnote w:id="4">
    <w:p w14:paraId="365AAD7A" w14:textId="5D84F901" w:rsidR="00D634DF" w:rsidRPr="00D634DF" w:rsidRDefault="00D634DF">
      <w:pPr>
        <w:pStyle w:val="Tekstprzypisudolnego"/>
      </w:pPr>
      <w:r>
        <w:rPr>
          <w:rStyle w:val="Odwoanieprzypisudolnego"/>
        </w:rPr>
        <w:footnoteRef/>
      </w:r>
      <w:r>
        <w:t xml:space="preserve">  </w:t>
      </w:r>
      <w:r w:rsidR="006D6030">
        <w:t>Jw.</w:t>
      </w:r>
    </w:p>
  </w:footnote>
  <w:footnote w:id="5">
    <w:p w14:paraId="4FBDED73" w14:textId="77777777" w:rsidR="004369E6" w:rsidRPr="004369E6" w:rsidRDefault="004369E6" w:rsidP="005561E3">
      <w:pPr>
        <w:pStyle w:val="Tekstprzypisudolnego"/>
        <w:jc w:val="both"/>
      </w:pPr>
      <w:r>
        <w:rPr>
          <w:rStyle w:val="Odwoanieprzypisudolnego"/>
        </w:rPr>
        <w:footnoteRef/>
      </w:r>
      <w:r>
        <w:t xml:space="preserve">  Logika interwencji ESPON wymienia trzy grupy docelowe: twórcy polityki (w wąskim znaczeniu, np. politycy); podmioty wspierające politykę, takie jak urzędnicy służby cywilnej (kluczowi aktorzy stanowiący pomost pomiędzy naukowcami i politykami) oraz naukowcy i badacze.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2648" w14:textId="77777777" w:rsidR="00744918" w:rsidRDefault="00744918" w:rsidP="00F07378">
    <w:pPr>
      <w:pStyle w:val="Nagwek"/>
      <w:jc w:val="right"/>
    </w:pPr>
    <w:r>
      <w:t>Wersja 06 lipca 2021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289"/>
    <w:multiLevelType w:val="hybridMultilevel"/>
    <w:tmpl w:val="8ADA4826"/>
    <w:lvl w:ilvl="0" w:tplc="1B6A03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92020D"/>
    <w:multiLevelType w:val="hybridMultilevel"/>
    <w:tmpl w:val="B41AEC04"/>
    <w:lvl w:ilvl="0" w:tplc="1B6A0362">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800" w:hanging="72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57758"/>
    <w:multiLevelType w:val="hybridMultilevel"/>
    <w:tmpl w:val="86AE6AF8"/>
    <w:lvl w:ilvl="0" w:tplc="1B6A03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F4ECE"/>
    <w:multiLevelType w:val="hybridMultilevel"/>
    <w:tmpl w:val="390AA3F0"/>
    <w:lvl w:ilvl="0" w:tplc="5C64D1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17905"/>
    <w:multiLevelType w:val="hybridMultilevel"/>
    <w:tmpl w:val="C7300A34"/>
    <w:lvl w:ilvl="0" w:tplc="9CF62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30390"/>
    <w:multiLevelType w:val="hybridMultilevel"/>
    <w:tmpl w:val="CC440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C82600"/>
    <w:multiLevelType w:val="hybridMultilevel"/>
    <w:tmpl w:val="3726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A7F18"/>
    <w:multiLevelType w:val="hybridMultilevel"/>
    <w:tmpl w:val="D5EA0CD2"/>
    <w:lvl w:ilvl="0" w:tplc="29BEA66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D2C1B"/>
    <w:multiLevelType w:val="hybridMultilevel"/>
    <w:tmpl w:val="B3B6C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37D92"/>
    <w:multiLevelType w:val="hybridMultilevel"/>
    <w:tmpl w:val="4664C7DE"/>
    <w:lvl w:ilvl="0" w:tplc="1B6A0362">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800" w:hanging="72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F96DDB"/>
    <w:multiLevelType w:val="multilevel"/>
    <w:tmpl w:val="45C4FF4A"/>
    <w:lvl w:ilvl="0">
      <w:start w:val="1"/>
      <w:numFmt w:val="decimal"/>
      <w:lvlText w:val="%1."/>
      <w:lvlJc w:val="left"/>
      <w:pPr>
        <w:ind w:left="360" w:hanging="360"/>
      </w:pPr>
      <w:rPr>
        <w:rFonts w:asciiTheme="majorHAnsi" w:hAnsiTheme="majorHAnsi" w:cstheme="majorHAnsi" w:hint="default"/>
        <w:b/>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A67789"/>
    <w:multiLevelType w:val="hybridMultilevel"/>
    <w:tmpl w:val="A07AFFC6"/>
    <w:lvl w:ilvl="0" w:tplc="6FC676EC">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7ADE"/>
    <w:multiLevelType w:val="hybridMultilevel"/>
    <w:tmpl w:val="56A0B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152DB"/>
    <w:multiLevelType w:val="hybridMultilevel"/>
    <w:tmpl w:val="E450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215AC8"/>
    <w:multiLevelType w:val="hybridMultilevel"/>
    <w:tmpl w:val="0A387AA8"/>
    <w:lvl w:ilvl="0" w:tplc="1B6A0362">
      <w:numFmt w:val="bullet"/>
      <w:lvlText w:val="-"/>
      <w:lvlJc w:val="left"/>
      <w:pPr>
        <w:ind w:left="720" w:hanging="360"/>
      </w:pPr>
      <w:rPr>
        <w:rFonts w:ascii="Calibri" w:eastAsiaTheme="minorHAnsi" w:hAnsi="Calibri" w:cs="Calibri" w:hint="default"/>
      </w:rPr>
    </w:lvl>
    <w:lvl w:ilvl="1" w:tplc="0809000F">
      <w:start w:val="1"/>
      <w:numFmt w:val="decimal"/>
      <w:lvlText w:val="%2."/>
      <w:lvlJc w:val="left"/>
      <w:pPr>
        <w:ind w:left="1800" w:hanging="72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9770FB"/>
    <w:multiLevelType w:val="hybridMultilevel"/>
    <w:tmpl w:val="290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A287C"/>
    <w:multiLevelType w:val="hybridMultilevel"/>
    <w:tmpl w:val="9490CBA6"/>
    <w:lvl w:ilvl="0" w:tplc="6FC676EC">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A4315"/>
    <w:multiLevelType w:val="hybridMultilevel"/>
    <w:tmpl w:val="74A6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2120"/>
    <w:multiLevelType w:val="hybridMultilevel"/>
    <w:tmpl w:val="13DC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10970"/>
    <w:multiLevelType w:val="multilevel"/>
    <w:tmpl w:val="7A1CE0FC"/>
    <w:lvl w:ilvl="0">
      <w:start w:val="1"/>
      <w:numFmt w:val="decimal"/>
      <w:pStyle w:val="Nagwek1"/>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409768D"/>
    <w:multiLevelType w:val="hybridMultilevel"/>
    <w:tmpl w:val="B41049EC"/>
    <w:lvl w:ilvl="0" w:tplc="6FC676EC">
      <w:start w:val="1"/>
      <w:numFmt w:val="bullet"/>
      <w:lvlText w:val="-"/>
      <w:lvlJc w:val="left"/>
      <w:pPr>
        <w:ind w:left="1440" w:hanging="360"/>
      </w:pPr>
      <w:rPr>
        <w:rFonts w:ascii="Segoe UI" w:eastAsia="Times New Roman"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1B1DDC"/>
    <w:multiLevelType w:val="hybridMultilevel"/>
    <w:tmpl w:val="97DC6D08"/>
    <w:lvl w:ilvl="0" w:tplc="1B6A0362">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800" w:hanging="72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640B4D"/>
    <w:multiLevelType w:val="hybridMultilevel"/>
    <w:tmpl w:val="5CA0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939CE"/>
    <w:multiLevelType w:val="hybridMultilevel"/>
    <w:tmpl w:val="03DA456C"/>
    <w:lvl w:ilvl="0" w:tplc="43A8FD8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968AD"/>
    <w:multiLevelType w:val="hybridMultilevel"/>
    <w:tmpl w:val="05CE1362"/>
    <w:lvl w:ilvl="0" w:tplc="5C64D1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F24AA"/>
    <w:multiLevelType w:val="hybridMultilevel"/>
    <w:tmpl w:val="E9249926"/>
    <w:lvl w:ilvl="0" w:tplc="1B6A0362">
      <w:numFmt w:val="bullet"/>
      <w:lvlText w:val="-"/>
      <w:lvlJc w:val="left"/>
      <w:pPr>
        <w:ind w:left="720" w:hanging="360"/>
      </w:pPr>
      <w:rPr>
        <w:rFonts w:ascii="Calibri" w:eastAsiaTheme="minorHAnsi" w:hAnsi="Calibri" w:cs="Calibri" w:hint="default"/>
      </w:rPr>
    </w:lvl>
    <w:lvl w:ilvl="1" w:tplc="B6FC741E">
      <w:start w:val="4"/>
      <w:numFmt w:val="bullet"/>
      <w:lvlText w:val="•"/>
      <w:lvlJc w:val="left"/>
      <w:pPr>
        <w:ind w:left="1800" w:hanging="72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0"/>
  </w:num>
  <w:num w:numId="4">
    <w:abstractNumId w:val="18"/>
  </w:num>
  <w:num w:numId="5">
    <w:abstractNumId w:val="7"/>
  </w:num>
  <w:num w:numId="6">
    <w:abstractNumId w:val="15"/>
  </w:num>
  <w:num w:numId="7">
    <w:abstractNumId w:val="13"/>
  </w:num>
  <w:num w:numId="8">
    <w:abstractNumId w:val="11"/>
  </w:num>
  <w:num w:numId="9">
    <w:abstractNumId w:val="25"/>
  </w:num>
  <w:num w:numId="10">
    <w:abstractNumId w:val="4"/>
  </w:num>
  <w:num w:numId="11">
    <w:abstractNumId w:val="19"/>
  </w:num>
  <w:num w:numId="12">
    <w:abstractNumId w:val="17"/>
  </w:num>
  <w:num w:numId="13">
    <w:abstractNumId w:val="0"/>
  </w:num>
  <w:num w:numId="14">
    <w:abstractNumId w:val="2"/>
  </w:num>
  <w:num w:numId="15">
    <w:abstractNumId w:val="5"/>
  </w:num>
  <w:num w:numId="16">
    <w:abstractNumId w:val="23"/>
  </w:num>
  <w:num w:numId="17">
    <w:abstractNumId w:val="8"/>
  </w:num>
  <w:num w:numId="18">
    <w:abstractNumId w:val="14"/>
  </w:num>
  <w:num w:numId="19">
    <w:abstractNumId w:val="21"/>
  </w:num>
  <w:num w:numId="20">
    <w:abstractNumId w:val="9"/>
  </w:num>
  <w:num w:numId="21">
    <w:abstractNumId w:val="1"/>
  </w:num>
  <w:num w:numId="22">
    <w:abstractNumId w:val="16"/>
  </w:num>
  <w:num w:numId="23">
    <w:abstractNumId w:val="20"/>
  </w:num>
  <w:num w:numId="24">
    <w:abstractNumId w:val="3"/>
  </w:num>
  <w:num w:numId="25">
    <w:abstractNumId w:val="12"/>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zNDczNTE1MTE0tTBW0lEKTi0uzszPAykwrAUA2Wcg1SwAAAA="/>
  </w:docVars>
  <w:rsids>
    <w:rsidRoot w:val="00744918"/>
    <w:rsid w:val="00006587"/>
    <w:rsid w:val="0001017A"/>
    <w:rsid w:val="00012349"/>
    <w:rsid w:val="00031D91"/>
    <w:rsid w:val="00050337"/>
    <w:rsid w:val="000538A0"/>
    <w:rsid w:val="000557C5"/>
    <w:rsid w:val="000563EB"/>
    <w:rsid w:val="000569F2"/>
    <w:rsid w:val="00060C73"/>
    <w:rsid w:val="00066A49"/>
    <w:rsid w:val="00066FEB"/>
    <w:rsid w:val="00070371"/>
    <w:rsid w:val="00074585"/>
    <w:rsid w:val="00074BDA"/>
    <w:rsid w:val="00076BBA"/>
    <w:rsid w:val="00077DA9"/>
    <w:rsid w:val="00085607"/>
    <w:rsid w:val="000A1F8B"/>
    <w:rsid w:val="000A381D"/>
    <w:rsid w:val="000A4413"/>
    <w:rsid w:val="000A5D56"/>
    <w:rsid w:val="000B1B8D"/>
    <w:rsid w:val="000B6C77"/>
    <w:rsid w:val="000D31FD"/>
    <w:rsid w:val="000D4024"/>
    <w:rsid w:val="000D7BD6"/>
    <w:rsid w:val="000E65B0"/>
    <w:rsid w:val="000F5B77"/>
    <w:rsid w:val="00114205"/>
    <w:rsid w:val="00114F76"/>
    <w:rsid w:val="0011551E"/>
    <w:rsid w:val="00117D66"/>
    <w:rsid w:val="00120787"/>
    <w:rsid w:val="00130CDD"/>
    <w:rsid w:val="00131A5E"/>
    <w:rsid w:val="0013341E"/>
    <w:rsid w:val="0013757E"/>
    <w:rsid w:val="00137936"/>
    <w:rsid w:val="00137C3B"/>
    <w:rsid w:val="00144094"/>
    <w:rsid w:val="0014579F"/>
    <w:rsid w:val="00147AC7"/>
    <w:rsid w:val="00147FAC"/>
    <w:rsid w:val="00152C3D"/>
    <w:rsid w:val="00154690"/>
    <w:rsid w:val="001558B9"/>
    <w:rsid w:val="00161723"/>
    <w:rsid w:val="00166B24"/>
    <w:rsid w:val="0018656C"/>
    <w:rsid w:val="001869A6"/>
    <w:rsid w:val="001955E5"/>
    <w:rsid w:val="00196130"/>
    <w:rsid w:val="001A4F85"/>
    <w:rsid w:val="001A62F4"/>
    <w:rsid w:val="001B0634"/>
    <w:rsid w:val="001B2450"/>
    <w:rsid w:val="001B4D17"/>
    <w:rsid w:val="001B7789"/>
    <w:rsid w:val="001C010E"/>
    <w:rsid w:val="001C2DA2"/>
    <w:rsid w:val="001D08D3"/>
    <w:rsid w:val="001D1A08"/>
    <w:rsid w:val="001D2333"/>
    <w:rsid w:val="001D31FE"/>
    <w:rsid w:val="001D677F"/>
    <w:rsid w:val="001D7C6B"/>
    <w:rsid w:val="001E55BB"/>
    <w:rsid w:val="001F4AAB"/>
    <w:rsid w:val="001F5DC2"/>
    <w:rsid w:val="001F7C75"/>
    <w:rsid w:val="00201724"/>
    <w:rsid w:val="002221E8"/>
    <w:rsid w:val="0022239B"/>
    <w:rsid w:val="00225A18"/>
    <w:rsid w:val="002276D2"/>
    <w:rsid w:val="0023676A"/>
    <w:rsid w:val="00242A98"/>
    <w:rsid w:val="00242BF4"/>
    <w:rsid w:val="00245609"/>
    <w:rsid w:val="00246608"/>
    <w:rsid w:val="002467A9"/>
    <w:rsid w:val="00246AD7"/>
    <w:rsid w:val="00250CD5"/>
    <w:rsid w:val="00250E8F"/>
    <w:rsid w:val="00255984"/>
    <w:rsid w:val="00255C2D"/>
    <w:rsid w:val="002646DF"/>
    <w:rsid w:val="00264ECA"/>
    <w:rsid w:val="00267C73"/>
    <w:rsid w:val="0027019E"/>
    <w:rsid w:val="002756B3"/>
    <w:rsid w:val="0027754E"/>
    <w:rsid w:val="0028173F"/>
    <w:rsid w:val="00286BE1"/>
    <w:rsid w:val="00291F24"/>
    <w:rsid w:val="002A1518"/>
    <w:rsid w:val="002A4B4F"/>
    <w:rsid w:val="002A7330"/>
    <w:rsid w:val="002B53A3"/>
    <w:rsid w:val="002C112E"/>
    <w:rsid w:val="002C4A88"/>
    <w:rsid w:val="002C73FA"/>
    <w:rsid w:val="002D1181"/>
    <w:rsid w:val="002D24F4"/>
    <w:rsid w:val="002D448A"/>
    <w:rsid w:val="002D4EF6"/>
    <w:rsid w:val="002E33C9"/>
    <w:rsid w:val="002E6024"/>
    <w:rsid w:val="002E74A6"/>
    <w:rsid w:val="002F3C55"/>
    <w:rsid w:val="002F5826"/>
    <w:rsid w:val="002F59D9"/>
    <w:rsid w:val="002F7C51"/>
    <w:rsid w:val="00307552"/>
    <w:rsid w:val="003112CC"/>
    <w:rsid w:val="00311A41"/>
    <w:rsid w:val="00314B97"/>
    <w:rsid w:val="003228D8"/>
    <w:rsid w:val="003274AC"/>
    <w:rsid w:val="003305F2"/>
    <w:rsid w:val="003315EC"/>
    <w:rsid w:val="003322E9"/>
    <w:rsid w:val="00335F97"/>
    <w:rsid w:val="00343943"/>
    <w:rsid w:val="00347C90"/>
    <w:rsid w:val="003515D2"/>
    <w:rsid w:val="00353A21"/>
    <w:rsid w:val="003634E9"/>
    <w:rsid w:val="00372909"/>
    <w:rsid w:val="00387F63"/>
    <w:rsid w:val="003961CD"/>
    <w:rsid w:val="003979F3"/>
    <w:rsid w:val="00397F52"/>
    <w:rsid w:val="003A04F0"/>
    <w:rsid w:val="003A1903"/>
    <w:rsid w:val="003A341F"/>
    <w:rsid w:val="003A5090"/>
    <w:rsid w:val="003A64D3"/>
    <w:rsid w:val="003B0448"/>
    <w:rsid w:val="003B0D10"/>
    <w:rsid w:val="003B176C"/>
    <w:rsid w:val="003B211B"/>
    <w:rsid w:val="003B299D"/>
    <w:rsid w:val="003B2CB9"/>
    <w:rsid w:val="003B325A"/>
    <w:rsid w:val="003B4256"/>
    <w:rsid w:val="003B5431"/>
    <w:rsid w:val="003B54AF"/>
    <w:rsid w:val="003B7D38"/>
    <w:rsid w:val="003C2404"/>
    <w:rsid w:val="003C33EE"/>
    <w:rsid w:val="003C3450"/>
    <w:rsid w:val="003D1629"/>
    <w:rsid w:val="003D1F02"/>
    <w:rsid w:val="003D3196"/>
    <w:rsid w:val="003D7B07"/>
    <w:rsid w:val="003E1C33"/>
    <w:rsid w:val="003F136C"/>
    <w:rsid w:val="003F4B7A"/>
    <w:rsid w:val="003F76C7"/>
    <w:rsid w:val="003F7DD0"/>
    <w:rsid w:val="003F7FDD"/>
    <w:rsid w:val="004002FF"/>
    <w:rsid w:val="00400E3D"/>
    <w:rsid w:val="00404D9A"/>
    <w:rsid w:val="00405AA0"/>
    <w:rsid w:val="00412D7A"/>
    <w:rsid w:val="0041756C"/>
    <w:rsid w:val="004243C5"/>
    <w:rsid w:val="00424D3D"/>
    <w:rsid w:val="00426C10"/>
    <w:rsid w:val="00426D8F"/>
    <w:rsid w:val="00431266"/>
    <w:rsid w:val="00433039"/>
    <w:rsid w:val="004369E6"/>
    <w:rsid w:val="00442463"/>
    <w:rsid w:val="00443AC7"/>
    <w:rsid w:val="00445DB5"/>
    <w:rsid w:val="004547C1"/>
    <w:rsid w:val="004557CA"/>
    <w:rsid w:val="00456604"/>
    <w:rsid w:val="00456ED3"/>
    <w:rsid w:val="00460526"/>
    <w:rsid w:val="004625AE"/>
    <w:rsid w:val="00462C46"/>
    <w:rsid w:val="00463392"/>
    <w:rsid w:val="00465B05"/>
    <w:rsid w:val="00471A87"/>
    <w:rsid w:val="00472019"/>
    <w:rsid w:val="00472733"/>
    <w:rsid w:val="004744BB"/>
    <w:rsid w:val="0047493E"/>
    <w:rsid w:val="0048075F"/>
    <w:rsid w:val="00484D1E"/>
    <w:rsid w:val="00487DBC"/>
    <w:rsid w:val="0049345B"/>
    <w:rsid w:val="0049470A"/>
    <w:rsid w:val="004A1815"/>
    <w:rsid w:val="004B16A7"/>
    <w:rsid w:val="004C213B"/>
    <w:rsid w:val="004C44F6"/>
    <w:rsid w:val="004C6BD6"/>
    <w:rsid w:val="004C6CD3"/>
    <w:rsid w:val="004D0B51"/>
    <w:rsid w:val="004D212D"/>
    <w:rsid w:val="004D3B43"/>
    <w:rsid w:val="004D4F6D"/>
    <w:rsid w:val="004D7A2C"/>
    <w:rsid w:val="004E7990"/>
    <w:rsid w:val="004F4B6A"/>
    <w:rsid w:val="005021C5"/>
    <w:rsid w:val="005030FC"/>
    <w:rsid w:val="00506821"/>
    <w:rsid w:val="005128E0"/>
    <w:rsid w:val="00512AA2"/>
    <w:rsid w:val="0051593E"/>
    <w:rsid w:val="00521E6D"/>
    <w:rsid w:val="005250C5"/>
    <w:rsid w:val="00530B1E"/>
    <w:rsid w:val="00540A8C"/>
    <w:rsid w:val="00544B3E"/>
    <w:rsid w:val="005504FD"/>
    <w:rsid w:val="005519AB"/>
    <w:rsid w:val="00551CA8"/>
    <w:rsid w:val="00553781"/>
    <w:rsid w:val="00553A5D"/>
    <w:rsid w:val="005561E3"/>
    <w:rsid w:val="00556D2D"/>
    <w:rsid w:val="00556F6E"/>
    <w:rsid w:val="00561893"/>
    <w:rsid w:val="00562B9E"/>
    <w:rsid w:val="00563263"/>
    <w:rsid w:val="0056615A"/>
    <w:rsid w:val="0056678F"/>
    <w:rsid w:val="00586467"/>
    <w:rsid w:val="005A10E3"/>
    <w:rsid w:val="005A15AF"/>
    <w:rsid w:val="005A35D8"/>
    <w:rsid w:val="005A37FD"/>
    <w:rsid w:val="005A69AD"/>
    <w:rsid w:val="005B1C7C"/>
    <w:rsid w:val="005C1DEA"/>
    <w:rsid w:val="005C363E"/>
    <w:rsid w:val="005C7C85"/>
    <w:rsid w:val="005D3629"/>
    <w:rsid w:val="005D69BE"/>
    <w:rsid w:val="005F2CB8"/>
    <w:rsid w:val="005F39E3"/>
    <w:rsid w:val="005F40B0"/>
    <w:rsid w:val="00605F80"/>
    <w:rsid w:val="006266C0"/>
    <w:rsid w:val="00637643"/>
    <w:rsid w:val="0064678E"/>
    <w:rsid w:val="0064740F"/>
    <w:rsid w:val="0065315B"/>
    <w:rsid w:val="0065746C"/>
    <w:rsid w:val="00662E1A"/>
    <w:rsid w:val="00667859"/>
    <w:rsid w:val="00671250"/>
    <w:rsid w:val="00673335"/>
    <w:rsid w:val="00674568"/>
    <w:rsid w:val="0068215A"/>
    <w:rsid w:val="00686085"/>
    <w:rsid w:val="00690BBD"/>
    <w:rsid w:val="00697555"/>
    <w:rsid w:val="006B3DDA"/>
    <w:rsid w:val="006B60A6"/>
    <w:rsid w:val="006C1FAC"/>
    <w:rsid w:val="006C4754"/>
    <w:rsid w:val="006C4E01"/>
    <w:rsid w:val="006C5509"/>
    <w:rsid w:val="006C7F31"/>
    <w:rsid w:val="006D1D8C"/>
    <w:rsid w:val="006D1F8E"/>
    <w:rsid w:val="006D4FD4"/>
    <w:rsid w:val="006D6030"/>
    <w:rsid w:val="006D7C8C"/>
    <w:rsid w:val="006E4DE8"/>
    <w:rsid w:val="006E4EC2"/>
    <w:rsid w:val="006E74B7"/>
    <w:rsid w:val="006F40B5"/>
    <w:rsid w:val="006F4158"/>
    <w:rsid w:val="00701174"/>
    <w:rsid w:val="0070313F"/>
    <w:rsid w:val="0070364D"/>
    <w:rsid w:val="007044F5"/>
    <w:rsid w:val="00704C2E"/>
    <w:rsid w:val="007137B0"/>
    <w:rsid w:val="00713F7D"/>
    <w:rsid w:val="00727DFA"/>
    <w:rsid w:val="007306FA"/>
    <w:rsid w:val="00731F02"/>
    <w:rsid w:val="007363E5"/>
    <w:rsid w:val="00737CB6"/>
    <w:rsid w:val="0074199B"/>
    <w:rsid w:val="00744918"/>
    <w:rsid w:val="007458FA"/>
    <w:rsid w:val="00746DF1"/>
    <w:rsid w:val="00751B0E"/>
    <w:rsid w:val="007773B7"/>
    <w:rsid w:val="00781D3B"/>
    <w:rsid w:val="0078319F"/>
    <w:rsid w:val="007853B5"/>
    <w:rsid w:val="0078554C"/>
    <w:rsid w:val="00786442"/>
    <w:rsid w:val="007945C2"/>
    <w:rsid w:val="007948A9"/>
    <w:rsid w:val="0079666C"/>
    <w:rsid w:val="007A3D32"/>
    <w:rsid w:val="007B0AD9"/>
    <w:rsid w:val="007B6A68"/>
    <w:rsid w:val="007C3756"/>
    <w:rsid w:val="007D67EE"/>
    <w:rsid w:val="007E328B"/>
    <w:rsid w:val="007E38A0"/>
    <w:rsid w:val="007E3F3F"/>
    <w:rsid w:val="007E6982"/>
    <w:rsid w:val="007F7B6E"/>
    <w:rsid w:val="00800B3C"/>
    <w:rsid w:val="00802619"/>
    <w:rsid w:val="00803C86"/>
    <w:rsid w:val="0080543C"/>
    <w:rsid w:val="00806F0D"/>
    <w:rsid w:val="00813455"/>
    <w:rsid w:val="0081353F"/>
    <w:rsid w:val="00813F98"/>
    <w:rsid w:val="00815E9F"/>
    <w:rsid w:val="00827F70"/>
    <w:rsid w:val="00831F49"/>
    <w:rsid w:val="00842C35"/>
    <w:rsid w:val="008449FA"/>
    <w:rsid w:val="00845F91"/>
    <w:rsid w:val="008518B6"/>
    <w:rsid w:val="00853DC1"/>
    <w:rsid w:val="008610D7"/>
    <w:rsid w:val="00863EEE"/>
    <w:rsid w:val="008647EA"/>
    <w:rsid w:val="00864B7B"/>
    <w:rsid w:val="00865C9E"/>
    <w:rsid w:val="00871F67"/>
    <w:rsid w:val="00872823"/>
    <w:rsid w:val="008748E1"/>
    <w:rsid w:val="008816CC"/>
    <w:rsid w:val="00885A72"/>
    <w:rsid w:val="0088690F"/>
    <w:rsid w:val="00892C0B"/>
    <w:rsid w:val="00895C4A"/>
    <w:rsid w:val="00896738"/>
    <w:rsid w:val="008C274A"/>
    <w:rsid w:val="008C3542"/>
    <w:rsid w:val="008D442A"/>
    <w:rsid w:val="008E3D2A"/>
    <w:rsid w:val="008E5691"/>
    <w:rsid w:val="008F71EB"/>
    <w:rsid w:val="00901083"/>
    <w:rsid w:val="00901748"/>
    <w:rsid w:val="00901FB6"/>
    <w:rsid w:val="00902985"/>
    <w:rsid w:val="00903EB9"/>
    <w:rsid w:val="00923902"/>
    <w:rsid w:val="00923C40"/>
    <w:rsid w:val="00925177"/>
    <w:rsid w:val="00930D8A"/>
    <w:rsid w:val="0093590C"/>
    <w:rsid w:val="0094475F"/>
    <w:rsid w:val="0094577C"/>
    <w:rsid w:val="00945BF8"/>
    <w:rsid w:val="0095121B"/>
    <w:rsid w:val="00955C49"/>
    <w:rsid w:val="009570E1"/>
    <w:rsid w:val="009614B2"/>
    <w:rsid w:val="00963909"/>
    <w:rsid w:val="00972492"/>
    <w:rsid w:val="00974DB2"/>
    <w:rsid w:val="009775CE"/>
    <w:rsid w:val="0097797D"/>
    <w:rsid w:val="0098129A"/>
    <w:rsid w:val="00981EC2"/>
    <w:rsid w:val="00982605"/>
    <w:rsid w:val="00982723"/>
    <w:rsid w:val="00982C73"/>
    <w:rsid w:val="00982E6B"/>
    <w:rsid w:val="00983D0B"/>
    <w:rsid w:val="009945CF"/>
    <w:rsid w:val="00996084"/>
    <w:rsid w:val="009A13AF"/>
    <w:rsid w:val="009B3143"/>
    <w:rsid w:val="009B4559"/>
    <w:rsid w:val="009B7F57"/>
    <w:rsid w:val="009C21D2"/>
    <w:rsid w:val="009D594A"/>
    <w:rsid w:val="009E4206"/>
    <w:rsid w:val="009E7A4F"/>
    <w:rsid w:val="009F07D6"/>
    <w:rsid w:val="009F199A"/>
    <w:rsid w:val="009F5C2F"/>
    <w:rsid w:val="009F70B5"/>
    <w:rsid w:val="00A12784"/>
    <w:rsid w:val="00A16D54"/>
    <w:rsid w:val="00A24037"/>
    <w:rsid w:val="00A27032"/>
    <w:rsid w:val="00A30C6C"/>
    <w:rsid w:val="00A32157"/>
    <w:rsid w:val="00A37B37"/>
    <w:rsid w:val="00A422FE"/>
    <w:rsid w:val="00A4407F"/>
    <w:rsid w:val="00A45811"/>
    <w:rsid w:val="00A50D1C"/>
    <w:rsid w:val="00A515DB"/>
    <w:rsid w:val="00A6051A"/>
    <w:rsid w:val="00A63D51"/>
    <w:rsid w:val="00A723FD"/>
    <w:rsid w:val="00A80D5A"/>
    <w:rsid w:val="00A84A38"/>
    <w:rsid w:val="00A84D2E"/>
    <w:rsid w:val="00A85D2A"/>
    <w:rsid w:val="00A92A14"/>
    <w:rsid w:val="00AA1618"/>
    <w:rsid w:val="00AA5BD4"/>
    <w:rsid w:val="00AA614B"/>
    <w:rsid w:val="00AB0688"/>
    <w:rsid w:val="00AB7007"/>
    <w:rsid w:val="00AC44F0"/>
    <w:rsid w:val="00AC5DFA"/>
    <w:rsid w:val="00AD7533"/>
    <w:rsid w:val="00AD776C"/>
    <w:rsid w:val="00AF336D"/>
    <w:rsid w:val="00B000FB"/>
    <w:rsid w:val="00B033D9"/>
    <w:rsid w:val="00B03594"/>
    <w:rsid w:val="00B067F8"/>
    <w:rsid w:val="00B07AE0"/>
    <w:rsid w:val="00B0F2D8"/>
    <w:rsid w:val="00B1783F"/>
    <w:rsid w:val="00B2519B"/>
    <w:rsid w:val="00B253EF"/>
    <w:rsid w:val="00B26091"/>
    <w:rsid w:val="00B260D7"/>
    <w:rsid w:val="00B34A39"/>
    <w:rsid w:val="00B35CFA"/>
    <w:rsid w:val="00B416A4"/>
    <w:rsid w:val="00B41AE1"/>
    <w:rsid w:val="00B42775"/>
    <w:rsid w:val="00B45D71"/>
    <w:rsid w:val="00B473FF"/>
    <w:rsid w:val="00B502F3"/>
    <w:rsid w:val="00B51A96"/>
    <w:rsid w:val="00B51DD5"/>
    <w:rsid w:val="00B528EF"/>
    <w:rsid w:val="00B570CF"/>
    <w:rsid w:val="00B6047A"/>
    <w:rsid w:val="00B645DA"/>
    <w:rsid w:val="00B72BC3"/>
    <w:rsid w:val="00B9265B"/>
    <w:rsid w:val="00B9759F"/>
    <w:rsid w:val="00BA0E91"/>
    <w:rsid w:val="00BA3617"/>
    <w:rsid w:val="00BA4662"/>
    <w:rsid w:val="00BA751D"/>
    <w:rsid w:val="00BB239D"/>
    <w:rsid w:val="00BB23A6"/>
    <w:rsid w:val="00BB28A5"/>
    <w:rsid w:val="00BD01B5"/>
    <w:rsid w:val="00BD10FF"/>
    <w:rsid w:val="00BD2CDF"/>
    <w:rsid w:val="00BD4F86"/>
    <w:rsid w:val="00BD5333"/>
    <w:rsid w:val="00BD6C08"/>
    <w:rsid w:val="00BE6E0F"/>
    <w:rsid w:val="00BE7BE4"/>
    <w:rsid w:val="00BF7542"/>
    <w:rsid w:val="00C03DB9"/>
    <w:rsid w:val="00C048FA"/>
    <w:rsid w:val="00C12A33"/>
    <w:rsid w:val="00C15B4E"/>
    <w:rsid w:val="00C17BAC"/>
    <w:rsid w:val="00C22AB3"/>
    <w:rsid w:val="00C31023"/>
    <w:rsid w:val="00C31291"/>
    <w:rsid w:val="00C3327B"/>
    <w:rsid w:val="00C34FFE"/>
    <w:rsid w:val="00C43275"/>
    <w:rsid w:val="00C45A14"/>
    <w:rsid w:val="00C57E10"/>
    <w:rsid w:val="00C6067A"/>
    <w:rsid w:val="00C63630"/>
    <w:rsid w:val="00C63B59"/>
    <w:rsid w:val="00C675DC"/>
    <w:rsid w:val="00C67A1E"/>
    <w:rsid w:val="00C74CDF"/>
    <w:rsid w:val="00C74F8E"/>
    <w:rsid w:val="00C821CB"/>
    <w:rsid w:val="00C8367A"/>
    <w:rsid w:val="00C83BA7"/>
    <w:rsid w:val="00C85E9B"/>
    <w:rsid w:val="00C93D2F"/>
    <w:rsid w:val="00C94A34"/>
    <w:rsid w:val="00C97DC4"/>
    <w:rsid w:val="00CA1279"/>
    <w:rsid w:val="00CB04E9"/>
    <w:rsid w:val="00CB45FA"/>
    <w:rsid w:val="00CC29F6"/>
    <w:rsid w:val="00CC7588"/>
    <w:rsid w:val="00CD49F7"/>
    <w:rsid w:val="00CD5114"/>
    <w:rsid w:val="00CD6225"/>
    <w:rsid w:val="00CD7D98"/>
    <w:rsid w:val="00CE31B8"/>
    <w:rsid w:val="00CE6969"/>
    <w:rsid w:val="00CF27D3"/>
    <w:rsid w:val="00D02A3B"/>
    <w:rsid w:val="00D10F03"/>
    <w:rsid w:val="00D153AC"/>
    <w:rsid w:val="00D20558"/>
    <w:rsid w:val="00D321D4"/>
    <w:rsid w:val="00D45B6B"/>
    <w:rsid w:val="00D522DB"/>
    <w:rsid w:val="00D53426"/>
    <w:rsid w:val="00D56F5C"/>
    <w:rsid w:val="00D60549"/>
    <w:rsid w:val="00D62B2E"/>
    <w:rsid w:val="00D6336F"/>
    <w:rsid w:val="00D634DF"/>
    <w:rsid w:val="00D7780E"/>
    <w:rsid w:val="00D8327A"/>
    <w:rsid w:val="00D85A4E"/>
    <w:rsid w:val="00D948C8"/>
    <w:rsid w:val="00D94B87"/>
    <w:rsid w:val="00D94F48"/>
    <w:rsid w:val="00D957D8"/>
    <w:rsid w:val="00D97954"/>
    <w:rsid w:val="00DA0422"/>
    <w:rsid w:val="00DA27BA"/>
    <w:rsid w:val="00DA3AC6"/>
    <w:rsid w:val="00DA6397"/>
    <w:rsid w:val="00DB668E"/>
    <w:rsid w:val="00DC550C"/>
    <w:rsid w:val="00DD5952"/>
    <w:rsid w:val="00DE4A69"/>
    <w:rsid w:val="00DE7FD3"/>
    <w:rsid w:val="00DF34C7"/>
    <w:rsid w:val="00E00B7D"/>
    <w:rsid w:val="00E07851"/>
    <w:rsid w:val="00E14050"/>
    <w:rsid w:val="00E25D0D"/>
    <w:rsid w:val="00E26B5C"/>
    <w:rsid w:val="00E331EE"/>
    <w:rsid w:val="00E37B7A"/>
    <w:rsid w:val="00E439D1"/>
    <w:rsid w:val="00E45B21"/>
    <w:rsid w:val="00E470EE"/>
    <w:rsid w:val="00E619F9"/>
    <w:rsid w:val="00E64809"/>
    <w:rsid w:val="00E6744B"/>
    <w:rsid w:val="00E717CF"/>
    <w:rsid w:val="00E81E11"/>
    <w:rsid w:val="00E81FBB"/>
    <w:rsid w:val="00E8582F"/>
    <w:rsid w:val="00E90192"/>
    <w:rsid w:val="00E91B53"/>
    <w:rsid w:val="00EA258E"/>
    <w:rsid w:val="00EB08A4"/>
    <w:rsid w:val="00EB1DF1"/>
    <w:rsid w:val="00EB258C"/>
    <w:rsid w:val="00EB3CE7"/>
    <w:rsid w:val="00EB6187"/>
    <w:rsid w:val="00EC0D9F"/>
    <w:rsid w:val="00EC152D"/>
    <w:rsid w:val="00EC4561"/>
    <w:rsid w:val="00EC7F60"/>
    <w:rsid w:val="00EE08AA"/>
    <w:rsid w:val="00EE624B"/>
    <w:rsid w:val="00EF05B3"/>
    <w:rsid w:val="00EF6EDB"/>
    <w:rsid w:val="00F049A2"/>
    <w:rsid w:val="00F07378"/>
    <w:rsid w:val="00F1270E"/>
    <w:rsid w:val="00F20DAA"/>
    <w:rsid w:val="00F2123A"/>
    <w:rsid w:val="00F33A0E"/>
    <w:rsid w:val="00F33EA8"/>
    <w:rsid w:val="00F36722"/>
    <w:rsid w:val="00F40F9E"/>
    <w:rsid w:val="00F41469"/>
    <w:rsid w:val="00F63E85"/>
    <w:rsid w:val="00F65584"/>
    <w:rsid w:val="00F73FAC"/>
    <w:rsid w:val="00F8121C"/>
    <w:rsid w:val="00F8702B"/>
    <w:rsid w:val="00F87338"/>
    <w:rsid w:val="00F928F7"/>
    <w:rsid w:val="00F95440"/>
    <w:rsid w:val="00F95FDB"/>
    <w:rsid w:val="00F9704E"/>
    <w:rsid w:val="00FA0B19"/>
    <w:rsid w:val="00FA36A9"/>
    <w:rsid w:val="00FA5D88"/>
    <w:rsid w:val="00FB393E"/>
    <w:rsid w:val="00FC0A07"/>
    <w:rsid w:val="00FC0B10"/>
    <w:rsid w:val="00FC1A53"/>
    <w:rsid w:val="00FC2335"/>
    <w:rsid w:val="00FC52DA"/>
    <w:rsid w:val="00FD0787"/>
    <w:rsid w:val="00FE11E6"/>
    <w:rsid w:val="00FE50FF"/>
    <w:rsid w:val="00FE5447"/>
    <w:rsid w:val="00FE759C"/>
    <w:rsid w:val="00FE7B12"/>
    <w:rsid w:val="00FE7F5B"/>
    <w:rsid w:val="00FF50E9"/>
    <w:rsid w:val="00FF5854"/>
    <w:rsid w:val="00FF7F82"/>
    <w:rsid w:val="015115EA"/>
    <w:rsid w:val="039E4D98"/>
    <w:rsid w:val="075E8DF7"/>
    <w:rsid w:val="115BB654"/>
    <w:rsid w:val="15A7D125"/>
    <w:rsid w:val="1666522B"/>
    <w:rsid w:val="18BC9ABC"/>
    <w:rsid w:val="1985E8FA"/>
    <w:rsid w:val="19D7C98B"/>
    <w:rsid w:val="1ABA9CD2"/>
    <w:rsid w:val="1C248ABD"/>
    <w:rsid w:val="1E9D8B17"/>
    <w:rsid w:val="1E9FA31E"/>
    <w:rsid w:val="1ECB7162"/>
    <w:rsid w:val="24F1EBFE"/>
    <w:rsid w:val="278BD12B"/>
    <w:rsid w:val="29680489"/>
    <w:rsid w:val="29B7B4DA"/>
    <w:rsid w:val="2B53853B"/>
    <w:rsid w:val="2C334AD0"/>
    <w:rsid w:val="2EB6BBFE"/>
    <w:rsid w:val="321F8BC0"/>
    <w:rsid w:val="32F06CE8"/>
    <w:rsid w:val="3380D633"/>
    <w:rsid w:val="3430BAEC"/>
    <w:rsid w:val="34D58721"/>
    <w:rsid w:val="35F03CA2"/>
    <w:rsid w:val="366555F6"/>
    <w:rsid w:val="3863ECA0"/>
    <w:rsid w:val="3F083517"/>
    <w:rsid w:val="3F1E0686"/>
    <w:rsid w:val="3F200746"/>
    <w:rsid w:val="3F87BBA4"/>
    <w:rsid w:val="40A8E3C6"/>
    <w:rsid w:val="41A1488D"/>
    <w:rsid w:val="42C9422A"/>
    <w:rsid w:val="438C4A33"/>
    <w:rsid w:val="54902CB9"/>
    <w:rsid w:val="54AFB163"/>
    <w:rsid w:val="57D569AB"/>
    <w:rsid w:val="5866D5FC"/>
    <w:rsid w:val="59713A0C"/>
    <w:rsid w:val="5C665F18"/>
    <w:rsid w:val="5DB85687"/>
    <w:rsid w:val="65599D3C"/>
    <w:rsid w:val="664A1B44"/>
    <w:rsid w:val="6907D842"/>
    <w:rsid w:val="6B4D7BF3"/>
    <w:rsid w:val="6BB56D47"/>
    <w:rsid w:val="6E77C9B8"/>
    <w:rsid w:val="71A57B92"/>
    <w:rsid w:val="72487F7F"/>
    <w:rsid w:val="7348C369"/>
    <w:rsid w:val="7514125B"/>
    <w:rsid w:val="79357D8B"/>
    <w:rsid w:val="7B3F8BE0"/>
    <w:rsid w:val="7C7B5934"/>
    <w:rsid w:val="7D8C3FD8"/>
    <w:rsid w:val="7DE1887C"/>
    <w:rsid w:val="7E0B9C43"/>
    <w:rsid w:val="7F2F5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D2BB"/>
  <w15:docId w15:val="{870AF6AB-4AD6-45C3-A880-0F133311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918"/>
  </w:style>
  <w:style w:type="paragraph" w:styleId="Nagwek1">
    <w:name w:val="heading 1"/>
    <w:basedOn w:val="Normalny"/>
    <w:next w:val="Normalny"/>
    <w:link w:val="Nagwek1Znak"/>
    <w:uiPriority w:val="9"/>
    <w:qFormat/>
    <w:rsid w:val="003A1903"/>
    <w:pPr>
      <w:keepNext/>
      <w:keepLines/>
      <w:numPr>
        <w:numId w:val="1"/>
      </w:numPr>
      <w:spacing w:before="240" w:after="0"/>
      <w:outlineLvl w:val="0"/>
    </w:pPr>
    <w:rPr>
      <w:rFonts w:asciiTheme="majorHAnsi" w:eastAsia="Times New Roman" w:hAnsiTheme="majorHAnsi" w:cstheme="majorBidi"/>
      <w:b/>
      <w:sz w:val="26"/>
      <w:szCs w:val="26"/>
    </w:rPr>
  </w:style>
  <w:style w:type="paragraph" w:styleId="Nagwek2">
    <w:name w:val="heading 2"/>
    <w:basedOn w:val="Normalny"/>
    <w:next w:val="Normalny"/>
    <w:link w:val="Nagwek2Znak"/>
    <w:uiPriority w:val="9"/>
    <w:unhideWhenUsed/>
    <w:qFormat/>
    <w:rsid w:val="007449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49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44918"/>
  </w:style>
  <w:style w:type="paragraph" w:styleId="Stopka">
    <w:name w:val="footer"/>
    <w:basedOn w:val="Normalny"/>
    <w:link w:val="StopkaZnak"/>
    <w:uiPriority w:val="99"/>
    <w:unhideWhenUsed/>
    <w:rsid w:val="007449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744918"/>
  </w:style>
  <w:style w:type="paragraph" w:styleId="Tytu">
    <w:name w:val="Title"/>
    <w:basedOn w:val="Normalny"/>
    <w:next w:val="Normalny"/>
    <w:link w:val="TytuZnak"/>
    <w:uiPriority w:val="10"/>
    <w:qFormat/>
    <w:rsid w:val="007449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4918"/>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3A1903"/>
    <w:rPr>
      <w:rFonts w:asciiTheme="majorHAnsi" w:eastAsia="Times New Roman" w:hAnsiTheme="majorHAnsi" w:cstheme="majorBidi"/>
      <w:b/>
      <w:sz w:val="26"/>
      <w:szCs w:val="26"/>
      <w:lang w:val="pl-PL"/>
    </w:rPr>
  </w:style>
  <w:style w:type="character" w:customStyle="1" w:styleId="Nagwek2Znak">
    <w:name w:val="Nagłówek 2 Znak"/>
    <w:basedOn w:val="Domylnaczcionkaakapitu"/>
    <w:link w:val="Nagwek2"/>
    <w:uiPriority w:val="9"/>
    <w:rsid w:val="00744918"/>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44918"/>
    <w:pPr>
      <w:ind w:left="720"/>
      <w:contextualSpacing/>
    </w:pPr>
  </w:style>
  <w:style w:type="paragraph" w:styleId="Tekstprzypisudolnego">
    <w:name w:val="footnote text"/>
    <w:basedOn w:val="Normalny"/>
    <w:link w:val="TekstprzypisudolnegoZnak"/>
    <w:uiPriority w:val="99"/>
    <w:unhideWhenUsed/>
    <w:rsid w:val="00FE54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E5447"/>
    <w:rPr>
      <w:sz w:val="20"/>
      <w:szCs w:val="20"/>
    </w:rPr>
  </w:style>
  <w:style w:type="character" w:styleId="Odwoanieprzypisudolnego">
    <w:name w:val="footnote reference"/>
    <w:basedOn w:val="Domylnaczcionkaakapitu"/>
    <w:uiPriority w:val="99"/>
    <w:semiHidden/>
    <w:unhideWhenUsed/>
    <w:rsid w:val="00FE5447"/>
    <w:rPr>
      <w:vertAlign w:val="superscript"/>
    </w:rPr>
  </w:style>
  <w:style w:type="character" w:styleId="Odwoaniedokomentarza">
    <w:name w:val="annotation reference"/>
    <w:basedOn w:val="Domylnaczcionkaakapitu"/>
    <w:uiPriority w:val="99"/>
    <w:semiHidden/>
    <w:unhideWhenUsed/>
    <w:rsid w:val="004547C1"/>
    <w:rPr>
      <w:sz w:val="16"/>
      <w:szCs w:val="16"/>
    </w:rPr>
  </w:style>
  <w:style w:type="paragraph" w:styleId="Tekstkomentarza">
    <w:name w:val="annotation text"/>
    <w:basedOn w:val="Normalny"/>
    <w:link w:val="TekstkomentarzaZnak"/>
    <w:uiPriority w:val="99"/>
    <w:unhideWhenUsed/>
    <w:rsid w:val="004547C1"/>
    <w:pPr>
      <w:spacing w:line="240" w:lineRule="auto"/>
    </w:pPr>
    <w:rPr>
      <w:sz w:val="20"/>
      <w:szCs w:val="20"/>
    </w:rPr>
  </w:style>
  <w:style w:type="character" w:customStyle="1" w:styleId="TekstkomentarzaZnak">
    <w:name w:val="Tekst komentarza Znak"/>
    <w:basedOn w:val="Domylnaczcionkaakapitu"/>
    <w:link w:val="Tekstkomentarza"/>
    <w:uiPriority w:val="99"/>
    <w:rsid w:val="004547C1"/>
    <w:rPr>
      <w:sz w:val="20"/>
      <w:szCs w:val="20"/>
    </w:rPr>
  </w:style>
  <w:style w:type="paragraph" w:styleId="Tekstdymka">
    <w:name w:val="Balloon Text"/>
    <w:basedOn w:val="Normalny"/>
    <w:link w:val="TekstdymkaZnak"/>
    <w:uiPriority w:val="99"/>
    <w:semiHidden/>
    <w:unhideWhenUsed/>
    <w:rsid w:val="00454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47C1"/>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049A2"/>
    <w:rPr>
      <w:b/>
      <w:bCs/>
    </w:rPr>
  </w:style>
  <w:style w:type="character" w:customStyle="1" w:styleId="TematkomentarzaZnak">
    <w:name w:val="Temat komentarza Znak"/>
    <w:basedOn w:val="TekstkomentarzaZnak"/>
    <w:link w:val="Tematkomentarza"/>
    <w:uiPriority w:val="99"/>
    <w:semiHidden/>
    <w:rsid w:val="00F049A2"/>
    <w:rPr>
      <w:b/>
      <w:bCs/>
      <w:sz w:val="20"/>
      <w:szCs w:val="20"/>
    </w:rPr>
  </w:style>
  <w:style w:type="character" w:customStyle="1" w:styleId="UnresolvedMention1">
    <w:name w:val="Unresolved Mention1"/>
    <w:basedOn w:val="Domylnaczcionkaakapitu"/>
    <w:uiPriority w:val="99"/>
    <w:unhideWhenUsed/>
    <w:rsid w:val="00803C86"/>
    <w:rPr>
      <w:color w:val="605E5C"/>
      <w:shd w:val="clear" w:color="auto" w:fill="E1DFDD"/>
    </w:rPr>
  </w:style>
  <w:style w:type="character" w:customStyle="1" w:styleId="Mention1">
    <w:name w:val="Mention1"/>
    <w:basedOn w:val="Domylnaczcionkaakapitu"/>
    <w:uiPriority w:val="99"/>
    <w:unhideWhenUsed/>
    <w:rsid w:val="00803C86"/>
    <w:rPr>
      <w:color w:val="2B579A"/>
      <w:shd w:val="clear" w:color="auto" w:fill="E1DFDD"/>
    </w:rPr>
  </w:style>
  <w:style w:type="paragraph" w:styleId="Nagwekspisutreci">
    <w:name w:val="TOC Heading"/>
    <w:basedOn w:val="Nagwek1"/>
    <w:next w:val="Normalny"/>
    <w:uiPriority w:val="39"/>
    <w:unhideWhenUsed/>
    <w:qFormat/>
    <w:rsid w:val="00B9759F"/>
    <w:pPr>
      <w:numPr>
        <w:numId w:val="0"/>
      </w:numPr>
      <w:outlineLvl w:val="9"/>
    </w:pPr>
    <w:rPr>
      <w:rFonts w:eastAsiaTheme="majorEastAsia"/>
      <w:b w:val="0"/>
      <w:color w:val="2E74B5" w:themeColor="accent1" w:themeShade="BF"/>
      <w:sz w:val="32"/>
      <w:szCs w:val="32"/>
    </w:rPr>
  </w:style>
  <w:style w:type="paragraph" w:styleId="Spistreci2">
    <w:name w:val="toc 2"/>
    <w:basedOn w:val="Normalny"/>
    <w:next w:val="Normalny"/>
    <w:autoRedefine/>
    <w:uiPriority w:val="39"/>
    <w:unhideWhenUsed/>
    <w:rsid w:val="00B9759F"/>
    <w:pPr>
      <w:spacing w:after="100"/>
      <w:ind w:left="220"/>
    </w:pPr>
    <w:rPr>
      <w:rFonts w:eastAsiaTheme="minorEastAsia" w:cs="Times New Roman"/>
    </w:rPr>
  </w:style>
  <w:style w:type="paragraph" w:styleId="Spistreci1">
    <w:name w:val="toc 1"/>
    <w:basedOn w:val="Normalny"/>
    <w:next w:val="Normalny"/>
    <w:autoRedefine/>
    <w:uiPriority w:val="39"/>
    <w:unhideWhenUsed/>
    <w:rsid w:val="00B9759F"/>
    <w:pPr>
      <w:spacing w:after="100"/>
    </w:pPr>
    <w:rPr>
      <w:rFonts w:eastAsiaTheme="minorEastAsia" w:cs="Times New Roman"/>
    </w:rPr>
  </w:style>
  <w:style w:type="paragraph" w:styleId="Spistreci3">
    <w:name w:val="toc 3"/>
    <w:basedOn w:val="Normalny"/>
    <w:next w:val="Normalny"/>
    <w:autoRedefine/>
    <w:uiPriority w:val="39"/>
    <w:unhideWhenUsed/>
    <w:rsid w:val="00B9759F"/>
    <w:pPr>
      <w:spacing w:after="100"/>
      <w:ind w:left="440"/>
    </w:pPr>
    <w:rPr>
      <w:rFonts w:eastAsiaTheme="minorEastAsia" w:cs="Times New Roman"/>
    </w:rPr>
  </w:style>
  <w:style w:type="character" w:styleId="Hipercze">
    <w:name w:val="Hyperlink"/>
    <w:basedOn w:val="Domylnaczcionkaakapitu"/>
    <w:uiPriority w:val="99"/>
    <w:unhideWhenUsed/>
    <w:rsid w:val="00B9759F"/>
    <w:rPr>
      <w:color w:val="0563C1" w:themeColor="hyperlink"/>
      <w:u w:val="single"/>
    </w:rPr>
  </w:style>
  <w:style w:type="table" w:styleId="Tabela-Siatka">
    <w:name w:val="Table Grid"/>
    <w:basedOn w:val="Standardowy"/>
    <w:uiPriority w:val="59"/>
    <w:rsid w:val="001F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D24F4"/>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2F3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099">
      <w:bodyDiv w:val="1"/>
      <w:marLeft w:val="0"/>
      <w:marRight w:val="0"/>
      <w:marTop w:val="0"/>
      <w:marBottom w:val="0"/>
      <w:divBdr>
        <w:top w:val="none" w:sz="0" w:space="0" w:color="auto"/>
        <w:left w:val="none" w:sz="0" w:space="0" w:color="auto"/>
        <w:bottom w:val="none" w:sz="0" w:space="0" w:color="auto"/>
        <w:right w:val="none" w:sz="0" w:space="0" w:color="auto"/>
      </w:divBdr>
    </w:div>
    <w:div w:id="67731047">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67471003">
      <w:bodyDiv w:val="1"/>
      <w:marLeft w:val="0"/>
      <w:marRight w:val="0"/>
      <w:marTop w:val="0"/>
      <w:marBottom w:val="0"/>
      <w:divBdr>
        <w:top w:val="none" w:sz="0" w:space="0" w:color="auto"/>
        <w:left w:val="none" w:sz="0" w:space="0" w:color="auto"/>
        <w:bottom w:val="none" w:sz="0" w:space="0" w:color="auto"/>
        <w:right w:val="none" w:sz="0" w:space="0" w:color="auto"/>
      </w:divBdr>
    </w:div>
    <w:div w:id="1739396897">
      <w:bodyDiv w:val="1"/>
      <w:marLeft w:val="0"/>
      <w:marRight w:val="0"/>
      <w:marTop w:val="0"/>
      <w:marBottom w:val="0"/>
      <w:divBdr>
        <w:top w:val="none" w:sz="0" w:space="0" w:color="auto"/>
        <w:left w:val="none" w:sz="0" w:space="0" w:color="auto"/>
        <w:bottom w:val="none" w:sz="0" w:space="0" w:color="auto"/>
        <w:right w:val="none" w:sz="0" w:space="0" w:color="auto"/>
      </w:divBdr>
    </w:div>
    <w:div w:id="1742559321">
      <w:bodyDiv w:val="1"/>
      <w:marLeft w:val="0"/>
      <w:marRight w:val="0"/>
      <w:marTop w:val="0"/>
      <w:marBottom w:val="0"/>
      <w:divBdr>
        <w:top w:val="none" w:sz="0" w:space="0" w:color="auto"/>
        <w:left w:val="none" w:sz="0" w:space="0" w:color="auto"/>
        <w:bottom w:val="none" w:sz="0" w:space="0" w:color="auto"/>
        <w:right w:val="none" w:sz="0" w:space="0" w:color="auto"/>
      </w:divBdr>
    </w:div>
    <w:div w:id="2010131154">
      <w:bodyDiv w:val="1"/>
      <w:marLeft w:val="0"/>
      <w:marRight w:val="0"/>
      <w:marTop w:val="0"/>
      <w:marBottom w:val="0"/>
      <w:divBdr>
        <w:top w:val="none" w:sz="0" w:space="0" w:color="auto"/>
        <w:left w:val="none" w:sz="0" w:space="0" w:color="auto"/>
        <w:bottom w:val="none" w:sz="0" w:space="0" w:color="auto"/>
        <w:right w:val="none" w:sz="0" w:space="0" w:color="auto"/>
      </w:divBdr>
    </w:div>
    <w:div w:id="20561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C52382EAEA54D9390D8ACAED8808A" ma:contentTypeVersion="13" ma:contentTypeDescription="Create a new document." ma:contentTypeScope="" ma:versionID="7fdc15d593a5b472801279383b303caf">
  <xsd:schema xmlns:xsd="http://www.w3.org/2001/XMLSchema" xmlns:xs="http://www.w3.org/2001/XMLSchema" xmlns:p="http://schemas.microsoft.com/office/2006/metadata/properties" xmlns:ns2="b264460c-6b94-418e-95f3-3fdf4e9ab72c" xmlns:ns3="93ba97d9-6800-48fe-81bf-c413e55fe923" targetNamespace="http://schemas.microsoft.com/office/2006/metadata/properties" ma:root="true" ma:fieldsID="71f718e1479a39687945b0ca3ab0651d" ns2:_="" ns3:_="">
    <xsd:import namespace="b264460c-6b94-418e-95f3-3fdf4e9ab72c"/>
    <xsd:import namespace="93ba97d9-6800-48fe-81bf-c413e55f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460c-6b94-418e-95f3-3fdf4e9ab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a97d9-6800-48fe-81bf-c413e55fe9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507F-AE66-4B8B-B979-206A5D85D690}">
  <ds:schemaRefs>
    <ds:schemaRef ds:uri="http://schemas.microsoft.com/sharepoint/v3/contenttype/forms"/>
  </ds:schemaRefs>
</ds:datastoreItem>
</file>

<file path=customXml/itemProps2.xml><?xml version="1.0" encoding="utf-8"?>
<ds:datastoreItem xmlns:ds="http://schemas.openxmlformats.org/officeDocument/2006/customXml" ds:itemID="{FD57DCC8-75B8-4B61-8206-CCCF939AC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460c-6b94-418e-95f3-3fdf4e9ab72c"/>
    <ds:schemaRef ds:uri="93ba97d9-6800-48fe-81bf-c413e55f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31494-64AE-4245-9261-1BE235FF24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80A0CE-9C9A-41FF-9591-63982DCE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3353</Words>
  <Characters>20119</Characters>
  <Application>Microsoft Office Word</Application>
  <DocSecurity>0</DocSecurity>
  <Lines>167</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Ferrara</dc:creator>
  <cp:keywords/>
  <dc:description/>
  <cp:lastModifiedBy>Jaroslaw Morawski</cp:lastModifiedBy>
  <cp:revision>3</cp:revision>
  <dcterms:created xsi:type="dcterms:W3CDTF">2021-08-20T09:22:00Z</dcterms:created>
  <dcterms:modified xsi:type="dcterms:W3CDTF">2021-08-20T09:24:00Z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0x0101004F7C52382EAEA54D9390D8ACAED8808A</vt:lpwstr>
  </property>
</Properties>
</file>