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BB" w:rsidRPr="005360A2" w:rsidRDefault="00FF59BB" w:rsidP="00FF59BB">
      <w:pPr>
        <w:pStyle w:val="Bezodstpw"/>
        <w:spacing w:after="120"/>
        <w:jc w:val="right"/>
        <w:rPr>
          <w:rFonts w:ascii="Calibri" w:hAnsi="Calibri"/>
          <w:szCs w:val="24"/>
        </w:rPr>
      </w:pPr>
      <w:r>
        <w:rPr>
          <w:rStyle w:val="Bezodstpw"/>
          <w:rFonts w:ascii="Calibri" w:hAnsi="Calibri"/>
        </w:rPr>
        <w:t>Wersja 26 czerwca 2021 r.</w:t>
      </w:r>
    </w:p>
    <w:p w:rsidR="00FF59BB" w:rsidRDefault="00FF59BB" w:rsidP="00FF59BB">
      <w:pPr>
        <w:pStyle w:val="Bezodstpw"/>
        <w:spacing w:before="360" w:after="240"/>
        <w:contextualSpacing/>
        <w:jc w:val="center"/>
        <w:rPr>
          <w:rFonts w:ascii="Calibri" w:hAnsi="Calibri"/>
          <w:b/>
          <w:sz w:val="28"/>
          <w:szCs w:val="28"/>
        </w:rPr>
      </w:pPr>
      <w:r>
        <w:rPr>
          <w:rStyle w:val="Bezodstpw"/>
          <w:rFonts w:ascii="Calibri" w:hAnsi="Calibri"/>
          <w:b/>
          <w:sz w:val="28"/>
        </w:rPr>
        <w:t xml:space="preserve">Dokument referencyjny dotyczący programu ESPON 2030 </w:t>
      </w:r>
    </w:p>
    <w:p w:rsidR="00FF59BB" w:rsidRDefault="00ED2CEB" w:rsidP="00FF59BB">
      <w:pPr>
        <w:pStyle w:val="Bezodstpw"/>
        <w:spacing w:before="360" w:after="240"/>
        <w:contextualSpacing/>
        <w:jc w:val="center"/>
        <w:rPr>
          <w:rFonts w:ascii="Calibri" w:hAnsi="Calibri"/>
          <w:b/>
          <w:sz w:val="28"/>
          <w:szCs w:val="28"/>
        </w:rPr>
      </w:pPr>
      <w:r>
        <w:rPr>
          <w:rStyle w:val="Bezodstpw"/>
          <w:rFonts w:ascii="Calibri" w:hAnsi="Calibri"/>
          <w:b/>
          <w:sz w:val="28"/>
        </w:rPr>
        <w:t>Mechanizm Odpowiedzialności</w:t>
      </w:r>
      <w:r w:rsidR="00FF59BB">
        <w:rPr>
          <w:rStyle w:val="Bezodstpw"/>
          <w:rFonts w:ascii="Calibri" w:hAnsi="Calibri"/>
          <w:b/>
          <w:sz w:val="28"/>
        </w:rPr>
        <w:t xml:space="preserve"> dla EGTC ESPON </w:t>
      </w:r>
    </w:p>
    <w:p w:rsidR="00FF59BB" w:rsidRPr="004F1E83" w:rsidRDefault="00FF59BB" w:rsidP="00FF59BB">
      <w:pPr>
        <w:pStyle w:val="Nagwek"/>
        <w:jc w:val="center"/>
        <w:rPr>
          <w:rFonts w:ascii="Calibri" w:hAnsi="Calibri" w:cs="Calibri"/>
          <w:i/>
          <w:sz w:val="24"/>
          <w:szCs w:val="24"/>
        </w:rPr>
      </w:pPr>
      <w:r>
        <w:rPr>
          <w:rStyle w:val="Nagwek"/>
          <w:rFonts w:ascii="Calibri" w:hAnsi="Calibri"/>
          <w:i/>
          <w:sz w:val="24"/>
        </w:rPr>
        <w:t xml:space="preserve">Projekt dokumentu </w:t>
      </w:r>
    </w:p>
    <w:p w:rsidR="00FF59BB" w:rsidRPr="00672A37" w:rsidRDefault="00FF59BB" w:rsidP="00FF59BB">
      <w:pPr>
        <w:pStyle w:val="Bezodstpw"/>
        <w:spacing w:before="480" w:after="120"/>
        <w:jc w:val="both"/>
        <w:rPr>
          <w:rFonts w:ascii="Calibri" w:hAnsi="Calibri"/>
          <w:i/>
          <w:szCs w:val="24"/>
        </w:rPr>
      </w:pPr>
      <w:r>
        <w:rPr>
          <w:rStyle w:val="Bezodstpw"/>
          <w:rFonts w:ascii="Calibri" w:hAnsi="Calibri"/>
        </w:rPr>
        <w:t>Biorąc pod uwagę</w:t>
      </w:r>
    </w:p>
    <w:p w:rsidR="00FF59BB" w:rsidRPr="00636EA4" w:rsidRDefault="00FF59BB" w:rsidP="00FF59BB">
      <w:pPr>
        <w:numPr>
          <w:ilvl w:val="0"/>
          <w:numId w:val="14"/>
        </w:numPr>
        <w:autoSpaceDE w:val="0"/>
        <w:autoSpaceDN w:val="0"/>
        <w:adjustRightInd w:val="0"/>
        <w:spacing w:after="120" w:line="240" w:lineRule="auto"/>
        <w:jc w:val="both"/>
        <w:rPr>
          <w:rFonts w:ascii="Calibri" w:hAnsi="Calibri"/>
          <w:szCs w:val="24"/>
        </w:rPr>
      </w:pPr>
      <w:r>
        <w:rPr>
          <w:rStyle w:val="Normalny"/>
          <w:rFonts w:ascii="Calibri" w:hAnsi="Calibri"/>
        </w:rPr>
        <w:t>ROZPORZĄDZENIE PARLAMENTU EUROPEJSKIEGO I RADY (UE) NR 2021/1060 24/06/2021 ustanawiające wspólne przepisy dotyczące Europejskiego Funduszu Rozwoju Regionalnego, Europejskiego Funduszu Społecznego Plus, Funduszu Spójności, Funduszu Sprawiedliwe</w:t>
      </w:r>
      <w:r w:rsidR="00ED2CEB">
        <w:rPr>
          <w:rStyle w:val="Normalny"/>
          <w:rFonts w:ascii="Calibri" w:hAnsi="Calibri"/>
        </w:rPr>
        <w:t>j</w:t>
      </w:r>
      <w:r>
        <w:rPr>
          <w:rStyle w:val="Normalny"/>
          <w:rFonts w:ascii="Calibri" w:hAnsi="Calibri"/>
        </w:rPr>
        <w:t xml:space="preserve"> </w:t>
      </w:r>
      <w:r w:rsidR="00ED2CEB">
        <w:rPr>
          <w:rStyle w:val="Normalny"/>
          <w:rFonts w:ascii="Calibri" w:hAnsi="Calibri"/>
        </w:rPr>
        <w:t>Transformacji</w:t>
      </w:r>
      <w:r>
        <w:rPr>
          <w:rStyle w:val="Normalny"/>
          <w:rFonts w:ascii="Calibri" w:hAnsi="Calibri"/>
        </w:rPr>
        <w:t xml:space="preserve"> i Europejskiego Funduszu Morskiego, Rybackiego i Akwakultury oraz zasady finansowe dotyczące tych funduszy, a także Funduszu Azylu, Migracji i Integracji, Funduszu Bezpieczeństwa Wewnętrznego oraz Instrumentu Finansowego Wspierania Zarządzania Granicami i Polityki Wizowej (dalej CPR), </w:t>
      </w:r>
    </w:p>
    <w:p w:rsidR="00FF59BB" w:rsidRPr="00636EA4" w:rsidRDefault="00FF59BB" w:rsidP="00FF59BB">
      <w:pPr>
        <w:numPr>
          <w:ilvl w:val="0"/>
          <w:numId w:val="14"/>
        </w:numPr>
        <w:autoSpaceDE w:val="0"/>
        <w:autoSpaceDN w:val="0"/>
        <w:adjustRightInd w:val="0"/>
        <w:spacing w:after="120" w:line="240" w:lineRule="auto"/>
        <w:jc w:val="both"/>
        <w:rPr>
          <w:rFonts w:ascii="Calibri" w:hAnsi="Calibri"/>
          <w:szCs w:val="24"/>
        </w:rPr>
      </w:pPr>
      <w:r>
        <w:rPr>
          <w:rStyle w:val="Normalny"/>
          <w:rFonts w:ascii="Calibri" w:hAnsi="Calibri"/>
        </w:rPr>
        <w:t xml:space="preserve">ROZPORZĄDZENIE PARLAMENTU EUROPEJSKIEGO I RADY (UE) NR 2021/1058 z dnia 24 czerwca 2021 r. w sprawie Europejskiego Funduszu Rozwoju Regionalnego i Funduszu Spójności (zwane dalej rozporządzeniem w sprawie EFRR), </w:t>
      </w:r>
    </w:p>
    <w:p w:rsidR="00FF59BB" w:rsidRPr="00636EA4" w:rsidRDefault="00FF59BB" w:rsidP="00FF59BB">
      <w:pPr>
        <w:numPr>
          <w:ilvl w:val="0"/>
          <w:numId w:val="14"/>
        </w:numPr>
        <w:autoSpaceDE w:val="0"/>
        <w:autoSpaceDN w:val="0"/>
        <w:adjustRightInd w:val="0"/>
        <w:spacing w:after="120" w:line="240" w:lineRule="auto"/>
        <w:jc w:val="both"/>
        <w:rPr>
          <w:rFonts w:ascii="Calibri" w:hAnsi="Calibri"/>
          <w:szCs w:val="24"/>
        </w:rPr>
      </w:pPr>
      <w:r>
        <w:rPr>
          <w:rStyle w:val="Normalny"/>
          <w:rFonts w:ascii="Calibri" w:hAnsi="Calibri"/>
        </w:rPr>
        <w:t xml:space="preserve">ROZPORZĄDZENIE PARLAMENTU EUROPEJSKIEGO I RADY (UE) NR 2021/1059 z dnia 24 czerwca 2021 r. w sprawie przepisów szczegółowych dotyczących celu "Europejska współpraca terytorialna" (Interreg) wspieranego przez Europejski Fundusz Rozwoju Regionalnego oraz zewnętrzne instrumenty finansowe, (zwane dalej </w:t>
      </w:r>
      <w:r w:rsidR="00ED2CEB">
        <w:rPr>
          <w:rStyle w:val="Normalny"/>
          <w:rFonts w:ascii="Calibri" w:hAnsi="Calibri"/>
        </w:rPr>
        <w:t>EWT</w:t>
      </w:r>
      <w:r>
        <w:rPr>
          <w:rStyle w:val="Normalny"/>
          <w:rFonts w:ascii="Calibri" w:hAnsi="Calibri"/>
        </w:rPr>
        <w:t>),</w:t>
      </w:r>
    </w:p>
    <w:p w:rsidR="00FF59BB" w:rsidRPr="00636EA4" w:rsidRDefault="00FF59BB" w:rsidP="00FF59BB">
      <w:pPr>
        <w:numPr>
          <w:ilvl w:val="0"/>
          <w:numId w:val="14"/>
        </w:numPr>
        <w:autoSpaceDE w:val="0"/>
        <w:autoSpaceDN w:val="0"/>
        <w:adjustRightInd w:val="0"/>
        <w:spacing w:after="120" w:line="240" w:lineRule="auto"/>
        <w:jc w:val="both"/>
        <w:rPr>
          <w:rFonts w:ascii="Calibri" w:hAnsi="Calibri"/>
          <w:szCs w:val="24"/>
        </w:rPr>
      </w:pPr>
      <w:r>
        <w:rPr>
          <w:rStyle w:val="Normalny"/>
          <w:rFonts w:ascii="Calibri" w:hAnsi="Calibri"/>
        </w:rPr>
        <w:t>ROZPORZĄDZENIE PARLAMENTU EUROPEJSKIEGO I RADY 1082/2006 w sprawie Europejskiego Ugrupowania Współpracy Terytorialnej zmienione rozporządzeniem Parlamentu Europejskiego i Rady (UE) 1302/2013 z dnia 17 grudnia 2013 roku (zwane dalej rozporządzeniem w sprawie EGTC</w:t>
      </w:r>
      <w:r w:rsidR="00ED2CEB">
        <w:rPr>
          <w:rStyle w:val="Normalny"/>
          <w:rFonts w:ascii="Calibri" w:hAnsi="Calibri"/>
        </w:rPr>
        <w:t>)</w:t>
      </w:r>
      <w:r>
        <w:rPr>
          <w:rStyle w:val="Normalny"/>
          <w:rFonts w:ascii="Calibri" w:hAnsi="Calibri"/>
        </w:rPr>
        <w:t xml:space="preserve">, </w:t>
      </w:r>
    </w:p>
    <w:p w:rsidR="00FF59BB" w:rsidRPr="005360A2" w:rsidRDefault="00FF59BB" w:rsidP="00FF59BB">
      <w:pPr>
        <w:numPr>
          <w:ilvl w:val="0"/>
          <w:numId w:val="14"/>
        </w:numPr>
        <w:autoSpaceDE w:val="0"/>
        <w:autoSpaceDN w:val="0"/>
        <w:adjustRightInd w:val="0"/>
        <w:spacing w:after="120" w:line="240" w:lineRule="auto"/>
        <w:jc w:val="both"/>
        <w:rPr>
          <w:rFonts w:ascii="Calibri" w:hAnsi="Calibri"/>
          <w:bCs/>
          <w:szCs w:val="24"/>
        </w:rPr>
      </w:pPr>
      <w:r>
        <w:rPr>
          <w:rStyle w:val="Normalny"/>
          <w:rFonts w:ascii="Calibri" w:hAnsi="Calibri"/>
        </w:rPr>
        <w:t>Grand</w:t>
      </w:r>
      <w:r>
        <w:rPr>
          <w:rStyle w:val="Normalny"/>
          <w:rFonts w:ascii="Calibri" w:hAnsi="Calibri" w:cs="Calibri"/>
          <w:cs/>
        </w:rPr>
        <w:t>–</w:t>
      </w:r>
      <w:r>
        <w:rPr>
          <w:rStyle w:val="Normalny"/>
          <w:rFonts w:ascii="Calibri" w:hAnsi="Calibri"/>
        </w:rPr>
        <w:t>Duché de Luxembourg - LOI DU 19 MAI 2009 portant diverses mesures d</w:t>
      </w:r>
      <w:r>
        <w:rPr>
          <w:rStyle w:val="Normalny"/>
          <w:rFonts w:ascii="Calibri" w:hAnsi="Calibri" w:cs="Calibri"/>
          <w:cs/>
        </w:rPr>
        <w:t>’</w:t>
      </w:r>
      <w:r>
        <w:rPr>
          <w:rStyle w:val="Normalny"/>
          <w:rFonts w:ascii="Calibri" w:hAnsi="Calibri"/>
        </w:rPr>
        <w:t>application du règlement (CE) N°1082/2006 du Parlement européen et du Conseil du 5 juillet 2006 relatif à un groupement européen de coopération territoriale (GECT) - podstawa prawna EGTC w Luksemburgu,</w:t>
      </w:r>
    </w:p>
    <w:p w:rsidR="00FF59BB" w:rsidRPr="00B7360D" w:rsidRDefault="00FF59BB" w:rsidP="00FF59BB">
      <w:pPr>
        <w:pStyle w:val="Bezodstpw"/>
        <w:spacing w:after="120" w:line="276" w:lineRule="auto"/>
        <w:jc w:val="both"/>
        <w:rPr>
          <w:rFonts w:ascii="Calibri" w:hAnsi="Calibri" w:cs="Calibri"/>
        </w:rPr>
      </w:pPr>
      <w:r w:rsidRPr="00B7360D">
        <w:rPr>
          <w:rStyle w:val="Bezodstpw"/>
          <w:rFonts w:ascii="Calibri" w:hAnsi="Calibri" w:cs="Calibri"/>
        </w:rPr>
        <w:t>27 państw członkowskich UE oraz 4 państwa partnerskie (Islandia, Liechtenstein, Norwegia i Szwajcaria) współpracują w ramach programu współpracy ESPON 2030 na lata 2021-2027 (zwanego dalej "</w:t>
      </w:r>
      <w:r w:rsidRPr="00B7360D">
        <w:rPr>
          <w:rStyle w:val="Bezodstpw"/>
          <w:rFonts w:ascii="Calibri" w:hAnsi="Calibri" w:cs="Calibri"/>
          <w:u w:val="single"/>
        </w:rPr>
        <w:t>programem współpracy ESPON 2030</w:t>
      </w:r>
      <w:r w:rsidRPr="00B7360D">
        <w:rPr>
          <w:rStyle w:val="Bezodstpw"/>
          <w:rFonts w:ascii="Calibri" w:hAnsi="Calibri" w:cs="Calibri"/>
        </w:rPr>
        <w:t>").</w:t>
      </w:r>
    </w:p>
    <w:p w:rsidR="00FF59BB" w:rsidRPr="00B7360D" w:rsidRDefault="00FF59BB" w:rsidP="00FF59BB">
      <w:pPr>
        <w:pStyle w:val="Bezodstpw"/>
        <w:spacing w:after="120" w:line="276" w:lineRule="auto"/>
        <w:jc w:val="both"/>
        <w:rPr>
          <w:rFonts w:ascii="Calibri" w:hAnsi="Calibri" w:cs="Calibri"/>
        </w:rPr>
      </w:pPr>
      <w:r w:rsidRPr="00B7360D">
        <w:rPr>
          <w:rStyle w:val="Bezodstpw"/>
          <w:rFonts w:ascii="Calibri" w:hAnsi="Calibri" w:cs="Calibri"/>
        </w:rPr>
        <w:t xml:space="preserve">Zgodnie z art. 17 ust. 6 lit. c) </w:t>
      </w:r>
      <w:r w:rsidR="00ED2CEB" w:rsidRPr="00B7360D">
        <w:rPr>
          <w:rStyle w:val="Bezodstpw"/>
          <w:rFonts w:ascii="Calibri" w:hAnsi="Calibri" w:cs="Calibri"/>
        </w:rPr>
        <w:t>EWT</w:t>
      </w:r>
      <w:r w:rsidRPr="00B7360D">
        <w:rPr>
          <w:rStyle w:val="Bezodstpw"/>
          <w:rFonts w:ascii="Calibri" w:hAnsi="Calibri" w:cs="Calibri"/>
        </w:rPr>
        <w:t xml:space="preserve"> i na podstawie sekcji </w:t>
      </w:r>
      <w:r w:rsidRPr="00B7360D">
        <w:rPr>
          <w:rStyle w:val="Bezodstpw"/>
          <w:rFonts w:ascii="Calibri" w:hAnsi="Calibri" w:cs="Calibri"/>
          <w:highlight w:val="yellow"/>
        </w:rPr>
        <w:t>XX Programu Współpracy ESPON 2030</w:t>
      </w:r>
      <w:r w:rsidRPr="00B7360D">
        <w:rPr>
          <w:rStyle w:val="Bezodstpw"/>
          <w:rFonts w:ascii="Calibri" w:hAnsi="Calibri" w:cs="Calibri"/>
        </w:rPr>
        <w:t xml:space="preserve"> oraz art. 22 "Umowy między Instytucją Zarządzającą a państwami członkowskimi i krajami partnerskimi w sprawie systemu wdrażania, monitorowania i kontroli Programu Współpracy ESPON 2030" (która zostanie podpisana po zatwierdzeniu Programu Współpracy ESPON 2030), należy przedstawić szczegółowe informacje na temat sposobu wyznaczania zobowiązań uczestniczących państw członkowskich i partnerskich UE.</w:t>
      </w:r>
    </w:p>
    <w:p w:rsidR="00FF59BB" w:rsidRPr="00FB49BC" w:rsidRDefault="00FF59BB" w:rsidP="00FF59BB">
      <w:pPr>
        <w:pStyle w:val="Bezodstpw"/>
        <w:spacing w:after="120" w:line="276" w:lineRule="auto"/>
        <w:jc w:val="center"/>
        <w:rPr>
          <w:rFonts w:ascii="Calibri" w:hAnsi="Calibri" w:cs="Calibri"/>
          <w:b/>
        </w:rPr>
      </w:pPr>
      <w:r>
        <w:br w:type="page"/>
      </w:r>
      <w:r w:rsidRPr="00FB49BC">
        <w:rPr>
          <w:rStyle w:val="Bezodstpw"/>
          <w:rFonts w:ascii="Calibri" w:hAnsi="Calibri" w:cs="Calibri"/>
          <w:b/>
        </w:rPr>
        <w:lastRenderedPageBreak/>
        <w:t>Spis treści</w:t>
      </w:r>
    </w:p>
    <w:p w:rsidR="000F5792" w:rsidRPr="00FB49BC" w:rsidRDefault="00FF59BB" w:rsidP="00FB49BC">
      <w:pPr>
        <w:pStyle w:val="Spistreci1"/>
        <w:spacing w:after="80"/>
        <w:rPr>
          <w:rFonts w:ascii="Calibri" w:hAnsi="Calibri" w:cs="Calibri"/>
          <w:b w:val="0"/>
          <w:noProof/>
        </w:rPr>
      </w:pPr>
      <w:r w:rsidRPr="00FB49BC">
        <w:rPr>
          <w:rStyle w:val="Spistreci1"/>
          <w:rFonts w:ascii="Calibri" w:hAnsi="Calibri" w:cs="Calibri"/>
        </w:rPr>
        <w:fldChar w:fldCharType="begin"/>
      </w:r>
      <w:r w:rsidRPr="00FB49BC">
        <w:rPr>
          <w:rStyle w:val="Spistreci1"/>
          <w:rFonts w:ascii="Calibri" w:hAnsi="Calibri" w:cs="Calibri"/>
        </w:rPr>
        <w:instrText xml:space="preserve"> TOC \o "1-3" \h \z \u </w:instrText>
      </w:r>
      <w:r w:rsidRPr="00FB49BC">
        <w:rPr>
          <w:rStyle w:val="Spistreci1"/>
          <w:rFonts w:ascii="Calibri" w:hAnsi="Calibri" w:cs="Calibri"/>
        </w:rPr>
        <w:fldChar w:fldCharType="separate"/>
      </w:r>
      <w:hyperlink w:anchor="_Toc79480317" w:history="1">
        <w:r w:rsidR="000F5792" w:rsidRPr="00FB49BC">
          <w:rPr>
            <w:rStyle w:val="Hipercze"/>
            <w:rFonts w:ascii="Calibri" w:hAnsi="Calibri" w:cs="Calibri"/>
            <w:noProof/>
          </w:rPr>
          <w:t>SEKCJA 1: PRZEDMIOT</w:t>
        </w:r>
        <w:r w:rsidR="000F5792" w:rsidRPr="00FB49BC">
          <w:rPr>
            <w:rFonts w:ascii="Calibri" w:hAnsi="Calibri" w:cs="Calibri"/>
            <w:noProof/>
            <w:webHidden/>
          </w:rPr>
          <w:tab/>
        </w:r>
        <w:r w:rsidR="000F5792" w:rsidRPr="00FB49BC">
          <w:rPr>
            <w:rFonts w:ascii="Calibri" w:hAnsi="Calibri" w:cs="Calibri"/>
            <w:noProof/>
            <w:webHidden/>
          </w:rPr>
          <w:fldChar w:fldCharType="begin"/>
        </w:r>
        <w:r w:rsidR="000F5792" w:rsidRPr="00FB49BC">
          <w:rPr>
            <w:rFonts w:ascii="Calibri" w:hAnsi="Calibri" w:cs="Calibri"/>
            <w:noProof/>
            <w:webHidden/>
          </w:rPr>
          <w:instrText xml:space="preserve"> PAGEREF _Toc79480317 \h </w:instrText>
        </w:r>
        <w:r w:rsidR="000F5792" w:rsidRPr="00FB49BC">
          <w:rPr>
            <w:rFonts w:ascii="Calibri" w:hAnsi="Calibri" w:cs="Calibri"/>
            <w:noProof/>
            <w:webHidden/>
          </w:rPr>
        </w:r>
        <w:r w:rsidR="000F5792" w:rsidRPr="00FB49BC">
          <w:rPr>
            <w:rFonts w:ascii="Calibri" w:hAnsi="Calibri" w:cs="Calibri"/>
            <w:noProof/>
            <w:webHidden/>
          </w:rPr>
          <w:fldChar w:fldCharType="separate"/>
        </w:r>
        <w:r w:rsidR="00226A49">
          <w:rPr>
            <w:rFonts w:ascii="Calibri" w:hAnsi="Calibri" w:cs="Calibri"/>
            <w:noProof/>
            <w:webHidden/>
          </w:rPr>
          <w:t>3</w:t>
        </w:r>
        <w:r w:rsidR="000F5792"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18" w:history="1">
        <w:r w:rsidRPr="00FB49BC">
          <w:rPr>
            <w:rStyle w:val="Hipercze"/>
            <w:rFonts w:ascii="Calibri" w:hAnsi="Calibri" w:cs="Calibri"/>
            <w:noProof/>
          </w:rPr>
          <w:t>1.1 - SZCZEGÓLNY PRZYPADEK ESPON</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_Toc79480318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3</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19" w:history="1">
        <w:r w:rsidRPr="00FB49BC">
          <w:rPr>
            <w:rStyle w:val="Hipercze"/>
            <w:rFonts w:ascii="Calibri" w:hAnsi="Calibri" w:cs="Calibri"/>
            <w:noProof/>
          </w:rPr>
          <w:t xml:space="preserve">1.2 - </w:t>
        </w:r>
        <w:r w:rsidR="00ED2CEB" w:rsidRPr="00B7360D">
          <w:rPr>
            <w:rStyle w:val="Hipercze"/>
            <w:rFonts w:ascii="Calibri" w:hAnsi="Calibri" w:cs="Calibri"/>
            <w:noProof/>
          </w:rPr>
          <w:t>MECHANIZM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_Toc79480319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3</w:t>
        </w:r>
        <w:r w:rsidRPr="00FB49BC">
          <w:rPr>
            <w:rFonts w:ascii="Calibri" w:hAnsi="Calibri" w:cs="Calibri"/>
            <w:noProof/>
            <w:webHidden/>
          </w:rPr>
          <w:fldChar w:fldCharType="end"/>
        </w:r>
      </w:hyperlink>
    </w:p>
    <w:p w:rsidR="000F5792" w:rsidRPr="00FB49BC" w:rsidRDefault="000F5792" w:rsidP="00FB49BC">
      <w:pPr>
        <w:pStyle w:val="Spistreci1"/>
        <w:spacing w:after="80"/>
        <w:rPr>
          <w:rFonts w:ascii="Calibri" w:hAnsi="Calibri" w:cs="Calibri"/>
          <w:b w:val="0"/>
          <w:noProof/>
        </w:rPr>
      </w:pPr>
      <w:hyperlink w:anchor="_Toc79480320" w:history="1">
        <w:r w:rsidRPr="00FB49BC">
          <w:rPr>
            <w:rStyle w:val="Hipercze"/>
            <w:rFonts w:ascii="Calibri" w:hAnsi="Calibri" w:cs="Calibri"/>
            <w:noProof/>
          </w:rPr>
          <w:t>SEKCJA 2: DEFINICJE</w:t>
        </w:r>
        <w:bookmarkStart w:id="0" w:name="_GoBack"/>
        <w:bookmarkEnd w:id="0"/>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_Toc79480320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3</w:t>
        </w:r>
        <w:r w:rsidRPr="00FB49BC">
          <w:rPr>
            <w:rFonts w:ascii="Calibri" w:hAnsi="Calibri" w:cs="Calibri"/>
            <w:noProof/>
            <w:webHidden/>
          </w:rPr>
          <w:fldChar w:fldCharType="end"/>
        </w:r>
      </w:hyperlink>
    </w:p>
    <w:p w:rsidR="000F5792" w:rsidRPr="00FB49BC" w:rsidRDefault="000F5792" w:rsidP="00FB49BC">
      <w:pPr>
        <w:pStyle w:val="Spistreci1"/>
        <w:spacing w:after="80"/>
        <w:rPr>
          <w:rFonts w:ascii="Calibri" w:hAnsi="Calibri" w:cs="Calibri"/>
          <w:b w:val="0"/>
          <w:noProof/>
        </w:rPr>
      </w:pPr>
      <w:hyperlink w:anchor="_Toc79480321" w:history="1">
        <w:r w:rsidRPr="00FB49BC">
          <w:rPr>
            <w:rStyle w:val="Hipercze"/>
            <w:rFonts w:ascii="Calibri" w:hAnsi="Calibri" w:cs="Calibri"/>
            <w:noProof/>
          </w:rPr>
          <w:t xml:space="preserve">SEKCJA 3: SZCZEGÓLNY KONTEKST, CEL I GŁÓWNE ELEMENTY </w:t>
        </w:r>
        <w:r w:rsidR="00ED2CEB" w:rsidRPr="00B7360D">
          <w:rPr>
            <w:rStyle w:val="Hipercze"/>
            <w:rFonts w:ascii="Calibri" w:hAnsi="Calibri" w:cs="Calibri"/>
            <w:noProof/>
          </w:rPr>
          <w:t>MECHANIZMU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_Toc79480321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4</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22" w:history="1">
        <w:r w:rsidRPr="00FB49BC">
          <w:rPr>
            <w:rStyle w:val="Hipercze"/>
            <w:rFonts w:ascii="Calibri" w:hAnsi="Calibri" w:cs="Calibri"/>
            <w:noProof/>
          </w:rPr>
          <w:t>3.1 - POKRYCIE WYDATKÓW NIEKWALIFIKOWALNYCH - PRZYPADKI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_Toc79480322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4</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23" w:history="1">
        <w:r w:rsidRPr="00FB49BC">
          <w:rPr>
            <w:rStyle w:val="Hipercze"/>
            <w:rFonts w:ascii="Calibri" w:hAnsi="Calibri" w:cs="Calibri"/>
            <w:noProof/>
          </w:rPr>
          <w:t>3.2 - ZOBOWIĄZANIA W RAMACH PROGRAMU WSPÓŁPRACY ESPON 2030 ZWIĄZANE Z ESPON EGTC</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_Toc79480323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5</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24" w:history="1">
        <w:r w:rsidRPr="00FB49BC">
          <w:rPr>
            <w:rStyle w:val="Hipercze"/>
            <w:rFonts w:ascii="Calibri" w:hAnsi="Calibri" w:cs="Calibri"/>
            <w:noProof/>
          </w:rPr>
          <w:t>3.3 - ODPOWIEDZIALNOŚĆ CZŁONKÓW EGTC ESPON</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_Toc79480324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5</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25" w:history="1">
        <w:r w:rsidRPr="00FB49BC">
          <w:rPr>
            <w:rStyle w:val="Hipercze"/>
            <w:rFonts w:ascii="Calibri" w:hAnsi="Calibri" w:cs="Calibri"/>
            <w:noProof/>
          </w:rPr>
          <w:t xml:space="preserve">3.4 - CEL </w:t>
        </w:r>
        <w:r w:rsidR="00ED2CEB" w:rsidRPr="00B7360D">
          <w:rPr>
            <w:rStyle w:val="Hipercze"/>
            <w:rFonts w:ascii="Calibri" w:hAnsi="Calibri" w:cs="Calibri"/>
            <w:noProof/>
          </w:rPr>
          <w:t>MECHANIZMU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_Toc79480325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5</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26" w:history="1">
        <w:r w:rsidRPr="00FB49BC">
          <w:rPr>
            <w:rStyle w:val="Hipercze"/>
            <w:rFonts w:ascii="Calibri" w:hAnsi="Calibri" w:cs="Calibri"/>
            <w:noProof/>
          </w:rPr>
          <w:t xml:space="preserve">3.5 - GŁÓWNE ELEMENTY </w:t>
        </w:r>
        <w:r w:rsidR="00ED2CEB" w:rsidRPr="00B7360D">
          <w:rPr>
            <w:rStyle w:val="Hipercze"/>
            <w:rFonts w:ascii="Calibri" w:hAnsi="Calibri" w:cs="Calibri"/>
            <w:noProof/>
          </w:rPr>
          <w:t>MECHANIZMU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_Toc79480326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5</w:t>
        </w:r>
        <w:r w:rsidRPr="00FB49BC">
          <w:rPr>
            <w:rFonts w:ascii="Calibri" w:hAnsi="Calibri" w:cs="Calibri"/>
            <w:noProof/>
            <w:webHidden/>
          </w:rPr>
          <w:fldChar w:fldCharType="end"/>
        </w:r>
      </w:hyperlink>
    </w:p>
    <w:p w:rsidR="000F5792" w:rsidRPr="00FB49BC" w:rsidRDefault="000F5792" w:rsidP="00FB49BC">
      <w:pPr>
        <w:pStyle w:val="Spistreci1"/>
        <w:spacing w:after="80"/>
        <w:rPr>
          <w:rFonts w:ascii="Calibri" w:hAnsi="Calibri" w:cs="Calibri"/>
          <w:b w:val="0"/>
          <w:noProof/>
        </w:rPr>
      </w:pPr>
      <w:hyperlink w:anchor="_Toc79480327" w:history="1">
        <w:r w:rsidRPr="00FB49BC">
          <w:rPr>
            <w:rStyle w:val="Hipercze"/>
            <w:rFonts w:ascii="Calibri" w:hAnsi="Calibri" w:cs="Calibri"/>
            <w:noProof/>
          </w:rPr>
          <w:t>SEKCJA 4: SZCZEGÓŁOWE PRZEPISY STATUTOWE I OPERACYJNE DOTYCZĄCE ESPON EGTC</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_Toc79480327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6</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28" w:history="1">
        <w:r w:rsidRPr="00FB49BC">
          <w:rPr>
            <w:rStyle w:val="Hipercze"/>
            <w:rFonts w:ascii="Calibri" w:hAnsi="Calibri" w:cs="Calibri"/>
            <w:noProof/>
          </w:rPr>
          <w:t>4.1 - PRZEPISY OPERACYJNE DOTYCZĄCE ZAPOBIEGANIA RYZYKU W CELU ZMINIMALIZOWANIA PRZYPADKÓW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_Toc79480328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6</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29" w:history="1">
        <w:r w:rsidRPr="00FB49BC">
          <w:rPr>
            <w:rStyle w:val="Hipercze"/>
            <w:rFonts w:ascii="Calibri" w:hAnsi="Calibri" w:cs="Calibri"/>
            <w:noProof/>
          </w:rPr>
          <w:t>4.2 - PRZEPISY DOTYCZĄCE "KOMITETU KONSULTACYJNEGO" EUROPEJSKIEGO UGRUPOWANIA WSPÓŁPRACY TERYTORIALNEJ ESPON EGTC</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_Toc79480329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7</w:t>
        </w:r>
        <w:r w:rsidRPr="00FB49BC">
          <w:rPr>
            <w:rFonts w:ascii="Calibri" w:hAnsi="Calibri" w:cs="Calibri"/>
            <w:noProof/>
            <w:webHidden/>
          </w:rPr>
          <w:fldChar w:fldCharType="end"/>
        </w:r>
      </w:hyperlink>
    </w:p>
    <w:p w:rsidR="000F5792" w:rsidRPr="00FB49BC" w:rsidRDefault="000F5792" w:rsidP="00FB49BC">
      <w:pPr>
        <w:pStyle w:val="Spistreci1"/>
        <w:spacing w:after="80"/>
        <w:rPr>
          <w:rFonts w:ascii="Calibri" w:hAnsi="Calibri" w:cs="Calibri"/>
          <w:b w:val="0"/>
          <w:noProof/>
        </w:rPr>
      </w:pPr>
      <w:hyperlink w:anchor="_Toc79480330" w:history="1">
        <w:r w:rsidRPr="00FB49BC">
          <w:rPr>
            <w:rStyle w:val="Hipercze"/>
            <w:rFonts w:ascii="Calibri" w:hAnsi="Calibri" w:cs="Calibri"/>
            <w:noProof/>
          </w:rPr>
          <w:t>SEKCJA 5: BUDŻET CAŁKOWITY I WKŁADY PAŃSTW CZŁONKOWSKICH</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_Toc79480330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7</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31" w:history="1">
        <w:r w:rsidRPr="00FB49BC">
          <w:rPr>
            <w:rStyle w:val="Hipercze"/>
            <w:rFonts w:ascii="Calibri" w:hAnsi="Calibri" w:cs="Calibri"/>
            <w:noProof/>
          </w:rPr>
          <w:t xml:space="preserve">5.1 - WSPÓLNE I OGRANICZONE FINANSOWANIE </w:t>
        </w:r>
        <w:r w:rsidR="00ED2CEB" w:rsidRPr="00B7360D">
          <w:rPr>
            <w:rStyle w:val="Hipercze"/>
            <w:rFonts w:ascii="Calibri" w:hAnsi="Calibri" w:cs="Calibri"/>
            <w:noProof/>
          </w:rPr>
          <w:t>MECHANIZMU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_Toc79480331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7</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32" w:history="1">
        <w:r w:rsidRPr="00FB49BC">
          <w:rPr>
            <w:rStyle w:val="Hipercze"/>
            <w:rFonts w:ascii="Calibri" w:hAnsi="Calibri" w:cs="Calibri"/>
            <w:noProof/>
          </w:rPr>
          <w:t xml:space="preserve">5.2 - UZASADNIENIE PROGU 2 % - </w:t>
        </w:r>
        <w:r w:rsidRPr="00FB49BC">
          <w:rPr>
            <w:rStyle w:val="Hipercze"/>
            <w:rFonts w:ascii="Calibri" w:hAnsi="Calibri" w:cs="Calibri"/>
            <w:caps/>
            <w:noProof/>
          </w:rPr>
          <w:t>Określenie budżetu</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_Toc79480332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7</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33" w:history="1">
        <w:r w:rsidRPr="00FB49BC">
          <w:rPr>
            <w:rStyle w:val="Hipercze"/>
            <w:rFonts w:ascii="Calibri" w:hAnsi="Calibri" w:cs="Calibri"/>
            <w:caps/>
            <w:noProof/>
          </w:rPr>
          <w:t xml:space="preserve">5.3 - Wkład państw członkowskich do </w:t>
        </w:r>
        <w:r w:rsidR="00ED2CEB" w:rsidRPr="00B7360D">
          <w:rPr>
            <w:rStyle w:val="Hipercze"/>
            <w:rFonts w:ascii="Calibri" w:hAnsi="Calibri" w:cs="Calibri"/>
            <w:caps/>
            <w:noProof/>
          </w:rPr>
          <w:t>MECHANIZMU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_Toc79480333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8</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34" w:history="1">
        <w:r w:rsidRPr="00FB49BC">
          <w:rPr>
            <w:rStyle w:val="Hipercze"/>
            <w:rFonts w:ascii="Calibri" w:hAnsi="Calibri" w:cs="Calibri"/>
            <w:noProof/>
          </w:rPr>
          <w:t>5.4 - POKRYCIE PRZEZ LUKSEMBURG PRZYPADKÓW ODPOWIEDZIALNOŚCI WYKRACZAJĄCYCH POZA PRÓG 2%</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_Toc79480334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10</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35" w:history="1">
        <w:r w:rsidRPr="00FB49BC">
          <w:rPr>
            <w:rStyle w:val="Hipercze"/>
            <w:rFonts w:ascii="Calibri" w:hAnsi="Calibri" w:cs="Calibri"/>
            <w:noProof/>
          </w:rPr>
          <w:t xml:space="preserve">5.5 - ZAMKNIĘCIE </w:t>
        </w:r>
        <w:r w:rsidR="00ED2CEB" w:rsidRPr="00B7360D">
          <w:rPr>
            <w:rStyle w:val="Hipercze"/>
            <w:rFonts w:ascii="Calibri" w:hAnsi="Calibri" w:cs="Calibri"/>
            <w:noProof/>
          </w:rPr>
          <w:t>MECHANIZMU ODPOWIEDZIALNOŚCI</w:t>
        </w:r>
        <w:r w:rsidRPr="00FB49BC">
          <w:rPr>
            <w:rStyle w:val="Hipercze"/>
            <w:rFonts w:ascii="Calibri" w:hAnsi="Calibri" w:cs="Calibri"/>
            <w:noProof/>
          </w:rPr>
          <w:t>: PONOWNE PRZEKAZANIE POZOSTAŁEGO BUDŻETU</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_Toc79480335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10</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36" w:history="1">
        <w:r w:rsidRPr="00FB49BC">
          <w:rPr>
            <w:rStyle w:val="Hipercze"/>
            <w:rFonts w:ascii="Calibri" w:hAnsi="Calibri" w:cs="Calibri"/>
            <w:noProof/>
          </w:rPr>
          <w:t xml:space="preserve">5.6. - </w:t>
        </w:r>
        <w:r w:rsidR="00ED2CEB" w:rsidRPr="00FB49BC">
          <w:rPr>
            <w:rStyle w:val="Hipercze"/>
            <w:rFonts w:ascii="Calibri" w:hAnsi="Calibri" w:cs="Calibri"/>
            <w:noProof/>
          </w:rPr>
          <w:t>OPŁATY I ODSETKI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_Toc79480336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10</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37" w:history="1">
        <w:r w:rsidRPr="00FB49BC">
          <w:rPr>
            <w:rStyle w:val="Hipercze"/>
            <w:rFonts w:ascii="Calibri" w:hAnsi="Calibri" w:cs="Calibri"/>
            <w:caps/>
            <w:noProof/>
          </w:rPr>
          <w:t>5.7 - Rola Państw Partnerskich w Mechanizmie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_Toc79480337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10</w:t>
        </w:r>
        <w:r w:rsidRPr="00FB49BC">
          <w:rPr>
            <w:rFonts w:ascii="Calibri" w:hAnsi="Calibri" w:cs="Calibri"/>
            <w:noProof/>
            <w:webHidden/>
          </w:rPr>
          <w:fldChar w:fldCharType="end"/>
        </w:r>
      </w:hyperlink>
    </w:p>
    <w:p w:rsidR="000F5792" w:rsidRPr="00FB49BC" w:rsidRDefault="000F5792" w:rsidP="00FB49BC">
      <w:pPr>
        <w:pStyle w:val="Spistreci1"/>
        <w:spacing w:after="80"/>
        <w:jc w:val="left"/>
        <w:rPr>
          <w:rFonts w:ascii="Calibri" w:hAnsi="Calibri" w:cs="Calibri"/>
          <w:b w:val="0"/>
          <w:noProof/>
        </w:rPr>
      </w:pPr>
      <w:hyperlink w:anchor="_Toc79480338" w:history="1">
        <w:r w:rsidRPr="00FB49BC">
          <w:rPr>
            <w:rStyle w:val="Hipercze"/>
            <w:rFonts w:ascii="Calibri" w:hAnsi="Calibri" w:cs="Calibri"/>
            <w:noProof/>
          </w:rPr>
          <w:t xml:space="preserve">SEKCJA 6: </w:t>
        </w:r>
        <w:r w:rsidRPr="00FB49BC">
          <w:rPr>
            <w:rStyle w:val="Hipercze"/>
            <w:rFonts w:ascii="Calibri" w:hAnsi="Calibri" w:cs="Calibri"/>
            <w:caps/>
            <w:noProof/>
          </w:rPr>
          <w:t>role i procedury dotyczące</w:t>
        </w:r>
        <w:r w:rsidRPr="00FB49BC">
          <w:rPr>
            <w:rStyle w:val="Hipercze"/>
            <w:rFonts w:ascii="Calibri" w:hAnsi="Calibri" w:cs="Calibri"/>
            <w:noProof/>
          </w:rPr>
          <w:t xml:space="preserve"> FUNKCJONOWANIA </w:t>
        </w:r>
        <w:r w:rsidR="00ED2CEB" w:rsidRPr="00B7360D">
          <w:rPr>
            <w:rStyle w:val="Hipercze"/>
            <w:rFonts w:ascii="Calibri" w:hAnsi="Calibri" w:cs="Calibri"/>
            <w:noProof/>
          </w:rPr>
          <w:t>MECHANIZMU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_Toc79480338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10</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39" w:history="1">
        <w:r w:rsidRPr="00FB49BC">
          <w:rPr>
            <w:rStyle w:val="Hipercze"/>
            <w:rFonts w:ascii="Calibri" w:hAnsi="Calibri" w:cs="Calibri"/>
            <w:noProof/>
          </w:rPr>
          <w:t>6.1 - UPROSZCZONA ADMINISTRACJA I WSPÓLNY NADZÓR</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_Toc79480339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10</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40" w:history="1">
        <w:r w:rsidRPr="00FB49BC">
          <w:rPr>
            <w:rStyle w:val="Hipercze"/>
            <w:rFonts w:ascii="Calibri" w:hAnsi="Calibri" w:cs="Calibri"/>
            <w:noProof/>
          </w:rPr>
          <w:t xml:space="preserve">6.2 - ORGANY ODPOWIEDZIALNE ZA </w:t>
        </w:r>
        <w:r w:rsidR="00ED2CEB" w:rsidRPr="00B7360D">
          <w:rPr>
            <w:rStyle w:val="Hipercze"/>
            <w:rFonts w:ascii="Calibri" w:hAnsi="Calibri" w:cs="Calibri"/>
            <w:noProof/>
          </w:rPr>
          <w:t>MECHANIZM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_Toc79480340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10</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41" w:history="1">
        <w:r w:rsidRPr="00FB49BC">
          <w:rPr>
            <w:rStyle w:val="Hipercze"/>
            <w:rFonts w:ascii="Calibri" w:hAnsi="Calibri" w:cs="Calibri"/>
            <w:noProof/>
          </w:rPr>
          <w:t xml:space="preserve">6.3 - FUNKCJONOWANIE </w:t>
        </w:r>
        <w:r w:rsidR="00ED2CEB" w:rsidRPr="00B7360D">
          <w:rPr>
            <w:rStyle w:val="Hipercze"/>
            <w:rFonts w:ascii="Calibri" w:hAnsi="Calibri" w:cs="Calibri"/>
            <w:noProof/>
          </w:rPr>
          <w:t>MECHANIZMU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_Toc79480341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11</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42" w:history="1">
        <w:r w:rsidRPr="00FB49BC">
          <w:rPr>
            <w:rStyle w:val="Hipercze"/>
            <w:rFonts w:ascii="Calibri" w:hAnsi="Calibri" w:cs="Calibri"/>
            <w:noProof/>
          </w:rPr>
          <w:t>6.4 - DZIAŁANIA PODEJMOWANE W CELU OBNIŻENIA POZIOMU WYDATKÓW NIEKWALIFIKOWALNYCH</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_Toc79480342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11</w:t>
        </w:r>
        <w:r w:rsidRPr="00FB49BC">
          <w:rPr>
            <w:rFonts w:ascii="Calibri" w:hAnsi="Calibri" w:cs="Calibri"/>
            <w:noProof/>
            <w:webHidden/>
          </w:rPr>
          <w:fldChar w:fldCharType="end"/>
        </w:r>
      </w:hyperlink>
    </w:p>
    <w:p w:rsidR="000F5792" w:rsidRPr="00FB49BC" w:rsidRDefault="000F5792" w:rsidP="00FB49BC">
      <w:pPr>
        <w:pStyle w:val="Spistreci2"/>
        <w:tabs>
          <w:tab w:val="right" w:leader="dot" w:pos="9062"/>
        </w:tabs>
        <w:spacing w:after="80"/>
        <w:rPr>
          <w:rFonts w:ascii="Calibri" w:hAnsi="Calibri" w:cs="Calibri"/>
          <w:noProof/>
        </w:rPr>
      </w:pPr>
      <w:hyperlink w:anchor="_Toc79480343" w:history="1">
        <w:r w:rsidRPr="00FB49BC">
          <w:rPr>
            <w:rStyle w:val="Hipercze"/>
            <w:rFonts w:ascii="Calibri" w:hAnsi="Calibri" w:cs="Calibri"/>
            <w:noProof/>
          </w:rPr>
          <w:t xml:space="preserve">6.5 - BIEŻĄCE I KOŃCOWE SPRAWOZDANIA DOTYCZĄCE </w:t>
        </w:r>
        <w:r w:rsidR="00ED2CEB" w:rsidRPr="00B7360D">
          <w:rPr>
            <w:rStyle w:val="Hipercze"/>
            <w:rFonts w:ascii="Calibri" w:hAnsi="Calibri" w:cs="Calibri"/>
            <w:noProof/>
          </w:rPr>
          <w:t>MECHANIZMU ODPOWIEDZIALNOŚCI</w:t>
        </w:r>
        <w:r w:rsidRPr="00FB49BC">
          <w:rPr>
            <w:rFonts w:ascii="Calibri" w:hAnsi="Calibri" w:cs="Calibri"/>
            <w:noProof/>
            <w:webHidden/>
          </w:rPr>
          <w:tab/>
        </w:r>
        <w:r w:rsidRPr="00FB49BC">
          <w:rPr>
            <w:rFonts w:ascii="Calibri" w:hAnsi="Calibri" w:cs="Calibri"/>
            <w:noProof/>
            <w:webHidden/>
          </w:rPr>
          <w:fldChar w:fldCharType="begin"/>
        </w:r>
        <w:r w:rsidRPr="00FB49BC">
          <w:rPr>
            <w:rFonts w:ascii="Calibri" w:hAnsi="Calibri" w:cs="Calibri"/>
            <w:noProof/>
            <w:webHidden/>
          </w:rPr>
          <w:instrText xml:space="preserve"> PAGEREF _Toc79480343 \h </w:instrText>
        </w:r>
        <w:r w:rsidRPr="00FB49BC">
          <w:rPr>
            <w:rFonts w:ascii="Calibri" w:hAnsi="Calibri" w:cs="Calibri"/>
            <w:noProof/>
            <w:webHidden/>
          </w:rPr>
        </w:r>
        <w:r w:rsidRPr="00FB49BC">
          <w:rPr>
            <w:rFonts w:ascii="Calibri" w:hAnsi="Calibri" w:cs="Calibri"/>
            <w:noProof/>
            <w:webHidden/>
          </w:rPr>
          <w:fldChar w:fldCharType="separate"/>
        </w:r>
        <w:r w:rsidR="00226A49">
          <w:rPr>
            <w:rFonts w:ascii="Calibri" w:hAnsi="Calibri" w:cs="Calibri"/>
            <w:noProof/>
            <w:webHidden/>
          </w:rPr>
          <w:t>12</w:t>
        </w:r>
        <w:r w:rsidRPr="00FB49BC">
          <w:rPr>
            <w:rFonts w:ascii="Calibri" w:hAnsi="Calibri" w:cs="Calibri"/>
            <w:noProof/>
            <w:webHidden/>
          </w:rPr>
          <w:fldChar w:fldCharType="end"/>
        </w:r>
      </w:hyperlink>
    </w:p>
    <w:p w:rsidR="00FF59BB" w:rsidRPr="005360A2" w:rsidRDefault="00FF59BB" w:rsidP="00FB49BC">
      <w:pPr>
        <w:pStyle w:val="Spistreci1"/>
        <w:spacing w:after="80"/>
      </w:pPr>
      <w:r w:rsidRPr="00FB49BC">
        <w:rPr>
          <w:rStyle w:val="Spistreci1"/>
          <w:rFonts w:ascii="Calibri" w:hAnsi="Calibri" w:cs="Calibri"/>
        </w:rPr>
        <w:fldChar w:fldCharType="end"/>
      </w:r>
      <w:r>
        <w:br w:type="page"/>
      </w:r>
      <w:bookmarkStart w:id="1" w:name="_Toc70079878"/>
      <w:bookmarkStart w:id="2" w:name="_Toc79480317"/>
      <w:r>
        <w:rPr>
          <w:rStyle w:val="Nagwek1"/>
        </w:rPr>
        <w:lastRenderedPageBreak/>
        <w:t>SEKCJA 1: PRZEDMIOT</w:t>
      </w:r>
      <w:bookmarkEnd w:id="1"/>
      <w:bookmarkEnd w:id="2"/>
    </w:p>
    <w:p w:rsidR="00FF59BB" w:rsidRPr="005360A2" w:rsidRDefault="00FF59BB" w:rsidP="00FF59BB">
      <w:pPr>
        <w:pStyle w:val="Nagwek2"/>
        <w:keepNext/>
        <w:rPr>
          <w:sz w:val="22"/>
        </w:rPr>
      </w:pPr>
      <w:bookmarkStart w:id="3" w:name="_Toc70079879"/>
      <w:bookmarkStart w:id="4" w:name="_Toc79480318"/>
      <w:r>
        <w:rPr>
          <w:rStyle w:val="Nagwek2"/>
          <w:sz w:val="22"/>
        </w:rPr>
        <w:t>1.1 - SZCZEGÓLNY PRZYPADEK ESPON</w:t>
      </w:r>
      <w:bookmarkEnd w:id="3"/>
      <w:bookmarkEnd w:id="4"/>
      <w:r>
        <w:rPr>
          <w:rStyle w:val="Nagwek2"/>
          <w:sz w:val="22"/>
        </w:rPr>
        <w:t xml:space="preserve">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W ramach programów </w:t>
      </w:r>
      <w:r w:rsidR="00ED2CEB">
        <w:rPr>
          <w:rStyle w:val="Bezodstpw"/>
          <w:rFonts w:ascii="Calibri" w:hAnsi="Calibri"/>
        </w:rPr>
        <w:t>EWT</w:t>
      </w:r>
      <w:r>
        <w:rPr>
          <w:rStyle w:val="Bezodstpw"/>
          <w:rFonts w:ascii="Calibri" w:hAnsi="Calibri"/>
        </w:rPr>
        <w:t xml:space="preserve"> zobowiązania w przypadku korekt finansowych są zazwyczaj związane z krajem pochodzenia każdego beneficjenta. Ponieważ beneficjenci są rozproszeni po całym kwalifikowalnym obszarze programu </w:t>
      </w:r>
      <w:r w:rsidR="00ED2CEB">
        <w:rPr>
          <w:rStyle w:val="Bezodstpw"/>
          <w:rFonts w:ascii="Calibri" w:hAnsi="Calibri"/>
        </w:rPr>
        <w:t>EWT</w:t>
      </w:r>
      <w:r>
        <w:rPr>
          <w:rStyle w:val="Bezodstpw"/>
          <w:rFonts w:ascii="Calibri" w:hAnsi="Calibri"/>
        </w:rPr>
        <w:t xml:space="preserve">, również odpowiedzialność jest automatycznie rozłożona na cały obszar programu (tj. przypisana do kraju, w </w:t>
      </w:r>
      <w:r w:rsidRPr="00FB49BC">
        <w:rPr>
          <w:rStyle w:val="Bezodstpw"/>
          <w:rFonts w:ascii="Calibri" w:hAnsi="Calibri" w:cs="Calibri"/>
        </w:rPr>
        <w:t xml:space="preserve">którym znajduje się beneficjent). W przypadku Programu ESPON 2030, zgodnie z art. 23 ust. 6 </w:t>
      </w:r>
      <w:r w:rsidR="00ED2CEB" w:rsidRPr="00FB49BC">
        <w:rPr>
          <w:rStyle w:val="Bezodstpw"/>
          <w:rFonts w:ascii="Calibri" w:hAnsi="Calibri" w:cs="Calibri"/>
        </w:rPr>
        <w:t>EWT</w:t>
      </w:r>
      <w:r w:rsidRPr="00FB49BC">
        <w:rPr>
          <w:rStyle w:val="Bezodstpw"/>
          <w:rFonts w:ascii="Calibri" w:hAnsi="Calibri" w:cs="Calibri"/>
        </w:rPr>
        <w:t xml:space="preserve">, EGTC jako pojedynczy partner realizuje </w:t>
      </w:r>
      <w:r w:rsidR="00ED2CEB" w:rsidRPr="00FB49BC">
        <w:rPr>
          <w:rStyle w:val="Bezodstpw"/>
          <w:rFonts w:ascii="Calibri" w:hAnsi="Calibri" w:cs="Calibri"/>
        </w:rPr>
        <w:t>Pojedynczą Operację</w:t>
      </w:r>
      <w:r w:rsidRPr="00FB49BC">
        <w:rPr>
          <w:rStyle w:val="Bezodstpw"/>
          <w:rFonts w:ascii="Calibri" w:hAnsi="Calibri" w:cs="Calibri"/>
        </w:rPr>
        <w:t xml:space="preserve"> w ramach Programu Współpracy ESPON 2030, która jest przypisana na podstawie Umowy o dofinansowanie. Rolę tego jedynego partnera przejmuje "Europejskie Ugrupowanie Współpracy Terytorialnej ESPON" (zwane dalej EGTC ESPON).</w:t>
      </w:r>
      <w:r>
        <w:rPr>
          <w:rStyle w:val="Bezodstpw"/>
          <w:rFonts w:ascii="Calibri" w:hAnsi="Calibri"/>
        </w:rPr>
        <w:t xml:space="preserve">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EGTC ESPON zostało utworzone w celu otrzymania umowy o dotację i realizacji </w:t>
      </w:r>
      <w:r w:rsidR="00ED2CEB">
        <w:rPr>
          <w:rStyle w:val="Bezodstpw"/>
          <w:rFonts w:ascii="Calibri" w:hAnsi="Calibri"/>
        </w:rPr>
        <w:t>Pojedynczej Operacji</w:t>
      </w:r>
      <w:r>
        <w:rPr>
          <w:rStyle w:val="Bezodstpw"/>
          <w:rFonts w:ascii="Calibri" w:hAnsi="Calibri"/>
        </w:rPr>
        <w:t xml:space="preserve"> pod nadzorem i kierownictwem komitetu monitorującego ESPON.</w:t>
      </w:r>
      <w:r>
        <w:rPr>
          <w:rStyle w:val="Bezodstpw"/>
          <w:rFonts w:ascii="Calibri" w:hAnsi="Calibri"/>
          <w:sz w:val="24"/>
        </w:rPr>
        <w:t xml:space="preserve"> </w:t>
      </w:r>
      <w:r>
        <w:rPr>
          <w:rStyle w:val="Bezodstpw"/>
          <w:rFonts w:ascii="Calibri" w:hAnsi="Calibri"/>
        </w:rPr>
        <w:t xml:space="preserve">W celu zapewnienia skutecznej i sprawnej organizacji EGTC ESPON zaproponowano, aby ograniczona liczba państw/regionów została członkami EGTC ESPON, które podejmie się tego zadania z korzyścią dla wszystkich państw zaangażowanych w Program Współpracy ESPON 2030. Belgijskie regiony: Bruksela, Flandria i Walonia oraz Wielkie Księstwo Luksemburga są członkami EGTC ESPON, co skutkuje ponoszeniem odpowiedzialności przez EGTC ESPON. Stosując rozporządzenie w sprawie EGTC w ścisłym znaczeniu, taka struktura instytucjonalna oznacza, że wyłącznie członkowie EGTC ESPON ponosiliby pełną odpowiedzialność za wszystkie działania związane z realizacją umowy o udzielenie dotacji, mimo że wszystkie działania są prowadzone na rzecz wszystkich państw członkowskich i partnerskich reprezentowanych w programie współpracy ESPON 2030. </w:t>
      </w:r>
    </w:p>
    <w:p w:rsidR="00FF59BB" w:rsidRPr="005360A2" w:rsidRDefault="00FF59BB" w:rsidP="00FF59BB">
      <w:pPr>
        <w:pStyle w:val="Nagwek2"/>
        <w:rPr>
          <w:sz w:val="22"/>
        </w:rPr>
      </w:pPr>
      <w:bookmarkStart w:id="5" w:name="_Toc70079880"/>
      <w:bookmarkStart w:id="6" w:name="_Toc79480319"/>
      <w:r>
        <w:rPr>
          <w:rStyle w:val="Nagwek2"/>
          <w:sz w:val="22"/>
        </w:rPr>
        <w:t xml:space="preserve">1.2 - </w:t>
      </w:r>
      <w:bookmarkEnd w:id="5"/>
      <w:bookmarkEnd w:id="6"/>
      <w:r w:rsidR="00ED2CEB">
        <w:rPr>
          <w:rStyle w:val="Nagwek2"/>
          <w:sz w:val="22"/>
        </w:rPr>
        <w:t>MECHANIZM ODPOWIEDZIALNOŚCI</w:t>
      </w:r>
      <w:r>
        <w:rPr>
          <w:rStyle w:val="Nagwek2"/>
          <w:sz w:val="22"/>
        </w:rPr>
        <w:t xml:space="preserve"> </w:t>
      </w:r>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t>W celu zagwarantowania ewentualnych konsekwencji finansowych niekwalifikowalnych wydatków poniesionych przez EGTC ESPON w ramach realizacji Umowy o dofinansowanie, w odniesieniu do Programu ESPON 2020 ustanowiono "</w:t>
      </w:r>
      <w:r w:rsidR="00ED2CEB" w:rsidRPr="00B7360D">
        <w:rPr>
          <w:rStyle w:val="Bezodstpw"/>
          <w:rFonts w:ascii="Calibri" w:hAnsi="Calibri" w:cs="Calibri"/>
        </w:rPr>
        <w:t>Mechanizm Odpowiedzialności</w:t>
      </w:r>
      <w:r w:rsidRPr="00FB49BC">
        <w:rPr>
          <w:rStyle w:val="Bezodstpw"/>
          <w:rFonts w:ascii="Calibri" w:hAnsi="Calibri" w:cs="Calibri"/>
        </w:rPr>
        <w:t xml:space="preserve"> EGTC ESPON", który będzie kontynuowany w odniesieniu do Programu ESPON 2030 (zwany dalej </w:t>
      </w:r>
      <w:r w:rsidR="000C02E8" w:rsidRPr="00B7360D">
        <w:rPr>
          <w:rStyle w:val="Bezodstpw"/>
          <w:rFonts w:ascii="Calibri" w:hAnsi="Calibri" w:cs="Calibri"/>
        </w:rPr>
        <w:t>Mechanizmem Odpowiedzialności</w:t>
      </w:r>
      <w:r w:rsidRPr="00FB49BC">
        <w:rPr>
          <w:rStyle w:val="Bezodstpw"/>
          <w:rFonts w:ascii="Calibri" w:hAnsi="Calibri" w:cs="Calibri"/>
        </w:rPr>
        <w:t xml:space="preserve">). </w:t>
      </w:r>
      <w:r w:rsidR="00ED2CEB" w:rsidRPr="00B7360D">
        <w:rPr>
          <w:rStyle w:val="Bezodstpw"/>
          <w:rFonts w:ascii="Calibri" w:hAnsi="Calibri" w:cs="Calibri"/>
        </w:rPr>
        <w:t>Mechanizm Odpowiedzialności</w:t>
      </w:r>
      <w:r w:rsidRPr="00FB49BC">
        <w:rPr>
          <w:rStyle w:val="Bezodstpw"/>
          <w:rFonts w:ascii="Calibri" w:hAnsi="Calibri" w:cs="Calibri"/>
        </w:rPr>
        <w:t xml:space="preserve"> zapewnia właściwe funkcjonowanie i płynność finansową EGTC ESPON podczas wdrażania </w:t>
      </w:r>
      <w:r w:rsidR="00ED2CEB" w:rsidRPr="00FB49BC">
        <w:rPr>
          <w:rStyle w:val="Bezodstpw"/>
          <w:rFonts w:ascii="Calibri" w:hAnsi="Calibri" w:cs="Calibri"/>
        </w:rPr>
        <w:t>Pojedynczej Operacji</w:t>
      </w:r>
      <w:r w:rsidRPr="00FB49BC">
        <w:rPr>
          <w:rStyle w:val="Bezodstpw"/>
          <w:rFonts w:ascii="Calibri" w:hAnsi="Calibri" w:cs="Calibri"/>
        </w:rPr>
        <w:t xml:space="preserve"> Programu Współpracy ESPON 2030 w odniesieniu do wszystkich zaangażowanych państw oraz gwarantuje finansowanie wszystkich kosztów niekwalifikowalnych, które ewentualnie wystąpią podczas wdrażania tej </w:t>
      </w:r>
      <w:r w:rsidR="00ED2CEB" w:rsidRPr="00FB49BC">
        <w:rPr>
          <w:rStyle w:val="Bezodstpw"/>
          <w:rFonts w:ascii="Calibri" w:hAnsi="Calibri" w:cs="Calibri"/>
        </w:rPr>
        <w:t>Pojedynczej Operacji</w:t>
      </w:r>
      <w:r w:rsidRPr="00FB49BC">
        <w:rPr>
          <w:rStyle w:val="Bezodstpw"/>
          <w:rFonts w:ascii="Calibri" w:hAnsi="Calibri" w:cs="Calibri"/>
        </w:rPr>
        <w:t xml:space="preserve">. </w:t>
      </w:r>
      <w:r w:rsidR="00ED2CEB" w:rsidRPr="00B7360D">
        <w:rPr>
          <w:rStyle w:val="Bezodstpw"/>
          <w:rFonts w:ascii="Calibri" w:hAnsi="Calibri" w:cs="Calibri"/>
        </w:rPr>
        <w:t>Mechanizm Odpowiedzialności</w:t>
      </w:r>
      <w:r w:rsidRPr="00FB49BC">
        <w:rPr>
          <w:rStyle w:val="Bezodstpw"/>
          <w:rFonts w:ascii="Calibri" w:hAnsi="Calibri" w:cs="Calibri"/>
        </w:rPr>
        <w:t xml:space="preserve"> jest finansowany przez wszystkie państwa członkowskie uczestniczące w programie ESPON 2030 </w:t>
      </w:r>
      <w:r w:rsidRPr="00FB49BC">
        <w:rPr>
          <w:rStyle w:val="Bezodstpw"/>
          <w:rFonts w:ascii="Calibri" w:hAnsi="Calibri" w:cs="Calibri"/>
          <w:b/>
        </w:rPr>
        <w:t>maksymalnie do wysokości 2% kosztów niekwalifikowalnych</w:t>
      </w:r>
      <w:r w:rsidRPr="00FB49BC">
        <w:rPr>
          <w:rStyle w:val="Bezodstpw"/>
          <w:rFonts w:ascii="Calibri" w:hAnsi="Calibri" w:cs="Calibri"/>
        </w:rPr>
        <w:t xml:space="preserve"> związanych z całkowitym budżetem przyznanym EGTC ESPON na podstawie umowy o dotację. Wielkie Księstwo </w:t>
      </w:r>
      <w:r w:rsidR="000F5792" w:rsidRPr="00FB49BC">
        <w:rPr>
          <w:rStyle w:val="Bezodstpw"/>
          <w:rFonts w:ascii="Calibri" w:hAnsi="Calibri" w:cs="Calibri"/>
        </w:rPr>
        <w:t>Luksemburga</w:t>
      </w:r>
      <w:r w:rsidRPr="00FB49BC">
        <w:rPr>
          <w:rStyle w:val="Bezodstpw"/>
          <w:rFonts w:ascii="Calibri" w:hAnsi="Calibri" w:cs="Calibri"/>
        </w:rPr>
        <w:t xml:space="preserve"> jako państwo członkowskie, w którym znajduje się siedziba EGTC ESPON, pokrywa wszystkie wydatki niekwalifikowalne powyżej progu 2% przyznanego na mocy umowy o dotację, które mogą wystąpić podczas realizacji </w:t>
      </w:r>
      <w:r w:rsidR="00ED2CEB" w:rsidRPr="00FB49BC">
        <w:rPr>
          <w:rStyle w:val="Bezodstpw"/>
          <w:rFonts w:ascii="Calibri" w:hAnsi="Calibri" w:cs="Calibri"/>
        </w:rPr>
        <w:t>Pojedynczej Operacji</w:t>
      </w:r>
      <w:r w:rsidRPr="00FB49BC">
        <w:rPr>
          <w:rStyle w:val="Bezodstpw"/>
          <w:rFonts w:ascii="Calibri" w:hAnsi="Calibri" w:cs="Calibri"/>
        </w:rPr>
        <w:t xml:space="preserve">. </w:t>
      </w:r>
    </w:p>
    <w:p w:rsidR="00FF59BB" w:rsidRPr="005360A2" w:rsidRDefault="00FF59BB" w:rsidP="00FF59BB">
      <w:pPr>
        <w:pStyle w:val="Nagwek1"/>
        <w:rPr>
          <w:sz w:val="24"/>
        </w:rPr>
      </w:pPr>
      <w:bookmarkStart w:id="7" w:name="_Toc70079881"/>
      <w:bookmarkStart w:id="8" w:name="_Toc79480320"/>
      <w:r>
        <w:rPr>
          <w:rStyle w:val="Nagwek1"/>
          <w:sz w:val="24"/>
        </w:rPr>
        <w:t>SEKCJA 2: DEFINICJE</w:t>
      </w:r>
      <w:bookmarkEnd w:id="7"/>
      <w:bookmarkEnd w:id="8"/>
      <w:r>
        <w:rPr>
          <w:rStyle w:val="Nagwek1"/>
          <w:sz w:val="24"/>
        </w:rPr>
        <w:t xml:space="preserve"> </w:t>
      </w:r>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t>W celu ustalenia wspólnego rozumienia terminów wielokrotnie używanych w kontekście programu współpracy ESPON 2030 i niniejszego dokumentu stosuje się następujące definicje:</w:t>
      </w:r>
    </w:p>
    <w:p w:rsidR="00FF59BB" w:rsidRPr="00FB49BC" w:rsidRDefault="00FF59BB" w:rsidP="00FF59BB">
      <w:pPr>
        <w:pStyle w:val="Bezodstpw"/>
        <w:numPr>
          <w:ilvl w:val="0"/>
          <w:numId w:val="11"/>
        </w:numPr>
        <w:spacing w:after="120" w:line="276" w:lineRule="auto"/>
        <w:jc w:val="both"/>
        <w:rPr>
          <w:rFonts w:ascii="Calibri" w:hAnsi="Calibri" w:cs="Calibri"/>
        </w:rPr>
      </w:pPr>
      <w:r w:rsidRPr="00FB49BC">
        <w:rPr>
          <w:rStyle w:val="Bezodstpw"/>
          <w:rFonts w:ascii="Calibri" w:hAnsi="Calibri" w:cs="Calibri"/>
          <w:u w:val="single"/>
        </w:rPr>
        <w:t>Operacja</w:t>
      </w:r>
      <w:r w:rsidRPr="00FB49BC">
        <w:rPr>
          <w:rStyle w:val="Bezodstpw"/>
          <w:rFonts w:ascii="Calibri" w:hAnsi="Calibri" w:cs="Calibri"/>
        </w:rPr>
        <w:t xml:space="preserve"> oznacza, zgodnie z art. 2 (4) CPR, (...) </w:t>
      </w:r>
      <w:r w:rsidRPr="00FB49BC">
        <w:rPr>
          <w:rStyle w:val="Bezodstpw"/>
          <w:rFonts w:ascii="Calibri" w:hAnsi="Calibri" w:cs="Calibri"/>
          <w:i/>
        </w:rPr>
        <w:t>projekt, umowę, działanie lub grupę projektów wybranych w ramach danych programów.</w:t>
      </w:r>
    </w:p>
    <w:p w:rsidR="00FF59BB" w:rsidRPr="00FB49BC" w:rsidRDefault="00FF59BB" w:rsidP="00FF59BB">
      <w:pPr>
        <w:pStyle w:val="Bezodstpw"/>
        <w:numPr>
          <w:ilvl w:val="0"/>
          <w:numId w:val="11"/>
        </w:numPr>
        <w:spacing w:after="120" w:line="276" w:lineRule="auto"/>
        <w:jc w:val="both"/>
        <w:rPr>
          <w:rFonts w:ascii="Calibri" w:hAnsi="Calibri" w:cs="Calibri"/>
        </w:rPr>
      </w:pPr>
      <w:r w:rsidRPr="00FB49BC">
        <w:rPr>
          <w:rStyle w:val="Bezodstpw"/>
          <w:rFonts w:ascii="Calibri" w:hAnsi="Calibri" w:cs="Calibri"/>
          <w:u w:val="single"/>
        </w:rPr>
        <w:lastRenderedPageBreak/>
        <w:t>Beneficjent</w:t>
      </w:r>
      <w:r w:rsidRPr="00FB49BC">
        <w:rPr>
          <w:rStyle w:val="Bezodstpw"/>
          <w:rFonts w:ascii="Calibri" w:hAnsi="Calibri" w:cs="Calibri"/>
        </w:rPr>
        <w:t xml:space="preserve"> oznacza, zgodnie z art. 2 ust. 9 CPR (...) </w:t>
      </w:r>
      <w:r w:rsidRPr="00FB49BC">
        <w:rPr>
          <w:rStyle w:val="Bezodstpw"/>
          <w:rFonts w:ascii="Calibri" w:hAnsi="Calibri" w:cs="Calibri"/>
          <w:i/>
        </w:rPr>
        <w:t>organ publiczny lub prywatny, podmiot posiadający lub nieposiadający osobowości prawnej lub osobę fizyczną, odpowiedzialny za inicjowanie lub zarówno inicjowanie, jak i realizację operacji.</w:t>
      </w:r>
    </w:p>
    <w:p w:rsidR="00FF59BB" w:rsidRPr="00FB49BC" w:rsidRDefault="00FF59BB" w:rsidP="00FF59BB">
      <w:pPr>
        <w:pStyle w:val="Bezodstpw"/>
        <w:numPr>
          <w:ilvl w:val="0"/>
          <w:numId w:val="11"/>
        </w:numPr>
        <w:spacing w:after="120" w:line="276" w:lineRule="auto"/>
        <w:jc w:val="both"/>
        <w:rPr>
          <w:rFonts w:ascii="Calibri" w:hAnsi="Calibri" w:cs="Calibri"/>
          <w:i/>
        </w:rPr>
      </w:pPr>
      <w:r w:rsidRPr="00FB49BC">
        <w:rPr>
          <w:rStyle w:val="Bezodstpw"/>
          <w:rFonts w:ascii="Calibri" w:hAnsi="Calibri" w:cs="Calibri"/>
          <w:u w:val="single"/>
        </w:rPr>
        <w:t>EGTC ESPON</w:t>
      </w:r>
      <w:r w:rsidRPr="00FB49BC">
        <w:rPr>
          <w:rStyle w:val="Bezodstpw"/>
          <w:rFonts w:ascii="Calibri" w:hAnsi="Calibri" w:cs="Calibri"/>
        </w:rPr>
        <w:t xml:space="preserve"> zostało utworzone przez Region Stołeczny Brukseli, Region Flandrii, Region Walonii i Wielkie Księstwo Luksemburga z siedzibą w Luksemburgu. EGTC ESPON jest regulowane "statutem". W odniesieniu do art. 5 statutu, głównym celem EGTC ESPON jest dalsza konsolidacja Europejskiej Sieci Obserwatoriów Terytorialnych oraz poprawa w zakresie dostarczania i wykorzystywania w polityce ogólnoeuropejskich, porównywalnych, systematycznych i wiarygodnych danych terytorialnych. EGTC ESPON jest już wyznaczone w Programie Współpracy ESPON 2030 i podpisze Umowę o dofinansowanie z Instytucją Zarządzającą Programem Współpracy ESPON 2030.</w:t>
      </w:r>
    </w:p>
    <w:p w:rsidR="00FF59BB" w:rsidRPr="00FB49BC" w:rsidRDefault="00FF59BB" w:rsidP="00FF59BB">
      <w:pPr>
        <w:pStyle w:val="Bezodstpw"/>
        <w:numPr>
          <w:ilvl w:val="0"/>
          <w:numId w:val="11"/>
        </w:numPr>
        <w:spacing w:after="120" w:line="276" w:lineRule="auto"/>
        <w:jc w:val="both"/>
        <w:rPr>
          <w:rFonts w:ascii="Calibri" w:hAnsi="Calibri" w:cs="Calibri"/>
        </w:rPr>
      </w:pPr>
      <w:r w:rsidRPr="00FB49BC">
        <w:rPr>
          <w:rStyle w:val="Bezodstpw"/>
          <w:rFonts w:ascii="Calibri" w:hAnsi="Calibri" w:cs="Calibri"/>
          <w:u w:val="single"/>
        </w:rPr>
        <w:t>Umowa o dofinansowanie</w:t>
      </w:r>
      <w:r w:rsidRPr="00FB49BC">
        <w:rPr>
          <w:rStyle w:val="Bezodstpw"/>
          <w:rFonts w:ascii="Calibri" w:hAnsi="Calibri" w:cs="Calibri"/>
        </w:rPr>
        <w:t xml:space="preserve"> jest umową zawartą pomiędzy Instytucją Zarządzającą Programu Współpracy ESPON 2030 a EGTC ESPON i reguluje realizację </w:t>
      </w:r>
      <w:r w:rsidR="00ED2CEB" w:rsidRPr="00FB49BC">
        <w:rPr>
          <w:rStyle w:val="Bezodstpw"/>
          <w:rFonts w:ascii="Calibri" w:hAnsi="Calibri" w:cs="Calibri"/>
        </w:rPr>
        <w:t>Pojedynczej Operacji</w:t>
      </w:r>
      <w:r w:rsidRPr="00FB49BC">
        <w:rPr>
          <w:rStyle w:val="Bezodstpw"/>
          <w:rFonts w:ascii="Calibri" w:hAnsi="Calibri" w:cs="Calibri"/>
        </w:rPr>
        <w:t xml:space="preserve">. Umowa o dofinansowanie przyznaje całkowite dofinansowanie (w tym dofinansowanie z EFRR, wkład współfinansowania krajowego i wkład z krajów partnerskich) oraz określa warunki, na jakich dofinansowanie jest przyznawane. Załącznikami do Umowy Dotacji są Specyfikacje Operacji, zatwierdzona Propozycja Operacji ze wszystkimi załącznikami, pierwsza partia TAP i ewentualnie </w:t>
      </w:r>
      <w:r w:rsidR="001E5674" w:rsidRPr="00B7360D">
        <w:rPr>
          <w:rStyle w:val="Bezodstpw"/>
          <w:rFonts w:ascii="Calibri" w:hAnsi="Calibri" w:cs="Calibri"/>
        </w:rPr>
        <w:t>uzupełnienie</w:t>
      </w:r>
      <w:r w:rsidR="001E5674" w:rsidRPr="00FB49BC">
        <w:rPr>
          <w:rStyle w:val="Bezodstpw"/>
          <w:rFonts w:ascii="Calibri" w:hAnsi="Calibri" w:cs="Calibri"/>
        </w:rPr>
        <w:t xml:space="preserve"> </w:t>
      </w:r>
      <w:r w:rsidRPr="00FB49BC">
        <w:rPr>
          <w:rStyle w:val="Bezodstpw"/>
          <w:rFonts w:ascii="Calibri" w:hAnsi="Calibri" w:cs="Calibri"/>
        </w:rPr>
        <w:t xml:space="preserve">obejmujące zobowiązania wynikające z oceny Propozycji Operacji przez Komitet Monitorujący.  </w:t>
      </w:r>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t>Oprócz terminów zdefiniowanych powyżej, zastosowanie mają również inne definicje określone w art. 2 rozporządzenia w sprawie wspólnych przepisów.</w:t>
      </w:r>
    </w:p>
    <w:p w:rsidR="00FF59BB" w:rsidRPr="005360A2" w:rsidRDefault="00FF59BB" w:rsidP="00FF59BB">
      <w:pPr>
        <w:pStyle w:val="Nagwek1"/>
        <w:rPr>
          <w:sz w:val="24"/>
        </w:rPr>
      </w:pPr>
      <w:bookmarkStart w:id="9" w:name="_Toc70079882"/>
      <w:bookmarkStart w:id="10" w:name="_Toc79480321"/>
      <w:r>
        <w:rPr>
          <w:rStyle w:val="Nagwek1"/>
          <w:sz w:val="24"/>
        </w:rPr>
        <w:t xml:space="preserve">SEKCJA 3: SZCZEGÓLNY KONTEKST, CEL I GŁÓWNE ELEMENTY </w:t>
      </w:r>
      <w:bookmarkEnd w:id="9"/>
      <w:bookmarkEnd w:id="10"/>
      <w:r w:rsidR="00ED2CEB">
        <w:rPr>
          <w:rStyle w:val="Nagwek1"/>
          <w:sz w:val="24"/>
        </w:rPr>
        <w:t>MECHANIZMU ODPOWIEDZIALNOŚCI</w:t>
      </w:r>
    </w:p>
    <w:p w:rsidR="00FF59BB" w:rsidRPr="005360A2" w:rsidRDefault="00FF59BB" w:rsidP="00FF59BB">
      <w:pPr>
        <w:pStyle w:val="Nagwek2"/>
        <w:rPr>
          <w:sz w:val="22"/>
        </w:rPr>
      </w:pPr>
      <w:bookmarkStart w:id="11" w:name="_Toc70079883"/>
      <w:bookmarkStart w:id="12" w:name="_Toc79480322"/>
      <w:r>
        <w:rPr>
          <w:rStyle w:val="Nagwek2"/>
          <w:sz w:val="22"/>
        </w:rPr>
        <w:t>3.1 - POKRYCIE WYDATKÓW NIEKWALIFIKOWALNYCH - PRZYPADKI ODPOWIEDZIALNOŚCI</w:t>
      </w:r>
      <w:bookmarkEnd w:id="11"/>
      <w:bookmarkEnd w:id="12"/>
    </w:p>
    <w:p w:rsidR="00FF59BB" w:rsidRPr="005360A2" w:rsidRDefault="00F35955" w:rsidP="00FF59BB">
      <w:pPr>
        <w:pStyle w:val="Bezodstpw"/>
        <w:spacing w:after="120" w:line="276" w:lineRule="auto"/>
        <w:jc w:val="both"/>
        <w:rPr>
          <w:rFonts w:ascii="Calibri" w:hAnsi="Calibri"/>
        </w:rPr>
      </w:pPr>
      <w:r>
        <w:rPr>
          <w:rStyle w:val="Bezodstpw"/>
          <w:rFonts w:ascii="Calibri" w:hAnsi="Calibri"/>
        </w:rPr>
        <w:t>Instytucja Zarządzająca</w:t>
      </w:r>
      <w:r w:rsidR="00FF59BB">
        <w:rPr>
          <w:rStyle w:val="Bezodstpw"/>
          <w:rFonts w:ascii="Calibri" w:hAnsi="Calibri"/>
        </w:rPr>
        <w:t xml:space="preserve"> ESPON zawiera z EGTC ESPON umowę o dofinansowanie zawierającą artykuł dotyczący odpowiedzialności i umowę o zwrocie dotyczącą niekwalifikowalnych wydatków w rozumieniu przepisów EFRR.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Podczas realizacji Umowy o dofinansowanie mogą wystąpić wydatki, które nie kwalifikują się do finansowania z EFRR. Ponieważ EGTC ESPON nie dysponuje żadnym kapitałem własnym, który mógłby pokryć takie niekwalifikowalne wydatki, stosuje się </w:t>
      </w:r>
      <w:r w:rsidR="00ED2CEB">
        <w:rPr>
          <w:rStyle w:val="Bezodstpw"/>
          <w:rFonts w:ascii="Calibri" w:hAnsi="Calibri"/>
        </w:rPr>
        <w:t>Mechanizm Odpowiedzialności</w:t>
      </w:r>
      <w:r>
        <w:rPr>
          <w:rStyle w:val="Bezodstpw"/>
          <w:rFonts w:ascii="Calibri" w:hAnsi="Calibri"/>
        </w:rPr>
        <w:t xml:space="preserve">.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Niekwalifikowalne wydatki mogą zostać wykryte na różnych etapach wdrażania </w:t>
      </w:r>
      <w:r w:rsidR="00ED2CEB">
        <w:rPr>
          <w:rStyle w:val="Bezodstpw"/>
          <w:rFonts w:ascii="Calibri" w:hAnsi="Calibri"/>
        </w:rPr>
        <w:t>Pojedynczej Operacji</w:t>
      </w:r>
      <w:r>
        <w:rPr>
          <w:rStyle w:val="Bezodstpw"/>
          <w:rFonts w:ascii="Calibri" w:hAnsi="Calibri"/>
        </w:rPr>
        <w:t xml:space="preserve"> i przez różne podmioty:</w:t>
      </w:r>
    </w:p>
    <w:p w:rsidR="00FF59BB" w:rsidRPr="005360A2" w:rsidRDefault="00FF59BB" w:rsidP="00FF59BB">
      <w:pPr>
        <w:pStyle w:val="Bezodstpw"/>
        <w:numPr>
          <w:ilvl w:val="0"/>
          <w:numId w:val="15"/>
        </w:numPr>
        <w:spacing w:after="120"/>
        <w:jc w:val="both"/>
        <w:rPr>
          <w:rFonts w:ascii="Calibri" w:hAnsi="Calibri"/>
        </w:rPr>
      </w:pPr>
      <w:r>
        <w:rPr>
          <w:rStyle w:val="Bezodstpw"/>
          <w:rFonts w:ascii="Calibri" w:hAnsi="Calibri"/>
        </w:rPr>
        <w:t>przed ich zadeklarowaniem Komisji Europejskiej (przez Instytucję Zarządzającą dokonującą weryfikacji zarządczej na potrzeby poświadczenia sprawozdań z postępu prac lub w ramach kontroli na miejscu)</w:t>
      </w:r>
    </w:p>
    <w:p w:rsidR="00FF59BB" w:rsidRPr="005360A2" w:rsidRDefault="00FF59BB" w:rsidP="00FF59BB">
      <w:pPr>
        <w:pStyle w:val="Bezodstpw"/>
        <w:numPr>
          <w:ilvl w:val="0"/>
          <w:numId w:val="15"/>
        </w:numPr>
        <w:spacing w:after="120"/>
        <w:jc w:val="both"/>
        <w:rPr>
          <w:rFonts w:ascii="Calibri" w:hAnsi="Calibri"/>
        </w:rPr>
      </w:pPr>
      <w:r>
        <w:rPr>
          <w:rStyle w:val="Bezodstpw"/>
          <w:rFonts w:ascii="Calibri" w:hAnsi="Calibri"/>
        </w:rPr>
        <w:t xml:space="preserve">po zadeklarowaniu do Komisji Europejskiej (przez Instytucję Zarządzającą w ramach kontroli na miejscu, przez Instytucję Audytową, audyt przeprowadzony przez Komisję Europejską w Europejskim Trybunale Obrachunkowym).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Wszystkie niekwalifikowalne wydatki występujące w EGTC ESPON w kontekście realizacji Umowy o dofinansowanie, niezależnie od tego, kiedy zostały wykryte, są objęte </w:t>
      </w:r>
      <w:r w:rsidR="000C02E8">
        <w:rPr>
          <w:rStyle w:val="Bezodstpw"/>
          <w:rFonts w:ascii="Calibri" w:hAnsi="Calibri"/>
        </w:rPr>
        <w:t xml:space="preserve">Mechanizmem </w:t>
      </w:r>
      <w:r w:rsidR="000C02E8">
        <w:rPr>
          <w:rStyle w:val="Bezodstpw"/>
          <w:rFonts w:ascii="Calibri" w:hAnsi="Calibri"/>
        </w:rPr>
        <w:lastRenderedPageBreak/>
        <w:t>Odpowiedzialności</w:t>
      </w:r>
      <w:r>
        <w:rPr>
          <w:rStyle w:val="Bezodstpw"/>
          <w:rFonts w:ascii="Calibri" w:hAnsi="Calibri"/>
        </w:rPr>
        <w:t xml:space="preserve"> określonym w sekcji 1.2 i 5.2. </w:t>
      </w:r>
      <w:r>
        <w:rPr>
          <w:rStyle w:val="Bezodstpw"/>
        </w:rPr>
        <w:t xml:space="preserve">Wszelkie roszczenia o zwrot kosztów przez </w:t>
      </w:r>
      <w:r w:rsidR="00ED2CEB">
        <w:rPr>
          <w:rStyle w:val="Bezodstpw"/>
        </w:rPr>
        <w:t>Mechanizm Odpowiedzialności</w:t>
      </w:r>
      <w:r>
        <w:rPr>
          <w:rStyle w:val="Bezodstpw"/>
        </w:rPr>
        <w:t xml:space="preserve"> będą dalej nazywane "Sprawą Odpowiedzialności".</w:t>
      </w:r>
    </w:p>
    <w:p w:rsidR="00FF59BB" w:rsidRPr="005360A2" w:rsidRDefault="00FF59BB" w:rsidP="00FF59BB">
      <w:pPr>
        <w:pStyle w:val="Nagwek2"/>
        <w:rPr>
          <w:sz w:val="22"/>
        </w:rPr>
      </w:pPr>
      <w:bookmarkStart w:id="13" w:name="_Toc70079884"/>
      <w:bookmarkStart w:id="14" w:name="_Toc79480323"/>
      <w:r>
        <w:rPr>
          <w:rStyle w:val="Nagwek2"/>
          <w:sz w:val="22"/>
        </w:rPr>
        <w:t>3.2 - ZOBOWIĄZANIA W RAMACH PROGRAMU WSPÓŁPRACY ESPON 2030 ZWIĄZANE Z ESPON EGTC</w:t>
      </w:r>
      <w:bookmarkEnd w:id="13"/>
      <w:bookmarkEnd w:id="14"/>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highlight w:val="yellow"/>
        </w:rPr>
        <w:t>Sekcja XX</w:t>
      </w:r>
      <w:r w:rsidRPr="00FB49BC">
        <w:rPr>
          <w:rStyle w:val="Bezodstpw"/>
          <w:rFonts w:ascii="Calibri" w:hAnsi="Calibri" w:cs="Calibri"/>
        </w:rPr>
        <w:t xml:space="preserve"> Programu Współpracy ESPON 2030 oraz Artykuł 22 "Umowy między Instytucją Zarządzającą a Państwami Członkowskimi i Państwami Partnerskimi w sprawie systemu wdrażania, monitorowania i kontroli Programu Współpracy ESPON 2030" określają sytuacje, w których odpowiedzialność w zakresie ewentualnego zwrotu wydatków niekwalifikowalnych może być związana z wydatkami poniesionymi przez EGTC ESPON w ramach Umowy o dofinansowanie: </w:t>
      </w:r>
    </w:p>
    <w:p w:rsidR="00FF59BB" w:rsidRPr="00FB49BC" w:rsidRDefault="00FF59BB" w:rsidP="00FF59BB">
      <w:pPr>
        <w:pStyle w:val="Bezodstpw"/>
        <w:numPr>
          <w:ilvl w:val="0"/>
          <w:numId w:val="12"/>
        </w:numPr>
        <w:spacing w:after="120" w:line="276" w:lineRule="auto"/>
        <w:jc w:val="both"/>
        <w:rPr>
          <w:rFonts w:ascii="Calibri" w:hAnsi="Calibri" w:cs="Calibri"/>
        </w:rPr>
      </w:pPr>
      <w:r w:rsidRPr="00FB49BC">
        <w:rPr>
          <w:rStyle w:val="Bezodstpw"/>
          <w:rFonts w:ascii="Calibri" w:hAnsi="Calibri" w:cs="Calibri"/>
        </w:rPr>
        <w:t xml:space="preserve">bezpośrednio poprzez ewentualne wystąpienie niekwalifikowalnych wydatków lub nieprawidłowości o skutkach finansowych finansowanych w ramach Umowy o dofinansowanie przez EGTC ESPON, za które odpowiedzialność finansową ponosi EGTC ESPON. </w:t>
      </w:r>
    </w:p>
    <w:p w:rsidR="00FF59BB" w:rsidRPr="00FB49BC" w:rsidRDefault="00FF59BB" w:rsidP="00FF59BB">
      <w:pPr>
        <w:pStyle w:val="Bezodstpw"/>
        <w:numPr>
          <w:ilvl w:val="0"/>
          <w:numId w:val="12"/>
        </w:numPr>
        <w:spacing w:after="120" w:line="276" w:lineRule="auto"/>
        <w:jc w:val="both"/>
        <w:rPr>
          <w:rFonts w:ascii="Calibri" w:hAnsi="Calibri" w:cs="Calibri"/>
        </w:rPr>
      </w:pPr>
      <w:r w:rsidRPr="00FB49BC">
        <w:rPr>
          <w:rStyle w:val="Bezodstpw"/>
          <w:rFonts w:ascii="Calibri" w:hAnsi="Calibri" w:cs="Calibri"/>
        </w:rPr>
        <w:t xml:space="preserve">pośrednio poprzez ewentualne korekty według stawki ryczałtowej na poziomie programu, w przypadku których odpowiedzialność w stosunku do części dotyczącej umowy o udzielenie dotacji ponosi EGTC ESPON. </w:t>
      </w:r>
    </w:p>
    <w:p w:rsidR="00FF59BB" w:rsidRPr="005360A2" w:rsidRDefault="00FF59BB" w:rsidP="00FF59BB">
      <w:pPr>
        <w:pStyle w:val="Nagwek2"/>
        <w:rPr>
          <w:sz w:val="22"/>
        </w:rPr>
      </w:pPr>
      <w:bookmarkStart w:id="15" w:name="_Toc70079885"/>
      <w:bookmarkStart w:id="16" w:name="_Toc79480324"/>
      <w:r>
        <w:rPr>
          <w:rStyle w:val="Nagwek2"/>
          <w:sz w:val="22"/>
        </w:rPr>
        <w:t>3.3 - ODPOWIEDZIALNOŚĆ CZŁONKÓW EGTC ESPON</w:t>
      </w:r>
      <w:bookmarkEnd w:id="15"/>
      <w:bookmarkEnd w:id="16"/>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t xml:space="preserve">Zobowiązania wymienione w sekcji 3.2 stają się skuteczne wobec członków EGTC ESPON na mocy art. 12 ust. 2 rozporządzenia w sprawie EGTC, który stanowi, że "... </w:t>
      </w:r>
      <w:r w:rsidRPr="00FB49BC">
        <w:rPr>
          <w:rStyle w:val="Bezodstpw"/>
          <w:rFonts w:ascii="Calibri" w:hAnsi="Calibri" w:cs="Calibri"/>
          <w:i/>
        </w:rPr>
        <w:t>w zakresie, w jakim aktywa EGTC są niewystarczające do pokrycia jego zobowiązań, jego członkowie odpowiadają za jego długi, niezależnie od charakteru tych długów, przy czym udział każdego członka jest ustalany proporcjonalnie do jego wkładu finansowego".</w:t>
      </w:r>
      <w:r w:rsidRPr="00FB49BC">
        <w:rPr>
          <w:rStyle w:val="Bezodstpw"/>
          <w:rFonts w:ascii="Calibri" w:hAnsi="Calibri" w:cs="Calibri"/>
        </w:rPr>
        <w:t xml:space="preserve"> Oznacza to, że jeżeli EGTC ESPON jako osoba prawna nie będzie w stanie pokryć swoich zobowiązań statutowych, członkowie EGTC ESPON, dzięki swojej nieograniczonej odpowiedzialności, są wspólnie odpowiedzialni w celu zapewnienia funkcjonowania EGTC ESPON. </w:t>
      </w:r>
    </w:p>
    <w:p w:rsidR="00FF59BB" w:rsidRPr="005360A2" w:rsidRDefault="00FF59BB" w:rsidP="00FF59BB">
      <w:pPr>
        <w:pStyle w:val="Nagwek2"/>
        <w:rPr>
          <w:sz w:val="22"/>
        </w:rPr>
      </w:pPr>
      <w:bookmarkStart w:id="17" w:name="_Toc70079886"/>
      <w:bookmarkStart w:id="18" w:name="_Toc79480325"/>
      <w:r>
        <w:rPr>
          <w:rStyle w:val="Nagwek2"/>
          <w:sz w:val="22"/>
        </w:rPr>
        <w:t xml:space="preserve">3.4 - CEL </w:t>
      </w:r>
      <w:bookmarkEnd w:id="17"/>
      <w:bookmarkEnd w:id="18"/>
      <w:r w:rsidR="00ED2CEB">
        <w:rPr>
          <w:rStyle w:val="Nagwek2"/>
          <w:sz w:val="22"/>
        </w:rPr>
        <w:t>MECHANIZMU ODPOWIEDZIALNOŚCI</w:t>
      </w:r>
    </w:p>
    <w:p w:rsidR="00FF59BB" w:rsidRPr="005360A2" w:rsidRDefault="00ED2CEB" w:rsidP="00FF59BB">
      <w:pPr>
        <w:pStyle w:val="Bezodstpw"/>
        <w:spacing w:after="120" w:line="276" w:lineRule="auto"/>
        <w:jc w:val="both"/>
        <w:rPr>
          <w:rFonts w:ascii="Calibri" w:hAnsi="Calibri"/>
        </w:rPr>
      </w:pPr>
      <w:r>
        <w:rPr>
          <w:rStyle w:val="Bezodstpw"/>
          <w:rFonts w:ascii="Calibri" w:hAnsi="Calibri"/>
        </w:rPr>
        <w:t>Mechanizm Odpowiedzialności</w:t>
      </w:r>
      <w:r w:rsidR="00FF59BB">
        <w:rPr>
          <w:rStyle w:val="Bezodstpw"/>
          <w:rFonts w:ascii="Calibri" w:hAnsi="Calibri"/>
        </w:rPr>
        <w:t xml:space="preserve"> oferuje EGTC ESPON, które wdraża </w:t>
      </w:r>
      <w:r>
        <w:rPr>
          <w:rStyle w:val="Bezodstpw"/>
          <w:rFonts w:ascii="Calibri" w:hAnsi="Calibri"/>
        </w:rPr>
        <w:t>Pojedynczą Operację</w:t>
      </w:r>
      <w:r w:rsidR="00FF59BB">
        <w:rPr>
          <w:rStyle w:val="Bezodstpw"/>
          <w:rFonts w:ascii="Calibri" w:hAnsi="Calibri"/>
        </w:rPr>
        <w:t xml:space="preserve"> w imieniu i na rzecz wszystkich państw członkowskich i partnerskich programu współpracy ESPON 2030, niezbędn</w:t>
      </w:r>
      <w:r w:rsidR="000C02E8">
        <w:rPr>
          <w:rStyle w:val="Bezodstpw"/>
          <w:rFonts w:ascii="Calibri" w:hAnsi="Calibri"/>
        </w:rPr>
        <w:t>e zabezpieczenie</w:t>
      </w:r>
      <w:r w:rsidR="00FF59BB">
        <w:rPr>
          <w:rStyle w:val="Bezodstpw"/>
          <w:rFonts w:ascii="Calibri" w:hAnsi="Calibri"/>
        </w:rPr>
        <w:t xml:space="preserve"> do podziału potencjalnego obciążenia finansowego członków EGTC ESPON, które wynika z ich nieograniczonej odpowiedzialności w odniesieniu do finansowania przyznanego na podstawie umowy o udzielenie dotacji.</w:t>
      </w:r>
    </w:p>
    <w:p w:rsidR="00FF59BB" w:rsidRPr="005360A2" w:rsidRDefault="00ED2CEB" w:rsidP="00FF59BB">
      <w:pPr>
        <w:pStyle w:val="Bezodstpw"/>
        <w:spacing w:after="120" w:line="276" w:lineRule="auto"/>
        <w:jc w:val="both"/>
        <w:rPr>
          <w:rFonts w:ascii="Calibri" w:hAnsi="Calibri"/>
        </w:rPr>
      </w:pPr>
      <w:r>
        <w:rPr>
          <w:rStyle w:val="Bezodstpw"/>
          <w:rFonts w:ascii="Calibri" w:hAnsi="Calibri"/>
        </w:rPr>
        <w:t>Mechanizm Odpowiedzialności</w:t>
      </w:r>
      <w:r w:rsidR="00FF59BB">
        <w:rPr>
          <w:rStyle w:val="Bezodstpw"/>
          <w:rFonts w:ascii="Calibri" w:hAnsi="Calibri"/>
        </w:rPr>
        <w:t xml:space="preserve"> ma na celu wspieranie podstawowego funkcjonowania EGTC ESPON oraz zapewnienie niezbędnych środków finansowych na pokrycie wszystkich potencjalnie występujących niekwalifikowalnych wydatków poprzez wspólne podejście wszystkich zaangażowanych państw członkowskich. </w:t>
      </w:r>
    </w:p>
    <w:p w:rsidR="00FF59BB" w:rsidRPr="005360A2" w:rsidRDefault="00FF59BB" w:rsidP="00FF59BB">
      <w:pPr>
        <w:pStyle w:val="Nagwek2"/>
        <w:rPr>
          <w:sz w:val="22"/>
        </w:rPr>
      </w:pPr>
      <w:bookmarkStart w:id="19" w:name="_Toc70079887"/>
      <w:bookmarkStart w:id="20" w:name="_Toc79480326"/>
      <w:r>
        <w:rPr>
          <w:rStyle w:val="Nagwek2"/>
          <w:sz w:val="22"/>
        </w:rPr>
        <w:t xml:space="preserve">3.5 - GŁÓWNE ELEMENTY </w:t>
      </w:r>
      <w:bookmarkEnd w:id="19"/>
      <w:bookmarkEnd w:id="20"/>
      <w:r w:rsidR="00ED2CEB">
        <w:rPr>
          <w:rStyle w:val="Nagwek2"/>
          <w:sz w:val="22"/>
        </w:rPr>
        <w:t>MECHANIZMU ODPOWIEDZIALNOŚCI</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Główne elementy regulujące funkcjonowanie </w:t>
      </w:r>
      <w:r w:rsidR="00ED2CEB">
        <w:rPr>
          <w:rStyle w:val="Bezodstpw"/>
          <w:rFonts w:ascii="Calibri" w:hAnsi="Calibri"/>
        </w:rPr>
        <w:t>Mechanizmu Odpowiedzialności</w:t>
      </w:r>
      <w:r>
        <w:rPr>
          <w:rStyle w:val="Bezodstpw"/>
          <w:rFonts w:ascii="Calibri" w:hAnsi="Calibri"/>
        </w:rPr>
        <w:t xml:space="preserve"> są następujące:</w:t>
      </w:r>
    </w:p>
    <w:p w:rsidR="00FF59BB" w:rsidRPr="005360A2" w:rsidRDefault="00FF59BB" w:rsidP="00FF59BB">
      <w:pPr>
        <w:pStyle w:val="Bezodstpw"/>
        <w:numPr>
          <w:ilvl w:val="0"/>
          <w:numId w:val="5"/>
        </w:numPr>
        <w:spacing w:after="120" w:line="276" w:lineRule="auto"/>
        <w:jc w:val="both"/>
        <w:rPr>
          <w:rFonts w:ascii="Calibri" w:hAnsi="Calibri"/>
        </w:rPr>
      </w:pPr>
      <w:r>
        <w:rPr>
          <w:rStyle w:val="Bezodstpw"/>
          <w:rFonts w:ascii="Calibri" w:hAnsi="Calibri"/>
        </w:rPr>
        <w:t xml:space="preserve">Przepis dotyczący zapobiegania ryzyku związanemu z potencjalnymi niekwalifikowalnymi wydatkami podczas realizacji </w:t>
      </w:r>
      <w:r w:rsidR="00ED2CEB">
        <w:rPr>
          <w:rStyle w:val="Bezodstpw"/>
          <w:rFonts w:ascii="Calibri" w:hAnsi="Calibri"/>
        </w:rPr>
        <w:t>Pojedynczej Operacji</w:t>
      </w:r>
      <w:r>
        <w:rPr>
          <w:rStyle w:val="Bezodstpw"/>
          <w:rFonts w:ascii="Calibri" w:hAnsi="Calibri"/>
        </w:rPr>
        <w:t xml:space="preserve"> w ramach umowy o dofinansowanie, jak opisano w sekcji 4.</w:t>
      </w:r>
    </w:p>
    <w:p w:rsidR="00FF59BB" w:rsidRPr="005360A2" w:rsidRDefault="00FF59BB" w:rsidP="00FF59BB">
      <w:pPr>
        <w:pStyle w:val="Bezodstpw"/>
        <w:numPr>
          <w:ilvl w:val="0"/>
          <w:numId w:val="5"/>
        </w:numPr>
        <w:spacing w:after="120" w:line="276" w:lineRule="auto"/>
        <w:jc w:val="both"/>
        <w:rPr>
          <w:rFonts w:ascii="Calibri" w:hAnsi="Calibri"/>
        </w:rPr>
      </w:pPr>
      <w:r>
        <w:rPr>
          <w:rStyle w:val="Bezodstpw"/>
          <w:rFonts w:ascii="Calibri" w:hAnsi="Calibri"/>
        </w:rPr>
        <w:t xml:space="preserve">Przepisy budżetowe dotyczące wspólnego i ograniczonego finansowania </w:t>
      </w:r>
      <w:r w:rsidR="00ED2CEB">
        <w:rPr>
          <w:rStyle w:val="Bezodstpw"/>
          <w:rFonts w:ascii="Calibri" w:hAnsi="Calibri"/>
        </w:rPr>
        <w:t>Mechanizmu Odpowiedzialności</w:t>
      </w:r>
      <w:r>
        <w:rPr>
          <w:rStyle w:val="Bezodstpw"/>
          <w:rFonts w:ascii="Calibri" w:hAnsi="Calibri"/>
        </w:rPr>
        <w:t xml:space="preserve"> przez państwa członkowskie programu współpracy ESPON 2030 do wysokości maksymalnie 2% budżetu umowy o dofinansowanie podpisanej przez EGTC ESPON, </w:t>
      </w:r>
      <w:r>
        <w:rPr>
          <w:rStyle w:val="Bezodstpw"/>
          <w:rFonts w:ascii="Calibri" w:hAnsi="Calibri"/>
        </w:rPr>
        <w:lastRenderedPageBreak/>
        <w:t>uzupełnione jednostronnym pokryciem zapotrzebowania na finansowanie powyżej 2% przez Wielkie Księstwo Luksemburga, jak opisano w sekcji 5.</w:t>
      </w:r>
    </w:p>
    <w:p w:rsidR="00FF59BB" w:rsidRPr="005360A2" w:rsidRDefault="00FF59BB" w:rsidP="00FF59BB">
      <w:pPr>
        <w:pStyle w:val="Bezodstpw"/>
        <w:numPr>
          <w:ilvl w:val="0"/>
          <w:numId w:val="5"/>
        </w:numPr>
        <w:spacing w:after="120" w:line="276" w:lineRule="auto"/>
        <w:jc w:val="both"/>
        <w:rPr>
          <w:rFonts w:ascii="Calibri" w:hAnsi="Calibri"/>
        </w:rPr>
      </w:pPr>
      <w:r>
        <w:rPr>
          <w:rStyle w:val="Bezodstpw"/>
          <w:rFonts w:ascii="Calibri" w:hAnsi="Calibri"/>
        </w:rPr>
        <w:t xml:space="preserve">szczupła organizacja zarządzania </w:t>
      </w:r>
      <w:r w:rsidR="000C02E8">
        <w:rPr>
          <w:rStyle w:val="Bezodstpw"/>
          <w:rFonts w:ascii="Calibri" w:hAnsi="Calibri"/>
        </w:rPr>
        <w:t>Mechanizmem Odpowiedzialności</w:t>
      </w:r>
      <w:r>
        <w:rPr>
          <w:rStyle w:val="Bezodstpw"/>
          <w:rFonts w:ascii="Calibri" w:hAnsi="Calibri"/>
        </w:rPr>
        <w:t xml:space="preserve"> i jego wspólnego nadzoru przez państwa członkowskie i państwa partnerskie programu współpracy ESPON 2030, jak opisano w sekcji 6.</w:t>
      </w:r>
    </w:p>
    <w:p w:rsidR="00FF59BB" w:rsidRPr="005360A2" w:rsidRDefault="00FF59BB" w:rsidP="00FF59BB">
      <w:pPr>
        <w:pStyle w:val="Nagwek1"/>
        <w:rPr>
          <w:sz w:val="24"/>
        </w:rPr>
      </w:pPr>
      <w:bookmarkStart w:id="21" w:name="_Toc70079888"/>
      <w:bookmarkStart w:id="22" w:name="_Toc79480327"/>
      <w:r>
        <w:rPr>
          <w:rStyle w:val="Nagwek1"/>
          <w:sz w:val="24"/>
        </w:rPr>
        <w:t>SEKCJA 4: SZCZEGÓŁOWE PRZEPISY STATUTOWE I OPERACYJNE DOTYCZĄCE ESPON EGTC</w:t>
      </w:r>
      <w:bookmarkEnd w:id="21"/>
      <w:bookmarkEnd w:id="22"/>
    </w:p>
    <w:p w:rsidR="00FF59BB" w:rsidRPr="005360A2" w:rsidRDefault="00FF59BB" w:rsidP="00FF59BB">
      <w:pPr>
        <w:pStyle w:val="Nagwek2"/>
        <w:rPr>
          <w:sz w:val="22"/>
        </w:rPr>
      </w:pPr>
      <w:bookmarkStart w:id="23" w:name="_Toc70079889"/>
      <w:bookmarkStart w:id="24" w:name="_Toc79480328"/>
      <w:r>
        <w:rPr>
          <w:rStyle w:val="Nagwek2"/>
          <w:sz w:val="22"/>
        </w:rPr>
        <w:t>4.1 - PRZEPISY OPERACYJNE DOTYCZĄCE ZAPOBIEGANIA RYZYKU W CELU ZMINIMALIZOWANIA PRZYPADKÓW ODPOWIEDZIALNOŚCI</w:t>
      </w:r>
      <w:bookmarkEnd w:id="23"/>
      <w:bookmarkEnd w:id="24"/>
      <w:r>
        <w:rPr>
          <w:rStyle w:val="Nagwek2"/>
          <w:sz w:val="22"/>
        </w:rPr>
        <w:t xml:space="preserve">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W odniesieniu do funkcjonowania EGTC ESPON zapewnia się szczegółowe przepisy ustawowe i operacyjne dotyczące przejrzystego funkcjonowania oraz najlepszej możliwej kontroli i monitorowania. Zapobiegają one wystąpieniu niekwalifikowalnych wydatków podczas realizacji </w:t>
      </w:r>
      <w:r w:rsidR="00ED2CEB">
        <w:rPr>
          <w:rStyle w:val="Bezodstpw"/>
          <w:rFonts w:ascii="Calibri" w:hAnsi="Calibri"/>
        </w:rPr>
        <w:t>Pojedynczej Operacji</w:t>
      </w:r>
      <w:r>
        <w:rPr>
          <w:rStyle w:val="Bezodstpw"/>
          <w:rFonts w:ascii="Calibri" w:hAnsi="Calibri"/>
        </w:rPr>
        <w:t xml:space="preserve"> w ramach umowy o udzielenie dotacji, a tym samym zapobiegają przypadkom odpowiedzialności. Wewnętrzna organizacja i codzienne funkcjonowanie EGTC ESPON opierają się na następujących zasadach: </w:t>
      </w:r>
    </w:p>
    <w:p w:rsidR="00FF59BB" w:rsidRPr="005360A2" w:rsidRDefault="00FF59BB" w:rsidP="00FF59BB">
      <w:pPr>
        <w:pStyle w:val="Bezodstpw"/>
        <w:numPr>
          <w:ilvl w:val="0"/>
          <w:numId w:val="8"/>
        </w:numPr>
        <w:spacing w:after="120" w:line="276" w:lineRule="auto"/>
        <w:jc w:val="both"/>
        <w:rPr>
          <w:rFonts w:ascii="Calibri" w:hAnsi="Calibri"/>
        </w:rPr>
      </w:pPr>
      <w:r>
        <w:rPr>
          <w:rStyle w:val="Bezodstpw"/>
          <w:rFonts w:ascii="Calibri" w:hAnsi="Calibri"/>
        </w:rPr>
        <w:t xml:space="preserve">Przejrzysta i rozliczalna realizacja oraz należyte zarządzanie finansami, </w:t>
      </w:r>
    </w:p>
    <w:p w:rsidR="00FF59BB" w:rsidRPr="005360A2" w:rsidRDefault="000C02E8" w:rsidP="00FF59BB">
      <w:pPr>
        <w:pStyle w:val="Bezodstpw"/>
        <w:numPr>
          <w:ilvl w:val="0"/>
          <w:numId w:val="8"/>
        </w:numPr>
        <w:spacing w:after="120" w:line="276" w:lineRule="auto"/>
        <w:jc w:val="both"/>
        <w:rPr>
          <w:rFonts w:ascii="Calibri" w:hAnsi="Calibri"/>
        </w:rPr>
      </w:pPr>
      <w:r>
        <w:rPr>
          <w:rStyle w:val="Bezodstpw"/>
          <w:rFonts w:ascii="Calibri" w:hAnsi="Calibri"/>
        </w:rPr>
        <w:t>W</w:t>
      </w:r>
      <w:r w:rsidR="00FF59BB">
        <w:rPr>
          <w:rStyle w:val="Bezodstpw"/>
          <w:rFonts w:ascii="Calibri" w:hAnsi="Calibri"/>
        </w:rPr>
        <w:t xml:space="preserve">ystarczające kontrole ex </w:t>
      </w:r>
      <w:proofErr w:type="spellStart"/>
      <w:r w:rsidR="00FF59BB">
        <w:rPr>
          <w:rStyle w:val="Bezodstpw"/>
          <w:rFonts w:ascii="Calibri" w:hAnsi="Calibri"/>
        </w:rPr>
        <w:t>ante</w:t>
      </w:r>
      <w:proofErr w:type="spellEnd"/>
      <w:r w:rsidR="00FF59BB">
        <w:rPr>
          <w:rStyle w:val="Bezodstpw"/>
          <w:rFonts w:ascii="Calibri" w:hAnsi="Calibri"/>
        </w:rPr>
        <w:t xml:space="preserve"> przed zaciągnięciem zobowiązania i wypłatą jakichkolwiek środków, </w:t>
      </w:r>
    </w:p>
    <w:p w:rsidR="00FF59BB" w:rsidRPr="005360A2" w:rsidRDefault="000C02E8" w:rsidP="00FF59BB">
      <w:pPr>
        <w:pStyle w:val="Bezodstpw"/>
        <w:numPr>
          <w:ilvl w:val="0"/>
          <w:numId w:val="8"/>
        </w:numPr>
        <w:spacing w:after="120" w:line="276" w:lineRule="auto"/>
        <w:jc w:val="both"/>
        <w:rPr>
          <w:rFonts w:ascii="Calibri" w:hAnsi="Calibri"/>
        </w:rPr>
      </w:pPr>
      <w:r>
        <w:rPr>
          <w:rStyle w:val="Bezodstpw"/>
          <w:rFonts w:ascii="Calibri" w:hAnsi="Calibri"/>
        </w:rPr>
        <w:t>O</w:t>
      </w:r>
      <w:r w:rsidR="00FF59BB">
        <w:rPr>
          <w:rStyle w:val="Bezodstpw"/>
          <w:rFonts w:ascii="Calibri" w:hAnsi="Calibri"/>
        </w:rPr>
        <w:t>dpowiedni</w:t>
      </w:r>
      <w:r>
        <w:rPr>
          <w:rStyle w:val="Bezodstpw"/>
          <w:rFonts w:ascii="Calibri" w:hAnsi="Calibri"/>
        </w:rPr>
        <w:t>e</w:t>
      </w:r>
      <w:r w:rsidR="00FF59BB">
        <w:rPr>
          <w:rStyle w:val="Bezodstpw"/>
          <w:rFonts w:ascii="Calibri" w:hAnsi="Calibri"/>
        </w:rPr>
        <w:t xml:space="preserve"> procedur</w:t>
      </w:r>
      <w:r>
        <w:rPr>
          <w:rStyle w:val="Bezodstpw"/>
          <w:rFonts w:ascii="Calibri" w:hAnsi="Calibri"/>
        </w:rPr>
        <w:t>y</w:t>
      </w:r>
      <w:r w:rsidR="00FF59BB">
        <w:rPr>
          <w:rStyle w:val="Bezodstpw"/>
          <w:rFonts w:ascii="Calibri" w:hAnsi="Calibri"/>
        </w:rPr>
        <w:t xml:space="preserve"> eskalacji w przypadku braku zgody co do sposobu traktowania wydatków.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Następujące przepisy mają zastosowanie w odniesieniu do realizacji </w:t>
      </w:r>
      <w:r w:rsidR="00ED2CEB">
        <w:rPr>
          <w:rStyle w:val="Bezodstpw"/>
          <w:rFonts w:ascii="Calibri" w:hAnsi="Calibri"/>
        </w:rPr>
        <w:t>Pojedynczej Operacji</w:t>
      </w:r>
      <w:r>
        <w:rPr>
          <w:rStyle w:val="Bezodstpw"/>
          <w:rFonts w:ascii="Calibri" w:hAnsi="Calibri"/>
        </w:rPr>
        <w:t xml:space="preserve"> przez EGTC ESPON i są również wymienione jako warunkowe w umowie o udzielenie dotacji w celu zapewnienia spełnienia wyżej wymienionych zasad: </w:t>
      </w:r>
    </w:p>
    <w:p w:rsidR="00FF59BB" w:rsidRPr="005360A2" w:rsidRDefault="00FF59BB" w:rsidP="00FF59BB">
      <w:pPr>
        <w:pStyle w:val="Bezodstpw"/>
        <w:numPr>
          <w:ilvl w:val="0"/>
          <w:numId w:val="9"/>
        </w:numPr>
        <w:spacing w:after="120" w:line="276" w:lineRule="auto"/>
        <w:jc w:val="both"/>
        <w:rPr>
          <w:rFonts w:ascii="Calibri" w:hAnsi="Calibri"/>
        </w:rPr>
      </w:pPr>
      <w:r>
        <w:rPr>
          <w:rStyle w:val="Bezodstpw"/>
          <w:rFonts w:ascii="Calibri" w:hAnsi="Calibri"/>
        </w:rPr>
        <w:t xml:space="preserve">Do pełnienia odpowiednich funkcji w ramach EGTC ESPON przeznacza się wyłącznie personel doświadczony i przeszkolony w kwestii minimalizowania i ograniczania ryzyka (np. prawnik specjalizujący się w kwestiach budżetu i zamówień). </w:t>
      </w:r>
    </w:p>
    <w:p w:rsidR="00FF59BB" w:rsidRPr="005360A2" w:rsidRDefault="00FF59BB" w:rsidP="00FF59BB">
      <w:pPr>
        <w:pStyle w:val="Bezodstpw"/>
        <w:numPr>
          <w:ilvl w:val="0"/>
          <w:numId w:val="9"/>
        </w:numPr>
        <w:spacing w:after="120" w:line="276" w:lineRule="auto"/>
        <w:jc w:val="both"/>
        <w:rPr>
          <w:rFonts w:ascii="Calibri" w:hAnsi="Calibri"/>
        </w:rPr>
      </w:pPr>
      <w:r>
        <w:rPr>
          <w:rStyle w:val="Bezodstpw"/>
          <w:rFonts w:ascii="Calibri" w:hAnsi="Calibri"/>
        </w:rPr>
        <w:t>EGTC ESPON posiada jasno określone procedury oceny ex ante legalności zobowiązań i angażuje przewodniczącego zgromadzenia EGTC ESPON w przypadku większych kwot i/lub specjalnych zamówień (tj. rozpoczęcia zamówień publicznych, podpisania umów).</w:t>
      </w:r>
    </w:p>
    <w:p w:rsidR="00FF59BB" w:rsidRPr="005360A2" w:rsidRDefault="00FF59BB" w:rsidP="00FF59BB">
      <w:pPr>
        <w:pStyle w:val="Bezodstpw"/>
        <w:numPr>
          <w:ilvl w:val="0"/>
          <w:numId w:val="9"/>
        </w:numPr>
        <w:spacing w:after="120" w:line="276" w:lineRule="auto"/>
        <w:jc w:val="both"/>
        <w:rPr>
          <w:rFonts w:ascii="Calibri" w:hAnsi="Calibri"/>
        </w:rPr>
      </w:pPr>
      <w:r>
        <w:rPr>
          <w:rStyle w:val="Bezodstpw"/>
          <w:rFonts w:ascii="Calibri" w:hAnsi="Calibri"/>
        </w:rPr>
        <w:t>W przypadku wszystkich procesów dotyczących zobowiązań i płatności wydatków stosuje się zasadę "czterech par oczu". Oznacza to w praktyce, że jedna odpowiedzialna osoba z EGTC ESPON wnioskuje o zaciągnięcie zobowiązania na wydatki, podczas gdy inna osoba kontroluje ten wniosek o zaciągnięcie zobowiązań. W przypadku utrzymującego się braku porozumienia między osobami odpowiedzialnymi za zaciąganie zobowiązań i kontrolę wydatków, w pierwszej kolejności angażuje się dyrektora EGTC ESPON. Jeżeli dyrektor stwierdzi utrzymujący się brak porozumienia między tymi stanowiskami, składa sprawozdanie przewodniczącemu zgromadzenia EGTC ESPON w celu rozstrzygnięcia sporu.</w:t>
      </w:r>
    </w:p>
    <w:p w:rsidR="00FF59BB" w:rsidRPr="005360A2" w:rsidRDefault="00FF59BB" w:rsidP="00FF59BB">
      <w:pPr>
        <w:pStyle w:val="Bezodstpw"/>
        <w:numPr>
          <w:ilvl w:val="0"/>
          <w:numId w:val="9"/>
        </w:numPr>
        <w:spacing w:after="120" w:line="276" w:lineRule="auto"/>
        <w:jc w:val="both"/>
        <w:rPr>
          <w:rFonts w:ascii="Calibri" w:hAnsi="Calibri"/>
        </w:rPr>
      </w:pPr>
      <w:r>
        <w:rPr>
          <w:rStyle w:val="Bezodstpw"/>
          <w:rFonts w:ascii="Calibri" w:hAnsi="Calibri"/>
        </w:rPr>
        <w:t xml:space="preserve">Ustanowione procedury należytego wewnętrznego zarządzania finansami są dokumentowane i przeprowadzane są regularne kontrole w celu oceny stosowania tych procedur. </w:t>
      </w:r>
    </w:p>
    <w:p w:rsidR="00FF59BB" w:rsidRPr="005360A2" w:rsidRDefault="00FF59BB" w:rsidP="00FF59BB">
      <w:pPr>
        <w:pStyle w:val="Bezodstpw"/>
        <w:numPr>
          <w:ilvl w:val="0"/>
          <w:numId w:val="9"/>
        </w:numPr>
        <w:spacing w:after="120" w:line="276" w:lineRule="auto"/>
        <w:jc w:val="both"/>
        <w:rPr>
          <w:rFonts w:ascii="Calibri" w:hAnsi="Calibri"/>
        </w:rPr>
      </w:pPr>
      <w:r>
        <w:rPr>
          <w:rStyle w:val="Bezodstpw"/>
          <w:rFonts w:ascii="Calibri" w:hAnsi="Calibri"/>
        </w:rPr>
        <w:lastRenderedPageBreak/>
        <w:t xml:space="preserve">W przypadku wystąpienia okresowych wydatków niekwalifikowalnych przeprowadza się dogłębną ocenę wewnętrzną w celu oceny zgodności z procedurami wewnętrznymi </w:t>
      </w:r>
      <w:r w:rsidR="000F5792">
        <w:rPr>
          <w:rStyle w:val="Bezodstpw"/>
          <w:rFonts w:ascii="Calibri" w:hAnsi="Calibri"/>
        </w:rPr>
        <w:t>oraz</w:t>
      </w:r>
      <w:r>
        <w:rPr>
          <w:rStyle w:val="Bezodstpw"/>
          <w:rFonts w:ascii="Calibri" w:hAnsi="Calibri"/>
        </w:rPr>
        <w:t xml:space="preserve"> w razie konieczności, dostosowania tych procedur. </w:t>
      </w:r>
    </w:p>
    <w:p w:rsidR="00FF59BB" w:rsidRPr="005360A2" w:rsidRDefault="00FF59BB" w:rsidP="00FF59BB">
      <w:pPr>
        <w:pStyle w:val="Nagwek2"/>
        <w:rPr>
          <w:sz w:val="22"/>
        </w:rPr>
      </w:pPr>
      <w:bookmarkStart w:id="25" w:name="_Toc70079890"/>
      <w:bookmarkStart w:id="26" w:name="_Toc79480329"/>
      <w:r>
        <w:rPr>
          <w:rStyle w:val="Nagwek2"/>
          <w:sz w:val="22"/>
        </w:rPr>
        <w:t>4.2 - PRZEPISY DOTYCZĄCE "KOMITETU KONSULTACYJNEGO" EUROPEJSKIEGO UGRUPOWANIA WSPÓŁPRACY TERYTORIALNEJ ESPON EGTC</w:t>
      </w:r>
      <w:bookmarkEnd w:id="25"/>
      <w:bookmarkEnd w:id="26"/>
      <w:r>
        <w:rPr>
          <w:rStyle w:val="Nagwek2"/>
          <w:sz w:val="22"/>
        </w:rPr>
        <w:t xml:space="preserve">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Artykuł 15 Konwencji i Statutu EGTC ESPON przewiduje utworzenie "Komitetu Konsultacyjnego" na wniosek państw członkowskich wnoszących wkład do </w:t>
      </w:r>
      <w:r w:rsidR="00ED2CEB">
        <w:rPr>
          <w:rStyle w:val="Bezodstpw"/>
          <w:rFonts w:ascii="Calibri" w:hAnsi="Calibri"/>
        </w:rPr>
        <w:t>Mechanizmu Odpowiedzialności</w:t>
      </w:r>
      <w:r>
        <w:rPr>
          <w:rStyle w:val="Bezodstpw"/>
          <w:rFonts w:ascii="Calibri" w:hAnsi="Calibri"/>
        </w:rPr>
        <w:t xml:space="preserve">. W przypadku wystąpienia określonej częstotliwości lub liczby przypadków odpowiedzialności (zob. również poniżej sekcja 6.4) państwa członkowskie wnoszące wkład do </w:t>
      </w:r>
      <w:r w:rsidR="00ED2CEB">
        <w:rPr>
          <w:rStyle w:val="Bezodstpw"/>
          <w:rFonts w:ascii="Calibri" w:hAnsi="Calibri"/>
        </w:rPr>
        <w:t>Mechanizmu Odpowiedzialności</w:t>
      </w:r>
      <w:r>
        <w:rPr>
          <w:rStyle w:val="Bezodstpw"/>
          <w:rFonts w:ascii="Calibri" w:hAnsi="Calibri"/>
        </w:rPr>
        <w:t xml:space="preserve"> mogą zwrócić się o ustanowienie Komitetu Konsultacyjnego w celu zapewnienia przejrzystości i doradztwa w zakresie zarządzania administracyjnego i finansowego EGTC ESPON w odniesieniu do zaciągania zobowiązań i dokonywania płatności, wykonywania umów i odpowiadających im zobowiązań związanych z realizacją umowy o dotację.</w:t>
      </w:r>
    </w:p>
    <w:p w:rsidR="00FF59BB" w:rsidRPr="005360A2" w:rsidRDefault="00FF59BB" w:rsidP="00FF59BB">
      <w:pPr>
        <w:pStyle w:val="Bezodstpw"/>
        <w:spacing w:line="276" w:lineRule="auto"/>
        <w:jc w:val="both"/>
        <w:rPr>
          <w:rFonts w:ascii="Calibri" w:hAnsi="Calibri"/>
        </w:rPr>
      </w:pPr>
      <w:r>
        <w:rPr>
          <w:rStyle w:val="Bezodstpw"/>
          <w:rFonts w:ascii="Calibri" w:hAnsi="Calibri"/>
        </w:rPr>
        <w:t xml:space="preserve">Po ustanowieniu, zadaniem Komitetu Konsultacyjnego jest wspieranie zmniejszania liczby przypadków zobowiązań poniżej wcześniej ustalonego celu, jak określono w sekcji 6.4. W oparciu o wcześniejszą ocenę sytuacji Komitet Konsultacyjny określi szczegółowo strategię i harmonogram realizacji swoich zadań. Komitet konsultacyjny jest informowany przez dyrektora i przewodniczącego zgromadzenia o wszystkich istotnych działaniach EGTC ESPON. Komitet konsultacyjny formułuje zalecenia dla zgromadzenia we wszystkich kwestiach związanych z EGTC ESPON, jeżeli uzna to za konieczne i użyteczne w odniesieniu do administracyjnej i finansowej stabilności EGTC ESPON. Misja Komitetu Konsultacyjnego kończy się z chwilą ponownego osiągnięcia wcześniej ustalonych celów. </w:t>
      </w:r>
    </w:p>
    <w:p w:rsidR="00FF59BB" w:rsidRPr="005360A2" w:rsidRDefault="00FF59BB" w:rsidP="00FF59BB">
      <w:pPr>
        <w:pStyle w:val="Nagwek1"/>
        <w:rPr>
          <w:sz w:val="24"/>
        </w:rPr>
      </w:pPr>
      <w:bookmarkStart w:id="27" w:name="_Toc70079891"/>
      <w:bookmarkStart w:id="28" w:name="_Toc79480330"/>
      <w:r>
        <w:rPr>
          <w:rStyle w:val="Nagwek1"/>
          <w:sz w:val="24"/>
        </w:rPr>
        <w:t>SEKCJA 5: BUDŻET CAŁKOWITY I WKŁADY PAŃSTW CZŁONKOWSKICH</w:t>
      </w:r>
      <w:bookmarkEnd w:id="27"/>
      <w:bookmarkEnd w:id="28"/>
    </w:p>
    <w:p w:rsidR="00FF59BB" w:rsidRPr="005360A2" w:rsidRDefault="00FF59BB" w:rsidP="00FF59BB">
      <w:pPr>
        <w:pStyle w:val="Nagwek2"/>
        <w:rPr>
          <w:sz w:val="22"/>
        </w:rPr>
      </w:pPr>
      <w:bookmarkStart w:id="29" w:name="_Toc70079892"/>
      <w:bookmarkStart w:id="30" w:name="_Toc79480331"/>
      <w:r>
        <w:rPr>
          <w:rStyle w:val="Nagwek2"/>
          <w:sz w:val="22"/>
        </w:rPr>
        <w:t xml:space="preserve">5.1 - WSPÓLNE I OGRANICZONE FINANSOWANIE </w:t>
      </w:r>
      <w:bookmarkEnd w:id="29"/>
      <w:bookmarkEnd w:id="30"/>
      <w:r w:rsidR="00ED2CEB">
        <w:rPr>
          <w:rStyle w:val="Nagwek2"/>
          <w:sz w:val="22"/>
        </w:rPr>
        <w:t>MECHANIZMU ODPOWIEDZIALNOŚCI</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Aby zapewnić mechanizmowi odpowiedzialności niezbędną zdolność finansową umożliwiającą mu pokrycie mniejszych kwot wydatków niekwalifikowalnych, państwa członkowskie uczestniczące w programie współpracy ESPON 2030 wspólnie uruchamiają środki finansowe w wysokości maksymalnie 2% finansowania przyznanego na mocy umowy o dotację na rzecz EGTC ESPON. Próg 2% kumuluje się w całym okresie realizacji Umowy o udzielenie dotacji i stanowi górną granicę dla jakiegokolwiek zaangażowania państw członkowskich uczestniczących w finansowaniu </w:t>
      </w:r>
      <w:r w:rsidR="00ED2CEB">
        <w:rPr>
          <w:rStyle w:val="Bezodstpw"/>
          <w:rFonts w:ascii="Calibri" w:hAnsi="Calibri"/>
        </w:rPr>
        <w:t>Mechanizmu Odpowiedzialności</w:t>
      </w:r>
      <w:r>
        <w:rPr>
          <w:rStyle w:val="Bezodstpw"/>
          <w:rFonts w:ascii="Calibri" w:hAnsi="Calibri"/>
        </w:rPr>
        <w:t>.</w:t>
      </w:r>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t xml:space="preserve">W </w:t>
      </w:r>
      <w:r w:rsidR="00374BDF" w:rsidRPr="00FB49BC">
        <w:rPr>
          <w:rStyle w:val="Bezodstpw"/>
          <w:rFonts w:ascii="Calibri" w:hAnsi="Calibri" w:cs="Calibri"/>
        </w:rPr>
        <w:t>sytuacji</w:t>
      </w:r>
      <w:r w:rsidRPr="00FB49BC">
        <w:rPr>
          <w:rStyle w:val="Bezodstpw"/>
          <w:rFonts w:ascii="Calibri" w:hAnsi="Calibri" w:cs="Calibri"/>
        </w:rPr>
        <w:t xml:space="preserve">, gdy przypadki odpowiedzialności przekroczyłyby próg 2%, Wielkie Księstwo Luksemburga pokrywa wszelkie kwoty powyżej wskazanego progu zgromadzone na koniec okresu realizacji. </w:t>
      </w:r>
    </w:p>
    <w:p w:rsidR="00FF59BB" w:rsidRPr="00FB49BC" w:rsidRDefault="00FF59BB" w:rsidP="00FF59BB">
      <w:pPr>
        <w:pStyle w:val="Nagwek2"/>
        <w:keepNext/>
        <w:rPr>
          <w:rFonts w:cs="Calibri"/>
          <w:sz w:val="22"/>
          <w:szCs w:val="22"/>
        </w:rPr>
      </w:pPr>
      <w:bookmarkStart w:id="31" w:name="_Toc70079893"/>
      <w:bookmarkStart w:id="32" w:name="_Toc79480332"/>
      <w:r w:rsidRPr="00FB49BC">
        <w:rPr>
          <w:rStyle w:val="Nagwek2"/>
          <w:rFonts w:cs="Calibri"/>
          <w:sz w:val="22"/>
          <w:szCs w:val="22"/>
        </w:rPr>
        <w:t xml:space="preserve">5.2 - UZASADNIENIE PROGU 2% - </w:t>
      </w:r>
      <w:r w:rsidRPr="00FB49BC">
        <w:rPr>
          <w:rStyle w:val="Nagwek2"/>
          <w:rFonts w:cs="Calibri"/>
          <w:caps/>
          <w:sz w:val="22"/>
          <w:szCs w:val="22"/>
        </w:rPr>
        <w:t>Określenie budżetu</w:t>
      </w:r>
      <w:bookmarkEnd w:id="31"/>
      <w:bookmarkEnd w:id="32"/>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t xml:space="preserve">Próg 2% dla zasilenia budżetu w ramach </w:t>
      </w:r>
      <w:r w:rsidR="00ED2CEB" w:rsidRPr="00FB49BC">
        <w:rPr>
          <w:rStyle w:val="Bezodstpw"/>
          <w:rFonts w:ascii="Calibri" w:hAnsi="Calibri" w:cs="Calibri"/>
        </w:rPr>
        <w:t>Mechanizmu Odpowiedzialności</w:t>
      </w:r>
      <w:r w:rsidRPr="00FB49BC">
        <w:rPr>
          <w:rStyle w:val="Bezodstpw"/>
          <w:rFonts w:ascii="Calibri" w:hAnsi="Calibri" w:cs="Calibri"/>
        </w:rPr>
        <w:t xml:space="preserve"> został określony na podstawie uznania przez Trybunał Obrachunkowy i Komisję Europejską ograniczonego poziomu błędu. W kontekście audytów jedynie ustalenia powyżej 2% są klasyfikowane jako poważne błędy.</w:t>
      </w:r>
      <w:r w:rsidRPr="00FB49BC">
        <w:rPr>
          <w:rStyle w:val="Odwoanieprzypisudolnego"/>
          <w:rFonts w:ascii="Calibri" w:hAnsi="Calibri" w:cs="Calibri"/>
        </w:rPr>
        <w:footnoteReference w:id="1"/>
      </w:r>
      <w:r w:rsidRPr="00FB49BC">
        <w:rPr>
          <w:rStyle w:val="Bezodstpw"/>
          <w:rFonts w:ascii="Calibri" w:hAnsi="Calibri" w:cs="Calibri"/>
        </w:rPr>
        <w:t xml:space="preserve"> </w:t>
      </w:r>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lastRenderedPageBreak/>
        <w:t xml:space="preserve">Całkowity budżet programu współpracy ESPON 2030 wynosi 60 mln EUR, przydział środków na finansowanie </w:t>
      </w:r>
      <w:r w:rsidR="00ED2CEB" w:rsidRPr="00FB49BC">
        <w:rPr>
          <w:rStyle w:val="Bezodstpw"/>
          <w:rFonts w:ascii="Calibri" w:hAnsi="Calibri" w:cs="Calibri"/>
        </w:rPr>
        <w:t>Pojedynczej Operacji</w:t>
      </w:r>
      <w:r w:rsidRPr="00FB49BC">
        <w:rPr>
          <w:rStyle w:val="Bezodstpw"/>
          <w:rFonts w:ascii="Calibri" w:hAnsi="Calibri" w:cs="Calibri"/>
        </w:rPr>
        <w:t xml:space="preserve">, która ma być realizowana przez EGTC ESPON, wynosi maksymalnie </w:t>
      </w:r>
      <w:r w:rsidRPr="00FB49BC">
        <w:rPr>
          <w:rStyle w:val="Bezodstpw"/>
          <w:rFonts w:ascii="Calibri" w:hAnsi="Calibri" w:cs="Calibri"/>
          <w:highlight w:val="yellow"/>
        </w:rPr>
        <w:t>57,94</w:t>
      </w:r>
      <w:r w:rsidRPr="00FB49BC">
        <w:rPr>
          <w:rStyle w:val="Bezodstpw"/>
          <w:rFonts w:ascii="Calibri" w:hAnsi="Calibri" w:cs="Calibri"/>
        </w:rPr>
        <w:t xml:space="preserve"> mln EUR, z wyłączeniem wkładów państw partnerskich. Na </w:t>
      </w:r>
      <w:r w:rsidR="00ED2CEB" w:rsidRPr="00FB49BC">
        <w:rPr>
          <w:rStyle w:val="Bezodstpw"/>
          <w:rFonts w:ascii="Calibri" w:hAnsi="Calibri" w:cs="Calibri"/>
        </w:rPr>
        <w:t>Mechanizm Odpowiedzialności</w:t>
      </w:r>
      <w:r w:rsidRPr="00FB49BC">
        <w:rPr>
          <w:rStyle w:val="Bezodstpw"/>
          <w:rFonts w:ascii="Calibri" w:hAnsi="Calibri" w:cs="Calibri"/>
        </w:rPr>
        <w:t xml:space="preserve"> przeznacza się 2% całkowitego przydziału środków w ramach umowy o dofinansowanie, z wyłączeniem wkładów państw partnerskich, co odpowiada kwocie </w:t>
      </w:r>
      <w:r w:rsidRPr="00FB49BC">
        <w:rPr>
          <w:rStyle w:val="Bezodstpw"/>
          <w:rFonts w:ascii="Calibri" w:hAnsi="Calibri" w:cs="Calibri"/>
          <w:highlight w:val="yellow"/>
        </w:rPr>
        <w:t>1 158 800</w:t>
      </w:r>
      <w:r w:rsidRPr="00FB49BC">
        <w:rPr>
          <w:rStyle w:val="Bezodstpw"/>
          <w:rFonts w:ascii="Calibri" w:hAnsi="Calibri" w:cs="Calibri"/>
        </w:rPr>
        <w:t xml:space="preserve"> EUR. </w:t>
      </w:r>
    </w:p>
    <w:p w:rsidR="00FF59BB" w:rsidRPr="00FB49BC" w:rsidRDefault="00FF59BB" w:rsidP="00FF59BB">
      <w:pPr>
        <w:pStyle w:val="Nagwek2"/>
        <w:rPr>
          <w:rFonts w:cs="Calibri"/>
          <w:caps/>
          <w:sz w:val="22"/>
        </w:rPr>
      </w:pPr>
      <w:bookmarkStart w:id="33" w:name="_Toc70079894"/>
      <w:bookmarkStart w:id="34" w:name="_Toc79480333"/>
      <w:r w:rsidRPr="00FB49BC">
        <w:rPr>
          <w:rStyle w:val="Nagwek2"/>
          <w:rFonts w:cs="Calibri"/>
          <w:caps/>
          <w:sz w:val="22"/>
        </w:rPr>
        <w:t xml:space="preserve">5.3 - Wkład państw członkowskich do </w:t>
      </w:r>
      <w:bookmarkEnd w:id="33"/>
      <w:bookmarkEnd w:id="34"/>
      <w:r w:rsidR="00ED2CEB" w:rsidRPr="00FB49BC">
        <w:rPr>
          <w:rStyle w:val="Nagwek2"/>
          <w:rFonts w:cs="Calibri"/>
          <w:caps/>
          <w:sz w:val="22"/>
        </w:rPr>
        <w:t>MECHANIZMU ODPOWIEDZIALNOŚCI</w:t>
      </w:r>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t xml:space="preserve">Finansowanie </w:t>
      </w:r>
      <w:r w:rsidR="00ED2CEB" w:rsidRPr="00FB49BC">
        <w:rPr>
          <w:rStyle w:val="Bezodstpw"/>
          <w:rFonts w:ascii="Calibri" w:hAnsi="Calibri" w:cs="Calibri"/>
        </w:rPr>
        <w:t>Mechanizmu Odpowiedzialności</w:t>
      </w:r>
      <w:r w:rsidRPr="00FB49BC">
        <w:rPr>
          <w:rStyle w:val="Bezodstpw"/>
          <w:rFonts w:ascii="Calibri" w:hAnsi="Calibri" w:cs="Calibri"/>
        </w:rPr>
        <w:t xml:space="preserve"> w ramach Programu ESPON 2030 zostanie zapewnione w następujący sposób. </w:t>
      </w:r>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t xml:space="preserve">Po pierwsze, pozostałe środki z </w:t>
      </w:r>
      <w:r w:rsidR="00ED2CEB" w:rsidRPr="00FB49BC">
        <w:rPr>
          <w:rStyle w:val="Bezodstpw"/>
          <w:rFonts w:ascii="Calibri" w:hAnsi="Calibri" w:cs="Calibri"/>
        </w:rPr>
        <w:t>Mechanizmu Odpowiedzialności</w:t>
      </w:r>
      <w:r w:rsidRPr="00FB49BC">
        <w:rPr>
          <w:rStyle w:val="Bezodstpw"/>
          <w:rFonts w:ascii="Calibri" w:hAnsi="Calibri" w:cs="Calibri"/>
        </w:rPr>
        <w:t xml:space="preserve"> programu ESPON 2020 w łącznej kwocie </w:t>
      </w:r>
      <w:r w:rsidRPr="00FB49BC">
        <w:rPr>
          <w:rStyle w:val="Bezodstpw"/>
          <w:rFonts w:ascii="Calibri" w:hAnsi="Calibri" w:cs="Calibri"/>
          <w:highlight w:val="yellow"/>
        </w:rPr>
        <w:t>712 611</w:t>
      </w:r>
      <w:r w:rsidRPr="00FB49BC">
        <w:rPr>
          <w:rStyle w:val="Odwoanieprzypisudolnego"/>
          <w:rFonts w:ascii="Calibri" w:hAnsi="Calibri" w:cs="Calibri"/>
          <w:highlight w:val="yellow"/>
        </w:rPr>
        <w:footnoteReference w:id="2"/>
      </w:r>
      <w:r w:rsidRPr="00FB49BC">
        <w:rPr>
          <w:rStyle w:val="Bezodstpw"/>
          <w:rFonts w:ascii="Calibri" w:hAnsi="Calibri" w:cs="Calibri"/>
        </w:rPr>
        <w:t xml:space="preserve"> euro zostaną przeniesione do </w:t>
      </w:r>
      <w:r w:rsidR="00ED2CEB" w:rsidRPr="00FB49BC">
        <w:rPr>
          <w:rStyle w:val="Bezodstpw"/>
          <w:rFonts w:ascii="Calibri" w:hAnsi="Calibri" w:cs="Calibri"/>
        </w:rPr>
        <w:t>Mechanizmu Odpowiedzialności</w:t>
      </w:r>
      <w:r w:rsidRPr="00FB49BC">
        <w:rPr>
          <w:rStyle w:val="Bezodstpw"/>
          <w:rFonts w:ascii="Calibri" w:hAnsi="Calibri" w:cs="Calibri"/>
        </w:rPr>
        <w:t xml:space="preserve"> programu ESPON 2030. Kwota ta zostanie wykorzystana na pokrycie wszelkich przypadków odpowiedzialności EGTC ESPON wykrytych w trakcie realizacji Umowy o dofinansowanie. </w:t>
      </w:r>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t xml:space="preserve">W mało prawdopodobnym przypadku, gdy wszystkie pozostałe dostępne środki zostaną uruchomione przez EGTC ESPON na potrzeby spraw dotyczących odpowiedzialności, państwa członkowskie uczestniczące w programie współpracy ESPON 2030 zostaną poproszone o uzupełnienie budżetu </w:t>
      </w:r>
      <w:r w:rsidR="00ED2CEB" w:rsidRPr="00FB49BC">
        <w:rPr>
          <w:rStyle w:val="Bezodstpw"/>
          <w:rFonts w:ascii="Calibri" w:hAnsi="Calibri" w:cs="Calibri"/>
        </w:rPr>
        <w:t>Mechanizmu Odpowiedzialności</w:t>
      </w:r>
      <w:r w:rsidRPr="00FB49BC">
        <w:rPr>
          <w:rStyle w:val="Bezodstpw"/>
          <w:rFonts w:ascii="Calibri" w:hAnsi="Calibri" w:cs="Calibri"/>
        </w:rPr>
        <w:t xml:space="preserve"> o niezbędną kwotę do maksymalnej wysokości </w:t>
      </w:r>
      <w:r w:rsidRPr="00FB49BC">
        <w:rPr>
          <w:rStyle w:val="Bezodstpw"/>
          <w:rFonts w:ascii="Calibri" w:hAnsi="Calibri" w:cs="Calibri"/>
          <w:highlight w:val="yellow"/>
        </w:rPr>
        <w:t>1 158 800</w:t>
      </w:r>
      <w:r w:rsidRPr="00FB49BC">
        <w:rPr>
          <w:rStyle w:val="Bezodstpw"/>
          <w:rFonts w:ascii="Calibri" w:hAnsi="Calibri" w:cs="Calibri"/>
        </w:rPr>
        <w:t xml:space="preserve"> EUR, jak określono w sekcji 5.2. Wnioski o wkład do </w:t>
      </w:r>
      <w:r w:rsidR="00ED2CEB" w:rsidRPr="00FB49BC">
        <w:rPr>
          <w:rStyle w:val="Bezodstpw"/>
          <w:rFonts w:ascii="Calibri" w:hAnsi="Calibri" w:cs="Calibri"/>
        </w:rPr>
        <w:t>Mechanizmu Odpowiedzialności</w:t>
      </w:r>
      <w:r w:rsidRPr="00FB49BC">
        <w:rPr>
          <w:rStyle w:val="Bezodstpw"/>
          <w:rFonts w:ascii="Calibri" w:hAnsi="Calibri" w:cs="Calibri"/>
        </w:rPr>
        <w:t xml:space="preserve"> będą przedstawiane państwom członkowskim tylko wtedy, gdy pozostałe środki z </w:t>
      </w:r>
      <w:r w:rsidR="00ED2CEB" w:rsidRPr="00FB49BC">
        <w:rPr>
          <w:rStyle w:val="Bezodstpw"/>
          <w:rFonts w:ascii="Calibri" w:hAnsi="Calibri" w:cs="Calibri"/>
        </w:rPr>
        <w:t>Mechanizmu Odpowiedzialności</w:t>
      </w:r>
      <w:r w:rsidRPr="00FB49BC">
        <w:rPr>
          <w:rStyle w:val="Bezodstpw"/>
          <w:rFonts w:ascii="Calibri" w:hAnsi="Calibri" w:cs="Calibri"/>
        </w:rPr>
        <w:t xml:space="preserve"> w ramach programu ESPON 2020 zostaną całkowicie wykorzystane.</w:t>
      </w:r>
    </w:p>
    <w:p w:rsidR="00FF59BB" w:rsidRDefault="00FF59BB" w:rsidP="00FF59BB">
      <w:pPr>
        <w:pStyle w:val="Bezodstpw"/>
        <w:spacing w:after="120" w:line="276" w:lineRule="auto"/>
        <w:jc w:val="both"/>
        <w:rPr>
          <w:rFonts w:ascii="Calibri" w:hAnsi="Calibri"/>
        </w:rPr>
      </w:pPr>
      <w:r>
        <w:rPr>
          <w:rStyle w:val="Bezodstpw"/>
          <w:rFonts w:ascii="Calibri" w:hAnsi="Calibri"/>
        </w:rPr>
        <w:t xml:space="preserve">Każda dodatkowa sprawa dotycząca odpowiedzialności, która przekracza wspomnianą kwotę maksymalną, zostanie sfinansowana przez Wielkie Księstwo Luksemburga.  </w:t>
      </w:r>
    </w:p>
    <w:p w:rsidR="00FF59BB" w:rsidRDefault="00FF59BB" w:rsidP="00FF59BB">
      <w:pPr>
        <w:pStyle w:val="Bezodstpw"/>
        <w:spacing w:after="120" w:line="276" w:lineRule="auto"/>
        <w:jc w:val="both"/>
        <w:rPr>
          <w:rFonts w:ascii="Calibri" w:hAnsi="Calibri"/>
        </w:rPr>
      </w:pPr>
      <w:r>
        <w:rPr>
          <w:rStyle w:val="Bezodstpw"/>
          <w:rFonts w:ascii="Calibri" w:hAnsi="Calibri"/>
        </w:rPr>
        <w:t xml:space="preserve">Kwota, którą każde państwo członkowskie ma wpłacić w celu uzupełnienia pozostałych środków na rzecz </w:t>
      </w:r>
      <w:r w:rsidR="00ED2CEB">
        <w:rPr>
          <w:rStyle w:val="Bezodstpw"/>
          <w:rFonts w:ascii="Calibri" w:hAnsi="Calibri"/>
        </w:rPr>
        <w:t>Mechanizmu Odpowiedzialności</w:t>
      </w:r>
      <w:r>
        <w:rPr>
          <w:rStyle w:val="Bezodstpw"/>
          <w:rFonts w:ascii="Calibri" w:hAnsi="Calibri"/>
        </w:rPr>
        <w:t xml:space="preserve">, jest obliczana według tego samego klucza, który jest stosowany do obliczania wkładu poszczególnych państw członkowskich do Programu Współpracy ESPON 2030 i uwzględnia faktyczne wkłady już wniesione na rzecz </w:t>
      </w:r>
      <w:r w:rsidR="00ED2CEB">
        <w:rPr>
          <w:rStyle w:val="Bezodstpw"/>
          <w:rFonts w:ascii="Calibri" w:hAnsi="Calibri"/>
        </w:rPr>
        <w:t>Mechanizmu Odpowiedzialności</w:t>
      </w:r>
      <w:r>
        <w:rPr>
          <w:rStyle w:val="Bezodstpw"/>
          <w:rFonts w:ascii="Calibri" w:hAnsi="Calibri"/>
        </w:rPr>
        <w:t xml:space="preserve"> w ramach ESPON 2020.</w:t>
      </w:r>
    </w:p>
    <w:p w:rsidR="00FF59BB" w:rsidRDefault="00FF59BB" w:rsidP="00FF59BB">
      <w:pPr>
        <w:pStyle w:val="Bezodstpw"/>
        <w:spacing w:after="120" w:line="276" w:lineRule="auto"/>
        <w:jc w:val="both"/>
        <w:rPr>
          <w:rFonts w:ascii="Calibri" w:hAnsi="Calibri"/>
        </w:rPr>
      </w:pPr>
      <w:r>
        <w:rPr>
          <w:rStyle w:val="Bezodstpw"/>
        </w:rPr>
        <w:t>W przypadku i od momentu, w którym Mechanizm Odpowiedzialności musiałby zostać uzupełnion</w:t>
      </w:r>
      <w:r w:rsidR="00615382">
        <w:rPr>
          <w:rStyle w:val="Bezodstpw"/>
        </w:rPr>
        <w:t>y</w:t>
      </w:r>
      <w:r>
        <w:rPr>
          <w:rStyle w:val="Bezodstpw"/>
        </w:rPr>
        <w:t xml:space="preserve">, aby osiągnąć gwarantowaną kwotę </w:t>
      </w:r>
      <w:r>
        <w:rPr>
          <w:rStyle w:val="Bezodstpw"/>
          <w:rFonts w:ascii="Calibri" w:hAnsi="Calibri"/>
          <w:highlight w:val="yellow"/>
        </w:rPr>
        <w:t>1 158 800</w:t>
      </w:r>
      <w:r>
        <w:rPr>
          <w:rStyle w:val="Bezodstpw"/>
        </w:rPr>
        <w:t xml:space="preserve"> EUR, państwa członkowskie przekażą swoją roczną ratę na rzecz </w:t>
      </w:r>
      <w:r w:rsidR="00ED2CEB">
        <w:rPr>
          <w:rStyle w:val="Bezodstpw"/>
        </w:rPr>
        <w:t>Mechanizmu Odpowiedzialności</w:t>
      </w:r>
      <w:r>
        <w:rPr>
          <w:rStyle w:val="Bezodstpw"/>
        </w:rPr>
        <w:t xml:space="preserve"> wraz ze swoim rocznym wkładem krajowym na rzecz Programu ESPON 2030.</w:t>
      </w:r>
      <w:r>
        <w:rPr>
          <w:rStyle w:val="Bezodstpw"/>
          <w:rFonts w:ascii="Calibri" w:hAnsi="Calibri"/>
        </w:rPr>
        <w:t xml:space="preserve"> Jak opisano w sekcji 6.1, roczne raty pobierane na potrzeby </w:t>
      </w:r>
      <w:r w:rsidR="00ED2CEB">
        <w:rPr>
          <w:rStyle w:val="Bezodstpw"/>
          <w:rFonts w:ascii="Calibri" w:hAnsi="Calibri"/>
        </w:rPr>
        <w:t>Mechanizmu Odpowiedzialności</w:t>
      </w:r>
      <w:r>
        <w:rPr>
          <w:rStyle w:val="Bezodstpw"/>
          <w:rFonts w:ascii="Calibri" w:hAnsi="Calibri"/>
        </w:rPr>
        <w:t xml:space="preserve"> będą gromadzone jako fundusz w ramach specjalnej pozycji w budżecie, odrębnej od rocznych wkładów krajowych na rzecz programu współpracy ESPON 2030. </w:t>
      </w:r>
    </w:p>
    <w:p w:rsidR="00FF59BB" w:rsidRDefault="00FF59BB" w:rsidP="00FF59BB">
      <w:pPr>
        <w:pStyle w:val="Bezodstpw"/>
        <w:spacing w:after="120" w:line="276" w:lineRule="auto"/>
        <w:jc w:val="both"/>
        <w:rPr>
          <w:rFonts w:ascii="Calibri" w:hAnsi="Calibri"/>
          <w:b/>
        </w:rPr>
      </w:pPr>
      <w:r>
        <w:br w:type="page"/>
      </w:r>
      <w:r>
        <w:rPr>
          <w:rStyle w:val="Bezodstpw"/>
          <w:rFonts w:ascii="Calibri" w:hAnsi="Calibri"/>
          <w:b/>
        </w:rPr>
        <w:lastRenderedPageBreak/>
        <w:t xml:space="preserve">Tabela 1: Obliczenie składki na rzecz </w:t>
      </w:r>
      <w:r w:rsidR="00ED2CEB">
        <w:rPr>
          <w:rStyle w:val="Bezodstpw"/>
          <w:rFonts w:ascii="Calibri" w:hAnsi="Calibri"/>
          <w:b/>
        </w:rPr>
        <w:t>Mechanizmu Odpowiedzialności</w:t>
      </w:r>
      <w:r>
        <w:rPr>
          <w:rStyle w:val="Bezodstpw"/>
          <w:rFonts w:ascii="Calibri" w:hAnsi="Calibri"/>
          <w:b/>
        </w:rPr>
        <w:t xml:space="preserve"> - wszystkie państwa członkowskie</w:t>
      </w:r>
    </w:p>
    <w:tbl>
      <w:tblPr>
        <w:tblW w:w="9170" w:type="dxa"/>
        <w:tblInd w:w="118" w:type="dxa"/>
        <w:tblLook w:val="04A0" w:firstRow="1" w:lastRow="0" w:firstColumn="1" w:lastColumn="0" w:noHBand="0" w:noVBand="1"/>
      </w:tblPr>
      <w:tblGrid>
        <w:gridCol w:w="1384"/>
        <w:gridCol w:w="1867"/>
        <w:gridCol w:w="1784"/>
        <w:gridCol w:w="2180"/>
        <w:gridCol w:w="1978"/>
      </w:tblGrid>
      <w:tr w:rsidR="00FF59BB" w:rsidRPr="00441CF8" w:rsidTr="00226A49">
        <w:trPr>
          <w:trHeight w:val="766"/>
          <w:tblHeader/>
        </w:trPr>
        <w:tc>
          <w:tcPr>
            <w:tcW w:w="1384" w:type="dxa"/>
            <w:vMerge w:val="restart"/>
            <w:tcBorders>
              <w:top w:val="single" w:sz="8" w:space="0" w:color="auto"/>
              <w:left w:val="single" w:sz="8" w:space="0" w:color="auto"/>
              <w:bottom w:val="nil"/>
              <w:right w:val="single" w:sz="4" w:space="0" w:color="auto"/>
            </w:tcBorders>
            <w:shd w:val="clear" w:color="000000" w:fill="FFFFFF"/>
            <w:noWrap/>
            <w:vAlign w:val="center"/>
            <w:hideMark/>
          </w:tcPr>
          <w:p w:rsidR="00FF59BB" w:rsidRPr="00441CF8" w:rsidRDefault="00FF59BB" w:rsidP="00FF59BB">
            <w:pPr>
              <w:spacing w:after="0" w:line="240" w:lineRule="auto"/>
              <w:jc w:val="center"/>
              <w:rPr>
                <w:rFonts w:ascii="Calibri" w:hAnsi="Calibri" w:cs="Calibri"/>
                <w:b/>
                <w:bCs/>
                <w:sz w:val="20"/>
                <w:szCs w:val="20"/>
              </w:rPr>
            </w:pPr>
            <w:r>
              <w:rPr>
                <w:rStyle w:val="Normalny"/>
                <w:rFonts w:ascii="Calibri" w:hAnsi="Calibri"/>
                <w:b/>
                <w:sz w:val="20"/>
              </w:rPr>
              <w:t>Państwo członkowskie</w:t>
            </w:r>
          </w:p>
        </w:tc>
        <w:tc>
          <w:tcPr>
            <w:tcW w:w="186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F59BB" w:rsidRPr="00441CF8" w:rsidRDefault="00FF59BB" w:rsidP="00FF59BB">
            <w:pPr>
              <w:spacing w:after="0" w:line="240" w:lineRule="auto"/>
              <w:jc w:val="center"/>
              <w:rPr>
                <w:rFonts w:ascii="Calibri" w:hAnsi="Calibri" w:cs="Calibri"/>
                <w:b/>
                <w:bCs/>
                <w:sz w:val="20"/>
                <w:szCs w:val="20"/>
              </w:rPr>
            </w:pPr>
            <w:r>
              <w:rPr>
                <w:rStyle w:val="Normalny"/>
                <w:rFonts w:ascii="Calibri" w:hAnsi="Calibri"/>
                <w:b/>
                <w:sz w:val="20"/>
              </w:rPr>
              <w:t>Krajowy udział we współfinansowaniu 2030</w:t>
            </w:r>
          </w:p>
        </w:tc>
        <w:tc>
          <w:tcPr>
            <w:tcW w:w="5919" w:type="dxa"/>
            <w:gridSpan w:val="3"/>
            <w:tcBorders>
              <w:top w:val="single" w:sz="8" w:space="0" w:color="auto"/>
              <w:left w:val="single" w:sz="4" w:space="0" w:color="auto"/>
              <w:bottom w:val="single" w:sz="4" w:space="0" w:color="000000"/>
              <w:right w:val="single" w:sz="8" w:space="0" w:color="000000"/>
            </w:tcBorders>
            <w:shd w:val="clear" w:color="000000" w:fill="FFFFFF"/>
            <w:vAlign w:val="center"/>
            <w:hideMark/>
          </w:tcPr>
          <w:p w:rsidR="00FF59BB" w:rsidRPr="00441CF8" w:rsidRDefault="00FF59BB" w:rsidP="00FF59BB">
            <w:pPr>
              <w:spacing w:after="0" w:line="240" w:lineRule="auto"/>
              <w:jc w:val="center"/>
              <w:rPr>
                <w:rFonts w:ascii="Calibri" w:hAnsi="Calibri" w:cs="Calibri"/>
                <w:b/>
                <w:bCs/>
                <w:sz w:val="20"/>
                <w:szCs w:val="20"/>
              </w:rPr>
            </w:pPr>
            <w:r>
              <w:rPr>
                <w:rStyle w:val="Normalny"/>
                <w:rFonts w:ascii="Calibri" w:hAnsi="Calibri"/>
                <w:b/>
                <w:sz w:val="20"/>
              </w:rPr>
              <w:t xml:space="preserve">Wkłady na rzecz </w:t>
            </w:r>
            <w:r w:rsidR="00ED2CEB">
              <w:rPr>
                <w:rStyle w:val="Normalny"/>
                <w:rFonts w:ascii="Calibri" w:hAnsi="Calibri"/>
                <w:b/>
                <w:sz w:val="20"/>
              </w:rPr>
              <w:t>Mechanizmu Odpowiedzialności</w:t>
            </w:r>
            <w:r>
              <w:rPr>
                <w:rStyle w:val="Normalny"/>
                <w:rFonts w:ascii="Calibri" w:hAnsi="Calibri"/>
                <w:b/>
                <w:sz w:val="20"/>
              </w:rPr>
              <w:t xml:space="preserve">  </w:t>
            </w:r>
          </w:p>
        </w:tc>
      </w:tr>
      <w:tr w:rsidR="00FF59BB" w:rsidRPr="00441CF8" w:rsidTr="00226A49">
        <w:trPr>
          <w:trHeight w:val="1221"/>
          <w:tblHeader/>
        </w:trPr>
        <w:tc>
          <w:tcPr>
            <w:tcW w:w="1384" w:type="dxa"/>
            <w:vMerge/>
            <w:tcBorders>
              <w:left w:val="single" w:sz="8" w:space="0" w:color="auto"/>
              <w:bottom w:val="single" w:sz="8" w:space="0" w:color="000000"/>
              <w:right w:val="single" w:sz="4" w:space="0" w:color="auto"/>
            </w:tcBorders>
            <w:shd w:val="clear" w:color="000000" w:fill="FFFFFF"/>
            <w:vAlign w:val="center"/>
            <w:hideMark/>
          </w:tcPr>
          <w:p w:rsidR="00FF59BB" w:rsidRPr="00441CF8" w:rsidRDefault="00FF59BB" w:rsidP="00FF59BB">
            <w:pPr>
              <w:spacing w:after="0" w:line="240" w:lineRule="auto"/>
              <w:rPr>
                <w:rFonts w:ascii="Calibri" w:hAnsi="Calibri" w:cs="Calibri"/>
                <w:b/>
                <w:bCs/>
                <w:sz w:val="20"/>
                <w:szCs w:val="20"/>
              </w:rPr>
            </w:pPr>
          </w:p>
        </w:tc>
        <w:tc>
          <w:tcPr>
            <w:tcW w:w="1867" w:type="dxa"/>
            <w:vMerge/>
            <w:tcBorders>
              <w:top w:val="single" w:sz="8" w:space="0" w:color="auto"/>
              <w:left w:val="single" w:sz="4" w:space="0" w:color="auto"/>
              <w:bottom w:val="single" w:sz="4" w:space="0" w:color="auto"/>
              <w:right w:val="single" w:sz="4" w:space="0" w:color="auto"/>
            </w:tcBorders>
            <w:vAlign w:val="center"/>
            <w:hideMark/>
          </w:tcPr>
          <w:p w:rsidR="00FF59BB" w:rsidRPr="00441CF8" w:rsidRDefault="00FF59BB" w:rsidP="00FF59BB">
            <w:pPr>
              <w:spacing w:after="0" w:line="240" w:lineRule="auto"/>
              <w:rPr>
                <w:rFonts w:ascii="Calibri" w:hAnsi="Calibri" w:cs="Calibri"/>
                <w:b/>
                <w:bCs/>
                <w:sz w:val="20"/>
                <w:szCs w:val="20"/>
              </w:rPr>
            </w:pPr>
          </w:p>
        </w:tc>
        <w:tc>
          <w:tcPr>
            <w:tcW w:w="1761" w:type="dxa"/>
            <w:tcBorders>
              <w:top w:val="nil"/>
              <w:left w:val="single" w:sz="4" w:space="0" w:color="auto"/>
              <w:bottom w:val="single" w:sz="4" w:space="0" w:color="auto"/>
              <w:right w:val="single" w:sz="4" w:space="0" w:color="auto"/>
            </w:tcBorders>
            <w:shd w:val="clear" w:color="000000" w:fill="FFFFFF"/>
            <w:vAlign w:val="center"/>
            <w:hideMark/>
          </w:tcPr>
          <w:p w:rsidR="00FF59BB" w:rsidRPr="00441CF8" w:rsidRDefault="00FF59BB" w:rsidP="00FF59BB">
            <w:pPr>
              <w:spacing w:after="0" w:line="240" w:lineRule="auto"/>
              <w:jc w:val="center"/>
              <w:rPr>
                <w:rFonts w:ascii="Calibri" w:hAnsi="Calibri" w:cs="Calibri"/>
                <w:b/>
                <w:bCs/>
                <w:sz w:val="20"/>
                <w:szCs w:val="20"/>
              </w:rPr>
            </w:pPr>
            <w:r>
              <w:rPr>
                <w:rStyle w:val="Normalny"/>
                <w:rFonts w:ascii="Calibri" w:hAnsi="Calibri"/>
                <w:b/>
                <w:sz w:val="20"/>
              </w:rPr>
              <w:t xml:space="preserve">Całkowity wkład na rzecz </w:t>
            </w:r>
            <w:r w:rsidR="00ED2CEB">
              <w:rPr>
                <w:rStyle w:val="Normalny"/>
                <w:rFonts w:ascii="Calibri" w:hAnsi="Calibri"/>
                <w:b/>
                <w:sz w:val="20"/>
              </w:rPr>
              <w:t>Mechanizmu Odpowiedzialności</w:t>
            </w:r>
            <w:r>
              <w:rPr>
                <w:rStyle w:val="Normalny"/>
                <w:rFonts w:ascii="Calibri" w:hAnsi="Calibri"/>
                <w:b/>
                <w:sz w:val="20"/>
              </w:rPr>
              <w:t xml:space="preserve"> w ramach programu ESPON 2030</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FF59BB" w:rsidRPr="00441CF8" w:rsidRDefault="00FF59BB" w:rsidP="00FF59BB">
            <w:pPr>
              <w:spacing w:after="0" w:line="240" w:lineRule="auto"/>
              <w:jc w:val="center"/>
              <w:rPr>
                <w:rFonts w:ascii="Calibri" w:hAnsi="Calibri" w:cs="Calibri"/>
                <w:b/>
                <w:bCs/>
                <w:sz w:val="20"/>
                <w:szCs w:val="20"/>
              </w:rPr>
            </w:pPr>
            <w:r>
              <w:rPr>
                <w:rStyle w:val="Normalny"/>
                <w:rFonts w:ascii="Calibri" w:hAnsi="Calibri"/>
                <w:b/>
                <w:sz w:val="20"/>
              </w:rPr>
              <w:t xml:space="preserve">Pozostały wkład z </w:t>
            </w:r>
            <w:r w:rsidR="00ED2CEB">
              <w:rPr>
                <w:rStyle w:val="Normalny"/>
                <w:rFonts w:ascii="Calibri" w:hAnsi="Calibri"/>
                <w:b/>
                <w:sz w:val="20"/>
              </w:rPr>
              <w:t>Mechanizmu Odpowiedzialności</w:t>
            </w:r>
            <w:r>
              <w:rPr>
                <w:rStyle w:val="Normalny"/>
                <w:rFonts w:ascii="Calibri" w:hAnsi="Calibri"/>
                <w:b/>
                <w:sz w:val="20"/>
              </w:rPr>
              <w:t xml:space="preserve"> w ramach programu ESPON 2020 </w:t>
            </w:r>
          </w:p>
        </w:tc>
        <w:tc>
          <w:tcPr>
            <w:tcW w:w="1978" w:type="dxa"/>
            <w:tcBorders>
              <w:top w:val="nil"/>
              <w:left w:val="single" w:sz="4" w:space="0" w:color="auto"/>
              <w:bottom w:val="single" w:sz="4" w:space="0" w:color="auto"/>
              <w:right w:val="single" w:sz="8" w:space="0" w:color="auto"/>
            </w:tcBorders>
            <w:shd w:val="clear" w:color="000000" w:fill="FFFFFF"/>
            <w:vAlign w:val="center"/>
            <w:hideMark/>
          </w:tcPr>
          <w:p w:rsidR="00FF59BB" w:rsidRPr="00441CF8" w:rsidRDefault="00FF59BB" w:rsidP="00FF59BB">
            <w:pPr>
              <w:spacing w:after="0" w:line="240" w:lineRule="auto"/>
              <w:jc w:val="center"/>
              <w:rPr>
                <w:rFonts w:ascii="Calibri" w:hAnsi="Calibri" w:cs="Calibri"/>
                <w:b/>
                <w:bCs/>
                <w:sz w:val="20"/>
                <w:szCs w:val="20"/>
              </w:rPr>
            </w:pPr>
            <w:r>
              <w:rPr>
                <w:rStyle w:val="Normalny"/>
                <w:rFonts w:ascii="Calibri" w:hAnsi="Calibri"/>
                <w:b/>
                <w:sz w:val="20"/>
              </w:rPr>
              <w:t xml:space="preserve">Różnica, o którą można wnioskować w zależności od potrzeb </w:t>
            </w:r>
          </w:p>
        </w:tc>
      </w:tr>
      <w:tr w:rsidR="00FF59BB" w:rsidRPr="00467CFB"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tcPr>
          <w:p w:rsidR="00FF59BB" w:rsidRPr="00467CFB" w:rsidRDefault="00FF59BB" w:rsidP="00FF59BB">
            <w:pPr>
              <w:spacing w:after="0" w:line="240" w:lineRule="auto"/>
              <w:jc w:val="center"/>
              <w:rPr>
                <w:rFonts w:ascii="Calibri" w:hAnsi="Calibri" w:cs="Calibri"/>
                <w:b/>
                <w:bCs/>
                <w:sz w:val="20"/>
                <w:szCs w:val="20"/>
              </w:rPr>
            </w:pPr>
            <w:r>
              <w:rPr>
                <w:rStyle w:val="Normalny"/>
                <w:rFonts w:ascii="Calibri" w:hAnsi="Calibri"/>
                <w:b/>
                <w:sz w:val="20"/>
              </w:rPr>
              <w:t>(1)</w:t>
            </w:r>
          </w:p>
        </w:tc>
        <w:tc>
          <w:tcPr>
            <w:tcW w:w="1867" w:type="dxa"/>
            <w:tcBorders>
              <w:top w:val="nil"/>
              <w:left w:val="nil"/>
              <w:bottom w:val="single" w:sz="4" w:space="0" w:color="auto"/>
              <w:right w:val="single" w:sz="8" w:space="0" w:color="auto"/>
            </w:tcBorders>
            <w:shd w:val="clear" w:color="auto" w:fill="auto"/>
            <w:noWrap/>
            <w:vAlign w:val="center"/>
          </w:tcPr>
          <w:p w:rsidR="00FF59BB" w:rsidRPr="00467CFB" w:rsidRDefault="00FF59BB" w:rsidP="00FF59BB">
            <w:pPr>
              <w:spacing w:after="0" w:line="240" w:lineRule="auto"/>
              <w:jc w:val="center"/>
              <w:rPr>
                <w:rFonts w:ascii="Calibri" w:hAnsi="Calibri" w:cs="Calibri"/>
                <w:b/>
                <w:sz w:val="20"/>
                <w:szCs w:val="20"/>
              </w:rPr>
            </w:pPr>
            <w:r>
              <w:rPr>
                <w:rStyle w:val="Normalny"/>
                <w:rFonts w:ascii="Calibri" w:hAnsi="Calibri"/>
                <w:b/>
                <w:sz w:val="20"/>
              </w:rPr>
              <w:t>(2)</w:t>
            </w:r>
          </w:p>
        </w:tc>
        <w:tc>
          <w:tcPr>
            <w:tcW w:w="1761" w:type="dxa"/>
            <w:tcBorders>
              <w:top w:val="nil"/>
              <w:left w:val="nil"/>
              <w:bottom w:val="single" w:sz="4" w:space="0" w:color="auto"/>
              <w:right w:val="single" w:sz="4" w:space="0" w:color="auto"/>
            </w:tcBorders>
            <w:shd w:val="clear" w:color="auto" w:fill="auto"/>
            <w:noWrap/>
            <w:vAlign w:val="center"/>
          </w:tcPr>
          <w:p w:rsidR="00FF59BB" w:rsidRPr="00467CFB" w:rsidRDefault="00FF59BB" w:rsidP="00FF59BB">
            <w:pPr>
              <w:spacing w:after="0" w:line="240" w:lineRule="auto"/>
              <w:jc w:val="center"/>
              <w:rPr>
                <w:rFonts w:ascii="Calibri" w:hAnsi="Calibri" w:cs="Calibri"/>
                <w:b/>
                <w:sz w:val="20"/>
                <w:szCs w:val="20"/>
              </w:rPr>
            </w:pPr>
            <w:r>
              <w:rPr>
                <w:rStyle w:val="Normalny"/>
                <w:rFonts w:ascii="Calibri" w:hAnsi="Calibri"/>
                <w:b/>
                <w:sz w:val="20"/>
              </w:rPr>
              <w:t>(3)</w:t>
            </w:r>
          </w:p>
        </w:tc>
        <w:tc>
          <w:tcPr>
            <w:tcW w:w="2180" w:type="dxa"/>
            <w:tcBorders>
              <w:top w:val="nil"/>
              <w:left w:val="nil"/>
              <w:bottom w:val="single" w:sz="4" w:space="0" w:color="auto"/>
              <w:right w:val="single" w:sz="4" w:space="0" w:color="auto"/>
            </w:tcBorders>
            <w:shd w:val="clear" w:color="auto" w:fill="auto"/>
            <w:noWrap/>
            <w:vAlign w:val="center"/>
          </w:tcPr>
          <w:p w:rsidR="00FF59BB" w:rsidRPr="00467CFB" w:rsidRDefault="00FF59BB" w:rsidP="00FF59BB">
            <w:pPr>
              <w:spacing w:after="0" w:line="240" w:lineRule="auto"/>
              <w:jc w:val="center"/>
              <w:rPr>
                <w:rFonts w:ascii="Calibri" w:hAnsi="Calibri" w:cs="Calibri"/>
                <w:b/>
                <w:sz w:val="20"/>
                <w:szCs w:val="20"/>
              </w:rPr>
            </w:pPr>
            <w:r>
              <w:rPr>
                <w:rStyle w:val="Normalny"/>
                <w:rFonts w:ascii="Calibri" w:hAnsi="Calibri"/>
                <w:b/>
                <w:sz w:val="20"/>
              </w:rPr>
              <w:t>(4)</w:t>
            </w:r>
          </w:p>
        </w:tc>
        <w:tc>
          <w:tcPr>
            <w:tcW w:w="1978" w:type="dxa"/>
            <w:tcBorders>
              <w:top w:val="nil"/>
              <w:left w:val="nil"/>
              <w:bottom w:val="single" w:sz="4" w:space="0" w:color="auto"/>
              <w:right w:val="single" w:sz="8" w:space="0" w:color="auto"/>
            </w:tcBorders>
            <w:shd w:val="clear" w:color="auto" w:fill="auto"/>
            <w:noWrap/>
            <w:vAlign w:val="center"/>
          </w:tcPr>
          <w:p w:rsidR="00FF59BB" w:rsidRPr="00467CFB" w:rsidRDefault="00FF59BB" w:rsidP="00FF59BB">
            <w:pPr>
              <w:spacing w:after="0" w:line="240" w:lineRule="auto"/>
              <w:jc w:val="center"/>
              <w:rPr>
                <w:rFonts w:ascii="Calibri" w:hAnsi="Calibri" w:cs="Calibri"/>
                <w:b/>
                <w:sz w:val="20"/>
                <w:szCs w:val="20"/>
              </w:rPr>
            </w:pPr>
            <w:r>
              <w:rPr>
                <w:rStyle w:val="Normalny"/>
                <w:rFonts w:ascii="Calibri" w:hAnsi="Calibri"/>
                <w:b/>
                <w:sz w:val="20"/>
              </w:rPr>
              <w:t>(5)</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Austria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3,43%</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39 701 €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27 290 €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12 411 €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Belgia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3,65%</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42 297 €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28 868 €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13 428 €</w:t>
            </w:r>
          </w:p>
        </w:tc>
      </w:tr>
      <w:tr w:rsidR="00FF59BB" w:rsidRPr="00441CF8" w:rsidTr="007F0AA6">
        <w:trPr>
          <w:trHeight w:val="249"/>
        </w:trPr>
        <w:tc>
          <w:tcPr>
            <w:tcW w:w="1384" w:type="dxa"/>
            <w:tcBorders>
              <w:top w:val="nil"/>
              <w:left w:val="single" w:sz="8" w:space="0" w:color="auto"/>
              <w:bottom w:val="nil"/>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Bułgaria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2,59%</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30 048 €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21 126 €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8 922 €</w:t>
            </w:r>
          </w:p>
        </w:tc>
      </w:tr>
      <w:tr w:rsidR="00FF59BB" w:rsidRPr="00441CF8" w:rsidTr="007F0AA6">
        <w:trPr>
          <w:trHeight w:val="249"/>
        </w:trPr>
        <w:tc>
          <w:tcPr>
            <w:tcW w:w="13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Chorwacja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2,58%</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29 932 €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20 877 €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9 055 €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Cypr</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2,50%</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28 959 €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15 952 €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13 006 €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Czechy</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2,96%</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34 347 €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22 614 €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11 733 €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i/>
                <w:iCs/>
                <w:sz w:val="20"/>
                <w:szCs w:val="20"/>
              </w:rPr>
            </w:pPr>
            <w:r>
              <w:rPr>
                <w:rStyle w:val="Normalny"/>
                <w:rFonts w:ascii="Calibri" w:hAnsi="Calibri"/>
                <w:b/>
                <w:sz w:val="20"/>
              </w:rPr>
              <w:t>Dania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3,20%</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37 105 €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26 806 €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10 299 €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Estonia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2.51%</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29 109 €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15 952 €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13 157 €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Finlandia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3.07%</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35 518 €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25 953 €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9 565 €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Francja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8.89%</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102 972 €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52 993 €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49 979 €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Niemcy</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10.46%</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121 189 €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57 706 €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63 482 €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Grecja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2.94%</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34 023 €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26 194 €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7 828 €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Węgry</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2.79%</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32 354 €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19 502 €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12 852 €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Irlandia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3.11%</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36 004 €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25 711 €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10 293 €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Włochy</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7.06%</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81 801 €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45 583 €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36 217 €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Łotwa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2.52%</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29 225 €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15 952 €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13 273 €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Litwa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2.56%</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29 666 €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15 952 €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13 713 €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Luksemburg</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2.56%</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29 608 €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24 623 €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4 984 €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Malta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2.48%</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28 692 €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15 952 €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12 740 €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Holandia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3.99%</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46 213 €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31 776 €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14 437 €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Polska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3.76%</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43 548 €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25 296 €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18 253 €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Portugalia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2.98%</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34 567 €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25 832 €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8 736 €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Rumunia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2.97%</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34 463 €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22 410 €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12 053 €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Słowacja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2.68%</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31 068 €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15 952 €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15 115 €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Słowenia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2.57%</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29 770 €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19 502 €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10 268 €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Hiszpania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5.71%</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66 145 €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38 461 €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27 684 €</w:t>
            </w:r>
          </w:p>
        </w:tc>
      </w:tr>
      <w:tr w:rsidR="00FF59BB" w:rsidRPr="00441CF8" w:rsidTr="007F0AA6">
        <w:trPr>
          <w:trHeight w:val="249"/>
        </w:trPr>
        <w:tc>
          <w:tcPr>
            <w:tcW w:w="1384" w:type="dxa"/>
            <w:tcBorders>
              <w:top w:val="nil"/>
              <w:left w:val="single" w:sz="8" w:space="0" w:color="auto"/>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Szwecja</w:t>
            </w:r>
          </w:p>
        </w:tc>
        <w:tc>
          <w:tcPr>
            <w:tcW w:w="1867"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3.49%</w:t>
            </w:r>
          </w:p>
        </w:tc>
        <w:tc>
          <w:tcPr>
            <w:tcW w:w="1761"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40 477 €</w:t>
            </w:r>
          </w:p>
        </w:tc>
        <w:tc>
          <w:tcPr>
            <w:tcW w:w="2180" w:type="dxa"/>
            <w:tcBorders>
              <w:top w:val="nil"/>
              <w:left w:val="nil"/>
              <w:bottom w:val="single" w:sz="4"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27 773 €</w:t>
            </w:r>
          </w:p>
        </w:tc>
        <w:tc>
          <w:tcPr>
            <w:tcW w:w="1978" w:type="dxa"/>
            <w:tcBorders>
              <w:top w:val="nil"/>
              <w:left w:val="nil"/>
              <w:bottom w:val="single" w:sz="4"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sz w:val="20"/>
                <w:szCs w:val="20"/>
              </w:rPr>
            </w:pPr>
            <w:r>
              <w:rPr>
                <w:rStyle w:val="Normalny"/>
                <w:rFonts w:ascii="Calibri" w:hAnsi="Calibri"/>
                <w:sz w:val="20"/>
              </w:rPr>
              <w:t>12 704 €</w:t>
            </w:r>
          </w:p>
        </w:tc>
      </w:tr>
      <w:tr w:rsidR="00FF59BB" w:rsidRPr="00441CF8" w:rsidTr="007F0AA6">
        <w:trPr>
          <w:trHeight w:val="249"/>
        </w:trPr>
        <w:tc>
          <w:tcPr>
            <w:tcW w:w="138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F59BB" w:rsidRPr="00441CF8" w:rsidRDefault="00FF59BB" w:rsidP="00FF59BB">
            <w:pPr>
              <w:spacing w:after="0" w:line="240" w:lineRule="auto"/>
              <w:rPr>
                <w:rFonts w:ascii="Calibri" w:hAnsi="Calibri" w:cs="Calibri"/>
                <w:b/>
                <w:bCs/>
                <w:sz w:val="20"/>
                <w:szCs w:val="20"/>
              </w:rPr>
            </w:pPr>
            <w:r>
              <w:rPr>
                <w:rStyle w:val="Normalny"/>
                <w:rFonts w:ascii="Calibri" w:hAnsi="Calibri"/>
                <w:b/>
                <w:sz w:val="20"/>
              </w:rPr>
              <w:t>ŁĄCZNIE</w:t>
            </w:r>
          </w:p>
        </w:tc>
        <w:tc>
          <w:tcPr>
            <w:tcW w:w="1867" w:type="dxa"/>
            <w:tcBorders>
              <w:top w:val="single" w:sz="8" w:space="0" w:color="auto"/>
              <w:left w:val="nil"/>
              <w:bottom w:val="single" w:sz="8"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b/>
                <w:bCs/>
                <w:sz w:val="20"/>
                <w:szCs w:val="20"/>
              </w:rPr>
            </w:pPr>
            <w:r>
              <w:rPr>
                <w:rStyle w:val="Normalny"/>
                <w:rFonts w:ascii="Calibri" w:hAnsi="Calibri"/>
                <w:b/>
                <w:sz w:val="20"/>
              </w:rPr>
              <w:t>100.00%</w:t>
            </w:r>
          </w:p>
        </w:tc>
        <w:tc>
          <w:tcPr>
            <w:tcW w:w="1761" w:type="dxa"/>
            <w:tcBorders>
              <w:top w:val="single" w:sz="8" w:space="0" w:color="auto"/>
              <w:left w:val="nil"/>
              <w:bottom w:val="single" w:sz="8"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b/>
                <w:bCs/>
                <w:sz w:val="20"/>
                <w:szCs w:val="20"/>
              </w:rPr>
            </w:pPr>
            <w:r>
              <w:rPr>
                <w:rStyle w:val="Normalny"/>
                <w:rFonts w:ascii="Calibri" w:hAnsi="Calibri"/>
                <w:b/>
                <w:sz w:val="20"/>
              </w:rPr>
              <w:t>1 158 800 €</w:t>
            </w:r>
          </w:p>
        </w:tc>
        <w:tc>
          <w:tcPr>
            <w:tcW w:w="2180" w:type="dxa"/>
            <w:tcBorders>
              <w:top w:val="single" w:sz="8" w:space="0" w:color="auto"/>
              <w:left w:val="nil"/>
              <w:bottom w:val="single" w:sz="8" w:space="0" w:color="auto"/>
              <w:right w:val="single" w:sz="4"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b/>
                <w:bCs/>
                <w:sz w:val="20"/>
                <w:szCs w:val="20"/>
              </w:rPr>
            </w:pPr>
            <w:r>
              <w:rPr>
                <w:rStyle w:val="Normalny"/>
                <w:rFonts w:ascii="Calibri" w:hAnsi="Calibri"/>
                <w:b/>
                <w:sz w:val="20"/>
              </w:rPr>
              <w:t>712 611 €</w:t>
            </w:r>
          </w:p>
        </w:tc>
        <w:tc>
          <w:tcPr>
            <w:tcW w:w="1978" w:type="dxa"/>
            <w:tcBorders>
              <w:top w:val="single" w:sz="8" w:space="0" w:color="auto"/>
              <w:left w:val="nil"/>
              <w:bottom w:val="single" w:sz="8" w:space="0" w:color="auto"/>
              <w:right w:val="single" w:sz="8" w:space="0" w:color="auto"/>
            </w:tcBorders>
            <w:shd w:val="clear" w:color="auto" w:fill="auto"/>
            <w:noWrap/>
            <w:vAlign w:val="center"/>
            <w:hideMark/>
          </w:tcPr>
          <w:p w:rsidR="00FF59BB" w:rsidRPr="00441CF8" w:rsidRDefault="00FF59BB" w:rsidP="00FF59BB">
            <w:pPr>
              <w:spacing w:after="0" w:line="240" w:lineRule="auto"/>
              <w:jc w:val="center"/>
              <w:rPr>
                <w:rFonts w:ascii="Calibri" w:hAnsi="Calibri" w:cs="Calibri"/>
                <w:b/>
                <w:bCs/>
                <w:sz w:val="20"/>
                <w:szCs w:val="20"/>
              </w:rPr>
            </w:pPr>
            <w:r>
              <w:rPr>
                <w:rStyle w:val="Normalny"/>
                <w:rFonts w:ascii="Calibri" w:hAnsi="Calibri"/>
                <w:b/>
                <w:sz w:val="20"/>
              </w:rPr>
              <w:t>446 189 €</w:t>
            </w:r>
          </w:p>
        </w:tc>
      </w:tr>
    </w:tbl>
    <w:p w:rsidR="00FF59BB" w:rsidRPr="005360A2" w:rsidRDefault="00FF59BB" w:rsidP="00FF59BB">
      <w:pPr>
        <w:pStyle w:val="Nagwek2"/>
        <w:rPr>
          <w:sz w:val="22"/>
        </w:rPr>
      </w:pPr>
      <w:r>
        <w:br w:type="page"/>
      </w:r>
      <w:bookmarkStart w:id="35" w:name="_Toc70079895"/>
      <w:bookmarkStart w:id="36" w:name="_Toc79480334"/>
      <w:r>
        <w:rPr>
          <w:rStyle w:val="Nagwek2"/>
          <w:sz w:val="22"/>
        </w:rPr>
        <w:lastRenderedPageBreak/>
        <w:t>5.4 - POKRYCIE PRZEZ LUKSEMBURG PRZYPADKÓW ODPOWIEDZIALNOŚCI WYKRACZAJĄCYCH POZA PRÓG 2%</w:t>
      </w:r>
      <w:bookmarkEnd w:id="35"/>
      <w:bookmarkEnd w:id="36"/>
      <w:r>
        <w:rPr>
          <w:rStyle w:val="Nagwek2"/>
          <w:sz w:val="22"/>
        </w:rPr>
        <w:t xml:space="preserve"> </w:t>
      </w:r>
    </w:p>
    <w:p w:rsidR="00FF59BB" w:rsidRDefault="00FF59BB" w:rsidP="00FF59BB">
      <w:pPr>
        <w:pStyle w:val="Bezodstpw"/>
        <w:spacing w:after="120" w:line="276" w:lineRule="auto"/>
        <w:jc w:val="both"/>
        <w:rPr>
          <w:rFonts w:ascii="Calibri" w:hAnsi="Calibri"/>
        </w:rPr>
      </w:pPr>
      <w:r>
        <w:rPr>
          <w:rStyle w:val="Bezodstpw"/>
          <w:rFonts w:ascii="Calibri" w:hAnsi="Calibri"/>
        </w:rPr>
        <w:t xml:space="preserve">Po zakończeniu okresu programowania i realizacji umowy o udzielenie dotacji, po przeprowadzeniu wszystkich możliwych kontroli i audytów, Wielkie Księstwo Luksemburga uruchamia wszystkie środki finansowe potrzebne do pokrycia przypadków odpowiedzialności dotyczących niekwalifikowalnych wydatków przekraczających budżet </w:t>
      </w:r>
      <w:r w:rsidR="00ED2CEB">
        <w:rPr>
          <w:rStyle w:val="Bezodstpw"/>
          <w:rFonts w:ascii="Calibri" w:hAnsi="Calibri"/>
        </w:rPr>
        <w:t>Mechanizmu Odpowiedzialności</w:t>
      </w:r>
      <w:r>
        <w:rPr>
          <w:rStyle w:val="Bezodstpw"/>
          <w:rFonts w:ascii="Calibri" w:hAnsi="Calibri"/>
        </w:rPr>
        <w:t xml:space="preserve"> w wysokości 2%. Zobowiązanie to odnosi się do obowiązków Wielkiego Księstwa Luksemburga jako państwa, w którym znajduje się siedziba EGTC ESPON. </w:t>
      </w:r>
    </w:p>
    <w:p w:rsidR="00FF59BB" w:rsidRPr="005360A2" w:rsidRDefault="00FF59BB" w:rsidP="00FF59BB">
      <w:pPr>
        <w:pStyle w:val="Nagwek2"/>
        <w:rPr>
          <w:sz w:val="22"/>
        </w:rPr>
      </w:pPr>
      <w:bookmarkStart w:id="37" w:name="_Toc70079896"/>
      <w:bookmarkStart w:id="38" w:name="_Toc79480335"/>
      <w:r>
        <w:rPr>
          <w:rStyle w:val="Nagwek2"/>
          <w:sz w:val="22"/>
        </w:rPr>
        <w:t xml:space="preserve">5.5 - ZAMKNIĘCIE </w:t>
      </w:r>
      <w:r w:rsidR="00ED2CEB">
        <w:rPr>
          <w:rStyle w:val="Nagwek2"/>
          <w:sz w:val="22"/>
        </w:rPr>
        <w:t>MECHANIZMU ODPOWIEDZIALNOŚCI</w:t>
      </w:r>
      <w:r>
        <w:rPr>
          <w:rStyle w:val="Nagwek2"/>
          <w:sz w:val="22"/>
        </w:rPr>
        <w:t>: PONOWNE PRZEKAZANIE POZOSTAŁEGO BUDŻETU</w:t>
      </w:r>
      <w:bookmarkEnd w:id="37"/>
      <w:bookmarkEnd w:id="38"/>
      <w:r>
        <w:rPr>
          <w:rStyle w:val="Nagwek2"/>
          <w:sz w:val="22"/>
        </w:rPr>
        <w:t xml:space="preserve">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Na koniec okresu programowania i po zamknięciu realizacji umowy o udzielenie dotacji oraz po przejściu wszystkich możliwych kontroli i audytów, a także po wydaniu sprawozdania z zamknięcia zgodnie z sekcją 6.5, wszystkie niewykorzystane środki finansowe w ramach </w:t>
      </w:r>
      <w:r w:rsidR="00D2288D">
        <w:rPr>
          <w:rStyle w:val="Bezodstpw"/>
          <w:rFonts w:ascii="Calibri" w:hAnsi="Calibri"/>
        </w:rPr>
        <w:t>M</w:t>
      </w:r>
      <w:r>
        <w:rPr>
          <w:rStyle w:val="Bezodstpw"/>
          <w:rFonts w:ascii="Calibri" w:hAnsi="Calibri"/>
        </w:rPr>
        <w:t xml:space="preserve">echanizmu </w:t>
      </w:r>
      <w:r w:rsidR="00D2288D">
        <w:rPr>
          <w:rStyle w:val="Bezodstpw"/>
          <w:rFonts w:ascii="Calibri" w:hAnsi="Calibri"/>
        </w:rPr>
        <w:t>Odpowiedzialności</w:t>
      </w:r>
      <w:r>
        <w:rPr>
          <w:rStyle w:val="Bezodstpw"/>
          <w:rFonts w:ascii="Calibri" w:hAnsi="Calibri"/>
        </w:rPr>
        <w:t xml:space="preserve"> zostaną ponownie przekazane państwom członkowskim UE proporcjonalnie do ich wcześniejszych wkładów lub, w przypadku kontynuacji programu ESPON, niewykorzystane środki finansowe mogą zostać przekazane do programu następującego po ESPON 2030, jeżeli Komitet Monitorujący podejmie taką decyzję. </w:t>
      </w:r>
    </w:p>
    <w:p w:rsidR="00FF59BB" w:rsidRPr="005360A2" w:rsidRDefault="00FF59BB" w:rsidP="00FF59BB">
      <w:pPr>
        <w:pStyle w:val="Nagwek2"/>
        <w:rPr>
          <w:sz w:val="24"/>
        </w:rPr>
      </w:pPr>
      <w:bookmarkStart w:id="39" w:name="_Toc70079897"/>
      <w:bookmarkStart w:id="40" w:name="_Toc79480336"/>
      <w:r>
        <w:rPr>
          <w:rStyle w:val="Nagwek2"/>
          <w:sz w:val="24"/>
        </w:rPr>
        <w:t>5.6. - Opłaty i odsetki</w:t>
      </w:r>
      <w:bookmarkEnd w:id="39"/>
      <w:bookmarkEnd w:id="40"/>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Nie nakłada się żadnych opłat za administrowanie, hosting i obsługę </w:t>
      </w:r>
      <w:r w:rsidR="00ED2CEB">
        <w:rPr>
          <w:rStyle w:val="Bezodstpw"/>
          <w:rFonts w:ascii="Calibri" w:hAnsi="Calibri"/>
        </w:rPr>
        <w:t>Mechanizmu Odpowiedzialności</w:t>
      </w:r>
      <w:r>
        <w:rPr>
          <w:rStyle w:val="Bezodstpw"/>
          <w:rFonts w:ascii="Calibri" w:hAnsi="Calibri"/>
        </w:rPr>
        <w:t xml:space="preserve"> oraz za prowadzenie funduszu. </w:t>
      </w:r>
      <w:r w:rsidR="00ED2CEB">
        <w:rPr>
          <w:rStyle w:val="Bezodstpw"/>
          <w:rFonts w:ascii="Calibri" w:hAnsi="Calibri"/>
        </w:rPr>
        <w:t>Mechanizm Odpowiedzialności</w:t>
      </w:r>
      <w:r>
        <w:rPr>
          <w:rStyle w:val="Bezodstpw"/>
          <w:rFonts w:ascii="Calibri" w:hAnsi="Calibri"/>
        </w:rPr>
        <w:t xml:space="preserve"> nie będzie generował odsetek. </w:t>
      </w:r>
    </w:p>
    <w:p w:rsidR="00FF59BB" w:rsidRPr="008B2B14" w:rsidRDefault="00FF59BB" w:rsidP="00FF59BB">
      <w:pPr>
        <w:pStyle w:val="Nagwek2"/>
        <w:rPr>
          <w:caps/>
          <w:sz w:val="22"/>
        </w:rPr>
      </w:pPr>
      <w:bookmarkStart w:id="41" w:name="_Toc70079898"/>
      <w:bookmarkStart w:id="42" w:name="_Toc79480337"/>
      <w:r>
        <w:rPr>
          <w:rStyle w:val="Nagwek2"/>
          <w:caps/>
          <w:sz w:val="22"/>
        </w:rPr>
        <w:t>5.7 - Rola Państw Partnerskich w Mechanizmie Odpowiedzialności</w:t>
      </w:r>
      <w:bookmarkEnd w:id="41"/>
      <w:bookmarkEnd w:id="42"/>
      <w:r>
        <w:rPr>
          <w:rStyle w:val="Nagwek2"/>
          <w:caps/>
          <w:sz w:val="22"/>
        </w:rPr>
        <w:t xml:space="preserve">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Środki finansowe przekazywane przez państwa partnerskie jako wkład do Programu Współpracy ESPON 2030 nie są wykorzystywane do współfinansowania środków z EFRR, dlatego też wydatki niekwalifikowalne w rozumieniu rozporządzenia w sprawie EFRR nie będą wymagały zwrotu ze strony państw partnerskich. </w:t>
      </w:r>
    </w:p>
    <w:p w:rsidR="00FF59BB" w:rsidRPr="00D2288D" w:rsidRDefault="00FF59BB" w:rsidP="00FF59BB">
      <w:pPr>
        <w:pStyle w:val="Nagwek1"/>
        <w:rPr>
          <w:sz w:val="24"/>
          <w:szCs w:val="24"/>
        </w:rPr>
      </w:pPr>
      <w:bookmarkStart w:id="43" w:name="_Toc70079899"/>
      <w:bookmarkStart w:id="44" w:name="_Toc79480338"/>
      <w:r w:rsidRPr="00D2288D">
        <w:rPr>
          <w:rStyle w:val="Nagwek1"/>
          <w:sz w:val="24"/>
          <w:szCs w:val="24"/>
        </w:rPr>
        <w:t xml:space="preserve">SEKCJA 6: </w:t>
      </w:r>
      <w:r w:rsidRPr="00D2288D">
        <w:rPr>
          <w:rStyle w:val="Nagwek1"/>
          <w:caps/>
          <w:sz w:val="24"/>
          <w:szCs w:val="24"/>
        </w:rPr>
        <w:t>role i procedury dotyczące</w:t>
      </w:r>
      <w:r w:rsidRPr="00FB49BC">
        <w:rPr>
          <w:rStyle w:val="Nagwek1"/>
          <w:sz w:val="24"/>
          <w:szCs w:val="24"/>
        </w:rPr>
        <w:t xml:space="preserve"> FUNKCJONOWANIA </w:t>
      </w:r>
      <w:bookmarkEnd w:id="43"/>
      <w:bookmarkEnd w:id="44"/>
      <w:r w:rsidR="00ED2CEB" w:rsidRPr="00FB49BC">
        <w:rPr>
          <w:rStyle w:val="Nagwek1"/>
          <w:sz w:val="24"/>
          <w:szCs w:val="24"/>
        </w:rPr>
        <w:t>MECHANIZMU ODPOWIEDZIALNOŚCI</w:t>
      </w:r>
      <w:r w:rsidRPr="00D2288D">
        <w:rPr>
          <w:rStyle w:val="Nagwek1"/>
          <w:sz w:val="24"/>
          <w:szCs w:val="24"/>
        </w:rPr>
        <w:t xml:space="preserve"> </w:t>
      </w:r>
    </w:p>
    <w:p w:rsidR="00FF59BB" w:rsidRPr="005360A2" w:rsidRDefault="00FF59BB" w:rsidP="00FF59BB">
      <w:pPr>
        <w:pStyle w:val="Nagwek2"/>
        <w:rPr>
          <w:sz w:val="22"/>
        </w:rPr>
      </w:pPr>
      <w:bookmarkStart w:id="45" w:name="_Toc70079900"/>
      <w:bookmarkStart w:id="46" w:name="_Toc79480339"/>
      <w:r>
        <w:rPr>
          <w:rStyle w:val="Nagwek2"/>
          <w:sz w:val="22"/>
        </w:rPr>
        <w:t>6.1 - UPROSZCZONA ADMINISTRACJA I WSPÓLNY NADZÓR</w:t>
      </w:r>
      <w:bookmarkEnd w:id="45"/>
      <w:bookmarkEnd w:id="46"/>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W celu zapewnienia sprawnego administrowania </w:t>
      </w:r>
      <w:r w:rsidR="000C02E8">
        <w:rPr>
          <w:rStyle w:val="Bezodstpw"/>
          <w:rFonts w:ascii="Calibri" w:hAnsi="Calibri"/>
        </w:rPr>
        <w:t>Mechanizmem Odpowiedzialności</w:t>
      </w:r>
      <w:r>
        <w:rPr>
          <w:rStyle w:val="Bezodstpw"/>
          <w:rFonts w:ascii="Calibri" w:hAnsi="Calibri"/>
        </w:rPr>
        <w:t xml:space="preserve"> i wspólnego nadzoru ze strony państw członkowskich struktura operacyjna </w:t>
      </w:r>
      <w:r w:rsidR="00ED2CEB">
        <w:rPr>
          <w:rStyle w:val="Bezodstpw"/>
          <w:rFonts w:ascii="Calibri" w:hAnsi="Calibri"/>
        </w:rPr>
        <w:t>Mechanizmu Odpowiedzialności</w:t>
      </w:r>
      <w:r>
        <w:rPr>
          <w:rStyle w:val="Bezodstpw"/>
          <w:rFonts w:ascii="Calibri" w:hAnsi="Calibri"/>
        </w:rPr>
        <w:t xml:space="preserve"> ściśle odzwierciedla niektóre ustalenia ustanowione dla programu współpracy ESPON 2030 i EGTC ESPON.</w:t>
      </w:r>
    </w:p>
    <w:p w:rsidR="00FF59BB" w:rsidRPr="005360A2" w:rsidRDefault="00FF59BB" w:rsidP="00FF59BB">
      <w:pPr>
        <w:pStyle w:val="Nagwek2"/>
        <w:rPr>
          <w:sz w:val="22"/>
        </w:rPr>
      </w:pPr>
      <w:bookmarkStart w:id="47" w:name="_Toc70079901"/>
      <w:bookmarkStart w:id="48" w:name="_Toc79480340"/>
      <w:r>
        <w:rPr>
          <w:rStyle w:val="Nagwek2"/>
          <w:sz w:val="22"/>
        </w:rPr>
        <w:t xml:space="preserve">6.2 - ORGANY ODPOWIEDZIALNE ZA </w:t>
      </w:r>
      <w:bookmarkEnd w:id="47"/>
      <w:bookmarkEnd w:id="48"/>
      <w:r w:rsidR="00ED2CEB">
        <w:rPr>
          <w:rStyle w:val="Nagwek2"/>
          <w:sz w:val="22"/>
        </w:rPr>
        <w:t>MECHANIZM ODPOWIEDZIALNOŚCI</w:t>
      </w:r>
    </w:p>
    <w:p w:rsidR="00FF59BB" w:rsidRPr="005360A2" w:rsidRDefault="00FF59BB" w:rsidP="00FF59BB">
      <w:pPr>
        <w:pStyle w:val="Bezodstpw"/>
        <w:spacing w:after="120" w:line="276" w:lineRule="auto"/>
        <w:jc w:val="both"/>
        <w:rPr>
          <w:rFonts w:ascii="Calibri" w:hAnsi="Calibri"/>
        </w:rPr>
      </w:pPr>
      <w:r w:rsidRPr="00FB49BC">
        <w:rPr>
          <w:rStyle w:val="Bezodstpw"/>
          <w:rFonts w:ascii="Calibri" w:hAnsi="Calibri" w:cs="Calibri"/>
          <w:cs/>
        </w:rPr>
        <w:t>„</w:t>
      </w:r>
      <w:r w:rsidRPr="00FB49BC">
        <w:rPr>
          <w:rStyle w:val="Bezodstpw"/>
          <w:rFonts w:ascii="Calibri" w:hAnsi="Calibri" w:cs="Calibri"/>
          <w:u w:val="single"/>
        </w:rPr>
        <w:t xml:space="preserve">Komitet Zarządzający </w:t>
      </w:r>
      <w:r w:rsidR="000C02E8" w:rsidRPr="00FB49BC">
        <w:rPr>
          <w:rStyle w:val="Bezodstpw"/>
          <w:rFonts w:ascii="Calibri" w:hAnsi="Calibri" w:cs="Calibri"/>
          <w:u w:val="single"/>
        </w:rPr>
        <w:t>Mechanizmem Odpowiedzialności</w:t>
      </w:r>
      <w:r w:rsidRPr="00FB49BC">
        <w:rPr>
          <w:rStyle w:val="Bezodstpw"/>
          <w:rFonts w:ascii="Calibri" w:hAnsi="Calibri" w:cs="Calibri"/>
          <w:u w:val="single"/>
        </w:rPr>
        <w:t>"</w:t>
      </w:r>
      <w:r w:rsidRPr="00FB49BC">
        <w:rPr>
          <w:rStyle w:val="Bezodstpw"/>
          <w:rFonts w:ascii="Calibri" w:hAnsi="Calibri" w:cs="Calibri"/>
        </w:rPr>
        <w:t xml:space="preserve"> jest odpowiedzialny za nadzór nad </w:t>
      </w:r>
      <w:r w:rsidR="000C02E8" w:rsidRPr="00FB49BC">
        <w:rPr>
          <w:rStyle w:val="Bezodstpw"/>
          <w:rFonts w:ascii="Calibri" w:hAnsi="Calibri" w:cs="Calibri"/>
        </w:rPr>
        <w:t>Mechanizmem Odpowiedzialności</w:t>
      </w:r>
      <w:r w:rsidRPr="00FB49BC">
        <w:rPr>
          <w:rStyle w:val="Bezodstpw"/>
          <w:rFonts w:ascii="Calibri" w:hAnsi="Calibri" w:cs="Calibri"/>
        </w:rPr>
        <w:t xml:space="preserve">. Komitet Zarządzający ds. </w:t>
      </w:r>
      <w:r w:rsidR="00ED2CEB" w:rsidRPr="00FB49BC">
        <w:rPr>
          <w:rStyle w:val="Bezodstpw"/>
          <w:rFonts w:ascii="Calibri" w:hAnsi="Calibri" w:cs="Calibri"/>
        </w:rPr>
        <w:t>Mechanizmu Odpowiedzialności</w:t>
      </w:r>
      <w:r w:rsidRPr="00FB49BC">
        <w:rPr>
          <w:rStyle w:val="Bezodstpw"/>
          <w:rFonts w:ascii="Calibri" w:hAnsi="Calibri" w:cs="Calibri"/>
        </w:rPr>
        <w:t xml:space="preserve"> składa się z członków Komitetu Monitorującego ESPON. Komitet Zarządzający ds. </w:t>
      </w:r>
      <w:r w:rsidR="00ED2CEB" w:rsidRPr="00FB49BC">
        <w:rPr>
          <w:rStyle w:val="Bezodstpw"/>
          <w:rFonts w:ascii="Calibri" w:hAnsi="Calibri" w:cs="Calibri"/>
        </w:rPr>
        <w:t>Mechanizmu Odpowiedzialności</w:t>
      </w:r>
      <w:r w:rsidRPr="00FB49BC">
        <w:rPr>
          <w:rStyle w:val="Bezodstpw"/>
          <w:rFonts w:ascii="Calibri" w:hAnsi="Calibri" w:cs="Calibri"/>
        </w:rPr>
        <w:t xml:space="preserve"> działa niezależnie</w:t>
      </w:r>
      <w:r>
        <w:rPr>
          <w:rStyle w:val="Bezodstpw"/>
          <w:rFonts w:ascii="Calibri" w:hAnsi="Calibri"/>
        </w:rPr>
        <w:t xml:space="preserve"> od roli i funkcji Komitetu Monitorującego ESPON. Rolą Komitetu Zarządzającego ds. </w:t>
      </w:r>
      <w:r w:rsidR="00ED2CEB">
        <w:rPr>
          <w:rStyle w:val="Bezodstpw"/>
          <w:rFonts w:ascii="Calibri" w:hAnsi="Calibri"/>
        </w:rPr>
        <w:t>Mechanizmu Odpowiedzialności</w:t>
      </w:r>
      <w:r>
        <w:rPr>
          <w:rStyle w:val="Bezodstpw"/>
          <w:rFonts w:ascii="Calibri" w:hAnsi="Calibri"/>
        </w:rPr>
        <w:t xml:space="preserve"> jest monitorowanie warunków każdego przypadku zwrotu środków na rzecz EGTC ESPON.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Komitet Zarządzający ds. </w:t>
      </w:r>
      <w:r w:rsidR="00ED2CEB">
        <w:rPr>
          <w:rStyle w:val="Bezodstpw"/>
          <w:rFonts w:ascii="Calibri" w:hAnsi="Calibri"/>
        </w:rPr>
        <w:t>Mechanizmu Odpowiedzialności</w:t>
      </w:r>
      <w:r>
        <w:rPr>
          <w:rStyle w:val="Bezodstpw"/>
          <w:rFonts w:ascii="Calibri" w:hAnsi="Calibri"/>
        </w:rPr>
        <w:t xml:space="preserve"> zbiera się co najmniej raz w roku kalendarzowym równolegle z Komitetem Monitorującym ESPON. Do podejmowania decyzji wymagane </w:t>
      </w:r>
      <w:r>
        <w:rPr>
          <w:rStyle w:val="Bezodstpw"/>
          <w:rFonts w:ascii="Calibri" w:hAnsi="Calibri"/>
        </w:rPr>
        <w:lastRenderedPageBreak/>
        <w:t xml:space="preserve">jest kworum w postaci dwóch trzecich obecności. Komitet pracuje również w oparciu o procedury pisemne i milczącą zgodę. Komitet dąży do podejmowania decyzji w drodze konsensusu. Jeżeli w ciągu dwóch tygodni nie uda się osiągnąć konsensusu podczas posiedzenia lub procedury pisemnej, stosuje się zasadę większości dwóch trzecich głosów. </w:t>
      </w:r>
    </w:p>
    <w:p w:rsidR="00FF59BB" w:rsidRPr="00FB49BC" w:rsidRDefault="00FF59BB" w:rsidP="00FF59BB">
      <w:pPr>
        <w:pStyle w:val="Bezodstpw"/>
        <w:spacing w:after="120" w:line="276" w:lineRule="auto"/>
        <w:jc w:val="both"/>
        <w:rPr>
          <w:rFonts w:ascii="Calibri" w:hAnsi="Calibri" w:cs="Calibri"/>
        </w:rPr>
      </w:pPr>
      <w:r>
        <w:rPr>
          <w:rStyle w:val="Bezodstpw"/>
          <w:rFonts w:ascii="Calibri" w:hAnsi="Calibri"/>
        </w:rPr>
        <w:t xml:space="preserve">Podmiotem odpowiedzialnym pod względem administracyjnym za </w:t>
      </w:r>
      <w:r w:rsidR="00ED2CEB">
        <w:rPr>
          <w:rStyle w:val="Bezodstpw"/>
          <w:rFonts w:ascii="Calibri" w:hAnsi="Calibri"/>
        </w:rPr>
        <w:t>Mechanizm Odpowiedzialności</w:t>
      </w:r>
      <w:r>
        <w:rPr>
          <w:rStyle w:val="Bezodstpw"/>
          <w:rFonts w:ascii="Calibri" w:hAnsi="Calibri"/>
        </w:rPr>
        <w:t xml:space="preserve"> jest </w:t>
      </w:r>
      <w:r w:rsidR="00F35955">
        <w:rPr>
          <w:rStyle w:val="Bezodstpw"/>
          <w:rFonts w:ascii="Calibri" w:hAnsi="Calibri"/>
        </w:rPr>
        <w:t>Instytucja Zarządzająca</w:t>
      </w:r>
      <w:r>
        <w:rPr>
          <w:rStyle w:val="Bezodstpw"/>
          <w:rFonts w:ascii="Calibri" w:hAnsi="Calibri"/>
        </w:rPr>
        <w:t xml:space="preserve"> Programem Współpracy ESPON 2030. </w:t>
      </w:r>
      <w:r w:rsidR="00F35955">
        <w:rPr>
          <w:rStyle w:val="Bezodstpw"/>
          <w:rFonts w:ascii="Calibri" w:hAnsi="Calibri"/>
        </w:rPr>
        <w:t>Instytucja Zarządzająca</w:t>
      </w:r>
      <w:r>
        <w:rPr>
          <w:rStyle w:val="Bezodstpw"/>
          <w:rFonts w:ascii="Calibri" w:hAnsi="Calibri"/>
        </w:rPr>
        <w:t xml:space="preserve"> odpowiada za bieżące zarządzanie </w:t>
      </w:r>
      <w:r w:rsidR="000C02E8" w:rsidRPr="00FB49BC">
        <w:rPr>
          <w:rStyle w:val="Bezodstpw"/>
          <w:rFonts w:ascii="Calibri" w:hAnsi="Calibri" w:cs="Calibri"/>
        </w:rPr>
        <w:t>Mechanizmem Odpowiedzialności</w:t>
      </w:r>
      <w:r w:rsidRPr="00FB49BC">
        <w:rPr>
          <w:rStyle w:val="Bezodstpw"/>
          <w:rFonts w:ascii="Calibri" w:hAnsi="Calibri" w:cs="Calibri"/>
        </w:rPr>
        <w:t xml:space="preserve"> zgodnie z sekcją 6.3. </w:t>
      </w:r>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t xml:space="preserve">Instytucją odpowiedzialną za fizyczny hosting Funduszu związanego z </w:t>
      </w:r>
      <w:r w:rsidR="000C02E8" w:rsidRPr="00FB49BC">
        <w:rPr>
          <w:rStyle w:val="Bezodstpw"/>
          <w:rFonts w:ascii="Calibri" w:hAnsi="Calibri" w:cs="Calibri"/>
        </w:rPr>
        <w:t>Mechanizmem Odpowiedzialności</w:t>
      </w:r>
      <w:r w:rsidRPr="00FB49BC">
        <w:rPr>
          <w:rStyle w:val="Bezodstpw"/>
          <w:rFonts w:ascii="Calibri" w:hAnsi="Calibri" w:cs="Calibri"/>
        </w:rPr>
        <w:t xml:space="preserve"> jest </w:t>
      </w:r>
      <w:r w:rsidR="00D2288D" w:rsidRPr="00B7360D">
        <w:rPr>
          <w:rStyle w:val="Bezodstpw"/>
          <w:rFonts w:ascii="Calibri" w:hAnsi="Calibri" w:cs="Calibri"/>
        </w:rPr>
        <w:t>Skarb Państwa Luksemburga</w:t>
      </w:r>
      <w:r w:rsidRPr="00FB49BC">
        <w:rPr>
          <w:rStyle w:val="Bezodstpw"/>
          <w:rFonts w:ascii="Calibri" w:hAnsi="Calibri" w:cs="Calibri"/>
        </w:rPr>
        <w:t xml:space="preserve">. </w:t>
      </w:r>
      <w:r w:rsidR="00D2288D" w:rsidRPr="00D2288D">
        <w:rPr>
          <w:rStyle w:val="Bezodstpw"/>
          <w:rFonts w:ascii="Calibri" w:hAnsi="Calibri" w:cs="Calibri"/>
        </w:rPr>
        <w:t>Skarb Państwa Luksemburga</w:t>
      </w:r>
      <w:r w:rsidRPr="00FB49BC">
        <w:rPr>
          <w:rStyle w:val="Bezodstpw"/>
          <w:rFonts w:ascii="Calibri" w:hAnsi="Calibri" w:cs="Calibri"/>
        </w:rPr>
        <w:t xml:space="preserve"> będzie przyjmować składki i dokonywać płatności na podstawie roszczeń otrzymanych w drodze procedury opisanej w sekcji 6.3. </w:t>
      </w:r>
    </w:p>
    <w:p w:rsidR="00FF59BB" w:rsidRPr="005360A2" w:rsidRDefault="00FF59BB" w:rsidP="00FF59BB">
      <w:pPr>
        <w:pStyle w:val="Nagwek2"/>
        <w:keepNext/>
        <w:rPr>
          <w:sz w:val="22"/>
        </w:rPr>
      </w:pPr>
      <w:bookmarkStart w:id="49" w:name="_Toc70079902"/>
      <w:bookmarkStart w:id="50" w:name="_Toc79480341"/>
      <w:r>
        <w:rPr>
          <w:rStyle w:val="Nagwek2"/>
          <w:sz w:val="22"/>
        </w:rPr>
        <w:t xml:space="preserve">6.3 - FUNKCJONOWANIE </w:t>
      </w:r>
      <w:bookmarkEnd w:id="49"/>
      <w:bookmarkEnd w:id="50"/>
      <w:r w:rsidR="00ED2CEB">
        <w:rPr>
          <w:rStyle w:val="Nagwek2"/>
          <w:sz w:val="22"/>
        </w:rPr>
        <w:t>MECHANIZMU ODPOWIEDZIALNOŚCI</w:t>
      </w:r>
      <w:r>
        <w:rPr>
          <w:rStyle w:val="Nagwek2"/>
          <w:sz w:val="22"/>
        </w:rPr>
        <w:t xml:space="preserve"> </w:t>
      </w:r>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t xml:space="preserve">Jako część Umowy o dofinansowanie w ramach Programu Współpracy ESPON 2030 </w:t>
      </w:r>
      <w:r w:rsidR="00F35955" w:rsidRPr="00B7360D">
        <w:rPr>
          <w:rStyle w:val="Bezodstpw"/>
          <w:rFonts w:ascii="Calibri" w:hAnsi="Calibri" w:cs="Calibri"/>
        </w:rPr>
        <w:t>Instytucja Zarządzająca</w:t>
      </w:r>
      <w:r w:rsidRPr="00FB49BC">
        <w:rPr>
          <w:rStyle w:val="Bezodstpw"/>
          <w:rFonts w:ascii="Calibri" w:hAnsi="Calibri" w:cs="Calibri"/>
        </w:rPr>
        <w:t xml:space="preserve"> Programem Współpracy ESPON 2030 </w:t>
      </w:r>
      <w:r w:rsidR="00F35955" w:rsidRPr="00B7360D">
        <w:rPr>
          <w:rStyle w:val="Bezodstpw"/>
          <w:rFonts w:ascii="Calibri" w:hAnsi="Calibri" w:cs="Calibri"/>
        </w:rPr>
        <w:t>włącza do umowy</w:t>
      </w:r>
      <w:r w:rsidR="00F35955" w:rsidRPr="00FB49BC">
        <w:rPr>
          <w:rStyle w:val="Bezodstpw"/>
          <w:rFonts w:ascii="Calibri" w:hAnsi="Calibri" w:cs="Calibri"/>
        </w:rPr>
        <w:t xml:space="preserve"> </w:t>
      </w:r>
      <w:r w:rsidRPr="00FB49BC">
        <w:rPr>
          <w:rStyle w:val="Bezodstpw"/>
          <w:rFonts w:ascii="Calibri" w:hAnsi="Calibri" w:cs="Calibri"/>
        </w:rPr>
        <w:t xml:space="preserve">artykuł dotyczący </w:t>
      </w:r>
      <w:r w:rsidRPr="00FB49BC">
        <w:rPr>
          <w:rStyle w:val="Bezodstpw"/>
          <w:rFonts w:ascii="Calibri" w:hAnsi="Calibri" w:cs="Calibri"/>
          <w:u w:val="single"/>
        </w:rPr>
        <w:t xml:space="preserve">"Umowy o </w:t>
      </w:r>
      <w:r w:rsidR="00F35955" w:rsidRPr="00B7360D">
        <w:rPr>
          <w:rStyle w:val="Bezodstpw"/>
          <w:rFonts w:ascii="Calibri" w:hAnsi="Calibri" w:cs="Calibri"/>
          <w:u w:val="single"/>
        </w:rPr>
        <w:t>O</w:t>
      </w:r>
      <w:r w:rsidRPr="00FB49BC">
        <w:rPr>
          <w:rStyle w:val="Bezodstpw"/>
          <w:rFonts w:ascii="Calibri" w:hAnsi="Calibri" w:cs="Calibri"/>
          <w:u w:val="single"/>
        </w:rPr>
        <w:t xml:space="preserve">dpowiedzialności i </w:t>
      </w:r>
      <w:r w:rsidR="00F35955" w:rsidRPr="00B7360D">
        <w:rPr>
          <w:rStyle w:val="Bezodstpw"/>
          <w:rFonts w:ascii="Calibri" w:hAnsi="Calibri" w:cs="Calibri"/>
          <w:u w:val="single"/>
        </w:rPr>
        <w:t>Z</w:t>
      </w:r>
      <w:r w:rsidRPr="00FB49BC">
        <w:rPr>
          <w:rStyle w:val="Bezodstpw"/>
          <w:rFonts w:ascii="Calibri" w:hAnsi="Calibri" w:cs="Calibri"/>
          <w:u w:val="single"/>
        </w:rPr>
        <w:t>wrocie</w:t>
      </w:r>
      <w:r w:rsidR="00F35955" w:rsidRPr="00B7360D">
        <w:rPr>
          <w:rStyle w:val="Bezodstpw"/>
          <w:rFonts w:ascii="Calibri" w:hAnsi="Calibri" w:cs="Calibri"/>
          <w:u w:val="single"/>
        </w:rPr>
        <w:t xml:space="preserve"> kosztów</w:t>
      </w:r>
      <w:r w:rsidRPr="00FB49BC">
        <w:rPr>
          <w:rStyle w:val="Bezodstpw"/>
          <w:rFonts w:ascii="Calibri" w:hAnsi="Calibri" w:cs="Calibri"/>
          <w:u w:val="single"/>
        </w:rPr>
        <w:t>"</w:t>
      </w:r>
      <w:r w:rsidRPr="00FB49BC">
        <w:rPr>
          <w:rStyle w:val="Bezodstpw"/>
          <w:rFonts w:ascii="Calibri" w:hAnsi="Calibri" w:cs="Calibri"/>
        </w:rPr>
        <w:t xml:space="preserve"> z EGTC ESPON, który określa warunki dla Przypadków odpowiedzialności oraz procedury zwrotu określone w sekcji 4. </w:t>
      </w:r>
    </w:p>
    <w:p w:rsidR="00FF59BB" w:rsidRPr="00FB49BC" w:rsidRDefault="00FF59BB" w:rsidP="00FF59BB">
      <w:pPr>
        <w:pStyle w:val="Bezodstpw"/>
        <w:spacing w:after="120" w:line="276" w:lineRule="auto"/>
        <w:jc w:val="both"/>
        <w:rPr>
          <w:rFonts w:ascii="Calibri" w:hAnsi="Calibri" w:cs="Calibri"/>
        </w:rPr>
      </w:pPr>
      <w:r w:rsidRPr="00FB49BC">
        <w:rPr>
          <w:rStyle w:val="Bezodstpw"/>
          <w:rFonts w:ascii="Calibri" w:hAnsi="Calibri" w:cs="Calibri"/>
        </w:rPr>
        <w:t xml:space="preserve">W przypadku wystąpienia wydatków niekwalifikowalnych w rozumieniu sekcji 3.1, wniosek o refundację tych wydatków przez </w:t>
      </w:r>
      <w:r w:rsidR="00ED2CEB" w:rsidRPr="00FB49BC">
        <w:rPr>
          <w:rStyle w:val="Bezodstpw"/>
          <w:rFonts w:ascii="Calibri" w:hAnsi="Calibri" w:cs="Calibri"/>
        </w:rPr>
        <w:t>Mechanizm Odpowiedzialności</w:t>
      </w:r>
      <w:r w:rsidRPr="00FB49BC">
        <w:rPr>
          <w:rStyle w:val="Bezodstpw"/>
          <w:rFonts w:ascii="Calibri" w:hAnsi="Calibri" w:cs="Calibri"/>
        </w:rPr>
        <w:t xml:space="preserve"> musi zostać przesłany przez EGTC ESPON do Instytucji Zarządzającej. </w:t>
      </w:r>
    </w:p>
    <w:p w:rsidR="00FF59BB" w:rsidRPr="005360A2" w:rsidRDefault="00FF59BB" w:rsidP="00FF59BB">
      <w:pPr>
        <w:pStyle w:val="Bezodstpw"/>
        <w:spacing w:after="120" w:line="276" w:lineRule="auto"/>
        <w:jc w:val="both"/>
        <w:rPr>
          <w:rFonts w:ascii="Calibri" w:hAnsi="Calibri"/>
        </w:rPr>
      </w:pPr>
      <w:r w:rsidRPr="00FB49BC">
        <w:rPr>
          <w:rStyle w:val="Bezodstpw"/>
          <w:rFonts w:ascii="Calibri" w:hAnsi="Calibri" w:cs="Calibri"/>
        </w:rPr>
        <w:t>W odniesieniu do obliczania ewentualnych przypadków odpowiedzialności</w:t>
      </w:r>
      <w:r>
        <w:rPr>
          <w:rStyle w:val="Bezodstpw"/>
          <w:rFonts w:ascii="Calibri" w:hAnsi="Calibri"/>
        </w:rPr>
        <w:t xml:space="preserve">, EGTC zgłosi do zwrotu rzeczywiste koszty wyłącznie za ekspertyzy zewnętrzne związane z usługami w zakresie </w:t>
      </w:r>
      <w:r w:rsidR="00F35955">
        <w:rPr>
          <w:rStyle w:val="Bezodstpw"/>
          <w:rFonts w:ascii="Calibri" w:hAnsi="Calibri"/>
        </w:rPr>
        <w:t>realizacji badań</w:t>
      </w:r>
      <w:r>
        <w:rPr>
          <w:rStyle w:val="Bezodstpw"/>
          <w:rFonts w:ascii="Calibri" w:hAnsi="Calibri"/>
        </w:rPr>
        <w:t xml:space="preserve">. Wszelkie inne kategorie budżetowe będą obliczane jako stawki ryczałtowe faktycznie poniesionych wydatków przy zastosowaniu odpowiedniego odsetka każdej opcji kosztów uproszczonych określonej w Programie Współpracy. Zgodnie ze standardową praktyką wszelkich korekt finansowych w przypadku stosowania wariantu kosztów uproszczonych, jeżeli wśród zgłoszonych kosztów rzeczywistych wykryty zostanie koszt niekwalifikowalny, automatycznie generuje on stratę w odniesieniu do odpowiedniego udziału w innych kategoriach budżetowych, obliczoną na podstawie odpowiednich stawek ryczałtowych wariantów kosztów uproszczonych. W związku z tym wnioski o płatność powinny obejmować koszt rzeczywisty i powiązane brakujące finansowanie w oparciu o zastosowanie wariantu kosztów uproszczonych. </w:t>
      </w:r>
    </w:p>
    <w:p w:rsidR="00FF59BB" w:rsidRPr="005360A2" w:rsidRDefault="00F35955" w:rsidP="00FF59BB">
      <w:pPr>
        <w:pStyle w:val="Bezodstpw"/>
        <w:spacing w:after="120" w:line="276" w:lineRule="auto"/>
        <w:jc w:val="both"/>
        <w:rPr>
          <w:rFonts w:ascii="Calibri" w:hAnsi="Calibri"/>
        </w:rPr>
      </w:pPr>
      <w:r>
        <w:rPr>
          <w:rStyle w:val="Bezodstpw"/>
          <w:rFonts w:ascii="Calibri" w:hAnsi="Calibri"/>
        </w:rPr>
        <w:t>Instytucja Zarządzająca</w:t>
      </w:r>
      <w:r w:rsidR="00FF59BB">
        <w:rPr>
          <w:rStyle w:val="Bezodstpw"/>
          <w:rFonts w:ascii="Calibri" w:hAnsi="Calibri"/>
        </w:rPr>
        <w:t xml:space="preserve"> weryfikuje poprawność roszczenia i informuje Komitet Zarządzający ds. </w:t>
      </w:r>
      <w:r w:rsidR="00ED2CEB">
        <w:rPr>
          <w:rStyle w:val="Bezodstpw"/>
          <w:rFonts w:ascii="Calibri" w:hAnsi="Calibri"/>
        </w:rPr>
        <w:t>Mechanizmu Odpowiedzialności</w:t>
      </w:r>
      <w:r w:rsidR="00FF59BB">
        <w:rPr>
          <w:rStyle w:val="Bezodstpw"/>
          <w:rFonts w:ascii="Calibri" w:hAnsi="Calibri"/>
        </w:rPr>
        <w:t xml:space="preserve"> w ciągu czterech tygodni. Sprzeciw jest zgłaszany tylko wtedy, gdy można podtrzymać poważne wątpliwości co do poprawności roszczenia.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Po potwierdzeniu przez Komitet Zarządzający ds. </w:t>
      </w:r>
      <w:r w:rsidR="00ED2CEB">
        <w:rPr>
          <w:rStyle w:val="Bezodstpw"/>
          <w:rFonts w:ascii="Calibri" w:hAnsi="Calibri"/>
        </w:rPr>
        <w:t>Mechanizmu Odpowiedzialności</w:t>
      </w:r>
      <w:r>
        <w:rPr>
          <w:rStyle w:val="Bezodstpw"/>
          <w:rFonts w:ascii="Calibri" w:hAnsi="Calibri"/>
        </w:rPr>
        <w:t xml:space="preserve"> </w:t>
      </w:r>
      <w:r w:rsidR="00F35955">
        <w:rPr>
          <w:rStyle w:val="Bezodstpw"/>
          <w:rFonts w:ascii="Calibri" w:hAnsi="Calibri"/>
        </w:rPr>
        <w:t>Instytucja Zarządzająca</w:t>
      </w:r>
      <w:r>
        <w:rPr>
          <w:rStyle w:val="Bezodstpw"/>
          <w:rFonts w:ascii="Calibri" w:hAnsi="Calibri"/>
        </w:rPr>
        <w:t xml:space="preserve"> przekazuje roszczenie do instytucji przyjmującej Fundusz, która w terminie czterech tygodni uruchamia płatność w celu zwrotu środków do EGTC ESPON.</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Roszczenia zgłasza się raz w roku. Jedno roszczenie może obejmować kilka Przypadków Odpowiedzialności. </w:t>
      </w:r>
    </w:p>
    <w:p w:rsidR="00FF59BB" w:rsidRPr="005360A2" w:rsidRDefault="00FF59BB" w:rsidP="00FF59BB">
      <w:pPr>
        <w:pStyle w:val="Nagwek2"/>
        <w:rPr>
          <w:sz w:val="22"/>
        </w:rPr>
      </w:pPr>
      <w:bookmarkStart w:id="51" w:name="_Toc70079903"/>
      <w:bookmarkStart w:id="52" w:name="_Toc79480342"/>
      <w:r>
        <w:rPr>
          <w:rStyle w:val="Nagwek2"/>
          <w:sz w:val="22"/>
        </w:rPr>
        <w:t>6.4 - DZIAŁANIA PODEJMOWANE W CELU OBNIŻENIA POZIOMU WYDATKÓW NIEKWALIFIKOWALNYCH</w:t>
      </w:r>
      <w:bookmarkEnd w:id="51"/>
      <w:bookmarkEnd w:id="52"/>
      <w:r>
        <w:rPr>
          <w:rStyle w:val="Nagwek2"/>
          <w:sz w:val="22"/>
        </w:rPr>
        <w:t xml:space="preserve">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Jeżeli w dowolnym momencie zgłoszone i zwrócone skumulowane wydatki niekwalifikowalne przekroczą ustalony wcześniej cel wynoszący 1% skumulowanej całkowitej kwoty środków </w:t>
      </w:r>
      <w:r>
        <w:rPr>
          <w:rStyle w:val="Bezodstpw"/>
          <w:rFonts w:ascii="Calibri" w:hAnsi="Calibri"/>
        </w:rPr>
        <w:lastRenderedPageBreak/>
        <w:t xml:space="preserve">finansowych wypłaconych na zwrot kosztów działań realizowanych na podstawie Umowy o dofinansowanie, Komitet Zarządzający </w:t>
      </w:r>
      <w:r w:rsidR="000C02E8">
        <w:rPr>
          <w:rStyle w:val="Bezodstpw"/>
          <w:rFonts w:ascii="Calibri" w:hAnsi="Calibri"/>
        </w:rPr>
        <w:t>Mechanizmem Odpowiedzialności</w:t>
      </w:r>
      <w:r>
        <w:rPr>
          <w:rStyle w:val="Bezodstpw"/>
          <w:rFonts w:ascii="Calibri" w:hAnsi="Calibri"/>
        </w:rPr>
        <w:t xml:space="preserve"> może podjąć decyzję o zażądaniu powołania "Komitetu Konsultacyjnego" EGTC ESPON zgodnie z art. 15 i 19 ust. 2 Statutu EGTC ESPON.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Zgodnie z przepisami opisanymi w sekcji 4.2 głównym celem tymczasowej misji Komitetu Konsultacyjnego jest wspieranie ograniczania zwrotu wydatków niekwalifikowalnych poniżej progu wcześniej ustalonego celu wynoszącego 1% całkowitej kwoty finansowania.</w:t>
      </w:r>
    </w:p>
    <w:p w:rsidR="00FF59BB" w:rsidRPr="005360A2" w:rsidRDefault="00FF59BB" w:rsidP="00FF59BB">
      <w:pPr>
        <w:pStyle w:val="Nagwek2"/>
        <w:keepNext/>
        <w:rPr>
          <w:sz w:val="22"/>
        </w:rPr>
      </w:pPr>
      <w:bookmarkStart w:id="53" w:name="_Toc70079904"/>
      <w:bookmarkStart w:id="54" w:name="_Toc79480343"/>
      <w:r>
        <w:rPr>
          <w:rStyle w:val="Nagwek2"/>
          <w:sz w:val="22"/>
        </w:rPr>
        <w:t xml:space="preserve">6.5 - BIEŻĄCE I KOŃCOWE SPRAWOZDANIA DOTYCZĄCE </w:t>
      </w:r>
      <w:bookmarkEnd w:id="53"/>
      <w:bookmarkEnd w:id="54"/>
      <w:r w:rsidR="00ED2CEB">
        <w:rPr>
          <w:rStyle w:val="Nagwek2"/>
          <w:sz w:val="22"/>
        </w:rPr>
        <w:t>MECHANIZMU ODPOWIEDZIALNOŚCI</w:t>
      </w:r>
      <w:r>
        <w:rPr>
          <w:rStyle w:val="Nagwek2"/>
          <w:sz w:val="22"/>
        </w:rPr>
        <w:t xml:space="preserve">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Przez cały okres programowania i co roku do 31 marca </w:t>
      </w:r>
      <w:r w:rsidR="00F35955">
        <w:rPr>
          <w:rStyle w:val="Bezodstpw"/>
          <w:rFonts w:ascii="Calibri" w:hAnsi="Calibri"/>
        </w:rPr>
        <w:t>Instytucja Zarządzająca</w:t>
      </w:r>
      <w:r>
        <w:rPr>
          <w:rStyle w:val="Bezodstpw"/>
          <w:rFonts w:ascii="Calibri" w:hAnsi="Calibri"/>
        </w:rPr>
        <w:t xml:space="preserve"> w swojej funkcji organu administracyjnie odpowiedzialnego przedstawia Komitetowi Zarządzającemu </w:t>
      </w:r>
      <w:r w:rsidR="000C02E8">
        <w:rPr>
          <w:rStyle w:val="Bezodstpw"/>
          <w:rFonts w:ascii="Calibri" w:hAnsi="Calibri"/>
        </w:rPr>
        <w:t>Mechanizmem Odpowiedzialności</w:t>
      </w:r>
      <w:r>
        <w:rPr>
          <w:rStyle w:val="Bezodstpw"/>
          <w:rFonts w:ascii="Calibri" w:hAnsi="Calibri"/>
        </w:rPr>
        <w:t xml:space="preserve"> raport roczny, w którym wymienia wszystkie przypadki refundacji, które zostały objęte </w:t>
      </w:r>
      <w:r w:rsidR="000C02E8">
        <w:rPr>
          <w:rStyle w:val="Bezodstpw"/>
          <w:rFonts w:ascii="Calibri" w:hAnsi="Calibri"/>
        </w:rPr>
        <w:t>Mechanizmem Odpowiedzialności</w:t>
      </w:r>
      <w:r>
        <w:rPr>
          <w:rStyle w:val="Bezodstpw"/>
          <w:rFonts w:ascii="Calibri" w:hAnsi="Calibri"/>
        </w:rPr>
        <w:t xml:space="preserve">, w tym opis skumulowanego poziomu wykorzystania </w:t>
      </w:r>
      <w:r w:rsidR="00ED2CEB">
        <w:rPr>
          <w:rStyle w:val="Bezodstpw"/>
          <w:rFonts w:ascii="Calibri" w:hAnsi="Calibri"/>
        </w:rPr>
        <w:t>Mechanizmu Odpowiedzialności</w:t>
      </w:r>
      <w:r>
        <w:rPr>
          <w:rStyle w:val="Bezodstpw"/>
          <w:rFonts w:ascii="Calibri" w:hAnsi="Calibri"/>
        </w:rPr>
        <w:t xml:space="preserve">. Komitet Zarządzający ds. </w:t>
      </w:r>
      <w:r w:rsidR="00ED2CEB">
        <w:rPr>
          <w:rStyle w:val="Bezodstpw"/>
          <w:rFonts w:ascii="Calibri" w:hAnsi="Calibri"/>
        </w:rPr>
        <w:t>Mechanizmu Odpowiedzialności</w:t>
      </w:r>
      <w:r>
        <w:rPr>
          <w:rStyle w:val="Bezodstpw"/>
          <w:rFonts w:ascii="Calibri" w:hAnsi="Calibri"/>
        </w:rPr>
        <w:t xml:space="preserve"> może ocenić sprawozdanie i na podstawie tej oceny może sformułować zalecenia dla EGTC ESPON. </w:t>
      </w:r>
    </w:p>
    <w:p w:rsidR="00FF59BB" w:rsidRPr="005360A2" w:rsidRDefault="00FF59BB" w:rsidP="00FF59BB">
      <w:pPr>
        <w:pStyle w:val="Bezodstpw"/>
        <w:spacing w:after="120" w:line="276" w:lineRule="auto"/>
        <w:jc w:val="both"/>
        <w:rPr>
          <w:rFonts w:ascii="Calibri" w:hAnsi="Calibri"/>
        </w:rPr>
      </w:pPr>
      <w:r>
        <w:rPr>
          <w:rStyle w:val="Bezodstpw"/>
          <w:rFonts w:ascii="Calibri" w:hAnsi="Calibri"/>
        </w:rPr>
        <w:t xml:space="preserve">Po zamknięciu oraz przeprowadzeniu kontroli i kontroli finansowych wszystkich działań EGTC ESPON </w:t>
      </w:r>
      <w:r w:rsidR="00F35955">
        <w:rPr>
          <w:rStyle w:val="Bezodstpw"/>
          <w:rFonts w:ascii="Calibri" w:hAnsi="Calibri"/>
        </w:rPr>
        <w:t>Instytucja Zarządzająca</w:t>
      </w:r>
      <w:r>
        <w:rPr>
          <w:rStyle w:val="Bezodstpw"/>
          <w:rFonts w:ascii="Calibri" w:hAnsi="Calibri"/>
        </w:rPr>
        <w:t xml:space="preserve"> sporządza końcowe sprawozdanie z zamknięcia dotyczące </w:t>
      </w:r>
      <w:r w:rsidR="00ED2CEB">
        <w:rPr>
          <w:rStyle w:val="Bezodstpw"/>
          <w:rFonts w:ascii="Calibri" w:hAnsi="Calibri"/>
        </w:rPr>
        <w:t>Mechanizmu Odpowiedzialności</w:t>
      </w:r>
      <w:r>
        <w:rPr>
          <w:rStyle w:val="Bezodstpw"/>
          <w:rFonts w:ascii="Calibri" w:hAnsi="Calibri"/>
        </w:rPr>
        <w:t xml:space="preserve">, które obejmuje cały okres programowania. W raporcie końcowym należy wskazać niewykorzystaną kwotę w ramach </w:t>
      </w:r>
      <w:r w:rsidR="00F35955">
        <w:rPr>
          <w:rStyle w:val="Bezodstpw"/>
          <w:rFonts w:ascii="Calibri" w:hAnsi="Calibri"/>
        </w:rPr>
        <w:t>Mechanizmu Odpowiedzialności</w:t>
      </w:r>
      <w:r>
        <w:rPr>
          <w:rStyle w:val="Bezodstpw"/>
          <w:rFonts w:ascii="Calibri" w:hAnsi="Calibri"/>
        </w:rPr>
        <w:t xml:space="preserve">, która zostanie przekazana z powrotem podmiotom wnoszącym wkład lub do </w:t>
      </w:r>
      <w:proofErr w:type="spellStart"/>
      <w:r w:rsidR="00F35955">
        <w:rPr>
          <w:rStyle w:val="Bezodstpw"/>
          <w:rFonts w:ascii="Calibri" w:hAnsi="Calibri"/>
        </w:rPr>
        <w:t>MMechanizmu</w:t>
      </w:r>
      <w:proofErr w:type="spellEnd"/>
      <w:r w:rsidR="00F35955">
        <w:rPr>
          <w:rStyle w:val="Bezodstpw"/>
          <w:rFonts w:ascii="Calibri" w:hAnsi="Calibri"/>
        </w:rPr>
        <w:t xml:space="preserve"> </w:t>
      </w:r>
      <w:proofErr w:type="spellStart"/>
      <w:r w:rsidR="00F35955">
        <w:rPr>
          <w:rStyle w:val="Bezodstpw"/>
          <w:rFonts w:ascii="Calibri" w:hAnsi="Calibri"/>
        </w:rPr>
        <w:t>OdpowiedzialnościOdpowiedzialności</w:t>
      </w:r>
      <w:proofErr w:type="spellEnd"/>
      <w:r w:rsidR="00F35955">
        <w:rPr>
          <w:rStyle w:val="Bezodstpw"/>
          <w:rFonts w:ascii="Calibri" w:hAnsi="Calibri"/>
        </w:rPr>
        <w:t xml:space="preserve"> </w:t>
      </w:r>
      <w:r>
        <w:rPr>
          <w:rStyle w:val="Bezodstpw"/>
          <w:rFonts w:ascii="Calibri" w:hAnsi="Calibri"/>
        </w:rPr>
        <w:t xml:space="preserve">w ramach Programu po zakończeniu ESPON 2030 zgodnie z sekcją 5.5. </w:t>
      </w:r>
    </w:p>
    <w:sectPr w:rsidR="00FF59BB" w:rsidRPr="005360A2" w:rsidSect="00FF59BB">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0D" w:rsidRDefault="00B7360D" w:rsidP="00FF59BB">
      <w:pPr>
        <w:spacing w:after="0" w:line="240" w:lineRule="auto"/>
      </w:pPr>
      <w:r>
        <w:separator/>
      </w:r>
    </w:p>
  </w:endnote>
  <w:endnote w:type="continuationSeparator" w:id="0">
    <w:p w:rsidR="00B7360D" w:rsidRDefault="00B7360D" w:rsidP="00FF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BB" w:rsidRDefault="00FF59BB">
    <w:pPr>
      <w:pStyle w:val="Stopka"/>
      <w:jc w:val="center"/>
    </w:pPr>
    <w:r>
      <w:fldChar w:fldCharType="begin"/>
    </w:r>
    <w:r>
      <w:rPr>
        <w:rStyle w:val="Stopka"/>
      </w:rPr>
      <w:instrText>PAGE   \* MERGEFORMAT</w:instrText>
    </w:r>
    <w:r>
      <w:fldChar w:fldCharType="separate"/>
    </w:r>
    <w:r w:rsidR="00226A49">
      <w:rPr>
        <w:rStyle w:val="Stopka"/>
        <w:noProof/>
      </w:rPr>
      <w:t>12</w:t>
    </w:r>
    <w:r>
      <w:fldChar w:fldCharType="end"/>
    </w:r>
  </w:p>
  <w:p w:rsidR="00FF59BB" w:rsidRDefault="00FF59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0D" w:rsidRDefault="00B7360D" w:rsidP="00FF59BB">
      <w:pPr>
        <w:spacing w:after="0" w:line="240" w:lineRule="auto"/>
      </w:pPr>
      <w:r>
        <w:separator/>
      </w:r>
    </w:p>
  </w:footnote>
  <w:footnote w:type="continuationSeparator" w:id="0">
    <w:p w:rsidR="00B7360D" w:rsidRDefault="00B7360D" w:rsidP="00FF59BB">
      <w:pPr>
        <w:spacing w:after="0" w:line="240" w:lineRule="auto"/>
      </w:pPr>
      <w:r>
        <w:continuationSeparator/>
      </w:r>
    </w:p>
  </w:footnote>
  <w:footnote w:id="1">
    <w:p w:rsidR="00FF59BB" w:rsidRPr="00FB49BC" w:rsidRDefault="00FF59BB" w:rsidP="00FF59BB">
      <w:pPr>
        <w:pStyle w:val="Tekstprzypisudolnego"/>
        <w:jc w:val="both"/>
        <w:rPr>
          <w:rFonts w:ascii="Calibri" w:hAnsi="Calibri" w:cs="Calibri"/>
          <w:sz w:val="18"/>
          <w:szCs w:val="18"/>
        </w:rPr>
      </w:pPr>
      <w:r>
        <w:rPr>
          <w:rStyle w:val="Odwoanieprzypisudolnego"/>
          <w:rFonts w:ascii="Calibri" w:hAnsi="Calibri"/>
          <w:sz w:val="18"/>
        </w:rPr>
        <w:footnoteRef/>
      </w:r>
      <w:r>
        <w:rPr>
          <w:rStyle w:val="Tekstprzypisudolnego"/>
          <w:rFonts w:ascii="Calibri" w:hAnsi="Calibri"/>
          <w:sz w:val="18"/>
        </w:rPr>
        <w:t xml:space="preserve"> </w:t>
      </w:r>
      <w:r>
        <w:rPr>
          <w:rStyle w:val="Tekstprzypisudolnego"/>
          <w:rFonts w:ascii="Calibri" w:hAnsi="Calibri"/>
          <w:i/>
          <w:sz w:val="18"/>
        </w:rPr>
        <w:t>Powszechnie uznaje się, że założenie, iż w praktyce nie występują błędy, byłoby nierealistyczne, w związku z czym pewien stopień tolerancji w odniesieniu do odpowiedniego poziomu dokładności należy uznać za dopuszczalny. W zakresie technik kontroli nazywa się to "poziomem istotności" i ustala się go na 2% skontrolowanych kwot. W swoich sprawozdaniach rocznych Trybunał klasyfikuje błędy w zależności od tego, "czy można zmierzyć, jakiej części kwoty wypłaconej przez Komisję dotyczy dany błąd, tj. czy błędy są kwantyfikowalne czy niekwantyfikowalne</w:t>
      </w:r>
      <w:r w:rsidRPr="00FB49BC">
        <w:rPr>
          <w:rStyle w:val="Tekstprzypisudolnego"/>
          <w:rFonts w:ascii="Calibri" w:hAnsi="Calibri" w:cs="Calibri"/>
          <w:sz w:val="18"/>
        </w:rPr>
        <w:t xml:space="preserve">. </w:t>
      </w:r>
      <w:r w:rsidRPr="00FB49BC">
        <w:rPr>
          <w:rStyle w:val="Tekstprzypisudolnego"/>
          <w:rFonts w:ascii="Calibri" w:hAnsi="Calibri" w:cs="Calibri"/>
          <w:i/>
          <w:sz w:val="18"/>
          <w:szCs w:val="18"/>
        </w:rPr>
        <w:t>Jeżeli błąd kwantyfikowalny przekracza 2% skontrolowanej kwoty, klasyfikuje się go jako poważny, natomiast jeżeli jest on niższy niż 2%, klasyfikuje się go jako ograniczony (...)</w:t>
      </w:r>
      <w:r w:rsidRPr="00FB49BC">
        <w:rPr>
          <w:rStyle w:val="Tekstprzypisudolnego"/>
          <w:rFonts w:ascii="Calibri" w:hAnsi="Calibri" w:cs="Calibri"/>
          <w:sz w:val="18"/>
          <w:szCs w:val="18"/>
        </w:rPr>
        <w:t>.</w:t>
      </w:r>
      <w:r w:rsidRPr="00FB49BC">
        <w:rPr>
          <w:rStyle w:val="Tekstprzypisudolnego"/>
          <w:rFonts w:ascii="Calibri" w:hAnsi="Calibri" w:cs="Calibri"/>
          <w:cs/>
        </w:rPr>
        <w:t>”</w:t>
      </w:r>
      <w:r w:rsidRPr="00FB49BC">
        <w:rPr>
          <w:rStyle w:val="Tekstprzypisudolnego"/>
          <w:rFonts w:ascii="Calibri" w:hAnsi="Calibri" w:cs="Calibri"/>
          <w:sz w:val="18"/>
          <w:cs/>
        </w:rPr>
        <w:t xml:space="preserve"> </w:t>
      </w:r>
      <w:r w:rsidRPr="00FB49BC">
        <w:rPr>
          <w:rStyle w:val="Tekstprzypisudolnego"/>
          <w:rFonts w:ascii="Calibri" w:hAnsi="Calibri" w:cs="Calibri"/>
          <w:sz w:val="18"/>
        </w:rPr>
        <w:t>Źródło: Dokument roboczy służb Komisji "Analysis of Errors in Cohesion Policy for the Years 2006-2009", dokument Komisji SEC (2011) 1179 wersja ostateczna, s. 7.</w:t>
      </w:r>
    </w:p>
  </w:footnote>
  <w:footnote w:id="2">
    <w:p w:rsidR="00FF59BB" w:rsidRPr="00FB49BC" w:rsidRDefault="00FF59BB">
      <w:pPr>
        <w:pStyle w:val="Tekstprzypisudolnego"/>
        <w:rPr>
          <w:rFonts w:ascii="Calibri" w:hAnsi="Calibri" w:cs="Calibri"/>
          <w:sz w:val="18"/>
          <w:szCs w:val="18"/>
        </w:rPr>
      </w:pPr>
      <w:r w:rsidRPr="00FB49BC">
        <w:rPr>
          <w:rStyle w:val="Odwoanieprzypisudolnego"/>
          <w:sz w:val="18"/>
          <w:szCs w:val="18"/>
        </w:rPr>
        <w:footnoteRef/>
      </w:r>
      <w:r w:rsidRPr="00FB49BC">
        <w:rPr>
          <w:rStyle w:val="Tekstprzypisudolnego"/>
          <w:sz w:val="18"/>
          <w:szCs w:val="18"/>
        </w:rPr>
        <w:t xml:space="preserve"> </w:t>
      </w:r>
      <w:r w:rsidRPr="00FB49BC">
        <w:rPr>
          <w:rStyle w:val="Tekstprzypisudolnego"/>
          <w:rFonts w:ascii="Calibri" w:hAnsi="Calibri" w:cs="Calibri"/>
          <w:sz w:val="18"/>
          <w:szCs w:val="18"/>
        </w:rPr>
        <w:t>Kwoty związane z pozostałymi środkami Mechanizmu Odpowiedzialności Programu ESPON 2020 mogą ulec zmianie, ponieważ EGTC ESPON może nadal uruchamiać fundusz do końca Programu ESPON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BB" w:rsidRDefault="00FF59BB">
    <w:pPr>
      <w:pStyle w:val="Nagwek"/>
    </w:pPr>
    <w:r>
      <w:rPr>
        <w:rStyle w:val="Nagwek"/>
        <w:rFonts w:ascii="Calibri" w:hAnsi="Calibri"/>
        <w:i/>
        <w:highlight w:val="yellow"/>
      </w:rPr>
      <w:t>zaznaczenia na żółto - tekst wymaga aktualizacji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4F7"/>
    <w:multiLevelType w:val="hybridMultilevel"/>
    <w:tmpl w:val="0E6C9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26625B8"/>
    <w:multiLevelType w:val="hybridMultilevel"/>
    <w:tmpl w:val="7B26D1C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69F401B"/>
    <w:multiLevelType w:val="hybridMultilevel"/>
    <w:tmpl w:val="38F09E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14566549"/>
    <w:multiLevelType w:val="hybridMultilevel"/>
    <w:tmpl w:val="E7AEA07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7D63366"/>
    <w:multiLevelType w:val="hybridMultilevel"/>
    <w:tmpl w:val="418C1D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20FA4EBE"/>
    <w:multiLevelType w:val="hybridMultilevel"/>
    <w:tmpl w:val="28DC02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95B35ED"/>
    <w:multiLevelType w:val="hybridMultilevel"/>
    <w:tmpl w:val="16FE81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0">
    <w:nsid w:val="29A00A32"/>
    <w:multiLevelType w:val="hybridMultilevel"/>
    <w:tmpl w:val="B6CC3B3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65A4ED3"/>
    <w:multiLevelType w:val="hybridMultilevel"/>
    <w:tmpl w:val="538EE2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3B11392F"/>
    <w:multiLevelType w:val="hybridMultilevel"/>
    <w:tmpl w:val="E75E9138"/>
    <w:lvl w:ilvl="0">
      <w:numFmt w:val="bullet"/>
      <w:lvlText w:val="•"/>
      <w:lvlJc w:val="left"/>
      <w:pPr>
        <w:ind w:left="1065" w:hanging="705"/>
      </w:pPr>
      <w:rPr>
        <w:rFonts w:ascii="Calibri" w:eastAsia="Cambria"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3BD772D7"/>
    <w:multiLevelType w:val="hybridMultilevel"/>
    <w:tmpl w:val="C39821C8"/>
    <w:lvl w:ilvl="0">
      <w:start w:val="1"/>
      <w:numFmt w:val="bullet"/>
      <w:lvlText w:val=""/>
      <w:lvlJc w:val="left"/>
      <w:pPr>
        <w:ind w:left="1065" w:hanging="705"/>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659B4153"/>
    <w:multiLevelType w:val="hybridMultilevel"/>
    <w:tmpl w:val="A5122A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15:restartNumberingAfterBreak="0">
    <w:nsid w:val="676C623F"/>
    <w:multiLevelType w:val="hybridMultilevel"/>
    <w:tmpl w:val="851E48EA"/>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73100604"/>
    <w:multiLevelType w:val="hybridMultilevel"/>
    <w:tmpl w:val="13CCC4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79B01901"/>
    <w:multiLevelType w:val="hybridMultilevel"/>
    <w:tmpl w:val="F042A1F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7ACA79C6"/>
    <w:multiLevelType w:val="hybridMultilevel"/>
    <w:tmpl w:val="6D38572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0"/>
  </w:num>
  <w:num w:numId="5">
    <w:abstractNumId w:val="15"/>
  </w:num>
  <w:num w:numId="6">
    <w:abstractNumId w:val="14"/>
  </w:num>
  <w:num w:numId="7">
    <w:abstractNumId w:val="7"/>
  </w:num>
  <w:num w:numId="8">
    <w:abstractNumId w:val="4"/>
  </w:num>
  <w:num w:numId="9">
    <w:abstractNumId w:val="11"/>
  </w:num>
  <w:num w:numId="10">
    <w:abstractNumId w:val="6"/>
  </w:num>
  <w:num w:numId="11">
    <w:abstractNumId w:val="2"/>
  </w:num>
  <w:num w:numId="12">
    <w:abstractNumId w:val="3"/>
  </w:num>
  <w:num w:numId="13">
    <w:abstractNumId w:val="1"/>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7C"/>
    <w:rsid w:val="000C02E8"/>
    <w:rsid w:val="000F5792"/>
    <w:rsid w:val="001E5674"/>
    <w:rsid w:val="00226A49"/>
    <w:rsid w:val="00374BDF"/>
    <w:rsid w:val="00615382"/>
    <w:rsid w:val="007C2919"/>
    <w:rsid w:val="007F0AA6"/>
    <w:rsid w:val="00B7360D"/>
    <w:rsid w:val="00D2288D"/>
    <w:rsid w:val="00D27FC4"/>
    <w:rsid w:val="00ED2CEB"/>
    <w:rsid w:val="00F35955"/>
    <w:rsid w:val="00FB49BC"/>
    <w:rsid w:val="00FF5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D108ABA-6C39-4259-B7D3-ADDCC3BC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23C"/>
    <w:pPr>
      <w:spacing w:after="200" w:line="276" w:lineRule="auto"/>
    </w:pPr>
    <w:rPr>
      <w:sz w:val="22"/>
      <w:szCs w:val="22"/>
    </w:rPr>
  </w:style>
  <w:style w:type="paragraph" w:styleId="Nagwek1">
    <w:name w:val="heading 1"/>
    <w:basedOn w:val="Normalny"/>
    <w:next w:val="Normalny"/>
    <w:link w:val="Nagwek1Znak"/>
    <w:uiPriority w:val="9"/>
    <w:qFormat/>
    <w:rsid w:val="00FD423C"/>
    <w:pPr>
      <w:spacing w:before="480" w:after="0"/>
      <w:contextualSpacing/>
      <w:outlineLvl w:val="0"/>
    </w:pPr>
    <w:rPr>
      <w:rFonts w:ascii="Calibri" w:hAnsi="Calibri"/>
      <w:b/>
      <w:bCs/>
      <w:sz w:val="28"/>
      <w:szCs w:val="28"/>
    </w:rPr>
  </w:style>
  <w:style w:type="paragraph" w:styleId="Nagwek2">
    <w:name w:val="heading 2"/>
    <w:basedOn w:val="Normalny"/>
    <w:next w:val="Normalny"/>
    <w:link w:val="Nagwek2Znak"/>
    <w:uiPriority w:val="9"/>
    <w:unhideWhenUsed/>
    <w:qFormat/>
    <w:rsid w:val="00FD423C"/>
    <w:pPr>
      <w:spacing w:before="200" w:after="0"/>
      <w:outlineLvl w:val="1"/>
    </w:pPr>
    <w:rPr>
      <w:rFonts w:ascii="Calibri" w:hAnsi="Calibri"/>
      <w:b/>
      <w:bCs/>
      <w:sz w:val="26"/>
      <w:szCs w:val="26"/>
    </w:rPr>
  </w:style>
  <w:style w:type="paragraph" w:styleId="Nagwek3">
    <w:name w:val="heading 3"/>
    <w:basedOn w:val="Normalny"/>
    <w:next w:val="Normalny"/>
    <w:link w:val="Nagwek3Znak"/>
    <w:uiPriority w:val="9"/>
    <w:semiHidden/>
    <w:unhideWhenUsed/>
    <w:qFormat/>
    <w:rsid w:val="00FD423C"/>
    <w:pPr>
      <w:spacing w:before="200" w:after="0" w:line="271" w:lineRule="auto"/>
      <w:outlineLvl w:val="2"/>
    </w:pPr>
    <w:rPr>
      <w:rFonts w:ascii="Calibri" w:hAnsi="Calibri"/>
      <w:b/>
      <w:bCs/>
    </w:rPr>
  </w:style>
  <w:style w:type="paragraph" w:styleId="Nagwek4">
    <w:name w:val="heading 4"/>
    <w:basedOn w:val="Normalny"/>
    <w:next w:val="Normalny"/>
    <w:link w:val="Nagwek4Znak"/>
    <w:uiPriority w:val="9"/>
    <w:semiHidden/>
    <w:unhideWhenUsed/>
    <w:qFormat/>
    <w:rsid w:val="00FD423C"/>
    <w:pPr>
      <w:spacing w:before="200" w:after="0"/>
      <w:outlineLvl w:val="3"/>
    </w:pPr>
    <w:rPr>
      <w:rFonts w:ascii="Calibri" w:hAnsi="Calibri"/>
      <w:b/>
      <w:bCs/>
      <w:i/>
      <w:iCs/>
    </w:rPr>
  </w:style>
  <w:style w:type="paragraph" w:styleId="Nagwek5">
    <w:name w:val="heading 5"/>
    <w:basedOn w:val="Normalny"/>
    <w:next w:val="Normalny"/>
    <w:link w:val="Nagwek5Znak"/>
    <w:uiPriority w:val="9"/>
    <w:semiHidden/>
    <w:unhideWhenUsed/>
    <w:qFormat/>
    <w:rsid w:val="00FD423C"/>
    <w:pPr>
      <w:spacing w:before="200" w:after="0"/>
      <w:outlineLvl w:val="4"/>
    </w:pPr>
    <w:rPr>
      <w:rFonts w:ascii="Calibri" w:hAnsi="Calibri"/>
      <w:b/>
      <w:bCs/>
      <w:color w:val="7F7F7F"/>
    </w:rPr>
  </w:style>
  <w:style w:type="paragraph" w:styleId="Nagwek6">
    <w:name w:val="heading 6"/>
    <w:basedOn w:val="Normalny"/>
    <w:next w:val="Normalny"/>
    <w:link w:val="Nagwek6Znak"/>
    <w:uiPriority w:val="9"/>
    <w:semiHidden/>
    <w:unhideWhenUsed/>
    <w:qFormat/>
    <w:rsid w:val="00FD423C"/>
    <w:pPr>
      <w:spacing w:after="0" w:line="271" w:lineRule="auto"/>
      <w:outlineLvl w:val="5"/>
    </w:pPr>
    <w:rPr>
      <w:rFonts w:ascii="Calibri" w:hAnsi="Calibri"/>
      <w:b/>
      <w:bCs/>
      <w:i/>
      <w:iCs/>
      <w:color w:val="7F7F7F"/>
    </w:rPr>
  </w:style>
  <w:style w:type="paragraph" w:styleId="Nagwek7">
    <w:name w:val="heading 7"/>
    <w:basedOn w:val="Normalny"/>
    <w:next w:val="Normalny"/>
    <w:link w:val="Nagwek7Znak"/>
    <w:uiPriority w:val="9"/>
    <w:semiHidden/>
    <w:unhideWhenUsed/>
    <w:qFormat/>
    <w:rsid w:val="00FD423C"/>
    <w:pPr>
      <w:spacing w:after="0"/>
      <w:outlineLvl w:val="6"/>
    </w:pPr>
    <w:rPr>
      <w:rFonts w:ascii="Calibri" w:hAnsi="Calibri"/>
      <w:i/>
      <w:iCs/>
    </w:rPr>
  </w:style>
  <w:style w:type="paragraph" w:styleId="Nagwek8">
    <w:name w:val="heading 8"/>
    <w:basedOn w:val="Normalny"/>
    <w:next w:val="Normalny"/>
    <w:link w:val="Nagwek8Znak"/>
    <w:uiPriority w:val="9"/>
    <w:semiHidden/>
    <w:unhideWhenUsed/>
    <w:qFormat/>
    <w:rsid w:val="00FD423C"/>
    <w:pPr>
      <w:spacing w:after="0"/>
      <w:outlineLvl w:val="7"/>
    </w:pPr>
    <w:rPr>
      <w:rFonts w:ascii="Calibri" w:hAnsi="Calibri"/>
      <w:sz w:val="20"/>
      <w:szCs w:val="20"/>
    </w:rPr>
  </w:style>
  <w:style w:type="paragraph" w:styleId="Nagwek9">
    <w:name w:val="heading 9"/>
    <w:basedOn w:val="Normalny"/>
    <w:next w:val="Normalny"/>
    <w:link w:val="Nagwek9Znak"/>
    <w:uiPriority w:val="9"/>
    <w:semiHidden/>
    <w:unhideWhenUsed/>
    <w:qFormat/>
    <w:rsid w:val="00FD423C"/>
    <w:pPr>
      <w:spacing w:after="0"/>
      <w:outlineLvl w:val="8"/>
    </w:pPr>
    <w:rPr>
      <w:rFonts w:ascii="Calibri" w:hAnsi="Calibr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FD423C"/>
    <w:pPr>
      <w:spacing w:after="0" w:line="240" w:lineRule="auto"/>
    </w:pPr>
  </w:style>
  <w:style w:type="paragraph" w:styleId="Tekstprzypisudolnego">
    <w:name w:val="footnote text"/>
    <w:basedOn w:val="Normalny"/>
    <w:link w:val="TekstprzypisudolnegoZnak"/>
    <w:uiPriority w:val="99"/>
    <w:semiHidden/>
    <w:unhideWhenUsed/>
    <w:rsid w:val="006320D2"/>
    <w:pPr>
      <w:spacing w:after="0" w:line="240" w:lineRule="auto"/>
    </w:pPr>
    <w:rPr>
      <w:rFonts w:eastAsia="Cambria"/>
      <w:sz w:val="20"/>
      <w:szCs w:val="20"/>
    </w:rPr>
  </w:style>
  <w:style w:type="character" w:customStyle="1" w:styleId="TekstprzypisudolnegoZnak">
    <w:name w:val="Tekst przypisu dolnego Znak"/>
    <w:link w:val="Tekstprzypisudolnego"/>
    <w:uiPriority w:val="99"/>
    <w:semiHidden/>
    <w:rsid w:val="006320D2"/>
    <w:rPr>
      <w:sz w:val="20"/>
      <w:szCs w:val="20"/>
      <w:lang w:val="pl-PL" w:eastAsia="pl-PL"/>
    </w:rPr>
  </w:style>
  <w:style w:type="character" w:styleId="Odwoanieprzypisudolnego">
    <w:name w:val="footnote reference"/>
    <w:uiPriority w:val="99"/>
    <w:semiHidden/>
    <w:unhideWhenUsed/>
    <w:rsid w:val="006320D2"/>
    <w:rPr>
      <w:vertAlign w:val="superscript"/>
      <w:lang w:val="pl-PL" w:eastAsia="pl-PL"/>
    </w:rPr>
  </w:style>
  <w:style w:type="paragraph" w:styleId="Tekstdymka">
    <w:name w:val="Balloon Text"/>
    <w:basedOn w:val="Normalny"/>
    <w:link w:val="TekstdymkaZnak"/>
    <w:uiPriority w:val="99"/>
    <w:semiHidden/>
    <w:unhideWhenUsed/>
    <w:rsid w:val="0069551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9551E"/>
    <w:rPr>
      <w:rFonts w:ascii="Tahoma" w:eastAsia="Calibri" w:hAnsi="Tahoma" w:cs="Tahoma"/>
      <w:sz w:val="16"/>
      <w:szCs w:val="16"/>
      <w:lang w:val="pl-PL" w:eastAsia="pl-PL"/>
    </w:rPr>
  </w:style>
  <w:style w:type="character" w:styleId="Odwoaniedokomentarza">
    <w:name w:val="annotation reference"/>
    <w:uiPriority w:val="99"/>
    <w:semiHidden/>
    <w:unhideWhenUsed/>
    <w:rsid w:val="003F0F3E"/>
    <w:rPr>
      <w:sz w:val="16"/>
      <w:szCs w:val="16"/>
      <w:lang w:val="pl-PL" w:eastAsia="pl-PL"/>
    </w:rPr>
  </w:style>
  <w:style w:type="paragraph" w:styleId="Tekstkomentarza">
    <w:name w:val="annotation text"/>
    <w:basedOn w:val="Normalny"/>
    <w:link w:val="TekstkomentarzaZnak"/>
    <w:uiPriority w:val="99"/>
    <w:semiHidden/>
    <w:unhideWhenUsed/>
    <w:rsid w:val="003F0F3E"/>
    <w:pPr>
      <w:spacing w:line="240" w:lineRule="auto"/>
    </w:pPr>
    <w:rPr>
      <w:sz w:val="20"/>
      <w:szCs w:val="20"/>
    </w:rPr>
  </w:style>
  <w:style w:type="character" w:customStyle="1" w:styleId="TekstkomentarzaZnak">
    <w:name w:val="Tekst komentarza Znak"/>
    <w:link w:val="Tekstkomentarza"/>
    <w:uiPriority w:val="99"/>
    <w:semiHidden/>
    <w:rsid w:val="003F0F3E"/>
    <w:rPr>
      <w:rFonts w:ascii="Times New Roman" w:eastAsia="Calibri"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3F0F3E"/>
    <w:rPr>
      <w:b/>
      <w:bCs/>
    </w:rPr>
  </w:style>
  <w:style w:type="character" w:customStyle="1" w:styleId="TematkomentarzaZnak">
    <w:name w:val="Temat komentarza Znak"/>
    <w:link w:val="Tematkomentarza"/>
    <w:uiPriority w:val="99"/>
    <w:semiHidden/>
    <w:rsid w:val="003F0F3E"/>
    <w:rPr>
      <w:rFonts w:ascii="Times New Roman" w:eastAsia="Calibri" w:hAnsi="Times New Roman" w:cs="Times New Roman"/>
      <w:b/>
      <w:bCs/>
      <w:sz w:val="20"/>
      <w:szCs w:val="20"/>
      <w:lang w:val="pl-PL" w:eastAsia="pl-PL"/>
    </w:rPr>
  </w:style>
  <w:style w:type="paragraph" w:styleId="Nagwek">
    <w:name w:val="header"/>
    <w:basedOn w:val="Normalny"/>
    <w:link w:val="NagwekZnak"/>
    <w:uiPriority w:val="99"/>
    <w:unhideWhenUsed/>
    <w:rsid w:val="00913C6E"/>
    <w:pPr>
      <w:tabs>
        <w:tab w:val="center" w:pos="4513"/>
        <w:tab w:val="right" w:pos="9026"/>
      </w:tabs>
      <w:spacing w:after="0" w:line="240" w:lineRule="auto"/>
    </w:pPr>
  </w:style>
  <w:style w:type="character" w:customStyle="1" w:styleId="NagwekZnak">
    <w:name w:val="Nagłówek Znak"/>
    <w:link w:val="Nagwek"/>
    <w:uiPriority w:val="99"/>
    <w:rsid w:val="00913C6E"/>
    <w:rPr>
      <w:rFonts w:ascii="Times New Roman" w:eastAsia="Calibri" w:hAnsi="Times New Roman" w:cs="Times New Roman"/>
      <w:sz w:val="24"/>
      <w:lang w:val="pl-PL" w:eastAsia="pl-PL"/>
    </w:rPr>
  </w:style>
  <w:style w:type="paragraph" w:styleId="Stopka">
    <w:name w:val="footer"/>
    <w:basedOn w:val="Normalny"/>
    <w:link w:val="StopkaZnak"/>
    <w:uiPriority w:val="99"/>
    <w:unhideWhenUsed/>
    <w:rsid w:val="00913C6E"/>
    <w:pPr>
      <w:tabs>
        <w:tab w:val="center" w:pos="4513"/>
        <w:tab w:val="right" w:pos="9026"/>
      </w:tabs>
      <w:spacing w:after="0" w:line="240" w:lineRule="auto"/>
    </w:pPr>
  </w:style>
  <w:style w:type="character" w:customStyle="1" w:styleId="StopkaZnak">
    <w:name w:val="Stopka Znak"/>
    <w:link w:val="Stopka"/>
    <w:uiPriority w:val="99"/>
    <w:rsid w:val="00913C6E"/>
    <w:rPr>
      <w:rFonts w:ascii="Times New Roman" w:eastAsia="Calibri" w:hAnsi="Times New Roman" w:cs="Times New Roman"/>
      <w:sz w:val="24"/>
      <w:lang w:val="pl-PL" w:eastAsia="pl-PL"/>
    </w:rPr>
  </w:style>
  <w:style w:type="character" w:customStyle="1" w:styleId="Nagwek1Znak">
    <w:name w:val="Nagłówek 1 Znak"/>
    <w:link w:val="Nagwek1"/>
    <w:uiPriority w:val="9"/>
    <w:rsid w:val="00FD423C"/>
    <w:rPr>
      <w:rFonts w:ascii="Calibri" w:eastAsia="Times New Roman" w:hAnsi="Calibri" w:cs="Times New Roman"/>
      <w:b/>
      <w:bCs/>
      <w:sz w:val="28"/>
      <w:szCs w:val="28"/>
      <w:lang w:val="pl-PL" w:eastAsia="pl-PL"/>
    </w:rPr>
  </w:style>
  <w:style w:type="character" w:customStyle="1" w:styleId="Nagwek2Znak">
    <w:name w:val="Nagłówek 2 Znak"/>
    <w:link w:val="Nagwek2"/>
    <w:uiPriority w:val="9"/>
    <w:rsid w:val="00FD423C"/>
    <w:rPr>
      <w:rFonts w:ascii="Calibri" w:eastAsia="Times New Roman" w:hAnsi="Calibri" w:cs="Times New Roman"/>
      <w:b/>
      <w:bCs/>
      <w:sz w:val="26"/>
      <w:szCs w:val="26"/>
      <w:lang w:val="pl-PL" w:eastAsia="pl-PL"/>
    </w:rPr>
  </w:style>
  <w:style w:type="character" w:customStyle="1" w:styleId="Nagwek3Znak">
    <w:name w:val="Nagłówek 3 Znak"/>
    <w:link w:val="Nagwek3"/>
    <w:uiPriority w:val="9"/>
    <w:semiHidden/>
    <w:rsid w:val="00FD423C"/>
    <w:rPr>
      <w:rFonts w:ascii="Calibri" w:eastAsia="Times New Roman" w:hAnsi="Calibri" w:cs="Times New Roman"/>
      <w:b/>
      <w:bCs/>
      <w:lang w:val="pl-PL" w:eastAsia="pl-PL"/>
    </w:rPr>
  </w:style>
  <w:style w:type="character" w:customStyle="1" w:styleId="Nagwek4Znak">
    <w:name w:val="Nagłówek 4 Znak"/>
    <w:link w:val="Nagwek4"/>
    <w:uiPriority w:val="9"/>
    <w:semiHidden/>
    <w:rsid w:val="00FD423C"/>
    <w:rPr>
      <w:rFonts w:ascii="Calibri" w:eastAsia="Times New Roman" w:hAnsi="Calibri" w:cs="Times New Roman"/>
      <w:b/>
      <w:bCs/>
      <w:i/>
      <w:iCs/>
      <w:lang w:val="pl-PL" w:eastAsia="pl-PL"/>
    </w:rPr>
  </w:style>
  <w:style w:type="character" w:customStyle="1" w:styleId="Nagwek5Znak">
    <w:name w:val="Nagłówek 5 Znak"/>
    <w:link w:val="Nagwek5"/>
    <w:uiPriority w:val="9"/>
    <w:semiHidden/>
    <w:rsid w:val="00FD423C"/>
    <w:rPr>
      <w:rFonts w:ascii="Calibri" w:eastAsia="Times New Roman" w:hAnsi="Calibri" w:cs="Times New Roman"/>
      <w:b/>
      <w:bCs/>
      <w:color w:val="7F7F7F"/>
      <w:lang w:val="pl-PL" w:eastAsia="pl-PL"/>
    </w:rPr>
  </w:style>
  <w:style w:type="character" w:customStyle="1" w:styleId="Nagwek6Znak">
    <w:name w:val="Nagłówek 6 Znak"/>
    <w:link w:val="Nagwek6"/>
    <w:uiPriority w:val="9"/>
    <w:semiHidden/>
    <w:rsid w:val="00FD423C"/>
    <w:rPr>
      <w:rFonts w:ascii="Calibri" w:eastAsia="Times New Roman" w:hAnsi="Calibri" w:cs="Times New Roman"/>
      <w:b/>
      <w:bCs/>
      <w:i/>
      <w:iCs/>
      <w:color w:val="7F7F7F"/>
      <w:lang w:val="pl-PL" w:eastAsia="pl-PL"/>
    </w:rPr>
  </w:style>
  <w:style w:type="character" w:customStyle="1" w:styleId="Nagwek7Znak">
    <w:name w:val="Nagłówek 7 Znak"/>
    <w:link w:val="Nagwek7"/>
    <w:uiPriority w:val="9"/>
    <w:semiHidden/>
    <w:rsid w:val="00FD423C"/>
    <w:rPr>
      <w:rFonts w:ascii="Calibri" w:eastAsia="Times New Roman" w:hAnsi="Calibri" w:cs="Times New Roman"/>
      <w:i/>
      <w:iCs/>
      <w:lang w:val="pl-PL" w:eastAsia="pl-PL"/>
    </w:rPr>
  </w:style>
  <w:style w:type="character" w:customStyle="1" w:styleId="Nagwek8Znak">
    <w:name w:val="Nagłówek 8 Znak"/>
    <w:link w:val="Nagwek8"/>
    <w:uiPriority w:val="9"/>
    <w:semiHidden/>
    <w:rsid w:val="00FD423C"/>
    <w:rPr>
      <w:rFonts w:ascii="Calibri" w:eastAsia="Times New Roman" w:hAnsi="Calibri" w:cs="Times New Roman"/>
      <w:sz w:val="20"/>
      <w:szCs w:val="20"/>
      <w:lang w:val="pl-PL" w:eastAsia="pl-PL"/>
    </w:rPr>
  </w:style>
  <w:style w:type="character" w:customStyle="1" w:styleId="Nagwek9Znak">
    <w:name w:val="Nagłówek 9 Znak"/>
    <w:link w:val="Nagwek9"/>
    <w:uiPriority w:val="9"/>
    <w:semiHidden/>
    <w:rsid w:val="00FD423C"/>
    <w:rPr>
      <w:rFonts w:ascii="Calibri" w:eastAsia="Times New Roman" w:hAnsi="Calibri" w:cs="Times New Roman"/>
      <w:i/>
      <w:iCs/>
      <w:spacing w:val="5"/>
      <w:sz w:val="20"/>
      <w:szCs w:val="20"/>
      <w:lang w:val="pl-PL" w:eastAsia="pl-PL"/>
    </w:rPr>
  </w:style>
  <w:style w:type="paragraph" w:styleId="Tytu">
    <w:name w:val="Title"/>
    <w:basedOn w:val="Normalny"/>
    <w:next w:val="Normalny"/>
    <w:link w:val="TytuZnak"/>
    <w:uiPriority w:val="10"/>
    <w:qFormat/>
    <w:rsid w:val="00FD423C"/>
    <w:pPr>
      <w:pBdr>
        <w:bottom w:val="single" w:sz="4" w:space="1" w:color="auto"/>
      </w:pBdr>
      <w:spacing w:line="240" w:lineRule="auto"/>
      <w:contextualSpacing/>
    </w:pPr>
    <w:rPr>
      <w:rFonts w:ascii="Calibri" w:hAnsi="Calibri"/>
      <w:spacing w:val="5"/>
      <w:sz w:val="52"/>
      <w:szCs w:val="52"/>
    </w:rPr>
  </w:style>
  <w:style w:type="character" w:customStyle="1" w:styleId="TytuZnak">
    <w:name w:val="Tytuł Znak"/>
    <w:link w:val="Tytu"/>
    <w:uiPriority w:val="10"/>
    <w:rsid w:val="00FD423C"/>
    <w:rPr>
      <w:rFonts w:ascii="Calibri" w:eastAsia="Times New Roman" w:hAnsi="Calibri" w:cs="Times New Roman"/>
      <w:spacing w:val="5"/>
      <w:sz w:val="52"/>
      <w:szCs w:val="52"/>
      <w:lang w:val="pl-PL" w:eastAsia="pl-PL"/>
    </w:rPr>
  </w:style>
  <w:style w:type="paragraph" w:styleId="Podtytu">
    <w:name w:val="Subtitle"/>
    <w:basedOn w:val="Normalny"/>
    <w:next w:val="Normalny"/>
    <w:link w:val="PodtytuZnak"/>
    <w:uiPriority w:val="11"/>
    <w:qFormat/>
    <w:rsid w:val="00FD423C"/>
    <w:pPr>
      <w:spacing w:after="600"/>
    </w:pPr>
    <w:rPr>
      <w:rFonts w:ascii="Calibri" w:hAnsi="Calibri"/>
      <w:i/>
      <w:iCs/>
      <w:spacing w:val="13"/>
      <w:sz w:val="24"/>
      <w:szCs w:val="24"/>
    </w:rPr>
  </w:style>
  <w:style w:type="character" w:customStyle="1" w:styleId="PodtytuZnak">
    <w:name w:val="Podtytuł Znak"/>
    <w:link w:val="Podtytu"/>
    <w:uiPriority w:val="11"/>
    <w:rsid w:val="00FD423C"/>
    <w:rPr>
      <w:rFonts w:ascii="Calibri" w:eastAsia="Times New Roman" w:hAnsi="Calibri" w:cs="Times New Roman"/>
      <w:i/>
      <w:iCs/>
      <w:spacing w:val="13"/>
      <w:sz w:val="24"/>
      <w:szCs w:val="24"/>
      <w:lang w:val="pl-PL" w:eastAsia="pl-PL"/>
    </w:rPr>
  </w:style>
  <w:style w:type="character" w:styleId="Pogrubienie">
    <w:name w:val="Strong"/>
    <w:uiPriority w:val="22"/>
    <w:qFormat/>
    <w:rsid w:val="00FD423C"/>
    <w:rPr>
      <w:b/>
      <w:bCs/>
      <w:lang w:val="pl-PL" w:eastAsia="pl-PL"/>
    </w:rPr>
  </w:style>
  <w:style w:type="character" w:styleId="Uwydatnienie">
    <w:name w:val="Emphasis"/>
    <w:uiPriority w:val="20"/>
    <w:qFormat/>
    <w:rsid w:val="00FD423C"/>
    <w:rPr>
      <w:b/>
      <w:bCs/>
      <w:i/>
      <w:iCs/>
      <w:spacing w:val="10"/>
      <w:bdr w:val="none" w:sz="0" w:space="0" w:color="auto"/>
      <w:lang w:val="pl-PL" w:eastAsia="pl-PL"/>
    </w:rPr>
  </w:style>
  <w:style w:type="paragraph" w:styleId="Akapitzlist">
    <w:name w:val="List Paragraph"/>
    <w:basedOn w:val="Normalny"/>
    <w:uiPriority w:val="34"/>
    <w:qFormat/>
    <w:rsid w:val="00FD423C"/>
    <w:pPr>
      <w:ind w:left="720"/>
      <w:contextualSpacing/>
    </w:pPr>
  </w:style>
  <w:style w:type="paragraph" w:styleId="Cytat">
    <w:name w:val="Quote"/>
    <w:basedOn w:val="Normalny"/>
    <w:next w:val="Normalny"/>
    <w:link w:val="CytatZnak"/>
    <w:uiPriority w:val="29"/>
    <w:qFormat/>
    <w:rsid w:val="00FD423C"/>
    <w:pPr>
      <w:spacing w:before="200" w:after="0"/>
      <w:ind w:left="360" w:right="360"/>
    </w:pPr>
    <w:rPr>
      <w:i/>
      <w:iCs/>
    </w:rPr>
  </w:style>
  <w:style w:type="character" w:customStyle="1" w:styleId="CytatZnak">
    <w:name w:val="Cytat Znak"/>
    <w:link w:val="Cytat"/>
    <w:uiPriority w:val="29"/>
    <w:rsid w:val="00FD423C"/>
    <w:rPr>
      <w:i/>
      <w:iCs/>
      <w:lang w:val="pl-PL" w:eastAsia="pl-PL"/>
    </w:rPr>
  </w:style>
  <w:style w:type="paragraph" w:styleId="Cytatintensywny">
    <w:name w:val="Intense Quote"/>
    <w:basedOn w:val="Normalny"/>
    <w:next w:val="Normalny"/>
    <w:link w:val="CytatintensywnyZnak"/>
    <w:uiPriority w:val="30"/>
    <w:qFormat/>
    <w:rsid w:val="00FD423C"/>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FD423C"/>
    <w:rPr>
      <w:b/>
      <w:bCs/>
      <w:i/>
      <w:iCs/>
      <w:lang w:val="pl-PL" w:eastAsia="pl-PL"/>
    </w:rPr>
  </w:style>
  <w:style w:type="character" w:styleId="Wyrnieniedelikatne">
    <w:name w:val="Subtle Emphasis"/>
    <w:uiPriority w:val="19"/>
    <w:qFormat/>
    <w:rsid w:val="00FD423C"/>
    <w:rPr>
      <w:i/>
      <w:iCs/>
      <w:lang w:val="pl-PL" w:eastAsia="pl-PL"/>
    </w:rPr>
  </w:style>
  <w:style w:type="character" w:styleId="Wyrnienieintensywne">
    <w:name w:val="Intense Emphasis"/>
    <w:uiPriority w:val="21"/>
    <w:qFormat/>
    <w:rsid w:val="00FD423C"/>
    <w:rPr>
      <w:b/>
      <w:bCs/>
      <w:lang w:val="pl-PL" w:eastAsia="pl-PL"/>
    </w:rPr>
  </w:style>
  <w:style w:type="character" w:styleId="Odwoaniedelikatne">
    <w:name w:val="Subtle Reference"/>
    <w:uiPriority w:val="31"/>
    <w:qFormat/>
    <w:rsid w:val="00FD423C"/>
    <w:rPr>
      <w:smallCaps/>
      <w:lang w:val="pl-PL" w:eastAsia="pl-PL"/>
    </w:rPr>
  </w:style>
  <w:style w:type="character" w:styleId="Odwoanieintensywne">
    <w:name w:val="Intense Reference"/>
    <w:uiPriority w:val="32"/>
    <w:qFormat/>
    <w:rsid w:val="00FD423C"/>
    <w:rPr>
      <w:smallCaps/>
      <w:spacing w:val="5"/>
      <w:u w:val="single"/>
      <w:lang w:val="pl-PL" w:eastAsia="pl-PL"/>
    </w:rPr>
  </w:style>
  <w:style w:type="character" w:styleId="Tytuksiki">
    <w:name w:val="Book Title"/>
    <w:uiPriority w:val="33"/>
    <w:qFormat/>
    <w:rsid w:val="00FD423C"/>
    <w:rPr>
      <w:i/>
      <w:iCs/>
      <w:smallCaps/>
      <w:spacing w:val="5"/>
      <w:lang w:val="pl-PL" w:eastAsia="pl-PL"/>
    </w:rPr>
  </w:style>
  <w:style w:type="paragraph" w:styleId="Nagwekspisutreci">
    <w:name w:val="TOC Heading"/>
    <w:basedOn w:val="Nagwek1"/>
    <w:next w:val="Normalny"/>
    <w:uiPriority w:val="39"/>
    <w:semiHidden/>
    <w:unhideWhenUsed/>
    <w:qFormat/>
    <w:rsid w:val="00FD423C"/>
    <w:pPr>
      <w:outlineLvl w:val="9"/>
    </w:pPr>
    <w:rPr>
      <w:lang w:bidi="en-US"/>
    </w:rPr>
  </w:style>
  <w:style w:type="paragraph" w:styleId="Spistreci2">
    <w:name w:val="toc 2"/>
    <w:basedOn w:val="Normalny"/>
    <w:next w:val="Normalny"/>
    <w:autoRedefine/>
    <w:uiPriority w:val="39"/>
    <w:unhideWhenUsed/>
    <w:qFormat/>
    <w:rsid w:val="00510008"/>
    <w:pPr>
      <w:spacing w:after="100"/>
      <w:ind w:left="220"/>
    </w:pPr>
  </w:style>
  <w:style w:type="paragraph" w:styleId="Spistreci1">
    <w:name w:val="toc 1"/>
    <w:basedOn w:val="Normalny"/>
    <w:next w:val="Normalny"/>
    <w:autoRedefine/>
    <w:uiPriority w:val="39"/>
    <w:unhideWhenUsed/>
    <w:qFormat/>
    <w:rsid w:val="00FB3259"/>
    <w:pPr>
      <w:tabs>
        <w:tab w:val="left" w:pos="0"/>
        <w:tab w:val="right" w:leader="dot" w:pos="9062"/>
      </w:tabs>
      <w:spacing w:after="100"/>
      <w:jc w:val="center"/>
    </w:pPr>
    <w:rPr>
      <w:b/>
    </w:rPr>
  </w:style>
  <w:style w:type="paragraph" w:styleId="Spistreci3">
    <w:name w:val="toc 3"/>
    <w:basedOn w:val="Normalny"/>
    <w:next w:val="Normalny"/>
    <w:autoRedefine/>
    <w:uiPriority w:val="39"/>
    <w:semiHidden/>
    <w:unhideWhenUsed/>
    <w:qFormat/>
    <w:rsid w:val="00510008"/>
    <w:pPr>
      <w:spacing w:after="100"/>
      <w:ind w:left="440"/>
    </w:pPr>
  </w:style>
  <w:style w:type="character" w:styleId="Hipercze">
    <w:name w:val="Hyperlink"/>
    <w:uiPriority w:val="99"/>
    <w:unhideWhenUsed/>
    <w:rsid w:val="00510008"/>
    <w:rPr>
      <w:color w:val="5F5F5F"/>
      <w:u w:val="single"/>
      <w:lang w:val="pl-PL" w:eastAsia="pl-PL"/>
    </w:rPr>
  </w:style>
  <w:style w:type="paragraph" w:styleId="Poprawka">
    <w:name w:val="Revision"/>
    <w:hidden/>
    <w:uiPriority w:val="99"/>
    <w:semiHidden/>
    <w:rsid w:val="00AE65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C350-9F79-432A-A21B-3E707FAA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4774</Words>
  <Characters>28645</Characters>
  <Application>Microsoft Office Word</Application>
  <DocSecurity>0</DocSecurity>
  <Lines>238</Lines>
  <Paragraphs>66</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33353</CharactersWithSpaces>
  <SharedDoc>false</SharedDoc>
  <HLinks>
    <vt:vector size="162" baseType="variant">
      <vt:variant>
        <vt:i4>1441847</vt:i4>
      </vt:variant>
      <vt:variant>
        <vt:i4>158</vt:i4>
      </vt:variant>
      <vt:variant>
        <vt:i4>0</vt:i4>
      </vt:variant>
      <vt:variant>
        <vt:i4>5</vt:i4>
      </vt:variant>
      <vt:variant>
        <vt:lpwstr/>
      </vt:variant>
      <vt:variant>
        <vt:lpwstr>_Toc79480343</vt:lpwstr>
      </vt:variant>
      <vt:variant>
        <vt:i4>1507383</vt:i4>
      </vt:variant>
      <vt:variant>
        <vt:i4>152</vt:i4>
      </vt:variant>
      <vt:variant>
        <vt:i4>0</vt:i4>
      </vt:variant>
      <vt:variant>
        <vt:i4>5</vt:i4>
      </vt:variant>
      <vt:variant>
        <vt:lpwstr/>
      </vt:variant>
      <vt:variant>
        <vt:lpwstr>_Toc79480342</vt:lpwstr>
      </vt:variant>
      <vt:variant>
        <vt:i4>1310775</vt:i4>
      </vt:variant>
      <vt:variant>
        <vt:i4>146</vt:i4>
      </vt:variant>
      <vt:variant>
        <vt:i4>0</vt:i4>
      </vt:variant>
      <vt:variant>
        <vt:i4>5</vt:i4>
      </vt:variant>
      <vt:variant>
        <vt:lpwstr/>
      </vt:variant>
      <vt:variant>
        <vt:lpwstr>_Toc79480341</vt:lpwstr>
      </vt:variant>
      <vt:variant>
        <vt:i4>1376311</vt:i4>
      </vt:variant>
      <vt:variant>
        <vt:i4>140</vt:i4>
      </vt:variant>
      <vt:variant>
        <vt:i4>0</vt:i4>
      </vt:variant>
      <vt:variant>
        <vt:i4>5</vt:i4>
      </vt:variant>
      <vt:variant>
        <vt:lpwstr/>
      </vt:variant>
      <vt:variant>
        <vt:lpwstr>_Toc79480340</vt:lpwstr>
      </vt:variant>
      <vt:variant>
        <vt:i4>1835056</vt:i4>
      </vt:variant>
      <vt:variant>
        <vt:i4>134</vt:i4>
      </vt:variant>
      <vt:variant>
        <vt:i4>0</vt:i4>
      </vt:variant>
      <vt:variant>
        <vt:i4>5</vt:i4>
      </vt:variant>
      <vt:variant>
        <vt:lpwstr/>
      </vt:variant>
      <vt:variant>
        <vt:lpwstr>_Toc79480339</vt:lpwstr>
      </vt:variant>
      <vt:variant>
        <vt:i4>1900592</vt:i4>
      </vt:variant>
      <vt:variant>
        <vt:i4>128</vt:i4>
      </vt:variant>
      <vt:variant>
        <vt:i4>0</vt:i4>
      </vt:variant>
      <vt:variant>
        <vt:i4>5</vt:i4>
      </vt:variant>
      <vt:variant>
        <vt:lpwstr/>
      </vt:variant>
      <vt:variant>
        <vt:lpwstr>_Toc79480338</vt:lpwstr>
      </vt:variant>
      <vt:variant>
        <vt:i4>1179696</vt:i4>
      </vt:variant>
      <vt:variant>
        <vt:i4>122</vt:i4>
      </vt:variant>
      <vt:variant>
        <vt:i4>0</vt:i4>
      </vt:variant>
      <vt:variant>
        <vt:i4>5</vt:i4>
      </vt:variant>
      <vt:variant>
        <vt:lpwstr/>
      </vt:variant>
      <vt:variant>
        <vt:lpwstr>_Toc79480337</vt:lpwstr>
      </vt:variant>
      <vt:variant>
        <vt:i4>1245232</vt:i4>
      </vt:variant>
      <vt:variant>
        <vt:i4>116</vt:i4>
      </vt:variant>
      <vt:variant>
        <vt:i4>0</vt:i4>
      </vt:variant>
      <vt:variant>
        <vt:i4>5</vt:i4>
      </vt:variant>
      <vt:variant>
        <vt:lpwstr/>
      </vt:variant>
      <vt:variant>
        <vt:lpwstr>_Toc79480336</vt:lpwstr>
      </vt:variant>
      <vt:variant>
        <vt:i4>1048624</vt:i4>
      </vt:variant>
      <vt:variant>
        <vt:i4>110</vt:i4>
      </vt:variant>
      <vt:variant>
        <vt:i4>0</vt:i4>
      </vt:variant>
      <vt:variant>
        <vt:i4>5</vt:i4>
      </vt:variant>
      <vt:variant>
        <vt:lpwstr/>
      </vt:variant>
      <vt:variant>
        <vt:lpwstr>_Toc79480335</vt:lpwstr>
      </vt:variant>
      <vt:variant>
        <vt:i4>1114160</vt:i4>
      </vt:variant>
      <vt:variant>
        <vt:i4>104</vt:i4>
      </vt:variant>
      <vt:variant>
        <vt:i4>0</vt:i4>
      </vt:variant>
      <vt:variant>
        <vt:i4>5</vt:i4>
      </vt:variant>
      <vt:variant>
        <vt:lpwstr/>
      </vt:variant>
      <vt:variant>
        <vt:lpwstr>_Toc79480334</vt:lpwstr>
      </vt:variant>
      <vt:variant>
        <vt:i4>1441840</vt:i4>
      </vt:variant>
      <vt:variant>
        <vt:i4>98</vt:i4>
      </vt:variant>
      <vt:variant>
        <vt:i4>0</vt:i4>
      </vt:variant>
      <vt:variant>
        <vt:i4>5</vt:i4>
      </vt:variant>
      <vt:variant>
        <vt:lpwstr/>
      </vt:variant>
      <vt:variant>
        <vt:lpwstr>_Toc79480333</vt:lpwstr>
      </vt:variant>
      <vt:variant>
        <vt:i4>1507376</vt:i4>
      </vt:variant>
      <vt:variant>
        <vt:i4>92</vt:i4>
      </vt:variant>
      <vt:variant>
        <vt:i4>0</vt:i4>
      </vt:variant>
      <vt:variant>
        <vt:i4>5</vt:i4>
      </vt:variant>
      <vt:variant>
        <vt:lpwstr/>
      </vt:variant>
      <vt:variant>
        <vt:lpwstr>_Toc79480332</vt:lpwstr>
      </vt:variant>
      <vt:variant>
        <vt:i4>1310768</vt:i4>
      </vt:variant>
      <vt:variant>
        <vt:i4>86</vt:i4>
      </vt:variant>
      <vt:variant>
        <vt:i4>0</vt:i4>
      </vt:variant>
      <vt:variant>
        <vt:i4>5</vt:i4>
      </vt:variant>
      <vt:variant>
        <vt:lpwstr/>
      </vt:variant>
      <vt:variant>
        <vt:lpwstr>_Toc79480331</vt:lpwstr>
      </vt:variant>
      <vt:variant>
        <vt:i4>1376304</vt:i4>
      </vt:variant>
      <vt:variant>
        <vt:i4>80</vt:i4>
      </vt:variant>
      <vt:variant>
        <vt:i4>0</vt:i4>
      </vt:variant>
      <vt:variant>
        <vt:i4>5</vt:i4>
      </vt:variant>
      <vt:variant>
        <vt:lpwstr/>
      </vt:variant>
      <vt:variant>
        <vt:lpwstr>_Toc79480330</vt:lpwstr>
      </vt:variant>
      <vt:variant>
        <vt:i4>1835057</vt:i4>
      </vt:variant>
      <vt:variant>
        <vt:i4>74</vt:i4>
      </vt:variant>
      <vt:variant>
        <vt:i4>0</vt:i4>
      </vt:variant>
      <vt:variant>
        <vt:i4>5</vt:i4>
      </vt:variant>
      <vt:variant>
        <vt:lpwstr/>
      </vt:variant>
      <vt:variant>
        <vt:lpwstr>_Toc79480329</vt:lpwstr>
      </vt:variant>
      <vt:variant>
        <vt:i4>1900593</vt:i4>
      </vt:variant>
      <vt:variant>
        <vt:i4>68</vt:i4>
      </vt:variant>
      <vt:variant>
        <vt:i4>0</vt:i4>
      </vt:variant>
      <vt:variant>
        <vt:i4>5</vt:i4>
      </vt:variant>
      <vt:variant>
        <vt:lpwstr/>
      </vt:variant>
      <vt:variant>
        <vt:lpwstr>_Toc79480328</vt:lpwstr>
      </vt:variant>
      <vt:variant>
        <vt:i4>1179697</vt:i4>
      </vt:variant>
      <vt:variant>
        <vt:i4>62</vt:i4>
      </vt:variant>
      <vt:variant>
        <vt:i4>0</vt:i4>
      </vt:variant>
      <vt:variant>
        <vt:i4>5</vt:i4>
      </vt:variant>
      <vt:variant>
        <vt:lpwstr/>
      </vt:variant>
      <vt:variant>
        <vt:lpwstr>_Toc79480327</vt:lpwstr>
      </vt:variant>
      <vt:variant>
        <vt:i4>1245233</vt:i4>
      </vt:variant>
      <vt:variant>
        <vt:i4>56</vt:i4>
      </vt:variant>
      <vt:variant>
        <vt:i4>0</vt:i4>
      </vt:variant>
      <vt:variant>
        <vt:i4>5</vt:i4>
      </vt:variant>
      <vt:variant>
        <vt:lpwstr/>
      </vt:variant>
      <vt:variant>
        <vt:lpwstr>_Toc79480326</vt:lpwstr>
      </vt:variant>
      <vt:variant>
        <vt:i4>1048625</vt:i4>
      </vt:variant>
      <vt:variant>
        <vt:i4>50</vt:i4>
      </vt:variant>
      <vt:variant>
        <vt:i4>0</vt:i4>
      </vt:variant>
      <vt:variant>
        <vt:i4>5</vt:i4>
      </vt:variant>
      <vt:variant>
        <vt:lpwstr/>
      </vt:variant>
      <vt:variant>
        <vt:lpwstr>_Toc79480325</vt:lpwstr>
      </vt:variant>
      <vt:variant>
        <vt:i4>1114161</vt:i4>
      </vt:variant>
      <vt:variant>
        <vt:i4>44</vt:i4>
      </vt:variant>
      <vt:variant>
        <vt:i4>0</vt:i4>
      </vt:variant>
      <vt:variant>
        <vt:i4>5</vt:i4>
      </vt:variant>
      <vt:variant>
        <vt:lpwstr/>
      </vt:variant>
      <vt:variant>
        <vt:lpwstr>_Toc79480324</vt:lpwstr>
      </vt:variant>
      <vt:variant>
        <vt:i4>1441841</vt:i4>
      </vt:variant>
      <vt:variant>
        <vt:i4>38</vt:i4>
      </vt:variant>
      <vt:variant>
        <vt:i4>0</vt:i4>
      </vt:variant>
      <vt:variant>
        <vt:i4>5</vt:i4>
      </vt:variant>
      <vt:variant>
        <vt:lpwstr/>
      </vt:variant>
      <vt:variant>
        <vt:lpwstr>_Toc79480323</vt:lpwstr>
      </vt:variant>
      <vt:variant>
        <vt:i4>1507377</vt:i4>
      </vt:variant>
      <vt:variant>
        <vt:i4>32</vt:i4>
      </vt:variant>
      <vt:variant>
        <vt:i4>0</vt:i4>
      </vt:variant>
      <vt:variant>
        <vt:i4>5</vt:i4>
      </vt:variant>
      <vt:variant>
        <vt:lpwstr/>
      </vt:variant>
      <vt:variant>
        <vt:lpwstr>_Toc79480322</vt:lpwstr>
      </vt:variant>
      <vt:variant>
        <vt:i4>1310769</vt:i4>
      </vt:variant>
      <vt:variant>
        <vt:i4>26</vt:i4>
      </vt:variant>
      <vt:variant>
        <vt:i4>0</vt:i4>
      </vt:variant>
      <vt:variant>
        <vt:i4>5</vt:i4>
      </vt:variant>
      <vt:variant>
        <vt:lpwstr/>
      </vt:variant>
      <vt:variant>
        <vt:lpwstr>_Toc79480321</vt:lpwstr>
      </vt:variant>
      <vt:variant>
        <vt:i4>1376305</vt:i4>
      </vt:variant>
      <vt:variant>
        <vt:i4>20</vt:i4>
      </vt:variant>
      <vt:variant>
        <vt:i4>0</vt:i4>
      </vt:variant>
      <vt:variant>
        <vt:i4>5</vt:i4>
      </vt:variant>
      <vt:variant>
        <vt:lpwstr/>
      </vt:variant>
      <vt:variant>
        <vt:lpwstr>_Toc79480320</vt:lpwstr>
      </vt:variant>
      <vt:variant>
        <vt:i4>1835058</vt:i4>
      </vt:variant>
      <vt:variant>
        <vt:i4>14</vt:i4>
      </vt:variant>
      <vt:variant>
        <vt:i4>0</vt:i4>
      </vt:variant>
      <vt:variant>
        <vt:i4>5</vt:i4>
      </vt:variant>
      <vt:variant>
        <vt:lpwstr/>
      </vt:variant>
      <vt:variant>
        <vt:lpwstr>_Toc79480319</vt:lpwstr>
      </vt:variant>
      <vt:variant>
        <vt:i4>1900594</vt:i4>
      </vt:variant>
      <vt:variant>
        <vt:i4>8</vt:i4>
      </vt:variant>
      <vt:variant>
        <vt:i4>0</vt:i4>
      </vt:variant>
      <vt:variant>
        <vt:i4>5</vt:i4>
      </vt:variant>
      <vt:variant>
        <vt:lpwstr/>
      </vt:variant>
      <vt:variant>
        <vt:lpwstr>_Toc79480318</vt:lpwstr>
      </vt:variant>
      <vt:variant>
        <vt:i4>1179698</vt:i4>
      </vt:variant>
      <vt:variant>
        <vt:i4>2</vt:i4>
      </vt:variant>
      <vt:variant>
        <vt:i4>0</vt:i4>
      </vt:variant>
      <vt:variant>
        <vt:i4>5</vt:i4>
      </vt:variant>
      <vt:variant>
        <vt:lpwstr/>
      </vt:variant>
      <vt:variant>
        <vt:lpwstr>_Toc79480317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Hauptnutzer</dc:creator>
  <cp:keywords/>
  <cp:lastModifiedBy>Jaroslaw Morawski</cp:lastModifiedBy>
  <cp:revision>2</cp:revision>
  <cp:lastPrinted>2015-06-26T12:27:00Z</cp:lastPrinted>
  <dcterms:created xsi:type="dcterms:W3CDTF">2021-08-20T09:10:00Z</dcterms:created>
  <dcterms:modified xsi:type="dcterms:W3CDTF">2021-08-20T09:10:00Z</dcterms:modified>
</cp:coreProperties>
</file>