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680D7" w14:textId="7BFF86B5" w:rsidR="007F29AE" w:rsidRPr="007F29AE" w:rsidRDefault="007F29AE" w:rsidP="007F29AE">
      <w:pPr>
        <w:pStyle w:val="TableParagraph"/>
        <w:spacing w:before="114"/>
        <w:ind w:left="107"/>
        <w:rPr>
          <w:rFonts w:asciiTheme="minorHAnsi" w:hAnsiTheme="minorHAnsi" w:cstheme="minorHAnsi"/>
          <w:sz w:val="24"/>
        </w:rPr>
      </w:pPr>
    </w:p>
    <w:tbl>
      <w:tblPr>
        <w:tblStyle w:val="Tabela-Siatka"/>
        <w:tblW w:w="0" w:type="auto"/>
        <w:tblInd w:w="1696" w:type="dxa"/>
        <w:tblLook w:val="04A0" w:firstRow="1" w:lastRow="0" w:firstColumn="1" w:lastColumn="0" w:noHBand="0" w:noVBand="1"/>
        <w:tblDescription w:val="Załącznik 1&#10;Składka unijna oparta na kosztach jednostkowych, kwotach ryczałtowych i stawkach zryczałtowanych&#10;Wzór wniosku o przedłożenie danych do rozpatrzenia przez Komisję (art. 94 rozporządzenia (UE) 2021/1060 (CPR)&#10;"/>
      </w:tblPr>
      <w:tblGrid>
        <w:gridCol w:w="7371"/>
      </w:tblGrid>
      <w:tr w:rsidR="007F29AE" w:rsidRPr="007F29AE" w14:paraId="5B1660A5" w14:textId="77777777" w:rsidTr="003B3C5A">
        <w:trPr>
          <w:tblHeader/>
        </w:trPr>
        <w:tc>
          <w:tcPr>
            <w:tcW w:w="7371" w:type="dxa"/>
          </w:tcPr>
          <w:p w14:paraId="3BF8BFED" w14:textId="472F23CA" w:rsidR="007F29AE" w:rsidRPr="007F29AE" w:rsidRDefault="007F29AE" w:rsidP="007F29AE">
            <w:pPr>
              <w:pStyle w:val="Tekstpodstawowy"/>
              <w:jc w:val="center"/>
              <w:rPr>
                <w:rFonts w:asciiTheme="minorHAnsi" w:hAnsiTheme="minorHAnsi" w:cstheme="minorHAnsi"/>
                <w:b/>
                <w:sz w:val="20"/>
              </w:rPr>
            </w:pPr>
          </w:p>
          <w:p w14:paraId="50E7B612" w14:textId="77777777" w:rsidR="007F29AE" w:rsidRPr="007F29AE" w:rsidRDefault="007F29AE" w:rsidP="007F29AE">
            <w:pPr>
              <w:pStyle w:val="Tekstpodstawowy"/>
              <w:spacing w:before="9"/>
              <w:jc w:val="center"/>
              <w:rPr>
                <w:rFonts w:asciiTheme="minorHAnsi" w:hAnsiTheme="minorHAnsi" w:cstheme="minorHAnsi"/>
                <w:i/>
                <w:sz w:val="29"/>
              </w:rPr>
            </w:pPr>
            <w:r>
              <w:rPr>
                <w:rFonts w:asciiTheme="minorHAnsi" w:hAnsiTheme="minorHAnsi"/>
                <w:i/>
                <w:sz w:val="29"/>
              </w:rPr>
              <w:t>Załącznik 1</w:t>
            </w:r>
          </w:p>
          <w:p w14:paraId="6440BB9C" w14:textId="0538E4A5" w:rsidR="007F29AE" w:rsidRPr="007F29AE" w:rsidRDefault="007F29AE" w:rsidP="007F29AE">
            <w:pPr>
              <w:pStyle w:val="TableParagraph"/>
              <w:spacing w:before="114"/>
              <w:ind w:left="107"/>
              <w:jc w:val="center"/>
              <w:rPr>
                <w:rFonts w:asciiTheme="minorHAnsi" w:hAnsiTheme="minorHAnsi" w:cstheme="minorHAnsi"/>
                <w:sz w:val="24"/>
              </w:rPr>
            </w:pPr>
            <w:r>
              <w:rPr>
                <w:rFonts w:asciiTheme="minorHAnsi" w:hAnsiTheme="minorHAnsi"/>
                <w:sz w:val="24"/>
              </w:rPr>
              <w:t>Składka unijna oparta na kosztach jednostkowych, kwotach ryczałtowych i stawkach zryczałtowanych</w:t>
            </w:r>
          </w:p>
          <w:p w14:paraId="226A3F2B" w14:textId="31E56BE4" w:rsidR="007F29AE" w:rsidRPr="007F29AE" w:rsidRDefault="007F29AE" w:rsidP="007F29AE">
            <w:pPr>
              <w:pStyle w:val="TableParagraph"/>
              <w:spacing w:before="114"/>
              <w:ind w:left="107"/>
              <w:jc w:val="center"/>
              <w:rPr>
                <w:rFonts w:asciiTheme="minorHAnsi" w:hAnsiTheme="minorHAnsi" w:cstheme="minorHAnsi"/>
                <w:sz w:val="24"/>
              </w:rPr>
            </w:pPr>
            <w:r>
              <w:rPr>
                <w:rFonts w:asciiTheme="minorHAnsi" w:hAnsiTheme="minorHAnsi"/>
                <w:sz w:val="24"/>
              </w:rPr>
              <w:t>Wzór wniosku o przedłożenie danych do rozpatrzenia przez Komisję (art. 94 rozporządzenia (UE) 2021/1060 (CPR)</w:t>
            </w:r>
          </w:p>
          <w:p w14:paraId="59598A2A" w14:textId="6F8C9831" w:rsidR="007F29AE" w:rsidRPr="007F29AE" w:rsidRDefault="007F29AE" w:rsidP="007F29AE">
            <w:pPr>
              <w:pStyle w:val="TableParagraph"/>
              <w:spacing w:before="114"/>
              <w:rPr>
                <w:rFonts w:asciiTheme="minorHAnsi" w:hAnsiTheme="minorHAnsi" w:cstheme="minorHAnsi"/>
                <w:sz w:val="24"/>
              </w:rPr>
            </w:pPr>
          </w:p>
        </w:tc>
      </w:tr>
    </w:tbl>
    <w:p w14:paraId="4624DB88" w14:textId="2216DF65" w:rsidR="007F29AE" w:rsidRPr="007F29AE" w:rsidRDefault="007F29AE" w:rsidP="007F29AE">
      <w:pPr>
        <w:pStyle w:val="TableParagraph"/>
        <w:spacing w:before="114"/>
        <w:ind w:left="107"/>
        <w:rPr>
          <w:rFonts w:asciiTheme="minorHAnsi" w:hAnsiTheme="minorHAnsi" w:cstheme="minorHAnsi"/>
          <w:sz w:val="24"/>
        </w:rPr>
      </w:pPr>
    </w:p>
    <w:tbl>
      <w:tblPr>
        <w:tblStyle w:val="TableNormal1"/>
        <w:tblW w:w="0" w:type="auto"/>
        <w:tblInd w:w="4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Description w:val="Data przedłożenia wniosku xx.xx.2021"/>
      </w:tblPr>
      <w:tblGrid>
        <w:gridCol w:w="4643"/>
        <w:gridCol w:w="5149"/>
      </w:tblGrid>
      <w:tr w:rsidR="001B51A6" w:rsidRPr="007F29AE" w14:paraId="6F572B08" w14:textId="77777777" w:rsidTr="003B3C5A">
        <w:trPr>
          <w:trHeight w:val="652"/>
          <w:tblHeader/>
        </w:trPr>
        <w:tc>
          <w:tcPr>
            <w:tcW w:w="4643" w:type="dxa"/>
            <w:vAlign w:val="center"/>
          </w:tcPr>
          <w:p w14:paraId="4DA6F4ED" w14:textId="7473D4F8" w:rsidR="00544789" w:rsidRPr="007F29AE" w:rsidRDefault="00834CFD">
            <w:pPr>
              <w:pStyle w:val="TableParagraph"/>
              <w:spacing w:before="114"/>
              <w:ind w:left="107"/>
              <w:rPr>
                <w:rFonts w:asciiTheme="minorHAnsi" w:hAnsiTheme="minorHAnsi" w:cstheme="minorHAnsi"/>
                <w:sz w:val="24"/>
              </w:rPr>
            </w:pPr>
            <w:r>
              <w:rPr>
                <w:rFonts w:asciiTheme="minorHAnsi" w:hAnsiTheme="minorHAnsi"/>
                <w:sz w:val="24"/>
              </w:rPr>
              <w:t>Data przedłożenia wniosku</w:t>
            </w:r>
          </w:p>
        </w:tc>
        <w:tc>
          <w:tcPr>
            <w:tcW w:w="5149" w:type="dxa"/>
            <w:vAlign w:val="center"/>
          </w:tcPr>
          <w:p w14:paraId="190EFEF1" w14:textId="77777777" w:rsidR="00544789" w:rsidRPr="007F29AE" w:rsidRDefault="005A2195">
            <w:pPr>
              <w:pStyle w:val="TableParagraph"/>
              <w:rPr>
                <w:rFonts w:asciiTheme="minorHAnsi" w:hAnsiTheme="minorHAnsi" w:cstheme="minorHAnsi"/>
              </w:rPr>
            </w:pPr>
            <w:r>
              <w:rPr>
                <w:rFonts w:asciiTheme="minorHAnsi" w:hAnsiTheme="minorHAnsi"/>
              </w:rPr>
              <w:t>xx.xx.2021</w:t>
            </w:r>
          </w:p>
        </w:tc>
      </w:tr>
    </w:tbl>
    <w:p w14:paraId="751BD5B1" w14:textId="77777777" w:rsidR="00544789" w:rsidRPr="007F29AE" w:rsidRDefault="00544789">
      <w:pPr>
        <w:pStyle w:val="Tekstpodstawowy"/>
        <w:rPr>
          <w:rFonts w:asciiTheme="minorHAnsi" w:hAnsiTheme="minorHAnsi" w:cstheme="minorHAnsi"/>
          <w:b/>
          <w:sz w:val="20"/>
        </w:rPr>
      </w:pPr>
    </w:p>
    <w:p w14:paraId="1D07EBBB" w14:textId="77777777" w:rsidR="00544789" w:rsidRPr="007F29AE" w:rsidRDefault="00544789">
      <w:pPr>
        <w:pStyle w:val="Tekstpodstawowy"/>
        <w:rPr>
          <w:rFonts w:asciiTheme="minorHAnsi" w:hAnsiTheme="minorHAnsi" w:cstheme="minorHAnsi"/>
          <w:b/>
          <w:sz w:val="20"/>
        </w:rPr>
      </w:pPr>
    </w:p>
    <w:tbl>
      <w:tblPr>
        <w:tblStyle w:val="Tabela-Siatka"/>
        <w:tblW w:w="0" w:type="auto"/>
        <w:tblInd w:w="421" w:type="dxa"/>
        <w:tblLook w:val="04A0" w:firstRow="1" w:lastRow="0" w:firstColumn="1" w:lastColumn="0" w:noHBand="0" w:noVBand="1"/>
        <w:tblDescription w:val="Niniejszy załącznik nie jest wymagany w przypadku stosowania uproszczonych wariantów kosztów na poziomie UE ustanowionych aktem delegowanym, o którym mowa w art. 94 ust. 4 rozporządzenia w sprawie wspólnych przepisów."/>
      </w:tblPr>
      <w:tblGrid>
        <w:gridCol w:w="9780"/>
      </w:tblGrid>
      <w:tr w:rsidR="007F29AE" w14:paraId="23C5BDAC" w14:textId="77777777" w:rsidTr="003B3C5A">
        <w:trPr>
          <w:tblHeader/>
        </w:trPr>
        <w:tc>
          <w:tcPr>
            <w:tcW w:w="9780" w:type="dxa"/>
          </w:tcPr>
          <w:p w14:paraId="717B5701" w14:textId="1F5EC7AB" w:rsidR="007F29AE" w:rsidRDefault="007F29AE" w:rsidP="007F29AE">
            <w:pPr>
              <w:pStyle w:val="TableParagraph"/>
              <w:spacing w:before="114"/>
              <w:ind w:left="107"/>
              <w:rPr>
                <w:rFonts w:asciiTheme="minorHAnsi" w:hAnsiTheme="minorHAnsi" w:cstheme="minorHAnsi"/>
                <w:b/>
                <w:sz w:val="20"/>
              </w:rPr>
            </w:pPr>
            <w:r>
              <w:rPr>
                <w:rFonts w:asciiTheme="minorHAnsi" w:hAnsiTheme="minorHAnsi"/>
                <w:sz w:val="20"/>
              </w:rPr>
              <w:t>Niniejszy załącznik nie jest wymagany w przypadku stosowania uproszczonych wariantów kosztów na poziomie UE ustanowionych aktem delegowanym, o którym mowa w art. 94 ust. 4 rozporządzenia w sprawie wspólnych przepisów.</w:t>
            </w:r>
          </w:p>
        </w:tc>
      </w:tr>
    </w:tbl>
    <w:p w14:paraId="53EB2CCA" w14:textId="77777777" w:rsidR="00544789" w:rsidRPr="007F29AE" w:rsidRDefault="00544789">
      <w:pPr>
        <w:pStyle w:val="Tekstpodstawowy"/>
        <w:rPr>
          <w:rFonts w:asciiTheme="minorHAnsi" w:hAnsiTheme="minorHAnsi" w:cstheme="minorHAnsi"/>
          <w:b/>
          <w:sz w:val="20"/>
        </w:rPr>
      </w:pPr>
    </w:p>
    <w:p w14:paraId="002222A5" w14:textId="77777777" w:rsidR="00544789" w:rsidRPr="007F29AE" w:rsidRDefault="00544789">
      <w:pPr>
        <w:pStyle w:val="Tekstpodstawowy"/>
        <w:rPr>
          <w:rFonts w:asciiTheme="minorHAnsi" w:hAnsiTheme="minorHAnsi" w:cstheme="minorHAnsi"/>
          <w:b/>
          <w:sz w:val="20"/>
        </w:rPr>
      </w:pPr>
    </w:p>
    <w:p w14:paraId="777C8D78" w14:textId="77777777" w:rsidR="0088247D" w:rsidRPr="0088247D" w:rsidRDefault="0088247D" w:rsidP="0088247D">
      <w:pPr>
        <w:rPr>
          <w:rFonts w:asciiTheme="minorHAnsi" w:hAnsiTheme="minorHAnsi" w:cstheme="minorHAnsi"/>
          <w:sz w:val="36"/>
        </w:rPr>
      </w:pPr>
    </w:p>
    <w:p w14:paraId="486A577F" w14:textId="4DE579C0" w:rsidR="00544789" w:rsidRPr="0088247D" w:rsidRDefault="00544789" w:rsidP="0088247D">
      <w:pPr>
        <w:rPr>
          <w:rFonts w:asciiTheme="minorHAnsi" w:hAnsiTheme="minorHAnsi" w:cstheme="minorHAnsi"/>
          <w:sz w:val="36"/>
        </w:rPr>
        <w:sectPr w:rsidR="00544789" w:rsidRPr="0088247D">
          <w:footerReference w:type="default" r:id="rId11"/>
          <w:type w:val="continuous"/>
          <w:pgSz w:w="11910" w:h="16840"/>
          <w:pgMar w:top="1280" w:right="620" w:bottom="280" w:left="620" w:header="720" w:footer="720" w:gutter="0"/>
          <w:cols w:space="720"/>
        </w:sectPr>
      </w:pPr>
    </w:p>
    <w:p w14:paraId="460A490F" w14:textId="77777777" w:rsidR="00544789" w:rsidRPr="007F29AE" w:rsidRDefault="00544789">
      <w:pPr>
        <w:pStyle w:val="Tekstpodstawowy"/>
        <w:rPr>
          <w:rFonts w:asciiTheme="minorHAnsi" w:hAnsiTheme="minorHAnsi" w:cstheme="minorHAnsi"/>
          <w:b/>
          <w:sz w:val="18"/>
        </w:rPr>
      </w:pPr>
    </w:p>
    <w:p w14:paraId="13A1A6E8" w14:textId="77777777" w:rsidR="00544789" w:rsidRPr="007F29AE" w:rsidRDefault="00544789">
      <w:pPr>
        <w:pStyle w:val="Tekstpodstawowy"/>
        <w:rPr>
          <w:rFonts w:asciiTheme="minorHAnsi" w:hAnsiTheme="minorHAnsi" w:cstheme="minorHAnsi"/>
          <w:b/>
          <w:sz w:val="18"/>
        </w:rPr>
      </w:pPr>
    </w:p>
    <w:p w14:paraId="3B8CDFAF" w14:textId="77777777" w:rsidR="00544789" w:rsidRPr="007F29AE" w:rsidRDefault="00544789">
      <w:pPr>
        <w:pStyle w:val="Tekstpodstawowy"/>
        <w:spacing w:before="5"/>
        <w:rPr>
          <w:rFonts w:asciiTheme="minorHAnsi" w:hAnsiTheme="minorHAnsi" w:cstheme="minorHAnsi"/>
          <w:b/>
          <w:sz w:val="21"/>
        </w:rPr>
      </w:pPr>
    </w:p>
    <w:p w14:paraId="266E0867" w14:textId="1808972C" w:rsidR="00544789" w:rsidRPr="007F29AE" w:rsidRDefault="007F2D7B">
      <w:pPr>
        <w:pStyle w:val="Akapitzlist"/>
        <w:numPr>
          <w:ilvl w:val="0"/>
          <w:numId w:val="2"/>
        </w:numPr>
        <w:tabs>
          <w:tab w:val="left" w:pos="580"/>
          <w:tab w:val="left" w:pos="582"/>
        </w:tabs>
        <w:spacing w:before="0"/>
        <w:ind w:hanging="402"/>
        <w:jc w:val="left"/>
        <w:rPr>
          <w:rFonts w:asciiTheme="minorHAnsi" w:hAnsiTheme="minorHAnsi" w:cstheme="minorHAnsi"/>
          <w:b/>
          <w:sz w:val="17"/>
        </w:rPr>
      </w:pPr>
      <w:r>
        <w:rPr>
          <w:b/>
          <w:u w:val="single"/>
        </w:rPr>
        <w:t>Podsumowanie głównych elementów</w:t>
      </w:r>
    </w:p>
    <w:p w14:paraId="66452A5D" w14:textId="77777777" w:rsidR="00544789" w:rsidRPr="007F29AE" w:rsidRDefault="00544789">
      <w:pPr>
        <w:pStyle w:val="Tekstpodstawowy"/>
        <w:spacing w:before="2" w:after="1"/>
        <w:rPr>
          <w:rFonts w:asciiTheme="minorHAnsi" w:hAnsiTheme="minorHAnsi" w:cstheme="minorHAnsi"/>
          <w:b/>
          <w:sz w:val="23"/>
        </w:rPr>
      </w:pPr>
    </w:p>
    <w:tbl>
      <w:tblPr>
        <w:tblStyle w:val="TableNormal1"/>
        <w:tblW w:w="14769" w:type="dxa"/>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Caption w:val="Tabela: A. Podsumowanie głównych elementów"/>
      </w:tblPr>
      <w:tblGrid>
        <w:gridCol w:w="1161"/>
        <w:gridCol w:w="993"/>
        <w:gridCol w:w="1133"/>
        <w:gridCol w:w="1843"/>
        <w:gridCol w:w="851"/>
        <w:gridCol w:w="850"/>
        <w:gridCol w:w="567"/>
        <w:gridCol w:w="851"/>
        <w:gridCol w:w="2859"/>
        <w:gridCol w:w="1393"/>
        <w:gridCol w:w="2268"/>
      </w:tblGrid>
      <w:tr w:rsidR="007F29AE" w:rsidRPr="007F29AE" w14:paraId="2A3501B0" w14:textId="77777777" w:rsidTr="003B3C5A">
        <w:trPr>
          <w:trHeight w:val="1135"/>
          <w:tblHeader/>
        </w:trPr>
        <w:tc>
          <w:tcPr>
            <w:tcW w:w="1161" w:type="dxa"/>
          </w:tcPr>
          <w:p w14:paraId="06770E8D" w14:textId="77777777" w:rsidR="007F29AE" w:rsidRPr="007F29AE" w:rsidRDefault="007F29AE">
            <w:pPr>
              <w:pStyle w:val="TableParagraph"/>
              <w:spacing w:before="90"/>
              <w:ind w:left="140"/>
              <w:rPr>
                <w:rFonts w:asciiTheme="minorHAnsi" w:hAnsiTheme="minorHAnsi" w:cstheme="minorHAnsi"/>
                <w:b/>
                <w:sz w:val="12"/>
              </w:rPr>
            </w:pPr>
            <w:r>
              <w:rPr>
                <w:rFonts w:asciiTheme="minorHAnsi" w:hAnsiTheme="minorHAnsi"/>
                <w:b/>
                <w:sz w:val="12"/>
              </w:rPr>
              <w:t>Priorytet</w:t>
            </w:r>
          </w:p>
        </w:tc>
        <w:tc>
          <w:tcPr>
            <w:tcW w:w="993" w:type="dxa"/>
          </w:tcPr>
          <w:p w14:paraId="2075E5C1" w14:textId="77777777" w:rsidR="007F29AE" w:rsidRPr="007F29AE" w:rsidRDefault="007F29AE">
            <w:pPr>
              <w:pStyle w:val="TableParagraph"/>
              <w:spacing w:before="90"/>
              <w:ind w:left="139"/>
              <w:rPr>
                <w:rFonts w:asciiTheme="minorHAnsi" w:hAnsiTheme="minorHAnsi" w:cstheme="minorHAnsi"/>
                <w:b/>
                <w:sz w:val="12"/>
              </w:rPr>
            </w:pPr>
            <w:r>
              <w:rPr>
                <w:rFonts w:asciiTheme="minorHAnsi" w:hAnsiTheme="minorHAnsi"/>
                <w:b/>
                <w:sz w:val="12"/>
              </w:rPr>
              <w:t>Fundusz</w:t>
            </w:r>
          </w:p>
        </w:tc>
        <w:tc>
          <w:tcPr>
            <w:tcW w:w="1133" w:type="dxa"/>
          </w:tcPr>
          <w:p w14:paraId="65FBEF3C" w14:textId="77777777" w:rsidR="007F29AE" w:rsidRPr="007F29AE" w:rsidRDefault="007F29AE">
            <w:pPr>
              <w:pStyle w:val="TableParagraph"/>
              <w:spacing w:before="90" w:line="381" w:lineRule="auto"/>
              <w:ind w:left="128" w:right="117" w:firstLine="1"/>
              <w:jc w:val="center"/>
              <w:rPr>
                <w:rFonts w:asciiTheme="minorHAnsi" w:hAnsiTheme="minorHAnsi" w:cstheme="minorHAnsi"/>
                <w:b/>
                <w:i/>
                <w:sz w:val="12"/>
              </w:rPr>
            </w:pPr>
            <w:r>
              <w:rPr>
                <w:rFonts w:asciiTheme="minorHAnsi" w:hAnsiTheme="minorHAnsi"/>
                <w:b/>
                <w:sz w:val="12"/>
              </w:rPr>
              <w:t xml:space="preserve">Cel szczegółowy </w:t>
            </w:r>
          </w:p>
        </w:tc>
        <w:tc>
          <w:tcPr>
            <w:tcW w:w="1843" w:type="dxa"/>
          </w:tcPr>
          <w:p w14:paraId="13B2FBB7" w14:textId="3501912E" w:rsidR="007F29AE" w:rsidRPr="007F29AE" w:rsidRDefault="007F29AE">
            <w:pPr>
              <w:pStyle w:val="TableParagraph"/>
              <w:spacing w:before="90" w:line="381" w:lineRule="auto"/>
              <w:ind w:left="108" w:right="100" w:firstLine="2"/>
              <w:jc w:val="center"/>
              <w:rPr>
                <w:rFonts w:asciiTheme="minorHAnsi" w:hAnsiTheme="minorHAnsi" w:cstheme="minorHAnsi"/>
                <w:b/>
                <w:sz w:val="12"/>
              </w:rPr>
            </w:pPr>
            <w:r>
              <w:rPr>
                <w:rFonts w:asciiTheme="minorHAnsi" w:hAnsiTheme="minorHAnsi"/>
                <w:b/>
                <w:sz w:val="12"/>
              </w:rPr>
              <w:t>Szacunkowy udział całkowitego przydziału środków finansowych w ramach priorytetu, do którego będzie miał zastosowanie wariant kosztów uproszczonych, w %.</w:t>
            </w:r>
          </w:p>
        </w:tc>
        <w:tc>
          <w:tcPr>
            <w:tcW w:w="1701" w:type="dxa"/>
            <w:gridSpan w:val="2"/>
          </w:tcPr>
          <w:p w14:paraId="546F697B" w14:textId="3458B137" w:rsidR="007F29AE" w:rsidRPr="007F29AE" w:rsidRDefault="007F29AE" w:rsidP="007F29AE">
            <w:pPr>
              <w:pStyle w:val="TableParagraph"/>
              <w:spacing w:before="90"/>
              <w:jc w:val="center"/>
              <w:rPr>
                <w:rFonts w:asciiTheme="minorHAnsi" w:hAnsiTheme="minorHAnsi" w:cstheme="minorHAnsi"/>
                <w:b/>
                <w:sz w:val="12"/>
              </w:rPr>
            </w:pPr>
            <w:r>
              <w:rPr>
                <w:rFonts w:asciiTheme="minorHAnsi" w:hAnsiTheme="minorHAnsi"/>
                <w:b/>
                <w:sz w:val="12"/>
              </w:rPr>
              <w:t>Typ(-y) operacji objętych wsparciem</w:t>
            </w:r>
          </w:p>
        </w:tc>
        <w:tc>
          <w:tcPr>
            <w:tcW w:w="1418" w:type="dxa"/>
            <w:gridSpan w:val="2"/>
          </w:tcPr>
          <w:p w14:paraId="512E70E5" w14:textId="0C8EEAF3" w:rsidR="007F29AE" w:rsidRPr="007F29AE" w:rsidRDefault="007F29AE" w:rsidP="007F29AE">
            <w:pPr>
              <w:pStyle w:val="TableParagraph"/>
              <w:spacing w:before="90" w:line="384" w:lineRule="auto"/>
              <w:ind w:left="141" w:right="103" w:hanging="23"/>
              <w:jc w:val="both"/>
              <w:rPr>
                <w:rFonts w:asciiTheme="minorHAnsi" w:hAnsiTheme="minorHAnsi" w:cstheme="minorHAnsi"/>
                <w:b/>
                <w:sz w:val="12"/>
              </w:rPr>
            </w:pPr>
            <w:r>
              <w:rPr>
                <w:rFonts w:asciiTheme="minorHAnsi" w:hAnsiTheme="minorHAnsi"/>
                <w:b/>
                <w:sz w:val="12"/>
              </w:rPr>
              <w:t>Wskaźnik powodujący konieczność zwrotu kosztów</w:t>
            </w:r>
          </w:p>
        </w:tc>
        <w:tc>
          <w:tcPr>
            <w:tcW w:w="2859" w:type="dxa"/>
          </w:tcPr>
          <w:p w14:paraId="7DADD987" w14:textId="75254E46" w:rsidR="007F29AE" w:rsidRPr="007F29AE" w:rsidRDefault="000747EB">
            <w:pPr>
              <w:pStyle w:val="TableParagraph"/>
              <w:spacing w:before="90" w:line="381" w:lineRule="auto"/>
              <w:ind w:left="113" w:right="102" w:hanging="1"/>
              <w:jc w:val="center"/>
              <w:rPr>
                <w:rFonts w:asciiTheme="minorHAnsi" w:hAnsiTheme="minorHAnsi" w:cstheme="minorHAnsi"/>
                <w:b/>
                <w:sz w:val="12"/>
              </w:rPr>
            </w:pPr>
            <w:r>
              <w:rPr>
                <w:rFonts w:asciiTheme="minorHAnsi" w:hAnsiTheme="minorHAnsi"/>
                <w:b/>
                <w:sz w:val="12"/>
              </w:rPr>
              <w:t>Jednostka miary dla wskaźnika powodującego zwrot kosztów</w:t>
            </w:r>
          </w:p>
        </w:tc>
        <w:tc>
          <w:tcPr>
            <w:tcW w:w="1393" w:type="dxa"/>
          </w:tcPr>
          <w:p w14:paraId="117F162B" w14:textId="3F3221B4" w:rsidR="007F29AE" w:rsidRPr="007F29AE" w:rsidRDefault="000747EB">
            <w:pPr>
              <w:pStyle w:val="TableParagraph"/>
              <w:spacing w:before="90" w:line="381" w:lineRule="auto"/>
              <w:ind w:left="80" w:right="66"/>
              <w:jc w:val="center"/>
              <w:rPr>
                <w:rFonts w:asciiTheme="minorHAnsi" w:hAnsiTheme="minorHAnsi" w:cstheme="minorHAnsi"/>
                <w:b/>
                <w:sz w:val="12"/>
              </w:rPr>
            </w:pPr>
            <w:r>
              <w:rPr>
                <w:rFonts w:asciiTheme="minorHAnsi" w:hAnsiTheme="minorHAnsi"/>
                <w:b/>
                <w:sz w:val="12"/>
              </w:rPr>
              <w:t>Rodzaj wariantu kosztów uproszczonych (standardowa skala kosztów jednostkowych, kwoty ryczałtowe lub stawki zryczałtowane)</w:t>
            </w:r>
          </w:p>
        </w:tc>
        <w:tc>
          <w:tcPr>
            <w:tcW w:w="2268" w:type="dxa"/>
          </w:tcPr>
          <w:p w14:paraId="2B6058A2" w14:textId="026C2CE9" w:rsidR="007F29AE" w:rsidRPr="007F29AE" w:rsidRDefault="000747EB">
            <w:pPr>
              <w:pStyle w:val="TableParagraph"/>
              <w:spacing w:line="374" w:lineRule="auto"/>
              <w:ind w:left="265" w:right="253"/>
              <w:jc w:val="center"/>
              <w:rPr>
                <w:rFonts w:asciiTheme="minorHAnsi" w:hAnsiTheme="minorHAnsi" w:cstheme="minorHAnsi"/>
                <w:i/>
                <w:sz w:val="12"/>
              </w:rPr>
            </w:pPr>
            <w:r>
              <w:rPr>
                <w:rFonts w:asciiTheme="minorHAnsi" w:hAnsiTheme="minorHAnsi"/>
                <w:b/>
                <w:sz w:val="12"/>
              </w:rPr>
              <w:t>kwota (w EUR) lub wartość procentowa (w przypadku stawek zryczałtowanych) opcji kosztów uproszczonych</w:t>
            </w:r>
          </w:p>
        </w:tc>
      </w:tr>
      <w:tr w:rsidR="007F29AE" w:rsidRPr="007F29AE" w14:paraId="72919B64" w14:textId="77777777" w:rsidTr="000747EB">
        <w:trPr>
          <w:trHeight w:val="386"/>
        </w:trPr>
        <w:tc>
          <w:tcPr>
            <w:tcW w:w="1161" w:type="dxa"/>
          </w:tcPr>
          <w:p w14:paraId="4E8E97AD" w14:textId="77777777" w:rsidR="007F29AE" w:rsidRPr="007F29AE" w:rsidRDefault="007F29AE">
            <w:pPr>
              <w:pStyle w:val="TableParagraph"/>
              <w:rPr>
                <w:rFonts w:asciiTheme="minorHAnsi" w:hAnsiTheme="minorHAnsi" w:cstheme="minorHAnsi"/>
                <w:sz w:val="12"/>
              </w:rPr>
            </w:pPr>
          </w:p>
        </w:tc>
        <w:tc>
          <w:tcPr>
            <w:tcW w:w="993" w:type="dxa"/>
          </w:tcPr>
          <w:p w14:paraId="4F5DA06A" w14:textId="77777777" w:rsidR="007F29AE" w:rsidRPr="007F29AE" w:rsidRDefault="007F29AE">
            <w:pPr>
              <w:pStyle w:val="TableParagraph"/>
              <w:rPr>
                <w:rFonts w:asciiTheme="minorHAnsi" w:hAnsiTheme="minorHAnsi" w:cstheme="minorHAnsi"/>
                <w:sz w:val="12"/>
              </w:rPr>
            </w:pPr>
          </w:p>
        </w:tc>
        <w:tc>
          <w:tcPr>
            <w:tcW w:w="1133" w:type="dxa"/>
          </w:tcPr>
          <w:p w14:paraId="55DFD0CF" w14:textId="77777777" w:rsidR="007F29AE" w:rsidRPr="007F29AE" w:rsidRDefault="007F29AE">
            <w:pPr>
              <w:pStyle w:val="TableParagraph"/>
              <w:rPr>
                <w:rFonts w:asciiTheme="minorHAnsi" w:hAnsiTheme="minorHAnsi" w:cstheme="minorHAnsi"/>
                <w:sz w:val="12"/>
              </w:rPr>
            </w:pPr>
          </w:p>
        </w:tc>
        <w:tc>
          <w:tcPr>
            <w:tcW w:w="1843" w:type="dxa"/>
          </w:tcPr>
          <w:p w14:paraId="55519097" w14:textId="77777777" w:rsidR="007F29AE" w:rsidRPr="007F29AE" w:rsidRDefault="007F29AE">
            <w:pPr>
              <w:pStyle w:val="TableParagraph"/>
              <w:rPr>
                <w:rFonts w:asciiTheme="minorHAnsi" w:hAnsiTheme="minorHAnsi" w:cstheme="minorHAnsi"/>
                <w:sz w:val="12"/>
              </w:rPr>
            </w:pPr>
          </w:p>
        </w:tc>
        <w:tc>
          <w:tcPr>
            <w:tcW w:w="851" w:type="dxa"/>
          </w:tcPr>
          <w:p w14:paraId="3524D21D" w14:textId="2CD59162" w:rsidR="007F29AE" w:rsidRPr="007F29AE" w:rsidRDefault="007F29AE" w:rsidP="001B51A6">
            <w:pPr>
              <w:pStyle w:val="TableParagraph"/>
              <w:spacing w:before="88"/>
              <w:jc w:val="center"/>
              <w:rPr>
                <w:rFonts w:asciiTheme="minorHAnsi" w:hAnsiTheme="minorHAnsi" w:cstheme="minorHAnsi"/>
                <w:sz w:val="12"/>
              </w:rPr>
            </w:pPr>
            <w:r>
              <w:rPr>
                <w:rFonts w:asciiTheme="minorHAnsi" w:hAnsiTheme="minorHAnsi"/>
                <w:sz w:val="12"/>
              </w:rPr>
              <w:t>Kod (1)</w:t>
            </w:r>
          </w:p>
        </w:tc>
        <w:tc>
          <w:tcPr>
            <w:tcW w:w="850" w:type="dxa"/>
          </w:tcPr>
          <w:p w14:paraId="609D7388" w14:textId="77777777" w:rsidR="007F29AE" w:rsidRPr="007F29AE" w:rsidRDefault="007F29AE" w:rsidP="001B51A6">
            <w:pPr>
              <w:pStyle w:val="TableParagraph"/>
              <w:spacing w:before="88"/>
              <w:jc w:val="center"/>
              <w:rPr>
                <w:rFonts w:asciiTheme="minorHAnsi" w:hAnsiTheme="minorHAnsi" w:cstheme="minorHAnsi"/>
                <w:sz w:val="12"/>
              </w:rPr>
            </w:pPr>
            <w:r>
              <w:rPr>
                <w:rFonts w:asciiTheme="minorHAnsi" w:hAnsiTheme="minorHAnsi"/>
                <w:sz w:val="12"/>
              </w:rPr>
              <w:t>Opis</w:t>
            </w:r>
          </w:p>
        </w:tc>
        <w:tc>
          <w:tcPr>
            <w:tcW w:w="567" w:type="dxa"/>
          </w:tcPr>
          <w:p w14:paraId="13660FCF" w14:textId="25875A74" w:rsidR="007F29AE" w:rsidRPr="007F29AE" w:rsidRDefault="007F29AE" w:rsidP="001B51A6">
            <w:pPr>
              <w:pStyle w:val="TableParagraph"/>
              <w:spacing w:before="88"/>
              <w:jc w:val="center"/>
              <w:rPr>
                <w:rFonts w:asciiTheme="minorHAnsi" w:hAnsiTheme="minorHAnsi" w:cstheme="minorHAnsi"/>
                <w:sz w:val="12"/>
              </w:rPr>
            </w:pPr>
            <w:r>
              <w:rPr>
                <w:rFonts w:asciiTheme="minorHAnsi" w:hAnsiTheme="minorHAnsi"/>
                <w:sz w:val="12"/>
              </w:rPr>
              <w:t>Kod (2)</w:t>
            </w:r>
          </w:p>
        </w:tc>
        <w:tc>
          <w:tcPr>
            <w:tcW w:w="851" w:type="dxa"/>
          </w:tcPr>
          <w:p w14:paraId="4D794526" w14:textId="77777777" w:rsidR="007F29AE" w:rsidRPr="007F29AE" w:rsidRDefault="007F29AE" w:rsidP="001B51A6">
            <w:pPr>
              <w:pStyle w:val="TableParagraph"/>
              <w:spacing w:before="88"/>
              <w:jc w:val="center"/>
              <w:rPr>
                <w:rFonts w:asciiTheme="minorHAnsi" w:hAnsiTheme="minorHAnsi" w:cstheme="minorHAnsi"/>
                <w:sz w:val="12"/>
              </w:rPr>
            </w:pPr>
            <w:r>
              <w:rPr>
                <w:rFonts w:asciiTheme="minorHAnsi" w:hAnsiTheme="minorHAnsi"/>
                <w:sz w:val="12"/>
              </w:rPr>
              <w:t>Opis</w:t>
            </w:r>
          </w:p>
        </w:tc>
        <w:tc>
          <w:tcPr>
            <w:tcW w:w="2859" w:type="dxa"/>
          </w:tcPr>
          <w:p w14:paraId="405EB18D" w14:textId="77777777" w:rsidR="007F29AE" w:rsidRPr="007F29AE" w:rsidRDefault="007F29AE">
            <w:pPr>
              <w:pStyle w:val="TableParagraph"/>
              <w:rPr>
                <w:rFonts w:asciiTheme="minorHAnsi" w:hAnsiTheme="minorHAnsi" w:cstheme="minorHAnsi"/>
                <w:sz w:val="12"/>
              </w:rPr>
            </w:pPr>
          </w:p>
        </w:tc>
        <w:tc>
          <w:tcPr>
            <w:tcW w:w="1393" w:type="dxa"/>
          </w:tcPr>
          <w:p w14:paraId="0BCE3389" w14:textId="77777777" w:rsidR="007F29AE" w:rsidRPr="007F29AE" w:rsidRDefault="007F29AE">
            <w:pPr>
              <w:pStyle w:val="TableParagraph"/>
              <w:rPr>
                <w:rFonts w:asciiTheme="minorHAnsi" w:hAnsiTheme="minorHAnsi" w:cstheme="minorHAnsi"/>
                <w:sz w:val="12"/>
              </w:rPr>
            </w:pPr>
          </w:p>
        </w:tc>
        <w:tc>
          <w:tcPr>
            <w:tcW w:w="2268" w:type="dxa"/>
          </w:tcPr>
          <w:p w14:paraId="009BC2EC" w14:textId="77777777" w:rsidR="007F29AE" w:rsidRPr="007F29AE" w:rsidRDefault="007F29AE">
            <w:pPr>
              <w:pStyle w:val="TableParagraph"/>
              <w:rPr>
                <w:rFonts w:asciiTheme="minorHAnsi" w:hAnsiTheme="minorHAnsi" w:cstheme="minorHAnsi"/>
                <w:sz w:val="12"/>
              </w:rPr>
            </w:pPr>
          </w:p>
        </w:tc>
      </w:tr>
      <w:tr w:rsidR="007F29AE" w:rsidRPr="007F29AE" w14:paraId="4258D85F" w14:textId="77777777" w:rsidTr="000747EB">
        <w:trPr>
          <w:trHeight w:val="385"/>
        </w:trPr>
        <w:tc>
          <w:tcPr>
            <w:tcW w:w="1161" w:type="dxa"/>
          </w:tcPr>
          <w:p w14:paraId="57034C5B" w14:textId="77777777" w:rsidR="007F29AE" w:rsidRPr="007F29AE" w:rsidRDefault="007F29AE" w:rsidP="00805E16">
            <w:pPr>
              <w:pStyle w:val="TableParagraph"/>
              <w:rPr>
                <w:rFonts w:asciiTheme="minorHAnsi" w:hAnsiTheme="minorHAnsi" w:cstheme="minorHAnsi"/>
                <w:sz w:val="10"/>
                <w:szCs w:val="16"/>
              </w:rPr>
            </w:pPr>
            <w:r>
              <w:rPr>
                <w:rFonts w:asciiTheme="minorHAnsi" w:hAnsiTheme="minorHAnsi"/>
                <w:sz w:val="10"/>
                <w:szCs w:val="16"/>
              </w:rPr>
              <w:t>1. Wspieranie przemian terytorialnych poprzez promowanie dowodów na rzecz Europy neutralnej dla klimatu, sprawiedliwej i zrównoważonej terytorialnie</w:t>
            </w:r>
          </w:p>
        </w:tc>
        <w:tc>
          <w:tcPr>
            <w:tcW w:w="993" w:type="dxa"/>
          </w:tcPr>
          <w:p w14:paraId="34951C32" w14:textId="0642AC79" w:rsidR="007F29AE" w:rsidRPr="007F29AE" w:rsidRDefault="00042DD1" w:rsidP="00805E16">
            <w:pPr>
              <w:pStyle w:val="TableParagraph"/>
              <w:rPr>
                <w:rFonts w:asciiTheme="minorHAnsi" w:hAnsiTheme="minorHAnsi" w:cstheme="minorHAnsi"/>
                <w:sz w:val="10"/>
                <w:szCs w:val="16"/>
              </w:rPr>
            </w:pPr>
            <w:r>
              <w:rPr>
                <w:rFonts w:asciiTheme="minorHAnsi" w:hAnsiTheme="minorHAnsi"/>
                <w:sz w:val="10"/>
                <w:szCs w:val="16"/>
              </w:rPr>
              <w:t>EFRR</w:t>
            </w:r>
          </w:p>
        </w:tc>
        <w:tc>
          <w:tcPr>
            <w:tcW w:w="1133" w:type="dxa"/>
          </w:tcPr>
          <w:p w14:paraId="57677B89" w14:textId="77777777" w:rsidR="007F29AE" w:rsidRPr="007F29AE" w:rsidRDefault="007F29AE" w:rsidP="00805E16">
            <w:pPr>
              <w:pStyle w:val="TableParagraph"/>
              <w:rPr>
                <w:rFonts w:asciiTheme="minorHAnsi" w:hAnsiTheme="minorHAnsi" w:cstheme="minorHAnsi"/>
                <w:sz w:val="10"/>
                <w:szCs w:val="16"/>
              </w:rPr>
            </w:pPr>
            <w:r>
              <w:rPr>
                <w:rFonts w:asciiTheme="minorHAnsi" w:hAnsiTheme="minorHAnsi"/>
                <w:sz w:val="10"/>
                <w:szCs w:val="16"/>
              </w:rPr>
              <w:t>Cel szczegółowy nr 6 Inne działania wspierające lepsze zarządzanie współpracą</w:t>
            </w:r>
          </w:p>
        </w:tc>
        <w:tc>
          <w:tcPr>
            <w:tcW w:w="1843" w:type="dxa"/>
          </w:tcPr>
          <w:p w14:paraId="373A3104" w14:textId="77777777" w:rsidR="007F29AE" w:rsidRPr="007F29AE" w:rsidRDefault="007F29AE" w:rsidP="00805E16">
            <w:pPr>
              <w:pStyle w:val="TableParagraph"/>
              <w:rPr>
                <w:rFonts w:asciiTheme="minorHAnsi" w:hAnsiTheme="minorHAnsi" w:cstheme="minorHAnsi"/>
                <w:sz w:val="10"/>
                <w:szCs w:val="16"/>
              </w:rPr>
            </w:pPr>
            <w:r>
              <w:rPr>
                <w:rFonts w:asciiTheme="minorHAnsi" w:hAnsiTheme="minorHAnsi"/>
                <w:sz w:val="10"/>
                <w:szCs w:val="16"/>
              </w:rPr>
              <w:t>25%</w:t>
            </w:r>
          </w:p>
        </w:tc>
        <w:tc>
          <w:tcPr>
            <w:tcW w:w="851" w:type="dxa"/>
          </w:tcPr>
          <w:p w14:paraId="4E7730B5" w14:textId="06509DE2" w:rsidR="007F29AE" w:rsidRPr="007F29AE" w:rsidRDefault="00EE6983" w:rsidP="001B51A6">
            <w:pPr>
              <w:pStyle w:val="TableParagraph"/>
              <w:rPr>
                <w:rFonts w:asciiTheme="minorHAnsi" w:hAnsiTheme="minorHAnsi" w:cstheme="minorHAnsi"/>
                <w:sz w:val="10"/>
                <w:szCs w:val="16"/>
              </w:rPr>
            </w:pPr>
            <w:r>
              <w:rPr>
                <w:rFonts w:asciiTheme="minorHAnsi" w:hAnsiTheme="minorHAnsi"/>
                <w:sz w:val="10"/>
                <w:szCs w:val="16"/>
              </w:rPr>
              <w:t>170</w:t>
            </w:r>
          </w:p>
        </w:tc>
        <w:tc>
          <w:tcPr>
            <w:tcW w:w="850" w:type="dxa"/>
          </w:tcPr>
          <w:p w14:paraId="4D9469D1" w14:textId="77777777" w:rsidR="007F29AE" w:rsidRPr="007F29AE" w:rsidRDefault="007F29AE" w:rsidP="00805E16">
            <w:pPr>
              <w:pStyle w:val="TableParagraph"/>
              <w:rPr>
                <w:rFonts w:asciiTheme="minorHAnsi" w:hAnsiTheme="minorHAnsi" w:cstheme="minorHAnsi"/>
                <w:sz w:val="10"/>
                <w:szCs w:val="16"/>
              </w:rPr>
            </w:pPr>
            <w:r>
              <w:rPr>
                <w:rFonts w:asciiTheme="minorHAnsi" w:hAnsiTheme="minorHAnsi"/>
                <w:sz w:val="10"/>
                <w:szCs w:val="16"/>
              </w:rPr>
              <w:t>Poprawa zdolności instytucjonalnych instytucji programowych i podmiotów związanych z wdrażaniem funduszy</w:t>
            </w:r>
          </w:p>
        </w:tc>
        <w:tc>
          <w:tcPr>
            <w:tcW w:w="567" w:type="dxa"/>
          </w:tcPr>
          <w:p w14:paraId="51AC5D80" w14:textId="77777777" w:rsidR="007F29AE" w:rsidRPr="007F29AE" w:rsidRDefault="007F29AE" w:rsidP="00805E16">
            <w:pPr>
              <w:pStyle w:val="TableParagraph"/>
              <w:rPr>
                <w:rFonts w:asciiTheme="minorHAnsi" w:hAnsiTheme="minorHAnsi" w:cstheme="minorHAnsi"/>
                <w:sz w:val="10"/>
                <w:szCs w:val="16"/>
              </w:rPr>
            </w:pPr>
            <w:r>
              <w:rPr>
                <w:rFonts w:asciiTheme="minorHAnsi" w:hAnsiTheme="minorHAnsi"/>
                <w:sz w:val="10"/>
                <w:szCs w:val="16"/>
              </w:rPr>
              <w:t>Nie dotyczy</w:t>
            </w:r>
          </w:p>
        </w:tc>
        <w:tc>
          <w:tcPr>
            <w:tcW w:w="851" w:type="dxa"/>
          </w:tcPr>
          <w:p w14:paraId="5C8BEAE3" w14:textId="77777777" w:rsidR="007F29AE" w:rsidRPr="007F29AE" w:rsidRDefault="007F29AE" w:rsidP="00805E16">
            <w:pPr>
              <w:pStyle w:val="TableParagraph"/>
              <w:rPr>
                <w:rFonts w:asciiTheme="minorHAnsi" w:hAnsiTheme="minorHAnsi" w:cstheme="minorHAnsi"/>
                <w:sz w:val="10"/>
                <w:szCs w:val="16"/>
              </w:rPr>
            </w:pPr>
          </w:p>
        </w:tc>
        <w:tc>
          <w:tcPr>
            <w:tcW w:w="2859" w:type="dxa"/>
          </w:tcPr>
          <w:p w14:paraId="7EBEFC2C" w14:textId="77777777" w:rsidR="007F29AE" w:rsidRPr="007F29AE" w:rsidRDefault="007F29AE" w:rsidP="00805E16">
            <w:pPr>
              <w:pStyle w:val="TableParagraph"/>
              <w:rPr>
                <w:rFonts w:asciiTheme="minorHAnsi" w:hAnsiTheme="minorHAnsi" w:cstheme="minorHAnsi"/>
                <w:sz w:val="10"/>
                <w:szCs w:val="16"/>
              </w:rPr>
            </w:pPr>
            <w:r>
              <w:rPr>
                <w:rFonts w:asciiTheme="minorHAnsi" w:hAnsiTheme="minorHAnsi"/>
                <w:sz w:val="10"/>
                <w:szCs w:val="16"/>
              </w:rPr>
              <w:t>Nie dotyczy</w:t>
            </w:r>
          </w:p>
        </w:tc>
        <w:tc>
          <w:tcPr>
            <w:tcW w:w="1393" w:type="dxa"/>
          </w:tcPr>
          <w:p w14:paraId="7FDD31E5" w14:textId="77777777" w:rsidR="007F29AE" w:rsidRPr="007F29AE" w:rsidRDefault="007F29AE" w:rsidP="00805E16">
            <w:pPr>
              <w:pStyle w:val="TableParagraph"/>
              <w:rPr>
                <w:rFonts w:asciiTheme="minorHAnsi" w:hAnsiTheme="minorHAnsi" w:cstheme="minorHAnsi"/>
                <w:sz w:val="10"/>
                <w:szCs w:val="16"/>
              </w:rPr>
            </w:pPr>
            <w:r>
              <w:rPr>
                <w:rFonts w:asciiTheme="minorHAnsi" w:hAnsiTheme="minorHAnsi"/>
                <w:sz w:val="10"/>
                <w:szCs w:val="16"/>
              </w:rPr>
              <w:t>Stawka ryczałtowa</w:t>
            </w:r>
          </w:p>
        </w:tc>
        <w:tc>
          <w:tcPr>
            <w:tcW w:w="2268" w:type="dxa"/>
          </w:tcPr>
          <w:p w14:paraId="63D01F97" w14:textId="395F7F25" w:rsidR="007F29AE" w:rsidRPr="007F29AE" w:rsidRDefault="007F29AE" w:rsidP="00EE6983">
            <w:pPr>
              <w:pStyle w:val="TableParagraph"/>
              <w:rPr>
                <w:rFonts w:asciiTheme="minorHAnsi" w:hAnsiTheme="minorHAnsi" w:cstheme="minorHAnsi"/>
                <w:sz w:val="10"/>
                <w:szCs w:val="16"/>
              </w:rPr>
            </w:pPr>
            <w:r>
              <w:rPr>
                <w:rFonts w:asciiTheme="minorHAnsi" w:hAnsiTheme="minorHAnsi"/>
                <w:sz w:val="10"/>
                <w:szCs w:val="16"/>
              </w:rPr>
              <w:t>38 % całkowitych kosztów ekspertyz zewnętrznych</w:t>
            </w:r>
          </w:p>
        </w:tc>
      </w:tr>
    </w:tbl>
    <w:p w14:paraId="6571794B" w14:textId="77777777" w:rsidR="00544789" w:rsidRPr="007F29AE" w:rsidRDefault="00544789">
      <w:pPr>
        <w:pStyle w:val="Tekstpodstawowy"/>
        <w:rPr>
          <w:rFonts w:asciiTheme="minorHAnsi" w:hAnsiTheme="minorHAnsi" w:cstheme="minorHAnsi"/>
          <w:b/>
          <w:sz w:val="14"/>
        </w:rPr>
      </w:pPr>
    </w:p>
    <w:p w14:paraId="073E72BA" w14:textId="77777777" w:rsidR="000747EB" w:rsidRPr="000747EB" w:rsidRDefault="000747EB" w:rsidP="000747EB">
      <w:pPr>
        <w:pStyle w:val="Tekstpodstawowy"/>
        <w:rPr>
          <w:rFonts w:asciiTheme="minorHAnsi" w:hAnsiTheme="minorHAnsi" w:cstheme="minorHAnsi"/>
          <w:b/>
          <w:sz w:val="12"/>
        </w:rPr>
      </w:pPr>
      <w:r>
        <w:rPr>
          <w:rFonts w:asciiTheme="minorHAnsi" w:hAnsiTheme="minorHAnsi"/>
          <w:b/>
          <w:sz w:val="12"/>
        </w:rPr>
        <w:t>(1) Odnosi się do kodu wymiaru pola interwencji w tabeli 1 w załączniku I do rozporządzenia w sprawie wspólnych przepisów.</w:t>
      </w:r>
    </w:p>
    <w:p w14:paraId="4D4728B5" w14:textId="391E7B4E" w:rsidR="00544789" w:rsidRPr="007F29AE" w:rsidRDefault="000747EB" w:rsidP="000747EB">
      <w:pPr>
        <w:pStyle w:val="Tekstpodstawowy"/>
        <w:spacing w:before="4"/>
        <w:rPr>
          <w:rFonts w:asciiTheme="minorHAnsi" w:hAnsiTheme="minorHAnsi" w:cstheme="minorHAnsi"/>
          <w:b/>
          <w:sz w:val="12"/>
        </w:rPr>
      </w:pPr>
      <w:r>
        <w:rPr>
          <w:rFonts w:asciiTheme="minorHAnsi" w:hAnsiTheme="minorHAnsi"/>
          <w:b/>
          <w:sz w:val="12"/>
        </w:rPr>
        <w:t>(2) Odnosi się to do kodu wspólnego wskaźnika, jeżeli ma zastosowanie.</w:t>
      </w:r>
    </w:p>
    <w:p w14:paraId="3DF18843" w14:textId="3E80C7FB" w:rsidR="00544789" w:rsidRPr="007F29AE" w:rsidRDefault="00544789" w:rsidP="00502B51">
      <w:pPr>
        <w:pStyle w:val="Tekstpodstawowy"/>
        <w:spacing w:before="6"/>
        <w:rPr>
          <w:rFonts w:asciiTheme="minorHAnsi" w:hAnsiTheme="minorHAnsi" w:cstheme="minorHAnsi"/>
          <w:b/>
          <w:sz w:val="25"/>
        </w:rPr>
      </w:pPr>
    </w:p>
    <w:p w14:paraId="76054A61" w14:textId="77777777" w:rsidR="00544789" w:rsidRPr="007F29AE" w:rsidRDefault="00544789">
      <w:pPr>
        <w:rPr>
          <w:rFonts w:asciiTheme="minorHAnsi" w:hAnsiTheme="minorHAnsi" w:cstheme="minorHAnsi"/>
          <w:sz w:val="25"/>
        </w:rPr>
        <w:sectPr w:rsidR="00544789" w:rsidRPr="007F29AE" w:rsidSect="00602310">
          <w:pgSz w:w="16840" w:h="11910" w:orient="landscape"/>
          <w:pgMar w:top="620" w:right="1600" w:bottom="620" w:left="280" w:header="720" w:footer="720" w:gutter="0"/>
          <w:cols w:space="720"/>
          <w:docGrid w:linePitch="299"/>
        </w:sectPr>
      </w:pPr>
    </w:p>
    <w:p w14:paraId="4403557D" w14:textId="77777777" w:rsidR="00544789" w:rsidRPr="007F29AE" w:rsidRDefault="00834CFD">
      <w:pPr>
        <w:pStyle w:val="Nagwek1"/>
        <w:numPr>
          <w:ilvl w:val="0"/>
          <w:numId w:val="2"/>
        </w:numPr>
        <w:tabs>
          <w:tab w:val="left" w:pos="792"/>
        </w:tabs>
        <w:spacing w:before="63"/>
        <w:ind w:left="791" w:hanging="280"/>
        <w:jc w:val="left"/>
        <w:rPr>
          <w:rFonts w:asciiTheme="minorHAnsi" w:hAnsiTheme="minorHAnsi" w:cstheme="minorHAnsi"/>
          <w:u w:val="none"/>
        </w:rPr>
      </w:pPr>
      <w:r>
        <w:rPr>
          <w:rFonts w:asciiTheme="minorHAnsi" w:hAnsiTheme="minorHAnsi"/>
          <w:u w:val="thick" w:color="231F20"/>
        </w:rPr>
        <w:lastRenderedPageBreak/>
        <w:t>Szczegółowe informacje w podziale na rodzaj operacji (wypełnia się dla każdego rodzaju operacji)</w:t>
      </w:r>
    </w:p>
    <w:p w14:paraId="4EF365C4" w14:textId="77777777" w:rsidR="00544789" w:rsidRPr="007F29AE" w:rsidRDefault="00834CFD">
      <w:pPr>
        <w:spacing w:before="377" w:line="360" w:lineRule="auto"/>
        <w:ind w:left="512" w:right="595"/>
        <w:rPr>
          <w:rFonts w:asciiTheme="minorHAnsi" w:hAnsiTheme="minorHAnsi" w:cstheme="minorHAnsi"/>
          <w:b/>
          <w:sz w:val="24"/>
        </w:rPr>
      </w:pPr>
      <w:r>
        <w:rPr>
          <w:rFonts w:asciiTheme="minorHAnsi" w:hAnsiTheme="minorHAnsi"/>
          <w:b/>
          <w:sz w:val="24"/>
        </w:rPr>
        <w:t>Czy instytucja zarządzająca otrzymała wsparcie od firmy zewnętrznej w celu określenia poniższych uproszczonych kosztów?</w:t>
      </w:r>
    </w:p>
    <w:p w14:paraId="6A93E35F" w14:textId="1EE02DE7" w:rsidR="00544789" w:rsidRPr="007F29AE" w:rsidRDefault="007F2D7B">
      <w:pPr>
        <w:pStyle w:val="Nagwek1"/>
        <w:spacing w:before="247"/>
        <w:rPr>
          <w:rFonts w:asciiTheme="minorHAnsi" w:hAnsiTheme="minorHAnsi" w:cstheme="minorHAnsi"/>
          <w:u w:val="none"/>
        </w:rPr>
      </w:pPr>
      <w:r>
        <w:t>Jeżeli tak, proszę określić, które przedsiębiorstwo zewnętrzne:</w:t>
      </w:r>
    </w:p>
    <w:p w14:paraId="4686A52E" w14:textId="194DB3B0" w:rsidR="00544789" w:rsidRPr="007F29AE" w:rsidRDefault="004C4D31" w:rsidP="003B3C5A">
      <w:pPr>
        <w:pStyle w:val="Tekstpodstawowy"/>
        <w:spacing w:before="120"/>
        <w:ind w:right="1032"/>
        <w:jc w:val="right"/>
        <w:rPr>
          <w:rFonts w:asciiTheme="minorHAnsi" w:hAnsiTheme="minorHAnsi" w:cstheme="minorHAnsi"/>
          <w:b/>
          <w:sz w:val="34"/>
        </w:rPr>
      </w:pPr>
      <w:r w:rsidRPr="007F29AE">
        <w:rPr>
          <w:rFonts w:asciiTheme="minorHAnsi" w:hAnsiTheme="minorHAnsi" w:cstheme="minorHAnsi"/>
          <w:noProof/>
          <w:lang w:eastAsia="pl-PL"/>
        </w:rPr>
        <mc:AlternateContent>
          <mc:Choice Requires="wps">
            <w:drawing>
              <wp:inline distT="0" distB="0" distL="0" distR="0" wp14:anchorId="325BE3CD" wp14:editId="2C5E35E1">
                <wp:extent cx="2372400" cy="187200"/>
                <wp:effectExtent l="0" t="0" r="27940" b="22860"/>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400" cy="18720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302DB2" w14:textId="77777777" w:rsidR="00544789" w:rsidRPr="005A2195" w:rsidRDefault="00632585" w:rsidP="003B3C5A">
                            <w:pPr>
                              <w:spacing w:before="6"/>
                              <w:ind w:right="-15"/>
                              <w:jc w:val="right"/>
                              <w:rPr>
                                <w:rFonts w:asciiTheme="minorHAnsi" w:hAnsiTheme="minorHAnsi" w:cstheme="minorHAnsi"/>
                                <w:sz w:val="24"/>
                              </w:rPr>
                            </w:pPr>
                            <w:r>
                              <w:rPr>
                                <w:rFonts w:asciiTheme="minorHAnsi" w:hAnsiTheme="minorHAnsi"/>
                                <w:sz w:val="24"/>
                              </w:rPr>
                              <w:t>Brak wsparcia zewnętrznego</w:t>
                            </w:r>
                          </w:p>
                        </w:txbxContent>
                      </wps:txbx>
                      <wps:bodyPr rot="0" vert="horz" wrap="square" lIns="0" tIns="0" rIns="0" bIns="0" anchor="t" anchorCtr="0" upright="1">
                        <a:noAutofit/>
                      </wps:bodyPr>
                    </wps:wsp>
                  </a:graphicData>
                </a:graphic>
              </wp:inline>
            </w:drawing>
          </mc:Choice>
          <mc:Fallback>
            <w:pict>
              <v:shapetype w14:anchorId="325BE3CD" id="_x0000_t202" coordsize="21600,21600" o:spt="202" path="m,l,21600r21600,l21600,xe">
                <v:stroke joinstyle="miter"/>
                <v:path gradientshapeok="t" o:connecttype="rect"/>
              </v:shapetype>
              <v:shape id="Text Box 11" o:spid="_x0000_s1026" type="#_x0000_t202" style="width:186.8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" filled="f" strokecolor="#231f20" strokeweight=".48pt">
                <v:textbox inset="0,0,0,0">
                  <w:txbxContent>
                    <w:p w14:paraId="62302DB2" w14:textId="77777777" w:rsidR="00544789" w:rsidRPr="005A2195" w:rsidRDefault="00632585" w:rsidP="003B3C5A">
                      <w:pPr>
                        <w:spacing w:before="6"/>
                        <w:ind w:right="-15"/>
                        <w:jc w:val="right"/>
                        <w:rPr>
                          <w:rFonts w:asciiTheme="minorHAnsi" w:hAnsiTheme="minorHAnsi" w:cstheme="minorHAnsi"/>
                          <w:sz w:val="24"/>
                        </w:rPr>
                      </w:pPr>
                      <w:r>
                        <w:rPr>
                          <w:rFonts w:asciiTheme="minorHAnsi" w:hAnsiTheme="minorHAnsi"/>
                          <w:sz w:val="24"/>
                        </w:rPr>
                        <w:t>Brak wsparcia zewnętrznego</w:t>
                      </w:r>
                    </w:p>
                  </w:txbxContent>
                </v:textbox>
                <w10:anchorlock/>
              </v:shape>
            </w:pict>
          </mc:Fallback>
        </mc:AlternateContent>
      </w:r>
    </w:p>
    <w:p w14:paraId="367B9E3E" w14:textId="1D5E9489" w:rsidR="00544789" w:rsidRPr="007F29AE" w:rsidRDefault="007F2D7B">
      <w:pPr>
        <w:pStyle w:val="Tekstpodstawowy"/>
        <w:spacing w:before="1"/>
        <w:ind w:left="512"/>
        <w:rPr>
          <w:rFonts w:asciiTheme="minorHAnsi" w:hAnsiTheme="minorHAnsi" w:cstheme="minorHAnsi"/>
        </w:rPr>
      </w:pPr>
      <w:r>
        <w:t>Rodzaje operacji:</w:t>
      </w:r>
    </w:p>
    <w:p w14:paraId="3F7283C5" w14:textId="77777777" w:rsidR="00544789" w:rsidRPr="007F29AE" w:rsidRDefault="00544789">
      <w:pPr>
        <w:pStyle w:val="Tekstpodstawowy"/>
        <w:rPr>
          <w:rFonts w:asciiTheme="minorHAnsi" w:hAnsiTheme="minorHAnsi" w:cstheme="minorHAnsi"/>
          <w:sz w:val="23"/>
        </w:rPr>
      </w:pPr>
    </w:p>
    <w:tbl>
      <w:tblPr>
        <w:tblStyle w:val="TableNormal1"/>
        <w:tblW w:w="0" w:type="auto"/>
        <w:tblInd w:w="5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Caption w:val="Rodzaje operacji"/>
      </w:tblPr>
      <w:tblGrid>
        <w:gridCol w:w="3417"/>
        <w:gridCol w:w="5667"/>
      </w:tblGrid>
      <w:tr w:rsidR="00747ADF" w:rsidRPr="00747ADF" w14:paraId="53D8CFDB" w14:textId="77777777" w:rsidTr="00747ADF">
        <w:trPr>
          <w:tblHeader/>
        </w:trPr>
        <w:tc>
          <w:tcPr>
            <w:tcW w:w="3417" w:type="dxa"/>
            <w:tcBorders>
              <w:top w:val="nil"/>
              <w:left w:val="nil"/>
              <w:right w:val="nil"/>
            </w:tcBorders>
          </w:tcPr>
          <w:p w14:paraId="7D6BE39B" w14:textId="77777777" w:rsidR="00747ADF" w:rsidRPr="00747ADF" w:rsidRDefault="00747ADF" w:rsidP="000747EB">
            <w:pPr>
              <w:pStyle w:val="TableParagraph"/>
              <w:spacing w:before="8"/>
              <w:ind w:left="107"/>
              <w:rPr>
                <w:rFonts w:asciiTheme="minorHAnsi" w:hAnsiTheme="minorHAnsi"/>
                <w:sz w:val="16"/>
                <w:szCs w:val="16"/>
              </w:rPr>
            </w:pPr>
            <w:bookmarkStart w:id="0" w:name="_GoBack"/>
          </w:p>
        </w:tc>
        <w:tc>
          <w:tcPr>
            <w:tcW w:w="5667" w:type="dxa"/>
            <w:tcBorders>
              <w:top w:val="nil"/>
              <w:left w:val="nil"/>
              <w:right w:val="nil"/>
            </w:tcBorders>
          </w:tcPr>
          <w:p w14:paraId="2F07A885" w14:textId="77777777" w:rsidR="00747ADF" w:rsidRPr="00747ADF" w:rsidRDefault="00747ADF" w:rsidP="000747EB">
            <w:pPr>
              <w:pStyle w:val="TableParagraph"/>
              <w:rPr>
                <w:rFonts w:asciiTheme="minorHAnsi" w:hAnsiTheme="minorHAnsi"/>
                <w:sz w:val="16"/>
                <w:szCs w:val="16"/>
              </w:rPr>
            </w:pPr>
          </w:p>
        </w:tc>
      </w:tr>
      <w:bookmarkEnd w:id="0"/>
      <w:tr w:rsidR="001B51A6" w:rsidRPr="007F29AE" w14:paraId="53EE0592" w14:textId="77777777" w:rsidTr="00747ADF">
        <w:trPr>
          <w:trHeight w:val="947"/>
        </w:trPr>
        <w:tc>
          <w:tcPr>
            <w:tcW w:w="3417" w:type="dxa"/>
          </w:tcPr>
          <w:p w14:paraId="2735EED7" w14:textId="3B793598" w:rsidR="00544789" w:rsidRPr="007F29AE" w:rsidRDefault="00042DD1" w:rsidP="000747EB">
            <w:pPr>
              <w:pStyle w:val="TableParagraph"/>
              <w:spacing w:before="8"/>
              <w:ind w:left="107"/>
              <w:rPr>
                <w:rFonts w:asciiTheme="minorHAnsi" w:hAnsiTheme="minorHAnsi" w:cstheme="minorHAnsi"/>
                <w:sz w:val="24"/>
              </w:rPr>
            </w:pPr>
            <w:r>
              <w:rPr>
                <w:rFonts w:asciiTheme="minorHAnsi" w:hAnsiTheme="minorHAnsi"/>
                <w:sz w:val="24"/>
              </w:rPr>
              <w:t>1.</w:t>
            </w:r>
            <w:r w:rsidR="00834CFD">
              <w:rPr>
                <w:rFonts w:asciiTheme="minorHAnsi" w:hAnsiTheme="minorHAnsi"/>
                <w:sz w:val="24"/>
              </w:rPr>
              <w:t>1. Opis typu operacji wraz z harmonogramem realizacji</w:t>
            </w:r>
            <w:r w:rsidR="000747EB">
              <w:rPr>
                <w:rStyle w:val="Odwoanieprzypisudolnego"/>
                <w:rFonts w:asciiTheme="minorHAnsi" w:hAnsiTheme="minorHAnsi" w:cstheme="minorHAnsi"/>
                <w:sz w:val="24"/>
              </w:rPr>
              <w:footnoteReference w:id="2"/>
            </w:r>
          </w:p>
        </w:tc>
        <w:tc>
          <w:tcPr>
            <w:tcW w:w="5667" w:type="dxa"/>
          </w:tcPr>
          <w:p w14:paraId="5B187284" w14:textId="4AA93B78" w:rsidR="00544789" w:rsidRPr="007F29AE" w:rsidRDefault="00042DD1" w:rsidP="000747EB">
            <w:pPr>
              <w:pStyle w:val="TableParagraph"/>
              <w:rPr>
                <w:rFonts w:asciiTheme="minorHAnsi" w:hAnsiTheme="minorHAnsi" w:cstheme="minorHAnsi"/>
              </w:rPr>
            </w:pPr>
            <w:r>
              <w:rPr>
                <w:rFonts w:asciiTheme="minorHAnsi" w:hAnsiTheme="minorHAnsi"/>
              </w:rPr>
              <w:br/>
              <w:t>O</w:t>
            </w:r>
            <w:r w:rsidR="00C50631">
              <w:rPr>
                <w:rFonts w:asciiTheme="minorHAnsi" w:hAnsiTheme="minorHAnsi"/>
              </w:rPr>
              <w:t xml:space="preserve">peracja w ramach programu ESPON 2030. Przewidywaną datą rozpoczęcia operacji jest 1 lipca 2022 r. Pojedyncza operacja będzie obejmować cały okres programowania.  </w:t>
            </w:r>
          </w:p>
        </w:tc>
      </w:tr>
      <w:tr w:rsidR="001B51A6" w:rsidRPr="007F29AE" w14:paraId="1D9D0DE3" w14:textId="77777777" w:rsidTr="00747ADF">
        <w:trPr>
          <w:trHeight w:val="562"/>
        </w:trPr>
        <w:tc>
          <w:tcPr>
            <w:tcW w:w="3417" w:type="dxa"/>
          </w:tcPr>
          <w:p w14:paraId="6D58A726" w14:textId="77777777" w:rsidR="00544789" w:rsidRPr="007F29AE" w:rsidRDefault="00834CFD" w:rsidP="005A2195">
            <w:pPr>
              <w:pStyle w:val="TableParagraph"/>
              <w:spacing w:before="114"/>
              <w:ind w:left="107" w:right="351"/>
              <w:rPr>
                <w:rFonts w:asciiTheme="minorHAnsi" w:hAnsiTheme="minorHAnsi" w:cstheme="minorHAnsi"/>
                <w:i/>
              </w:rPr>
            </w:pPr>
            <w:r>
              <w:rPr>
                <w:rFonts w:asciiTheme="minorHAnsi" w:hAnsiTheme="minorHAnsi"/>
                <w:sz w:val="24"/>
              </w:rPr>
              <w:t>1.2 Cel szczegółowy</w:t>
            </w:r>
          </w:p>
        </w:tc>
        <w:tc>
          <w:tcPr>
            <w:tcW w:w="5667" w:type="dxa"/>
          </w:tcPr>
          <w:p w14:paraId="7D115955" w14:textId="77777777" w:rsidR="00544789" w:rsidRPr="007F29AE" w:rsidRDefault="00602D8A">
            <w:pPr>
              <w:pStyle w:val="TableParagraph"/>
              <w:rPr>
                <w:rFonts w:asciiTheme="minorHAnsi" w:hAnsiTheme="minorHAnsi" w:cstheme="minorHAnsi"/>
              </w:rPr>
            </w:pPr>
            <w:r>
              <w:rPr>
                <w:rFonts w:asciiTheme="minorHAnsi" w:hAnsiTheme="minorHAnsi"/>
              </w:rPr>
              <w:t>Inne działania wspierające lepsze zarządzanie współpracą</w:t>
            </w:r>
          </w:p>
        </w:tc>
      </w:tr>
      <w:tr w:rsidR="001B51A6" w:rsidRPr="007F29AE" w14:paraId="3942DC8C" w14:textId="77777777" w:rsidTr="00747ADF">
        <w:trPr>
          <w:trHeight w:val="534"/>
        </w:trPr>
        <w:tc>
          <w:tcPr>
            <w:tcW w:w="3417" w:type="dxa"/>
          </w:tcPr>
          <w:p w14:paraId="2D2A889F" w14:textId="20ED1C0C" w:rsidR="00544789" w:rsidRPr="007F29AE" w:rsidRDefault="00834CFD" w:rsidP="000747EB">
            <w:pPr>
              <w:pStyle w:val="TableParagraph"/>
              <w:spacing w:before="108"/>
              <w:ind w:left="107"/>
              <w:rPr>
                <w:rFonts w:asciiTheme="minorHAnsi" w:hAnsiTheme="minorHAnsi" w:cstheme="minorHAnsi"/>
                <w:b/>
                <w:sz w:val="16"/>
              </w:rPr>
            </w:pPr>
            <w:r>
              <w:rPr>
                <w:rFonts w:asciiTheme="minorHAnsi" w:hAnsiTheme="minorHAnsi"/>
                <w:sz w:val="24"/>
              </w:rPr>
              <w:t>1.3 Wskaźnik uruchamiający zwrot kosztów</w:t>
            </w:r>
            <w:r w:rsidR="000747EB">
              <w:rPr>
                <w:rStyle w:val="Odwoanieprzypisudolnego"/>
                <w:rFonts w:asciiTheme="minorHAnsi" w:hAnsiTheme="minorHAnsi" w:cstheme="minorHAnsi"/>
                <w:sz w:val="24"/>
              </w:rPr>
              <w:footnoteReference w:id="3"/>
            </w:r>
          </w:p>
        </w:tc>
        <w:tc>
          <w:tcPr>
            <w:tcW w:w="5667" w:type="dxa"/>
          </w:tcPr>
          <w:p w14:paraId="53C7F65B" w14:textId="67479118" w:rsidR="00544789" w:rsidRPr="007F29AE" w:rsidRDefault="00EE6983" w:rsidP="009E38FB">
            <w:pPr>
              <w:pStyle w:val="TableParagraph"/>
              <w:rPr>
                <w:rFonts w:asciiTheme="minorHAnsi" w:hAnsiTheme="minorHAnsi" w:cstheme="minorHAnsi"/>
              </w:rPr>
            </w:pPr>
            <w:r>
              <w:rPr>
                <w:rFonts w:asciiTheme="minorHAnsi" w:hAnsiTheme="minorHAnsi"/>
              </w:rPr>
              <w:t xml:space="preserve">nie dotyczy </w:t>
            </w:r>
          </w:p>
        </w:tc>
      </w:tr>
      <w:tr w:rsidR="001B51A6" w:rsidRPr="007F29AE" w14:paraId="2BA0168E" w14:textId="77777777" w:rsidTr="00747ADF">
        <w:trPr>
          <w:trHeight w:val="947"/>
        </w:trPr>
        <w:tc>
          <w:tcPr>
            <w:tcW w:w="3417" w:type="dxa"/>
          </w:tcPr>
          <w:p w14:paraId="5513B861" w14:textId="1E32540B" w:rsidR="00544789" w:rsidRPr="007F29AE" w:rsidRDefault="00834CFD" w:rsidP="009E38FB">
            <w:pPr>
              <w:pStyle w:val="TableParagraph"/>
              <w:spacing w:before="114"/>
              <w:ind w:left="107" w:right="351"/>
              <w:rPr>
                <w:rFonts w:asciiTheme="minorHAnsi" w:hAnsiTheme="minorHAnsi" w:cstheme="minorHAnsi"/>
                <w:sz w:val="24"/>
              </w:rPr>
            </w:pPr>
            <w:r>
              <w:rPr>
                <w:rFonts w:asciiTheme="minorHAnsi" w:hAnsiTheme="minorHAnsi"/>
                <w:sz w:val="24"/>
              </w:rPr>
              <w:t>1.4 Jednostka miary dla wskaźnika</w:t>
            </w:r>
          </w:p>
        </w:tc>
        <w:tc>
          <w:tcPr>
            <w:tcW w:w="5667" w:type="dxa"/>
          </w:tcPr>
          <w:p w14:paraId="7095530D" w14:textId="3ABC082F" w:rsidR="00544789" w:rsidRPr="007F29AE" w:rsidRDefault="00EE6983">
            <w:pPr>
              <w:pStyle w:val="TableParagraph"/>
              <w:rPr>
                <w:rFonts w:asciiTheme="minorHAnsi" w:hAnsiTheme="minorHAnsi" w:cstheme="minorHAnsi"/>
              </w:rPr>
            </w:pPr>
            <w:r>
              <w:rPr>
                <w:rFonts w:asciiTheme="minorHAnsi" w:hAnsiTheme="minorHAnsi"/>
              </w:rPr>
              <w:t>nie dotyczy</w:t>
            </w:r>
          </w:p>
        </w:tc>
      </w:tr>
      <w:tr w:rsidR="001B51A6" w:rsidRPr="007F29AE" w14:paraId="07089FE4" w14:textId="77777777" w:rsidTr="00747ADF">
        <w:trPr>
          <w:trHeight w:val="947"/>
        </w:trPr>
        <w:tc>
          <w:tcPr>
            <w:tcW w:w="3417" w:type="dxa"/>
          </w:tcPr>
          <w:p w14:paraId="378E10BD" w14:textId="77777777" w:rsidR="00544789" w:rsidRPr="007F29AE" w:rsidRDefault="00834CFD" w:rsidP="005A2195">
            <w:pPr>
              <w:pStyle w:val="TableParagraph"/>
              <w:spacing w:before="5"/>
              <w:ind w:left="107" w:right="340"/>
              <w:rPr>
                <w:rFonts w:asciiTheme="minorHAnsi" w:hAnsiTheme="minorHAnsi" w:cstheme="minorHAnsi"/>
                <w:sz w:val="24"/>
              </w:rPr>
            </w:pPr>
            <w:r>
              <w:rPr>
                <w:rFonts w:asciiTheme="minorHAnsi" w:hAnsiTheme="minorHAnsi"/>
                <w:sz w:val="24"/>
              </w:rPr>
              <w:t>1.5 Standardowa skala kosztów jednostkowych, kwota ryczałtowa lub stawka zryczałtowana</w:t>
            </w:r>
          </w:p>
        </w:tc>
        <w:tc>
          <w:tcPr>
            <w:tcW w:w="5667" w:type="dxa"/>
          </w:tcPr>
          <w:p w14:paraId="6025039E" w14:textId="77777777" w:rsidR="00544789" w:rsidRPr="007F29AE" w:rsidRDefault="00632585">
            <w:pPr>
              <w:pStyle w:val="TableParagraph"/>
              <w:rPr>
                <w:rFonts w:asciiTheme="minorHAnsi" w:hAnsiTheme="minorHAnsi" w:cstheme="minorHAnsi"/>
              </w:rPr>
            </w:pPr>
            <w:r>
              <w:rPr>
                <w:rFonts w:asciiTheme="minorHAnsi" w:hAnsiTheme="minorHAnsi"/>
              </w:rPr>
              <w:t>Stawka ryczałtowa</w:t>
            </w:r>
          </w:p>
        </w:tc>
      </w:tr>
      <w:tr w:rsidR="001B51A6" w:rsidRPr="007F29AE" w14:paraId="45CDDF54" w14:textId="77777777" w:rsidTr="00747ADF">
        <w:trPr>
          <w:trHeight w:val="534"/>
        </w:trPr>
        <w:tc>
          <w:tcPr>
            <w:tcW w:w="3417" w:type="dxa"/>
          </w:tcPr>
          <w:p w14:paraId="70EA98FC" w14:textId="4C060439" w:rsidR="00544789" w:rsidRPr="007F29AE" w:rsidRDefault="00834CFD" w:rsidP="005A2195">
            <w:pPr>
              <w:pStyle w:val="TableParagraph"/>
              <w:spacing w:before="114"/>
              <w:ind w:left="107"/>
              <w:rPr>
                <w:rFonts w:asciiTheme="minorHAnsi" w:hAnsiTheme="minorHAnsi" w:cstheme="minorHAnsi"/>
                <w:sz w:val="24"/>
              </w:rPr>
            </w:pPr>
            <w:r>
              <w:rPr>
                <w:rFonts w:asciiTheme="minorHAnsi" w:hAnsiTheme="minorHAnsi"/>
                <w:sz w:val="24"/>
              </w:rPr>
              <w:t>1.6 Kwota na jednostkę miary lub procent (dla stawek zryczałtowanych) opcji kosztu uproszczonego</w:t>
            </w:r>
          </w:p>
        </w:tc>
        <w:tc>
          <w:tcPr>
            <w:tcW w:w="5667" w:type="dxa"/>
          </w:tcPr>
          <w:p w14:paraId="72FBED5C" w14:textId="12112AAB" w:rsidR="00544789" w:rsidRPr="007F29AE" w:rsidRDefault="001B51A6" w:rsidP="00EE6983">
            <w:pPr>
              <w:pStyle w:val="TableParagraph"/>
              <w:rPr>
                <w:rFonts w:asciiTheme="minorHAnsi" w:hAnsiTheme="minorHAnsi" w:cstheme="minorHAnsi"/>
              </w:rPr>
            </w:pPr>
            <w:r>
              <w:rPr>
                <w:rFonts w:asciiTheme="minorHAnsi" w:hAnsiTheme="minorHAnsi"/>
              </w:rPr>
              <w:t xml:space="preserve">38% </w:t>
            </w:r>
          </w:p>
        </w:tc>
      </w:tr>
      <w:tr w:rsidR="001B51A6" w:rsidRPr="007F29AE" w14:paraId="773FFF49" w14:textId="77777777" w:rsidTr="00747ADF">
        <w:trPr>
          <w:trHeight w:val="1359"/>
        </w:trPr>
        <w:tc>
          <w:tcPr>
            <w:tcW w:w="3417" w:type="dxa"/>
          </w:tcPr>
          <w:p w14:paraId="05FD6B91" w14:textId="77777777" w:rsidR="00544789" w:rsidRPr="007F29AE" w:rsidRDefault="00834CFD" w:rsidP="005A2195">
            <w:pPr>
              <w:pStyle w:val="TableParagraph"/>
              <w:spacing w:before="114"/>
              <w:ind w:left="107" w:right="293"/>
              <w:rPr>
                <w:rFonts w:asciiTheme="minorHAnsi" w:hAnsiTheme="minorHAnsi" w:cstheme="minorHAnsi"/>
                <w:sz w:val="24"/>
              </w:rPr>
            </w:pPr>
            <w:r>
              <w:rPr>
                <w:rFonts w:asciiTheme="minorHAnsi" w:hAnsiTheme="minorHAnsi"/>
                <w:sz w:val="24"/>
              </w:rPr>
              <w:t>1.7 Kategorie kosztów objętych kosztem jednostkowym, ryczałtem lub stawką</w:t>
            </w:r>
          </w:p>
          <w:p w14:paraId="6614492E" w14:textId="77777777" w:rsidR="00544789" w:rsidRPr="007F29AE" w:rsidRDefault="00834CFD" w:rsidP="005A2195">
            <w:pPr>
              <w:pStyle w:val="TableParagraph"/>
              <w:ind w:left="107"/>
              <w:rPr>
                <w:rFonts w:asciiTheme="minorHAnsi" w:hAnsiTheme="minorHAnsi" w:cstheme="minorHAnsi"/>
                <w:sz w:val="24"/>
              </w:rPr>
            </w:pPr>
            <w:r>
              <w:rPr>
                <w:rFonts w:asciiTheme="minorHAnsi" w:hAnsiTheme="minorHAnsi"/>
                <w:sz w:val="24"/>
              </w:rPr>
              <w:t>zryczałtowaną</w:t>
            </w:r>
          </w:p>
        </w:tc>
        <w:tc>
          <w:tcPr>
            <w:tcW w:w="5667" w:type="dxa"/>
          </w:tcPr>
          <w:p w14:paraId="334849B2" w14:textId="0B9D4699" w:rsidR="00544789" w:rsidRPr="007F29AE" w:rsidRDefault="001B51A6" w:rsidP="00D670FA">
            <w:pPr>
              <w:pStyle w:val="TableParagraph"/>
              <w:rPr>
                <w:rFonts w:asciiTheme="minorHAnsi" w:hAnsiTheme="minorHAnsi" w:cstheme="minorHAnsi"/>
              </w:rPr>
            </w:pPr>
            <w:r>
              <w:rPr>
                <w:rFonts w:asciiTheme="minorHAnsi" w:hAnsiTheme="minorHAnsi"/>
              </w:rPr>
              <w:t xml:space="preserve">Łączne koszty personelu związane z wdrożeniem </w:t>
            </w:r>
            <w:r w:rsidR="004C4D31">
              <w:rPr>
                <w:rFonts w:asciiTheme="minorHAnsi" w:hAnsiTheme="minorHAnsi"/>
              </w:rPr>
              <w:t>pojedynczej</w:t>
            </w:r>
            <w:r>
              <w:rPr>
                <w:rFonts w:asciiTheme="minorHAnsi" w:hAnsiTheme="minorHAnsi"/>
              </w:rPr>
              <w:t xml:space="preserve"> operacji </w:t>
            </w:r>
          </w:p>
        </w:tc>
      </w:tr>
      <w:tr w:rsidR="001B51A6" w:rsidRPr="007F29AE" w14:paraId="3EBEC2A1" w14:textId="77777777" w:rsidTr="00747ADF">
        <w:trPr>
          <w:trHeight w:val="1362"/>
        </w:trPr>
        <w:tc>
          <w:tcPr>
            <w:tcW w:w="3417" w:type="dxa"/>
          </w:tcPr>
          <w:p w14:paraId="6D319A9D" w14:textId="77777777" w:rsidR="00544789" w:rsidRPr="007F29AE" w:rsidRDefault="00834CFD" w:rsidP="005A2195">
            <w:pPr>
              <w:pStyle w:val="TableParagraph"/>
              <w:spacing w:before="116"/>
              <w:ind w:left="107"/>
              <w:rPr>
                <w:rFonts w:asciiTheme="minorHAnsi" w:hAnsiTheme="minorHAnsi" w:cstheme="minorHAnsi"/>
                <w:sz w:val="24"/>
              </w:rPr>
            </w:pPr>
            <w:r>
              <w:rPr>
                <w:rFonts w:asciiTheme="minorHAnsi" w:hAnsiTheme="minorHAnsi"/>
                <w:sz w:val="24"/>
              </w:rPr>
              <w:t>1.8 Czy te kategorie kosztów obejmują wszystkie wydatki kwalifikowalne dla</w:t>
            </w:r>
          </w:p>
          <w:p w14:paraId="2305660F" w14:textId="77777777" w:rsidR="00544789" w:rsidRPr="007F29AE" w:rsidRDefault="00834CFD" w:rsidP="005A2195">
            <w:pPr>
              <w:pStyle w:val="TableParagraph"/>
              <w:spacing w:before="3"/>
              <w:ind w:left="107"/>
              <w:rPr>
                <w:rFonts w:asciiTheme="minorHAnsi" w:hAnsiTheme="minorHAnsi" w:cstheme="minorHAnsi"/>
                <w:sz w:val="24"/>
              </w:rPr>
            </w:pPr>
            <w:r>
              <w:rPr>
                <w:rFonts w:asciiTheme="minorHAnsi" w:hAnsiTheme="minorHAnsi"/>
                <w:sz w:val="24"/>
              </w:rPr>
              <w:t>operacji? (T/N)</w:t>
            </w:r>
          </w:p>
        </w:tc>
        <w:tc>
          <w:tcPr>
            <w:tcW w:w="5667" w:type="dxa"/>
          </w:tcPr>
          <w:p w14:paraId="21290C04" w14:textId="77777777" w:rsidR="00544789" w:rsidRPr="007F29AE" w:rsidRDefault="00632585">
            <w:pPr>
              <w:pStyle w:val="TableParagraph"/>
              <w:rPr>
                <w:rFonts w:asciiTheme="minorHAnsi" w:hAnsiTheme="minorHAnsi" w:cstheme="minorHAnsi"/>
              </w:rPr>
            </w:pPr>
            <w:r>
              <w:rPr>
                <w:rFonts w:asciiTheme="minorHAnsi" w:hAnsiTheme="minorHAnsi"/>
              </w:rPr>
              <w:t>NIE</w:t>
            </w:r>
          </w:p>
        </w:tc>
      </w:tr>
      <w:tr w:rsidR="001B51A6" w:rsidRPr="007F29AE" w14:paraId="551F5380" w14:textId="77777777" w:rsidTr="00747ADF">
        <w:trPr>
          <w:trHeight w:val="534"/>
        </w:trPr>
        <w:tc>
          <w:tcPr>
            <w:tcW w:w="3417" w:type="dxa"/>
          </w:tcPr>
          <w:p w14:paraId="373D77C6" w14:textId="49DE2A9C" w:rsidR="00544789" w:rsidRPr="007F29AE" w:rsidRDefault="00834CFD" w:rsidP="005A2195">
            <w:pPr>
              <w:pStyle w:val="TableParagraph"/>
              <w:spacing w:before="114"/>
              <w:ind w:left="107"/>
              <w:rPr>
                <w:rFonts w:asciiTheme="minorHAnsi" w:hAnsiTheme="minorHAnsi" w:cstheme="minorHAnsi"/>
                <w:sz w:val="24"/>
              </w:rPr>
            </w:pPr>
            <w:r>
              <w:rPr>
                <w:rFonts w:asciiTheme="minorHAnsi" w:hAnsiTheme="minorHAnsi"/>
                <w:sz w:val="24"/>
              </w:rPr>
              <w:lastRenderedPageBreak/>
              <w:t>1.9 Metoda(-y) dostosowania</w:t>
            </w:r>
            <w:r w:rsidR="009E38FB">
              <w:rPr>
                <w:rStyle w:val="Odwoanieprzypisudolnego"/>
                <w:rFonts w:asciiTheme="minorHAnsi" w:hAnsiTheme="minorHAnsi" w:cstheme="minorHAnsi"/>
                <w:sz w:val="24"/>
              </w:rPr>
              <w:footnoteReference w:id="4"/>
            </w:r>
          </w:p>
        </w:tc>
        <w:tc>
          <w:tcPr>
            <w:tcW w:w="5667" w:type="dxa"/>
          </w:tcPr>
          <w:p w14:paraId="4C28C63D" w14:textId="4000DC0D" w:rsidR="00544789" w:rsidRPr="007F29AE" w:rsidRDefault="001B51A6">
            <w:pPr>
              <w:pStyle w:val="TableParagraph"/>
              <w:rPr>
                <w:rFonts w:asciiTheme="minorHAnsi" w:hAnsiTheme="minorHAnsi" w:cstheme="minorHAnsi"/>
              </w:rPr>
            </w:pPr>
            <w:r>
              <w:rPr>
                <w:rFonts w:asciiTheme="minorHAnsi" w:hAnsiTheme="minorHAnsi"/>
              </w:rPr>
              <w:t>TAK</w:t>
            </w:r>
            <w:r w:rsidR="00042DD1">
              <w:rPr>
                <w:rFonts w:asciiTheme="minorHAnsi" w:hAnsiTheme="minorHAnsi"/>
              </w:rPr>
              <w:t>.</w:t>
            </w:r>
            <w:r>
              <w:rPr>
                <w:rFonts w:asciiTheme="minorHAnsi" w:hAnsiTheme="minorHAnsi"/>
              </w:rPr>
              <w:t xml:space="preserve"> Całkowita stawka ryczałtowa zostanie zmieniona i podwyższona zgodnie z indeksacją wynagrodzeń ustanowioną przepisami prawa. Podatki indeksacyjne mają miejsce w momencie, gdy stopa inflacji przekroczy 2,5% mierzone według krajowego indeksu STATEC. Wpływ 2,5% obowiązkowej podwyżki wynagrodzenia zostanie obliczony, a nowa stawka ryczałtowa będzie stosowana do czasu nowej podwyżki wynagrodzenia. </w:t>
            </w:r>
          </w:p>
          <w:p w14:paraId="5349EDCC" w14:textId="77777777" w:rsidR="00050F46" w:rsidRPr="007F29AE" w:rsidRDefault="00050F46">
            <w:pPr>
              <w:pStyle w:val="TableParagraph"/>
              <w:rPr>
                <w:rFonts w:asciiTheme="minorHAnsi" w:hAnsiTheme="minorHAnsi" w:cstheme="minorHAnsi"/>
              </w:rPr>
            </w:pPr>
          </w:p>
          <w:p w14:paraId="56348A91" w14:textId="77777777" w:rsidR="00376E57" w:rsidRPr="007F29AE" w:rsidRDefault="00376E57">
            <w:pPr>
              <w:pStyle w:val="TableParagraph"/>
              <w:rPr>
                <w:rFonts w:asciiTheme="minorHAnsi" w:hAnsiTheme="minorHAnsi" w:cstheme="minorHAnsi"/>
              </w:rPr>
            </w:pPr>
            <w:r>
              <w:rPr>
                <w:rFonts w:asciiTheme="minorHAnsi" w:hAnsiTheme="minorHAnsi"/>
              </w:rPr>
              <w:t>Metoda dostosowania będzie stosowana w następujący sposób:</w:t>
            </w:r>
          </w:p>
          <w:p w14:paraId="38B4C640" w14:textId="78C6D4CD" w:rsidR="00376E57" w:rsidRPr="007F29AE" w:rsidRDefault="00376E57" w:rsidP="00376E57">
            <w:pPr>
              <w:pStyle w:val="TableParagraph"/>
              <w:numPr>
                <w:ilvl w:val="0"/>
                <w:numId w:val="3"/>
              </w:numPr>
              <w:rPr>
                <w:rFonts w:asciiTheme="minorHAnsi" w:hAnsiTheme="minorHAnsi" w:cstheme="minorHAnsi"/>
              </w:rPr>
            </w:pPr>
            <w:r>
              <w:rPr>
                <w:rFonts w:asciiTheme="minorHAnsi" w:hAnsiTheme="minorHAnsi"/>
              </w:rPr>
              <w:t xml:space="preserve">Obliczenie kwoty kosztów personelu zgodnie z pierwotnie obliczoną 38 % stawką ryczałtową </w:t>
            </w:r>
          </w:p>
          <w:p w14:paraId="0A265C78" w14:textId="77777777" w:rsidR="00376E57" w:rsidRPr="007F29AE" w:rsidRDefault="00376E57" w:rsidP="00376E57">
            <w:pPr>
              <w:pStyle w:val="TableParagraph"/>
              <w:numPr>
                <w:ilvl w:val="0"/>
                <w:numId w:val="3"/>
              </w:numPr>
              <w:rPr>
                <w:rFonts w:asciiTheme="minorHAnsi" w:hAnsiTheme="minorHAnsi" w:cstheme="minorHAnsi"/>
              </w:rPr>
            </w:pPr>
            <w:r>
              <w:rPr>
                <w:rFonts w:asciiTheme="minorHAnsi" w:hAnsiTheme="minorHAnsi"/>
              </w:rPr>
              <w:t xml:space="preserve">Otrzymana kwota (w EUR) zostanie zwiększona o 2,5% zgodnie z przepisami prawa </w:t>
            </w:r>
          </w:p>
          <w:p w14:paraId="7CB62B8D" w14:textId="4A5E4F21" w:rsidR="00376E57" w:rsidRPr="007F29AE" w:rsidRDefault="00AF612E" w:rsidP="00376E57">
            <w:pPr>
              <w:pStyle w:val="TableParagraph"/>
              <w:numPr>
                <w:ilvl w:val="0"/>
                <w:numId w:val="3"/>
              </w:numPr>
              <w:rPr>
                <w:rFonts w:asciiTheme="minorHAnsi" w:hAnsiTheme="minorHAnsi" w:cstheme="minorHAnsi"/>
              </w:rPr>
            </w:pPr>
            <w:r>
              <w:rPr>
                <w:rFonts w:asciiTheme="minorHAnsi" w:hAnsiTheme="minorHAnsi"/>
              </w:rPr>
              <w:t>Z</w:t>
            </w:r>
            <w:r w:rsidR="00376E57">
              <w:rPr>
                <w:rFonts w:asciiTheme="minorHAnsi" w:hAnsiTheme="minorHAnsi"/>
              </w:rPr>
              <w:t>ostanie obliczona nowa stawka ryczałtowa, która będzie ograniczona do 4 miejsc po przecinku (zgodnie z symulacją 2 lub 3 miejsca po przecinku dadzą wyższą kwotę, natomiast 4 miejsca po</w:t>
            </w:r>
            <w:r w:rsidR="005C7809">
              <w:rPr>
                <w:rFonts w:asciiTheme="minorHAnsi" w:hAnsiTheme="minorHAnsi"/>
              </w:rPr>
              <w:t xml:space="preserve"> przecinku zapewnią maksymalne przybliżenie</w:t>
            </w:r>
            <w:r w:rsidR="00376E57">
              <w:rPr>
                <w:rFonts w:asciiTheme="minorHAnsi" w:hAnsiTheme="minorHAnsi"/>
              </w:rPr>
              <w:t xml:space="preserve">). </w:t>
            </w:r>
          </w:p>
          <w:p w14:paraId="73B1B6C2" w14:textId="77777777" w:rsidR="00376E57" w:rsidRPr="007F29AE" w:rsidRDefault="00376E57" w:rsidP="00376E57">
            <w:pPr>
              <w:pStyle w:val="TableParagraph"/>
              <w:numPr>
                <w:ilvl w:val="0"/>
                <w:numId w:val="3"/>
              </w:numPr>
              <w:rPr>
                <w:rFonts w:asciiTheme="minorHAnsi" w:hAnsiTheme="minorHAnsi" w:cstheme="minorHAnsi"/>
              </w:rPr>
            </w:pPr>
            <w:r>
              <w:rPr>
                <w:rFonts w:asciiTheme="minorHAnsi" w:hAnsiTheme="minorHAnsi"/>
              </w:rPr>
              <w:t xml:space="preserve">Nowo wyliczony ryczałt będzie obowiązywał do czasu nowej indeksacji wynagrodzeń. W przypadku nowej indeksacji wynagrodzeń, ta sama metodologia zostanie zastosowana do obliczenia nowego ryczałtu. </w:t>
            </w:r>
          </w:p>
          <w:p w14:paraId="03BD181B" w14:textId="77777777" w:rsidR="00050F46" w:rsidRPr="007F29AE" w:rsidRDefault="00050F46">
            <w:pPr>
              <w:pStyle w:val="TableParagraph"/>
              <w:rPr>
                <w:rFonts w:asciiTheme="minorHAnsi" w:hAnsiTheme="minorHAnsi" w:cstheme="minorHAnsi"/>
              </w:rPr>
            </w:pPr>
          </w:p>
          <w:p w14:paraId="08527F61" w14:textId="77777777" w:rsidR="00376E57" w:rsidRPr="007F29AE" w:rsidRDefault="00376E57">
            <w:pPr>
              <w:pStyle w:val="TableParagraph"/>
              <w:rPr>
                <w:rFonts w:asciiTheme="minorHAnsi" w:hAnsiTheme="minorHAnsi" w:cstheme="minorHAnsi"/>
              </w:rPr>
            </w:pPr>
            <w:r>
              <w:rPr>
                <w:rFonts w:asciiTheme="minorHAnsi" w:hAnsiTheme="minorHAnsi"/>
              </w:rPr>
              <w:t xml:space="preserve">Przykład konkretnego zastosowania tej metody znajduje się poniżej: </w:t>
            </w:r>
          </w:p>
          <w:p w14:paraId="5FED6F39" w14:textId="77777777" w:rsidR="00376E57" w:rsidRPr="007F29AE" w:rsidRDefault="00376E57">
            <w:pPr>
              <w:pStyle w:val="TableParagraph"/>
              <w:rPr>
                <w:rFonts w:asciiTheme="minorHAnsi" w:hAnsiTheme="minorHAnsi" w:cstheme="minorHAnsi"/>
              </w:rPr>
            </w:pPr>
          </w:p>
          <w:p w14:paraId="32D0C662" w14:textId="67D7399D" w:rsidR="00376E57" w:rsidRPr="007F29AE" w:rsidRDefault="00376E57" w:rsidP="00376E57">
            <w:pPr>
              <w:pStyle w:val="TableParagraph"/>
              <w:numPr>
                <w:ilvl w:val="0"/>
                <w:numId w:val="4"/>
              </w:numPr>
              <w:rPr>
                <w:rFonts w:asciiTheme="minorHAnsi" w:hAnsiTheme="minorHAnsi" w:cstheme="minorHAnsi"/>
              </w:rPr>
            </w:pPr>
            <w:r>
              <w:rPr>
                <w:rFonts w:asciiTheme="minorHAnsi" w:hAnsiTheme="minorHAnsi"/>
              </w:rPr>
              <w:t xml:space="preserve">Całkowite koszty ekspertyz zewnętrznych zadeklarowane w wysokości 5 000 000 EUR, co daje łączne koszty personelu w wysokości 1 900 000 EUR zgodnie z 38 % stawką ryczałtową. </w:t>
            </w:r>
          </w:p>
          <w:p w14:paraId="0E576DEE" w14:textId="56247FA0" w:rsidR="00376E57" w:rsidRPr="007F29AE" w:rsidRDefault="00376E57" w:rsidP="00376E57">
            <w:pPr>
              <w:pStyle w:val="TableParagraph"/>
              <w:numPr>
                <w:ilvl w:val="0"/>
                <w:numId w:val="4"/>
              </w:numPr>
              <w:rPr>
                <w:rFonts w:asciiTheme="minorHAnsi" w:hAnsiTheme="minorHAnsi" w:cstheme="minorHAnsi"/>
              </w:rPr>
            </w:pPr>
            <w:r>
              <w:rPr>
                <w:rFonts w:asciiTheme="minorHAnsi" w:hAnsiTheme="minorHAnsi"/>
              </w:rPr>
              <w:t>Kwota 1 900 000 EUR zostanie powiększona o 2,5%, czyli o poziom wzrostu wynagrodzeń stosowany automatycznie zgodnie z prawem. W rezultacie całkowite koszty wynagrodzeń wyniosą 1 947 500 EUR.</w:t>
            </w:r>
          </w:p>
          <w:p w14:paraId="4B20EC26" w14:textId="2B15FC6E" w:rsidR="00C47DA1" w:rsidRPr="007F29AE" w:rsidRDefault="00C47DA1" w:rsidP="00376E57">
            <w:pPr>
              <w:pStyle w:val="TableParagraph"/>
              <w:numPr>
                <w:ilvl w:val="0"/>
                <w:numId w:val="4"/>
              </w:numPr>
              <w:rPr>
                <w:rFonts w:asciiTheme="minorHAnsi" w:hAnsiTheme="minorHAnsi" w:cstheme="minorHAnsi"/>
              </w:rPr>
            </w:pPr>
            <w:r>
              <w:rPr>
                <w:rFonts w:asciiTheme="minorHAnsi" w:hAnsiTheme="minorHAnsi"/>
              </w:rPr>
              <w:t xml:space="preserve">Zwiększona kwota wynagrodzeń odpowiada 38,95% całkowitej zadeklarowanej kwoty na ekspertyzy zewnętrzne. </w:t>
            </w:r>
          </w:p>
          <w:p w14:paraId="0E7A0F0F" w14:textId="1C504EAA" w:rsidR="00050F46" w:rsidRDefault="00C47DA1" w:rsidP="004B2004">
            <w:pPr>
              <w:pStyle w:val="TableParagraph"/>
              <w:numPr>
                <w:ilvl w:val="0"/>
                <w:numId w:val="4"/>
              </w:numPr>
              <w:rPr>
                <w:rFonts w:asciiTheme="minorHAnsi" w:hAnsiTheme="minorHAnsi" w:cstheme="minorHAnsi"/>
              </w:rPr>
            </w:pPr>
            <w:r>
              <w:rPr>
                <w:rFonts w:asciiTheme="minorHAnsi" w:hAnsiTheme="minorHAnsi"/>
              </w:rPr>
              <w:t xml:space="preserve">Ryczałtowa stawka 38,95% będzie stosowana do czasu przeprowadzenia nowej indeksacji. </w:t>
            </w:r>
          </w:p>
          <w:p w14:paraId="4FE68FE5" w14:textId="77777777" w:rsidR="00274F66" w:rsidRPr="00274F66" w:rsidRDefault="00274F66" w:rsidP="00274F66">
            <w:pPr>
              <w:pStyle w:val="TableParagraph"/>
              <w:rPr>
                <w:rFonts w:asciiTheme="minorHAnsi" w:hAnsiTheme="minorHAnsi" w:cstheme="minorHAnsi"/>
              </w:rPr>
            </w:pPr>
          </w:p>
          <w:p w14:paraId="7BA07116" w14:textId="77777777" w:rsidR="00050F46" w:rsidRPr="007F29AE" w:rsidRDefault="00050F46">
            <w:pPr>
              <w:pStyle w:val="TableParagraph"/>
              <w:rPr>
                <w:rFonts w:asciiTheme="minorHAnsi" w:hAnsiTheme="minorHAnsi" w:cstheme="minorHAnsi"/>
              </w:rPr>
            </w:pPr>
          </w:p>
        </w:tc>
      </w:tr>
      <w:tr w:rsidR="001B51A6" w:rsidRPr="007F29AE" w14:paraId="3297DE3A" w14:textId="77777777" w:rsidTr="00747ADF">
        <w:trPr>
          <w:trHeight w:val="5325"/>
        </w:trPr>
        <w:tc>
          <w:tcPr>
            <w:tcW w:w="3417" w:type="dxa"/>
          </w:tcPr>
          <w:p w14:paraId="2DD32EBE" w14:textId="4F075C72" w:rsidR="00544789" w:rsidRPr="007F29AE" w:rsidRDefault="00960A82" w:rsidP="005A2195">
            <w:pPr>
              <w:pStyle w:val="TableParagraph"/>
              <w:ind w:left="107" w:right="779"/>
              <w:jc w:val="both"/>
              <w:rPr>
                <w:rFonts w:asciiTheme="minorHAnsi" w:hAnsiTheme="minorHAnsi" w:cstheme="minorHAnsi"/>
                <w:sz w:val="24"/>
              </w:rPr>
            </w:pPr>
            <w:r>
              <w:rPr>
                <w:rFonts w:asciiTheme="minorHAnsi" w:hAnsiTheme="minorHAnsi"/>
                <w:sz w:val="24"/>
              </w:rPr>
              <w:lastRenderedPageBreak/>
              <w:t>1.10 Weryfikacja osiągnięcia jednostki miary</w:t>
            </w:r>
          </w:p>
          <w:p w14:paraId="16C2DBC8" w14:textId="45FB0730" w:rsidR="009E38FB" w:rsidRPr="009E38FB" w:rsidRDefault="009E38FB" w:rsidP="009E38FB">
            <w:pPr>
              <w:pStyle w:val="TableParagraph"/>
              <w:numPr>
                <w:ilvl w:val="0"/>
                <w:numId w:val="7"/>
              </w:numPr>
              <w:tabs>
                <w:tab w:val="left" w:pos="248"/>
              </w:tabs>
              <w:spacing w:before="114"/>
              <w:ind w:right="214"/>
              <w:rPr>
                <w:rFonts w:asciiTheme="minorHAnsi" w:hAnsiTheme="minorHAnsi" w:cstheme="minorHAnsi"/>
                <w:sz w:val="24"/>
              </w:rPr>
            </w:pPr>
            <w:r>
              <w:rPr>
                <w:rFonts w:asciiTheme="minorHAnsi" w:hAnsiTheme="minorHAnsi"/>
                <w:sz w:val="24"/>
              </w:rPr>
              <w:t xml:space="preserve">Należy opisać, jaki dokument(y)/system zostanie(ą) wykorzystany(e) do weryfikacji osiągnięcia </w:t>
            </w:r>
          </w:p>
          <w:p w14:paraId="088E389A" w14:textId="77777777" w:rsidR="009E38FB" w:rsidRDefault="009E38FB" w:rsidP="00D22850">
            <w:pPr>
              <w:pStyle w:val="TableParagraph"/>
              <w:numPr>
                <w:ilvl w:val="0"/>
                <w:numId w:val="7"/>
              </w:numPr>
              <w:tabs>
                <w:tab w:val="left" w:pos="248"/>
              </w:tabs>
              <w:spacing w:before="120"/>
              <w:ind w:right="126"/>
              <w:rPr>
                <w:rFonts w:asciiTheme="minorHAnsi" w:hAnsiTheme="minorHAnsi" w:cstheme="minorHAnsi"/>
                <w:sz w:val="24"/>
              </w:rPr>
            </w:pPr>
            <w:r>
              <w:rPr>
                <w:rFonts w:asciiTheme="minorHAnsi" w:hAnsiTheme="minorHAnsi"/>
                <w:sz w:val="24"/>
              </w:rPr>
              <w:t xml:space="preserve">Należy opisać, co będzie sprawdzane i przez kogo podczas weryfikacji zarządzania </w:t>
            </w:r>
          </w:p>
          <w:p w14:paraId="0B233AC7" w14:textId="47552779" w:rsidR="00544789" w:rsidRPr="007F29AE" w:rsidRDefault="009E38FB" w:rsidP="009E38FB">
            <w:pPr>
              <w:pStyle w:val="TableParagraph"/>
              <w:numPr>
                <w:ilvl w:val="0"/>
                <w:numId w:val="7"/>
              </w:numPr>
              <w:spacing w:before="5"/>
              <w:ind w:right="487"/>
              <w:rPr>
                <w:rFonts w:asciiTheme="minorHAnsi" w:hAnsiTheme="minorHAnsi" w:cstheme="minorHAnsi"/>
                <w:sz w:val="24"/>
              </w:rPr>
            </w:pPr>
            <w:r>
              <w:rPr>
                <w:rFonts w:asciiTheme="minorHAnsi" w:hAnsiTheme="minorHAnsi"/>
                <w:sz w:val="24"/>
              </w:rPr>
              <w:t>Należy opisać, jakie ustalenia zostaną poczynione w celu gromadzenia i przechowywania odpowiednich danych/dokumentów</w:t>
            </w:r>
          </w:p>
        </w:tc>
        <w:tc>
          <w:tcPr>
            <w:tcW w:w="5667" w:type="dxa"/>
          </w:tcPr>
          <w:p w14:paraId="6192954B" w14:textId="77777777" w:rsidR="00632585" w:rsidRPr="007F29AE" w:rsidRDefault="00632585">
            <w:pPr>
              <w:pStyle w:val="TableParagraph"/>
              <w:rPr>
                <w:rFonts w:asciiTheme="minorHAnsi" w:hAnsiTheme="minorHAnsi" w:cstheme="minorHAnsi"/>
                <w:sz w:val="24"/>
              </w:rPr>
            </w:pPr>
          </w:p>
          <w:p w14:paraId="4F765681" w14:textId="2CB810DD" w:rsidR="00363C21" w:rsidRPr="007F29AE" w:rsidRDefault="00960A82" w:rsidP="00363C21">
            <w:pPr>
              <w:adjustRightInd w:val="0"/>
              <w:jc w:val="both"/>
              <w:rPr>
                <w:rFonts w:asciiTheme="minorHAnsi" w:hAnsiTheme="minorHAnsi" w:cstheme="minorHAnsi"/>
              </w:rPr>
            </w:pPr>
            <w:r>
              <w:rPr>
                <w:rFonts w:asciiTheme="minorHAnsi" w:hAnsiTheme="minorHAnsi"/>
              </w:rPr>
              <w:t xml:space="preserve">Zidentyfikowana stawka ryczałtowa zostanie zastosowana przez Instytucję Zarządzającą po sprawdzeniu kwalifikowalności kosztów ekspertyz zewnętrznych (reprezentowanych przez sumę rzeczywistych kosztów </w:t>
            </w:r>
            <w:r w:rsidR="004C4D31">
              <w:rPr>
                <w:rFonts w:asciiTheme="minorHAnsi" w:hAnsiTheme="minorHAnsi"/>
              </w:rPr>
              <w:t>przedstawiania</w:t>
            </w:r>
            <w:r>
              <w:rPr>
                <w:rFonts w:asciiTheme="minorHAnsi" w:hAnsiTheme="minorHAnsi"/>
              </w:rPr>
              <w:t xml:space="preserve"> dowodów plus stawka ryczałtowa SCO dla rozwoju wiedzy). </w:t>
            </w:r>
          </w:p>
          <w:p w14:paraId="09E18129" w14:textId="77777777" w:rsidR="005A2195" w:rsidRPr="007F29AE" w:rsidRDefault="005A2195" w:rsidP="00363C21">
            <w:pPr>
              <w:adjustRightInd w:val="0"/>
              <w:jc w:val="both"/>
              <w:rPr>
                <w:rFonts w:asciiTheme="minorHAnsi" w:hAnsiTheme="minorHAnsi" w:cstheme="minorHAnsi"/>
              </w:rPr>
            </w:pPr>
          </w:p>
          <w:p w14:paraId="2B24C3C2" w14:textId="3F2C4498" w:rsidR="005A2195" w:rsidRPr="007F29AE" w:rsidRDefault="005A2195" w:rsidP="00363C21">
            <w:pPr>
              <w:adjustRightInd w:val="0"/>
              <w:jc w:val="both"/>
              <w:rPr>
                <w:rFonts w:asciiTheme="minorHAnsi" w:hAnsiTheme="minorHAnsi" w:cstheme="minorHAnsi"/>
              </w:rPr>
            </w:pPr>
            <w:r>
              <w:rPr>
                <w:rFonts w:asciiTheme="minorHAnsi" w:hAnsiTheme="minorHAnsi"/>
              </w:rPr>
              <w:t xml:space="preserve">Dokumentem, który zostanie sprawdzony podczas weryfikacji zarządzania, jest pełna ścieżka audytu wydatków zakontraktowanych w ramach zamówień publicznych na opracowanie dowodów.  Kompletna ścieżka audytu będzie dostępna dla Instytucji Zarządzającej za pośrednictwem systemu e-Monitoringu programu, ponieważ jest to wymóg dla </w:t>
            </w:r>
            <w:r w:rsidR="004C4D31">
              <w:rPr>
                <w:rFonts w:asciiTheme="minorHAnsi" w:hAnsiTheme="minorHAnsi"/>
              </w:rPr>
              <w:t>Pojedynczego</w:t>
            </w:r>
            <w:r>
              <w:rPr>
                <w:rFonts w:asciiTheme="minorHAnsi" w:hAnsiTheme="minorHAnsi"/>
              </w:rPr>
              <w:t xml:space="preserve"> Beneficjenta, aby załadować kompletną ścieżkę audytu do systemu w kontekście obowiązków sprawozdawczych</w:t>
            </w:r>
            <w:r w:rsidR="004C4D31">
              <w:rPr>
                <w:rFonts w:asciiTheme="minorHAnsi" w:hAnsiTheme="minorHAnsi"/>
              </w:rPr>
              <w:t xml:space="preserve"> Pojedynczej</w:t>
            </w:r>
            <w:r>
              <w:rPr>
                <w:rFonts w:asciiTheme="minorHAnsi" w:hAnsiTheme="minorHAnsi"/>
              </w:rPr>
              <w:t xml:space="preserve"> Operacji. </w:t>
            </w:r>
          </w:p>
          <w:p w14:paraId="3C76B65B" w14:textId="77777777" w:rsidR="005A2195" w:rsidRPr="007F29AE" w:rsidRDefault="005A2195" w:rsidP="00363C21">
            <w:pPr>
              <w:adjustRightInd w:val="0"/>
              <w:jc w:val="both"/>
              <w:rPr>
                <w:rFonts w:asciiTheme="minorHAnsi" w:hAnsiTheme="minorHAnsi" w:cstheme="minorHAnsi"/>
              </w:rPr>
            </w:pPr>
          </w:p>
          <w:p w14:paraId="313E8279" w14:textId="77777777" w:rsidR="00072566" w:rsidRPr="007F29AE" w:rsidRDefault="005A2195" w:rsidP="00363C21">
            <w:pPr>
              <w:adjustRightInd w:val="0"/>
              <w:jc w:val="both"/>
              <w:rPr>
                <w:rFonts w:asciiTheme="minorHAnsi" w:hAnsiTheme="minorHAnsi" w:cstheme="minorHAnsi"/>
              </w:rPr>
            </w:pPr>
            <w:r>
              <w:rPr>
                <w:rFonts w:asciiTheme="minorHAnsi" w:hAnsiTheme="minorHAnsi"/>
              </w:rPr>
              <w:t xml:space="preserve">Instytucja Zarządzająca będzie sprawdzać 100% zadeklarowanych kosztów na podstawie rzeczywistych danych w celu przedstawienia dowodów. Weryfikacja zarządcza może również obejmować kontrole na miejscu w celu weryfikacji oryginałów, w tym przypadku zostanie przeprowadzona próba uwzględnionych zamówień (co najmniej raz dla każdego zamówienia zostanie przeprowadzona kontrola oryginalnej ścieżki audytu). </w:t>
            </w:r>
          </w:p>
          <w:p w14:paraId="46202563" w14:textId="77777777" w:rsidR="00072566" w:rsidRPr="007F29AE" w:rsidRDefault="00072566" w:rsidP="00363C21">
            <w:pPr>
              <w:adjustRightInd w:val="0"/>
              <w:jc w:val="both"/>
              <w:rPr>
                <w:rFonts w:asciiTheme="minorHAnsi" w:hAnsiTheme="minorHAnsi" w:cstheme="minorHAnsi"/>
              </w:rPr>
            </w:pPr>
          </w:p>
          <w:p w14:paraId="5A47211A" w14:textId="77777777" w:rsidR="005A2195" w:rsidRPr="007F29AE" w:rsidRDefault="00072566" w:rsidP="00363C21">
            <w:pPr>
              <w:adjustRightInd w:val="0"/>
              <w:jc w:val="both"/>
              <w:rPr>
                <w:rFonts w:asciiTheme="minorHAnsi" w:hAnsiTheme="minorHAnsi" w:cstheme="minorHAnsi"/>
              </w:rPr>
            </w:pPr>
            <w:r>
              <w:rPr>
                <w:rFonts w:asciiTheme="minorHAnsi" w:hAnsiTheme="minorHAnsi"/>
              </w:rPr>
              <w:t xml:space="preserve">Do tej kwalifikującej się i zaakceptowanej kwoty zostanie następnie zastosowana stawka ryczałtowa na rozwój wiedzy. Stawka ryczałtowa na koszty personelu zostanie zastosowana do całkowitej uzyskanej kwoty. </w:t>
            </w:r>
          </w:p>
          <w:p w14:paraId="75CDCFFD" w14:textId="1276DC0F" w:rsidR="00072566" w:rsidRPr="007F29AE" w:rsidRDefault="00072566" w:rsidP="00363C21">
            <w:pPr>
              <w:adjustRightInd w:val="0"/>
              <w:jc w:val="both"/>
              <w:rPr>
                <w:rFonts w:asciiTheme="minorHAnsi" w:hAnsiTheme="minorHAnsi" w:cstheme="minorHAnsi"/>
              </w:rPr>
            </w:pPr>
          </w:p>
          <w:p w14:paraId="51AF2CBA" w14:textId="77777777" w:rsidR="00777F6E" w:rsidRPr="007F29AE" w:rsidRDefault="00777F6E" w:rsidP="00777F6E">
            <w:pPr>
              <w:adjustRightInd w:val="0"/>
              <w:jc w:val="both"/>
              <w:rPr>
                <w:rFonts w:asciiTheme="minorHAnsi" w:hAnsiTheme="minorHAnsi" w:cstheme="minorHAnsi"/>
              </w:rPr>
            </w:pPr>
            <w:r>
              <w:rPr>
                <w:rFonts w:asciiTheme="minorHAnsi" w:hAnsiTheme="minorHAnsi"/>
              </w:rPr>
              <w:t>Podczas przeprowadzania weryfikacji zarządzania należy również sprawdzić, czy stawka ryczałtowa została prawidłowo i konsekwentnie obliczona oraz czy działania i zasoby finansowane według stawki ryczałtowej są jasno określone i czy nie wchodzą w zakres działań, które są refundowane za pomocą kosztów rzeczywistych.</w:t>
            </w:r>
          </w:p>
          <w:p w14:paraId="74E4D93A" w14:textId="77777777" w:rsidR="00777F6E" w:rsidRPr="007F29AE" w:rsidRDefault="00777F6E" w:rsidP="00363C21">
            <w:pPr>
              <w:adjustRightInd w:val="0"/>
              <w:jc w:val="both"/>
              <w:rPr>
                <w:rFonts w:asciiTheme="minorHAnsi" w:hAnsiTheme="minorHAnsi" w:cstheme="minorHAnsi"/>
              </w:rPr>
            </w:pPr>
          </w:p>
          <w:p w14:paraId="73B10C2D" w14:textId="77777777" w:rsidR="00072566" w:rsidRPr="007F29AE" w:rsidRDefault="00072566" w:rsidP="00363C21">
            <w:pPr>
              <w:adjustRightInd w:val="0"/>
              <w:jc w:val="both"/>
              <w:rPr>
                <w:rFonts w:asciiTheme="minorHAnsi" w:hAnsiTheme="minorHAnsi" w:cstheme="minorHAnsi"/>
              </w:rPr>
            </w:pPr>
            <w:r>
              <w:rPr>
                <w:rFonts w:asciiTheme="minorHAnsi" w:hAnsiTheme="minorHAnsi"/>
              </w:rPr>
              <w:t xml:space="preserve">Poniżej przedstawiono przykład zastosowania tej metody: </w:t>
            </w:r>
          </w:p>
          <w:p w14:paraId="6A2D1082" w14:textId="77777777" w:rsidR="00072566" w:rsidRPr="007F29AE" w:rsidRDefault="00072566" w:rsidP="00363C21">
            <w:pPr>
              <w:adjustRightInd w:val="0"/>
              <w:jc w:val="both"/>
              <w:rPr>
                <w:rFonts w:asciiTheme="minorHAnsi" w:hAnsiTheme="minorHAnsi" w:cstheme="minorHAnsi"/>
              </w:rPr>
            </w:pPr>
          </w:p>
          <w:p w14:paraId="5DDF364C" w14:textId="06C2A77B" w:rsidR="00072566" w:rsidRPr="007F29AE" w:rsidRDefault="004C4D31" w:rsidP="00072566">
            <w:pPr>
              <w:pStyle w:val="Akapitzlist"/>
              <w:numPr>
                <w:ilvl w:val="0"/>
                <w:numId w:val="5"/>
              </w:numPr>
              <w:adjustRightInd w:val="0"/>
              <w:jc w:val="both"/>
              <w:rPr>
                <w:rFonts w:asciiTheme="minorHAnsi" w:hAnsiTheme="minorHAnsi" w:cstheme="minorHAnsi"/>
              </w:rPr>
            </w:pPr>
            <w:r>
              <w:rPr>
                <w:rFonts w:asciiTheme="minorHAnsi" w:hAnsiTheme="minorHAnsi"/>
              </w:rPr>
              <w:t>Pojedynczy</w:t>
            </w:r>
            <w:r w:rsidR="00072566">
              <w:rPr>
                <w:rFonts w:asciiTheme="minorHAnsi" w:hAnsiTheme="minorHAnsi"/>
              </w:rPr>
              <w:t xml:space="preserve"> Beneficjent deklaruje za pośrednictwem wniosku finansowego do Instytucji Zarządzającej (za pośrednictwem systemu e-Monitoringu i wraz z pełną ścieżką audytu) koszty związane z </w:t>
            </w:r>
            <w:r w:rsidR="00F064ED">
              <w:rPr>
                <w:rFonts w:asciiTheme="minorHAnsi" w:hAnsiTheme="minorHAnsi"/>
              </w:rPr>
              <w:t>realizacją badań</w:t>
            </w:r>
            <w:r w:rsidR="00072566">
              <w:rPr>
                <w:rFonts w:asciiTheme="minorHAnsi" w:hAnsiTheme="minorHAnsi"/>
              </w:rPr>
              <w:t xml:space="preserve">, które są zlecane wyłącznie w drodze zamówień publicznych na kwotę 3.000.000 EUR. </w:t>
            </w:r>
          </w:p>
          <w:p w14:paraId="5732F11A" w14:textId="77777777" w:rsidR="00072566" w:rsidRPr="007F29AE" w:rsidRDefault="00072566" w:rsidP="00072566">
            <w:pPr>
              <w:pStyle w:val="Akapitzlist"/>
              <w:numPr>
                <w:ilvl w:val="0"/>
                <w:numId w:val="5"/>
              </w:numPr>
              <w:adjustRightInd w:val="0"/>
              <w:jc w:val="both"/>
              <w:rPr>
                <w:rFonts w:asciiTheme="minorHAnsi" w:hAnsiTheme="minorHAnsi" w:cstheme="minorHAnsi"/>
              </w:rPr>
            </w:pPr>
            <w:r>
              <w:rPr>
                <w:rFonts w:asciiTheme="minorHAnsi" w:hAnsiTheme="minorHAnsi"/>
              </w:rPr>
              <w:t>Instytucja Zarządzająca przeprowadza weryfikacje zarządcze 100% zadeklarowanych wydatków i uznaje za kwalifikowalne całą kwotę 3.000.000 EUR</w:t>
            </w:r>
          </w:p>
          <w:p w14:paraId="58585713" w14:textId="3B4D4A19" w:rsidR="00072566" w:rsidRPr="007F29AE" w:rsidRDefault="00072566" w:rsidP="00072566">
            <w:pPr>
              <w:pStyle w:val="Akapitzlist"/>
              <w:numPr>
                <w:ilvl w:val="0"/>
                <w:numId w:val="5"/>
              </w:numPr>
              <w:adjustRightInd w:val="0"/>
              <w:jc w:val="both"/>
              <w:rPr>
                <w:rFonts w:asciiTheme="minorHAnsi" w:hAnsiTheme="minorHAnsi" w:cstheme="minorHAnsi"/>
              </w:rPr>
            </w:pPr>
            <w:r>
              <w:rPr>
                <w:rFonts w:asciiTheme="minorHAnsi" w:hAnsiTheme="minorHAnsi"/>
              </w:rPr>
              <w:t xml:space="preserve"> Instytucja Zarządzająca stosuje stawkę ryczałtową 25% do obliczania całkowitego kosztu kwalifikowalnego, do </w:t>
            </w:r>
            <w:r>
              <w:rPr>
                <w:rFonts w:asciiTheme="minorHAnsi" w:hAnsiTheme="minorHAnsi"/>
              </w:rPr>
              <w:lastRenderedPageBreak/>
              <w:t xml:space="preserve">którego stosuje się stawkę ryczałtową kosztów personelu. Całkowita kwota kwalifikowalna, którą należy przyjąć jako podstawę do obliczenia kosztów personelu </w:t>
            </w:r>
            <w:r w:rsidR="00C027A0">
              <w:rPr>
                <w:rFonts w:asciiTheme="minorHAnsi" w:hAnsiTheme="minorHAnsi"/>
              </w:rPr>
              <w:t>wynosi:</w:t>
            </w:r>
            <w:r>
              <w:rPr>
                <w:rFonts w:asciiTheme="minorHAnsi" w:hAnsiTheme="minorHAnsi"/>
              </w:rPr>
              <w:t xml:space="preserve"> 3.000.000 EUR + 25% = 3.750.000 EUR</w:t>
            </w:r>
          </w:p>
          <w:p w14:paraId="746DB2D8" w14:textId="77777777" w:rsidR="00274F66" w:rsidRPr="00043372" w:rsidRDefault="00B93B33" w:rsidP="00043372">
            <w:pPr>
              <w:pStyle w:val="Akapitzlist"/>
              <w:numPr>
                <w:ilvl w:val="0"/>
                <w:numId w:val="5"/>
              </w:numPr>
              <w:adjustRightInd w:val="0"/>
              <w:jc w:val="both"/>
              <w:rPr>
                <w:rFonts w:asciiTheme="minorHAnsi" w:hAnsiTheme="minorHAnsi" w:cstheme="minorHAnsi"/>
                <w:sz w:val="24"/>
              </w:rPr>
            </w:pPr>
            <w:r>
              <w:rPr>
                <w:rFonts w:asciiTheme="minorHAnsi" w:hAnsiTheme="minorHAnsi"/>
              </w:rPr>
              <w:t xml:space="preserve">IZ stosuje stawkę ryczałtową 38% do całkowitej kwalifikowalnej kwoty ekspertyz zewnętrznych. Całkowite kwalifikowalne koszty personelu wyniosą 38% z 3.750.000 EUR, a zatem 1.425.500 EUR. </w:t>
            </w:r>
          </w:p>
          <w:p w14:paraId="428CE772" w14:textId="08C4794A" w:rsidR="00043372" w:rsidRPr="00274F66" w:rsidRDefault="00043372" w:rsidP="00043372">
            <w:pPr>
              <w:pStyle w:val="Akapitzlist"/>
              <w:adjustRightInd w:val="0"/>
              <w:ind w:left="720"/>
              <w:jc w:val="both"/>
              <w:rPr>
                <w:rFonts w:asciiTheme="minorHAnsi" w:hAnsiTheme="minorHAnsi" w:cstheme="minorHAnsi"/>
                <w:sz w:val="24"/>
              </w:rPr>
            </w:pPr>
          </w:p>
        </w:tc>
      </w:tr>
      <w:tr w:rsidR="001B51A6" w:rsidRPr="007F29AE" w14:paraId="2A867297" w14:textId="77777777" w:rsidTr="00747ADF">
        <w:trPr>
          <w:trHeight w:val="847"/>
        </w:trPr>
        <w:tc>
          <w:tcPr>
            <w:tcW w:w="3417" w:type="dxa"/>
          </w:tcPr>
          <w:p w14:paraId="1B43D31E" w14:textId="09267C64" w:rsidR="00544789" w:rsidRPr="007F29AE" w:rsidRDefault="00834CFD" w:rsidP="009E38FB">
            <w:pPr>
              <w:pStyle w:val="TableParagraph"/>
              <w:ind w:left="108"/>
              <w:rPr>
                <w:rFonts w:asciiTheme="minorHAnsi" w:hAnsiTheme="minorHAnsi" w:cstheme="minorHAnsi"/>
                <w:sz w:val="24"/>
              </w:rPr>
            </w:pPr>
            <w:r>
              <w:rPr>
                <w:rFonts w:asciiTheme="minorHAnsi" w:hAnsiTheme="minorHAnsi"/>
                <w:sz w:val="24"/>
              </w:rPr>
              <w:lastRenderedPageBreak/>
              <w:t>1.11 Możliwe niepożądane zachęty, środki łagodzące</w:t>
            </w:r>
            <w:r w:rsidR="009E38FB">
              <w:rPr>
                <w:rStyle w:val="Odwoanieprzypisudolnego"/>
                <w:rFonts w:asciiTheme="minorHAnsi" w:hAnsiTheme="minorHAnsi" w:cstheme="minorHAnsi"/>
                <w:spacing w:val="-7"/>
                <w:sz w:val="24"/>
              </w:rPr>
              <w:footnoteReference w:id="5"/>
            </w:r>
            <w:r>
              <w:rPr>
                <w:rFonts w:asciiTheme="minorHAnsi" w:hAnsiTheme="minorHAnsi"/>
                <w:sz w:val="24"/>
              </w:rPr>
              <w:t xml:space="preserve"> i szacowany poziom ryzyka (wysokie/średnie/niskie)</w:t>
            </w:r>
          </w:p>
        </w:tc>
        <w:tc>
          <w:tcPr>
            <w:tcW w:w="5667" w:type="dxa"/>
          </w:tcPr>
          <w:p w14:paraId="1406E19F" w14:textId="374E1B13" w:rsidR="00544789" w:rsidRPr="007F29AE" w:rsidRDefault="00B93B33" w:rsidP="00B93B33">
            <w:pPr>
              <w:pStyle w:val="TableParagraph"/>
              <w:rPr>
                <w:rFonts w:asciiTheme="minorHAnsi" w:hAnsiTheme="minorHAnsi" w:cstheme="minorHAnsi"/>
              </w:rPr>
            </w:pPr>
            <w:r>
              <w:rPr>
                <w:rFonts w:asciiTheme="minorHAnsi" w:hAnsiTheme="minorHAnsi"/>
              </w:rPr>
              <w:t xml:space="preserve">Z punktu widzenia programu ryzyko to jest uważane za bardzo niskie.  Program ESPON od pierwszego okresu programowania zawsze charakteryzował się bardzo niskim poziomem nieprawidłowości (w obecnym okresie programowania jak dotąd poziom błędów był równy zeru). Instytucja Zarządzająca przeprowadza 100% kontroli wszystkich zamówień publicznych i wdraża strategie zarządzania ryzykiem, które mają na celu zmniejszenie nieprawidłowości poprzez wspieranie pojedynczego beneficjenta. Kontrole jakości w celu omówienia lepszego wdrażania zamówień publicznych, wymiana najlepszych praktyk, konkretne wsparcie eksperckie są zapewniane na bieżąco podczas wdrażania </w:t>
            </w:r>
            <w:r w:rsidR="004C4D31">
              <w:rPr>
                <w:rFonts w:asciiTheme="minorHAnsi" w:hAnsiTheme="minorHAnsi"/>
              </w:rPr>
              <w:t>Pojedynczej</w:t>
            </w:r>
            <w:r>
              <w:rPr>
                <w:rFonts w:asciiTheme="minorHAnsi" w:hAnsiTheme="minorHAnsi"/>
              </w:rPr>
              <w:t xml:space="preserve"> Operacji. </w:t>
            </w:r>
          </w:p>
          <w:p w14:paraId="670A3B52" w14:textId="77777777" w:rsidR="00B71363" w:rsidRPr="007F29AE" w:rsidRDefault="00B71363" w:rsidP="00B93B33">
            <w:pPr>
              <w:pStyle w:val="TableParagraph"/>
              <w:rPr>
                <w:rFonts w:asciiTheme="minorHAnsi" w:hAnsiTheme="minorHAnsi" w:cstheme="minorHAnsi"/>
              </w:rPr>
            </w:pPr>
          </w:p>
          <w:p w14:paraId="0E92993A" w14:textId="123CF2E2" w:rsidR="00B71363" w:rsidRPr="007F29AE" w:rsidRDefault="00B71363" w:rsidP="00B93B33">
            <w:pPr>
              <w:pStyle w:val="TableParagraph"/>
              <w:rPr>
                <w:rFonts w:asciiTheme="minorHAnsi" w:hAnsiTheme="minorHAnsi" w:cstheme="minorHAnsi"/>
              </w:rPr>
            </w:pPr>
            <w:r>
              <w:rPr>
                <w:rFonts w:asciiTheme="minorHAnsi" w:hAnsiTheme="minorHAnsi"/>
              </w:rPr>
              <w:t xml:space="preserve">W odniesieniu do </w:t>
            </w:r>
            <w:r w:rsidR="004C4D31">
              <w:rPr>
                <w:rFonts w:asciiTheme="minorHAnsi" w:hAnsiTheme="minorHAnsi"/>
              </w:rPr>
              <w:t>Pojedynczego</w:t>
            </w:r>
            <w:r>
              <w:rPr>
                <w:rFonts w:asciiTheme="minorHAnsi" w:hAnsiTheme="minorHAnsi"/>
              </w:rPr>
              <w:t xml:space="preserve"> Beneficjenta, w przypadku wystąpienia nieprawidłowości, istnieje ryzyko obniżenia poziomu kosztów kwalifikowalnych dla wszystkich pozostałych kosztów obliczonych na podstawie rzeczywistych wydatków na </w:t>
            </w:r>
            <w:r w:rsidR="004C4D31">
              <w:rPr>
                <w:rFonts w:asciiTheme="minorHAnsi" w:hAnsiTheme="minorHAnsi"/>
              </w:rPr>
              <w:t>przedstawianie</w:t>
            </w:r>
            <w:r>
              <w:rPr>
                <w:rFonts w:asciiTheme="minorHAnsi" w:hAnsiTheme="minorHAnsi"/>
              </w:rPr>
              <w:t xml:space="preserve"> dowodów.  Ryzyko to, ze względu na wszystkie argumenty przedstawione powyżej, jest również uważane za niskie. </w:t>
            </w:r>
          </w:p>
          <w:p w14:paraId="707DF0A9" w14:textId="77777777" w:rsidR="00B71363" w:rsidRPr="007F29AE" w:rsidRDefault="00B71363" w:rsidP="00B93B33">
            <w:pPr>
              <w:pStyle w:val="TableParagraph"/>
              <w:rPr>
                <w:rFonts w:asciiTheme="minorHAnsi" w:hAnsiTheme="minorHAnsi" w:cstheme="minorHAnsi"/>
              </w:rPr>
            </w:pPr>
          </w:p>
        </w:tc>
      </w:tr>
      <w:tr w:rsidR="00960A82" w:rsidRPr="007F29AE" w14:paraId="780D378F" w14:textId="77777777" w:rsidTr="00747ADF">
        <w:trPr>
          <w:trHeight w:val="949"/>
        </w:trPr>
        <w:tc>
          <w:tcPr>
            <w:tcW w:w="3417" w:type="dxa"/>
          </w:tcPr>
          <w:p w14:paraId="02E6D39D" w14:textId="1B2A5BA0" w:rsidR="00544789" w:rsidRPr="007F29AE" w:rsidRDefault="00834CFD" w:rsidP="00EE6983">
            <w:pPr>
              <w:pStyle w:val="TableParagraph"/>
              <w:spacing w:before="7"/>
              <w:ind w:left="108" w:right="212"/>
              <w:rPr>
                <w:rFonts w:asciiTheme="minorHAnsi" w:hAnsiTheme="minorHAnsi" w:cstheme="minorHAnsi"/>
                <w:sz w:val="24"/>
              </w:rPr>
            </w:pPr>
            <w:r>
              <w:rPr>
                <w:rFonts w:asciiTheme="minorHAnsi" w:hAnsiTheme="minorHAnsi"/>
                <w:sz w:val="24"/>
              </w:rPr>
              <w:t>1.12 Całkowita kwota (krajowa i unijna), której zwrotu należy się spodziewać</w:t>
            </w:r>
          </w:p>
        </w:tc>
        <w:tc>
          <w:tcPr>
            <w:tcW w:w="5667" w:type="dxa"/>
          </w:tcPr>
          <w:p w14:paraId="6C50EFD2" w14:textId="77777777" w:rsidR="00544789" w:rsidRPr="007F29AE" w:rsidRDefault="00960A82" w:rsidP="00960A82">
            <w:pPr>
              <w:pStyle w:val="TableParagraph"/>
              <w:rPr>
                <w:rFonts w:asciiTheme="minorHAnsi" w:hAnsiTheme="minorHAnsi" w:cstheme="minorHAnsi"/>
                <w:sz w:val="24"/>
              </w:rPr>
            </w:pPr>
            <w:r>
              <w:rPr>
                <w:rFonts w:asciiTheme="minorHAnsi" w:hAnsiTheme="minorHAnsi"/>
                <w:sz w:val="24"/>
              </w:rPr>
              <w:t>14.500.000 EUR</w:t>
            </w:r>
          </w:p>
        </w:tc>
      </w:tr>
    </w:tbl>
    <w:p w14:paraId="2E196BDA" w14:textId="77777777" w:rsidR="00544789" w:rsidRPr="007F29AE" w:rsidRDefault="00544789">
      <w:pPr>
        <w:pStyle w:val="Tekstpodstawowy"/>
        <w:rPr>
          <w:rFonts w:asciiTheme="minorHAnsi" w:hAnsiTheme="minorHAnsi" w:cstheme="minorHAnsi"/>
          <w:sz w:val="20"/>
        </w:rPr>
      </w:pPr>
    </w:p>
    <w:p w14:paraId="036CAB6F" w14:textId="77777777" w:rsidR="00544789" w:rsidRPr="007F29AE" w:rsidRDefault="00544789">
      <w:pPr>
        <w:pStyle w:val="Tekstpodstawowy"/>
        <w:spacing w:before="7"/>
        <w:rPr>
          <w:rFonts w:asciiTheme="minorHAnsi" w:hAnsiTheme="minorHAnsi" w:cstheme="minorHAnsi"/>
          <w:sz w:val="19"/>
        </w:rPr>
      </w:pPr>
    </w:p>
    <w:p w14:paraId="7AF9728D" w14:textId="77777777" w:rsidR="00544789" w:rsidRPr="007F29AE" w:rsidRDefault="00834CFD" w:rsidP="00777F6E">
      <w:pPr>
        <w:pStyle w:val="Nagwek1"/>
        <w:keepNext/>
        <w:widowControl/>
        <w:ind w:left="510"/>
        <w:rPr>
          <w:rFonts w:asciiTheme="minorHAnsi" w:hAnsiTheme="minorHAnsi" w:cstheme="minorHAnsi"/>
          <w:i/>
          <w:u w:val="none"/>
        </w:rPr>
      </w:pPr>
      <w:r>
        <w:rPr>
          <w:rFonts w:asciiTheme="minorHAnsi" w:hAnsiTheme="minorHAnsi"/>
          <w:u w:val="thick" w:color="231F20"/>
        </w:rPr>
        <w:lastRenderedPageBreak/>
        <w:t xml:space="preserve">C: Obliczenie standardowej skali kosztów jednostkowych, płatności ryczałtowych lub stawek zryczałtowanych </w:t>
      </w:r>
    </w:p>
    <w:p w14:paraId="4EAC7206" w14:textId="77777777" w:rsidR="00544789" w:rsidRPr="007F29AE" w:rsidRDefault="00544789">
      <w:pPr>
        <w:pStyle w:val="Tekstpodstawowy"/>
        <w:spacing w:before="9"/>
        <w:rPr>
          <w:rFonts w:asciiTheme="minorHAnsi" w:hAnsiTheme="minorHAnsi" w:cstheme="minorHAnsi"/>
          <w:b/>
          <w:i/>
        </w:rPr>
      </w:pPr>
    </w:p>
    <w:p w14:paraId="489F321C" w14:textId="77777777" w:rsidR="00544789" w:rsidRPr="007F29AE" w:rsidRDefault="00834CFD" w:rsidP="00960A82">
      <w:pPr>
        <w:pStyle w:val="Akapitzlist"/>
        <w:numPr>
          <w:ilvl w:val="1"/>
          <w:numId w:val="2"/>
        </w:numPr>
        <w:tabs>
          <w:tab w:val="left" w:pos="753"/>
        </w:tabs>
        <w:spacing w:before="89"/>
        <w:ind w:left="510" w:right="612" w:firstLine="0"/>
        <w:rPr>
          <w:rFonts w:asciiTheme="minorHAnsi" w:hAnsiTheme="minorHAnsi" w:cstheme="minorHAnsi"/>
          <w:sz w:val="24"/>
        </w:rPr>
      </w:pPr>
      <w:r>
        <w:rPr>
          <w:rFonts w:asciiTheme="minorHAnsi" w:hAnsiTheme="minorHAnsi"/>
          <w:sz w:val="24"/>
        </w:rPr>
        <w:t>Źródło danych wykorzystanych do obliczenia standardowej skali kosztów jednostkowych, płatności ryczałtowych lub stawek zryczałtowanych (kto opracował, zebrał i zarejestrował dane; gdzie dane są przechowywane; daty graniczne; walidacja itp.)</w:t>
      </w:r>
    </w:p>
    <w:p w14:paraId="1E524586" w14:textId="1A36BCE8" w:rsidR="003F5D66" w:rsidRPr="007F29AE" w:rsidRDefault="003F5D66" w:rsidP="007456C0">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Źródłem danych jest system e-monitoringu utworzony i prowadzony przez Instytucję Zarządzającą ESPON. Dane odpowiadają kosztom personelu zadeklarowanym przez pojedynczego beneficjenta za pośrednictwem systemu e-sprawozdawczości (dokumenty uzupełniające są również wprowadzane do systemu, ale są chronione hasłem ze względu na dyrektywę w sprawie ochrony danych osobowych. Dane odpowiadają kosztom personelu w latach 2016-2019 oraz kosztom ekspertyz zewnętrznych (odpowiadającym wydatkom na dowody i wiedzę (zasięg w ESPON 2020) w tym samym okresie.  Dane są przechowywane w tym samym systemie i zostały zatwierdzone przez FLC, IZ oraz poddane audytowi i są dostępne online (wraz ze wszystkimi dokumentami uzupełniającymi). </w:t>
      </w:r>
    </w:p>
    <w:p w14:paraId="5541E7FE" w14:textId="77777777" w:rsidR="00797477" w:rsidRPr="007F29AE" w:rsidRDefault="00E74B6D" w:rsidP="007456C0">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sz w:val="24"/>
        </w:rPr>
      </w:pPr>
      <w:r>
        <w:rPr>
          <w:rFonts w:asciiTheme="minorHAnsi" w:hAnsiTheme="minorHAnsi"/>
          <w:sz w:val="24"/>
        </w:rPr>
        <w:t xml:space="preserve"> </w:t>
      </w:r>
    </w:p>
    <w:p w14:paraId="5C6DCB98" w14:textId="77777777" w:rsidR="00544789" w:rsidRPr="007F29AE" w:rsidRDefault="00544789" w:rsidP="00072D67">
      <w:pPr>
        <w:pStyle w:val="Tekstpodstawowy"/>
        <w:spacing w:before="10"/>
        <w:ind w:left="581"/>
        <w:jc w:val="both"/>
        <w:rPr>
          <w:rFonts w:asciiTheme="minorHAnsi" w:hAnsiTheme="minorHAnsi" w:cstheme="minorHAnsi"/>
          <w:szCs w:val="22"/>
        </w:rPr>
      </w:pPr>
    </w:p>
    <w:p w14:paraId="7B287BA1" w14:textId="75FF5790" w:rsidR="00544789" w:rsidRPr="007F29AE" w:rsidRDefault="009E38FB" w:rsidP="009E38FB">
      <w:pPr>
        <w:pStyle w:val="Akapitzlist"/>
        <w:numPr>
          <w:ilvl w:val="1"/>
          <w:numId w:val="2"/>
        </w:numPr>
        <w:tabs>
          <w:tab w:val="left" w:pos="753"/>
        </w:tabs>
        <w:spacing w:before="89"/>
        <w:ind w:right="612"/>
        <w:rPr>
          <w:rFonts w:asciiTheme="minorHAnsi" w:hAnsiTheme="minorHAnsi" w:cstheme="minorHAnsi"/>
          <w:sz w:val="24"/>
        </w:rPr>
      </w:pPr>
      <w:r>
        <w:rPr>
          <w:rFonts w:asciiTheme="minorHAnsi" w:hAnsiTheme="minorHAnsi"/>
          <w:sz w:val="24"/>
        </w:rPr>
        <w:t>Proszę podać, dlaczego proponowana metoda i obliczenia oparte na art. 88 ust. 2 rozporządzenia w sprawie wspólnych przepisów są odpowiednie dla danego rodzaju operacji:</w:t>
      </w:r>
    </w:p>
    <w:p w14:paraId="5B1BC187" w14:textId="77777777" w:rsidR="00544789" w:rsidRPr="007F29AE" w:rsidRDefault="00544789">
      <w:pPr>
        <w:pStyle w:val="Tekstpodstawowy"/>
        <w:rPr>
          <w:rFonts w:asciiTheme="minorHAnsi" w:hAnsiTheme="minorHAnsi" w:cstheme="minorHAnsi"/>
          <w:sz w:val="20"/>
        </w:rPr>
      </w:pPr>
    </w:p>
    <w:p w14:paraId="52DC4390" w14:textId="516AF0BA" w:rsidR="00544789" w:rsidRPr="007F29AE" w:rsidRDefault="00B71363" w:rsidP="00C77F1B">
      <w:pPr>
        <w:pStyle w:val="Tekstpodstawowy"/>
        <w:pBdr>
          <w:top w:val="single" w:sz="4" w:space="1" w:color="auto"/>
          <w:left w:val="single" w:sz="4" w:space="0" w:color="auto"/>
          <w:bottom w:val="single" w:sz="4" w:space="1" w:color="auto"/>
          <w:right w:val="single" w:sz="4" w:space="4" w:color="auto"/>
        </w:pBdr>
        <w:spacing w:before="5"/>
        <w:ind w:left="567"/>
        <w:rPr>
          <w:rFonts w:asciiTheme="minorHAnsi" w:hAnsiTheme="minorHAnsi" w:cstheme="minorHAnsi"/>
          <w:sz w:val="22"/>
        </w:rPr>
      </w:pPr>
      <w:r>
        <w:rPr>
          <w:rFonts w:asciiTheme="minorHAnsi" w:hAnsiTheme="minorHAnsi"/>
          <w:sz w:val="22"/>
        </w:rPr>
        <w:t xml:space="preserve">Proponowana metoda jest uznawana za zasadną, ponieważ rodzaj operacji (który jest tylko jeden w kontekście Programu ESPON 2020 i ESPON 2030) jest taki sam i realizowany przez tego samego </w:t>
      </w:r>
      <w:r w:rsidR="004C4D31">
        <w:rPr>
          <w:rFonts w:asciiTheme="minorHAnsi" w:hAnsiTheme="minorHAnsi"/>
          <w:sz w:val="22"/>
        </w:rPr>
        <w:t>Pojedynczego</w:t>
      </w:r>
      <w:r>
        <w:rPr>
          <w:rFonts w:asciiTheme="minorHAnsi" w:hAnsiTheme="minorHAnsi"/>
          <w:sz w:val="22"/>
        </w:rPr>
        <w:t xml:space="preserve"> Beneficjenta. Utrzymano realizację programu poprzez jedną pojedynczą operację przez jednego pojedynczego Beneficjenta. Ro</w:t>
      </w:r>
      <w:r w:rsidR="0090757E">
        <w:rPr>
          <w:rFonts w:asciiTheme="minorHAnsi" w:hAnsiTheme="minorHAnsi"/>
          <w:sz w:val="22"/>
        </w:rPr>
        <w:t>dzaj działań pozostaje taki sam tj.</w:t>
      </w:r>
      <w:r>
        <w:rPr>
          <w:rFonts w:asciiTheme="minorHAnsi" w:hAnsiTheme="minorHAnsi"/>
          <w:sz w:val="22"/>
        </w:rPr>
        <w:t xml:space="preserve"> </w:t>
      </w:r>
      <w:r w:rsidR="004C4D31">
        <w:rPr>
          <w:rFonts w:asciiTheme="minorHAnsi" w:hAnsiTheme="minorHAnsi"/>
          <w:sz w:val="22"/>
        </w:rPr>
        <w:t>przedstawianie</w:t>
      </w:r>
      <w:r>
        <w:rPr>
          <w:rFonts w:asciiTheme="minorHAnsi" w:hAnsiTheme="minorHAnsi"/>
          <w:sz w:val="22"/>
        </w:rPr>
        <w:t xml:space="preserve"> dowodów i działania zewnętrzne. Jednak w kontekście programu ESPON 2030 udoskonalono grupy docelowe i cele szczegółowe w zakresie kontaktów zewnętrznych i zdecydowan</w:t>
      </w:r>
      <w:r w:rsidR="0090757E">
        <w:rPr>
          <w:rFonts w:asciiTheme="minorHAnsi" w:hAnsiTheme="minorHAnsi"/>
          <w:sz w:val="22"/>
        </w:rPr>
        <w:t xml:space="preserve">o się zgrupować je pod </w:t>
      </w:r>
      <w:proofErr w:type="spellStart"/>
      <w:r w:rsidR="0090757E">
        <w:rPr>
          <w:rFonts w:asciiTheme="minorHAnsi" w:hAnsiTheme="minorHAnsi"/>
          <w:sz w:val="22"/>
        </w:rPr>
        <w:t>haslem</w:t>
      </w:r>
      <w:proofErr w:type="spellEnd"/>
      <w:r>
        <w:rPr>
          <w:rFonts w:asciiTheme="minorHAnsi" w:hAnsiTheme="minorHAnsi"/>
          <w:sz w:val="22"/>
        </w:rPr>
        <w:t xml:space="preserve"> "rozwoju wiedzy". Charakter działań pozostaje jednak bez zmian. </w:t>
      </w:r>
    </w:p>
    <w:p w14:paraId="6718DE40" w14:textId="77777777" w:rsidR="00B71363" w:rsidRPr="007F29AE" w:rsidRDefault="00B71363" w:rsidP="00C77F1B">
      <w:pPr>
        <w:pStyle w:val="Tekstpodstawowy"/>
        <w:pBdr>
          <w:top w:val="single" w:sz="4" w:space="1" w:color="auto"/>
          <w:left w:val="single" w:sz="4" w:space="0" w:color="auto"/>
          <w:bottom w:val="single" w:sz="4" w:space="1" w:color="auto"/>
          <w:right w:val="single" w:sz="4" w:space="4" w:color="auto"/>
        </w:pBdr>
        <w:spacing w:before="5"/>
        <w:ind w:left="567"/>
        <w:rPr>
          <w:rFonts w:asciiTheme="minorHAnsi" w:hAnsiTheme="minorHAnsi" w:cstheme="minorHAnsi"/>
        </w:rPr>
      </w:pPr>
    </w:p>
    <w:p w14:paraId="40132F84" w14:textId="0B67D515" w:rsidR="00544789" w:rsidRPr="007F29AE" w:rsidRDefault="00834CFD" w:rsidP="009E38FB">
      <w:pPr>
        <w:pStyle w:val="Akapitzlist"/>
        <w:numPr>
          <w:ilvl w:val="1"/>
          <w:numId w:val="2"/>
        </w:numPr>
        <w:tabs>
          <w:tab w:val="left" w:pos="753"/>
        </w:tabs>
        <w:spacing w:before="89"/>
        <w:ind w:right="612"/>
        <w:rPr>
          <w:rFonts w:asciiTheme="minorHAnsi" w:hAnsiTheme="minorHAnsi" w:cstheme="minorHAnsi"/>
          <w:sz w:val="24"/>
        </w:rPr>
      </w:pPr>
      <w:r>
        <w:rPr>
          <w:rFonts w:asciiTheme="minorHAnsi" w:hAnsiTheme="minorHAnsi"/>
          <w:sz w:val="24"/>
        </w:rPr>
        <w:t xml:space="preserve">Proszę określić, w jaki sposób dokonano obliczeń, w szczególności uwzględniając wszelkie założenia dotyczące jakości lub ilości. W stosownych przypadkach należy wykorzystać dowody statystyczne i punkty odniesienia </w:t>
      </w:r>
      <w:r w:rsidR="007B512C">
        <w:rPr>
          <w:rFonts w:asciiTheme="minorHAnsi" w:hAnsiTheme="minorHAnsi"/>
          <w:sz w:val="24"/>
        </w:rPr>
        <w:t>oraz</w:t>
      </w:r>
      <w:r>
        <w:rPr>
          <w:rFonts w:asciiTheme="minorHAnsi" w:hAnsiTheme="minorHAnsi"/>
          <w:sz w:val="24"/>
        </w:rPr>
        <w:t xml:space="preserve"> na żądanie, przedstawić je w formacie, który może być wykorzystany przez Komisję:</w:t>
      </w:r>
    </w:p>
    <w:p w14:paraId="3B12B4DE" w14:textId="77777777" w:rsidR="00960A82" w:rsidRPr="007F29AE" w:rsidRDefault="00960A82" w:rsidP="00960A82">
      <w:pPr>
        <w:pStyle w:val="Akapitzlist"/>
        <w:tabs>
          <w:tab w:val="left" w:pos="753"/>
        </w:tabs>
        <w:spacing w:before="89"/>
        <w:ind w:left="510" w:right="612"/>
        <w:rPr>
          <w:rFonts w:asciiTheme="minorHAnsi" w:hAnsiTheme="minorHAnsi" w:cstheme="minorHAnsi"/>
          <w:sz w:val="24"/>
        </w:rPr>
      </w:pPr>
    </w:p>
    <w:p w14:paraId="57B1814A" w14:textId="3B175D63" w:rsidR="003F5D66" w:rsidRPr="007F29AE" w:rsidRDefault="003F5D66"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Wykorzystane dane to poświadczone i zaakceptowane koszty personelu </w:t>
      </w:r>
      <w:r w:rsidR="004C4D31">
        <w:rPr>
          <w:rFonts w:asciiTheme="minorHAnsi" w:hAnsiTheme="minorHAnsi"/>
        </w:rPr>
        <w:t>pojedynczej</w:t>
      </w:r>
      <w:r>
        <w:rPr>
          <w:rFonts w:asciiTheme="minorHAnsi" w:hAnsiTheme="minorHAnsi"/>
        </w:rPr>
        <w:t xml:space="preserve"> operacji programu ESPON 2020 za lata 2016, 2017, 2018 i 2019.  Rok 2020 został wyłączony ze względu na pandemię COVID-19.  W roku 2019 rząd Luksemburga bezpośrednio wspierał koszty personelu za pośrednictwem krajowego systemu zabezpieczenia społecznego, przyznając:</w:t>
      </w:r>
    </w:p>
    <w:p w14:paraId="4FB9C927" w14:textId="56AFF27C" w:rsidR="003F5D66" w:rsidRPr="007F29AE" w:rsidRDefault="0090757E"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specjalny płatny urlop</w:t>
      </w:r>
      <w:r w:rsidR="003F5D66">
        <w:rPr>
          <w:rFonts w:asciiTheme="minorHAnsi" w:hAnsiTheme="minorHAnsi"/>
        </w:rPr>
        <w:t xml:space="preserve"> (z ubezpieczenia społecznego), aby umożliwić rodzicom opiekę nad dziećmi w czasie zamknięcia szkoły</w:t>
      </w:r>
    </w:p>
    <w:p w14:paraId="2566ABC5" w14:textId="740BA79C" w:rsidR="003F5D66" w:rsidRPr="007F29AE" w:rsidRDefault="0090757E"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specjalny płatny urlop</w:t>
      </w:r>
      <w:r w:rsidR="003F5D66">
        <w:rPr>
          <w:rFonts w:asciiTheme="minorHAnsi" w:hAnsiTheme="minorHAnsi"/>
        </w:rPr>
        <w:t xml:space="preserve"> (z ubezpieczenia społecznego), aby umożliwić rodzicom opiekę nad dziećmi podczas nauki na odległość. </w:t>
      </w:r>
    </w:p>
    <w:p w14:paraId="6ED86CCB" w14:textId="77777777" w:rsidR="003F5D66" w:rsidRPr="007F29AE" w:rsidRDefault="003F5D66"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7FD2ABD7" w14:textId="77777777" w:rsidR="00544789" w:rsidRPr="007F29AE" w:rsidRDefault="003F5D66"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Środki te były w dużej mierze wykorzystywane w 2020 r. i pokryły znaczną część kosztów personelu beneficjenta. W związku z tym uwzględnienie zadeklarowanych kosztów personelu za rok 2020 nie pozwoliłoby na obliczenie rzeczywistego wskaźnika zastępczego dla kosztów personelu potrzebnych do realizacji pojedynczej operacji w ramach programu ESPON 2030. </w:t>
      </w:r>
    </w:p>
    <w:p w14:paraId="5017604C" w14:textId="77777777" w:rsidR="00C804D5" w:rsidRPr="007F29AE" w:rsidRDefault="00C804D5"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2BD633EE" w14:textId="77777777" w:rsidR="00C804D5" w:rsidRPr="007F29AE" w:rsidRDefault="00C804D5"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Zaproponowana metoda zakłada, że do realizacji działań, które są tego samego rodzaju w programie ESPON 2020 i ESPON 2030, potrzebna jest taka sama proporcja kosztów personelu. </w:t>
      </w:r>
    </w:p>
    <w:p w14:paraId="5392EFA7" w14:textId="77777777" w:rsidR="00C804D5" w:rsidRPr="007F29AE" w:rsidRDefault="00C804D5"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4700AA5E" w14:textId="77777777" w:rsidR="00C804D5" w:rsidRPr="007F29AE" w:rsidRDefault="00C804D5"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Aby obliczyć tę proporcję, do obliczenia stawki ryczałtowej kosztów personelu uwzględniono następujące wydatki: </w:t>
      </w:r>
    </w:p>
    <w:p w14:paraId="7F94A3AC" w14:textId="5131CA08" w:rsidR="00C804D5" w:rsidRPr="007F29AE" w:rsidRDefault="00C804D5"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 wszystkie koszty związane z celem od 1 do 4 programu ESPON 2020 (z wyjątkiem kosztów tygodnia ESPON, </w:t>
      </w:r>
      <w:r>
        <w:rPr>
          <w:rFonts w:asciiTheme="minorHAnsi" w:hAnsiTheme="minorHAnsi"/>
        </w:rPr>
        <w:lastRenderedPageBreak/>
        <w:t>ponieważ w programie ESPON 2030 zostaną one pokryte przez Pomoc Techniczną i poniesione przez IZ)</w:t>
      </w:r>
    </w:p>
    <w:p w14:paraId="0458014A" w14:textId="62B46EA0" w:rsidR="00C804D5" w:rsidRPr="007F29AE" w:rsidRDefault="00C804D5"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 tylko działania związane z pierwszą umową dotyczącą </w:t>
      </w:r>
      <w:r w:rsidR="004871C9">
        <w:rPr>
          <w:rFonts w:asciiTheme="minorHAnsi" w:hAnsiTheme="minorHAnsi"/>
        </w:rPr>
        <w:t>Rady Naukowej</w:t>
      </w:r>
      <w:r>
        <w:rPr>
          <w:rFonts w:asciiTheme="minorHAnsi" w:hAnsiTheme="minorHAnsi"/>
        </w:rPr>
        <w:t xml:space="preserve"> ds. jakości, doradztwa technicznego w zakresie metodologii monitorowania i </w:t>
      </w:r>
      <w:r w:rsidR="004871C9">
        <w:rPr>
          <w:rFonts w:asciiTheme="minorHAnsi" w:hAnsiTheme="minorHAnsi"/>
        </w:rPr>
        <w:t>ewaluacji</w:t>
      </w:r>
      <w:r>
        <w:rPr>
          <w:rFonts w:asciiTheme="minorHAnsi" w:hAnsiTheme="minorHAnsi"/>
        </w:rPr>
        <w:t xml:space="preserve"> oraz usług internetowych w ramach celu 5 programu ESPON 2020</w:t>
      </w:r>
      <w:r w:rsidR="004871C9">
        <w:rPr>
          <w:rFonts w:asciiTheme="minorHAnsi" w:hAnsiTheme="minorHAnsi"/>
        </w:rPr>
        <w:t>,</w:t>
      </w:r>
      <w:r>
        <w:rPr>
          <w:rFonts w:asciiTheme="minorHAnsi" w:hAnsiTheme="minorHAnsi"/>
        </w:rPr>
        <w:t xml:space="preserve"> zostały</w:t>
      </w:r>
      <w:r w:rsidR="004871C9">
        <w:rPr>
          <w:rFonts w:asciiTheme="minorHAnsi" w:hAnsiTheme="minorHAnsi"/>
        </w:rPr>
        <w:t xml:space="preserve"> uznane za odpowiadające realizacji badań</w:t>
      </w:r>
      <w:r>
        <w:rPr>
          <w:rFonts w:asciiTheme="minorHAnsi" w:hAnsiTheme="minorHAnsi"/>
        </w:rPr>
        <w:t xml:space="preserve"> (</w:t>
      </w:r>
      <w:r w:rsidR="004871C9">
        <w:rPr>
          <w:rFonts w:asciiTheme="minorHAnsi" w:hAnsiTheme="minorHAnsi"/>
        </w:rPr>
        <w:t>Rada Naukowa</w:t>
      </w:r>
      <w:r>
        <w:rPr>
          <w:rFonts w:asciiTheme="minorHAnsi" w:hAnsiTheme="minorHAnsi"/>
        </w:rPr>
        <w:t xml:space="preserve"> ds. jakości, doradztwo techniczne w zakresie metodologii monitorowania i </w:t>
      </w:r>
      <w:r w:rsidR="004871C9">
        <w:rPr>
          <w:rFonts w:asciiTheme="minorHAnsi" w:hAnsiTheme="minorHAnsi"/>
        </w:rPr>
        <w:t>ewaluacji)</w:t>
      </w:r>
      <w:r>
        <w:rPr>
          <w:rFonts w:asciiTheme="minorHAnsi" w:hAnsiTheme="minorHAnsi"/>
        </w:rPr>
        <w:t xml:space="preserve"> lub tworzeniu wiedzy (usługi internetowe) w kontekście programu ESPON 2030. Wszelkie inne koszty w SO5 zostały wyłączone, ponieważ ze względu na swój charakter zostaną pokryte z pozycji budżetowej dotyczącej kosztów administracyjnych. </w:t>
      </w:r>
    </w:p>
    <w:p w14:paraId="3F36147A" w14:textId="48782578" w:rsidR="00402339" w:rsidRDefault="00402339"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44423EF1" w14:textId="77777777" w:rsidR="001705B0" w:rsidRPr="007F29AE" w:rsidRDefault="001705B0"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18BC66B0" w14:textId="0778DBDD" w:rsidR="00402339" w:rsidRPr="007F29AE" w:rsidRDefault="00402339"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Wyżej wymienione koszty obejmowały lata 2016-2019.</w:t>
      </w:r>
    </w:p>
    <w:p w14:paraId="0EBC23AA" w14:textId="77777777" w:rsidR="00402339" w:rsidRPr="007F29AE" w:rsidRDefault="00402339"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62B0ED4C" w14:textId="77777777" w:rsidR="00402339" w:rsidRPr="007F29AE" w:rsidRDefault="00402339"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Uwzględnione kwoty były ostatecznymi zaakceptowanymi i skontrolowanymi kosztami, zarówno w odniesieniu do pracowników, jak i ekspertów zewnętrznych. </w:t>
      </w:r>
    </w:p>
    <w:p w14:paraId="388C73D2" w14:textId="77777777" w:rsidR="00402339" w:rsidRPr="007F29AE" w:rsidRDefault="00402339"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7F4418C0" w14:textId="77777777" w:rsidR="00402339" w:rsidRPr="007F29AE" w:rsidRDefault="00402339" w:rsidP="003F5D66">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Instytucja Audytowa otrzymała pełną listę uwzględnionych wydatków, jak również pełną listę wydatków w ramach celu 5, które nie zostały uwzględnione przy obliczaniu stawki ryczałtowej. </w:t>
      </w:r>
    </w:p>
    <w:p w14:paraId="7276794E" w14:textId="77777777" w:rsidR="00544789" w:rsidRPr="007F29AE" w:rsidRDefault="00544789">
      <w:pPr>
        <w:pStyle w:val="Tekstpodstawowy"/>
        <w:spacing w:before="5"/>
        <w:rPr>
          <w:rFonts w:asciiTheme="minorHAnsi" w:hAnsiTheme="minorHAnsi" w:cstheme="minorHAnsi"/>
          <w:sz w:val="22"/>
          <w:szCs w:val="22"/>
        </w:rPr>
      </w:pPr>
    </w:p>
    <w:p w14:paraId="46189368" w14:textId="79316DC7" w:rsidR="00544789" w:rsidRPr="007F29AE" w:rsidRDefault="00834CFD" w:rsidP="00960A82">
      <w:pPr>
        <w:pStyle w:val="Akapitzlist"/>
        <w:numPr>
          <w:ilvl w:val="1"/>
          <w:numId w:val="2"/>
        </w:numPr>
        <w:tabs>
          <w:tab w:val="left" w:pos="753"/>
        </w:tabs>
        <w:spacing w:before="89"/>
        <w:ind w:left="510" w:right="612" w:firstLine="0"/>
        <w:rPr>
          <w:rFonts w:asciiTheme="minorHAnsi" w:hAnsiTheme="minorHAnsi" w:cstheme="minorHAnsi"/>
          <w:sz w:val="24"/>
        </w:rPr>
      </w:pPr>
      <w:r>
        <w:rPr>
          <w:rFonts w:asciiTheme="minorHAnsi" w:hAnsiTheme="minorHAnsi"/>
          <w:sz w:val="24"/>
        </w:rPr>
        <w:t xml:space="preserve">Proszę wyjaśnić, w jaki sposób zapewnili Państwo, że jedynie wydatki kwalifikowalne zostały uwzględnione przy obliczaniu standardowej skali kosztów jednostkowych, płatności ryczałtowych lub stawki ryczałtowej: </w:t>
      </w:r>
    </w:p>
    <w:p w14:paraId="37DBD02D" w14:textId="77777777" w:rsidR="00960A82" w:rsidRPr="007F29AE" w:rsidRDefault="00960A82" w:rsidP="00960A82">
      <w:pPr>
        <w:pStyle w:val="Akapitzlist"/>
        <w:tabs>
          <w:tab w:val="left" w:pos="753"/>
        </w:tabs>
        <w:spacing w:before="89"/>
        <w:ind w:left="510" w:right="612"/>
        <w:jc w:val="right"/>
        <w:rPr>
          <w:rFonts w:asciiTheme="minorHAnsi" w:hAnsiTheme="minorHAnsi" w:cstheme="minorHAnsi"/>
          <w:sz w:val="24"/>
        </w:rPr>
      </w:pPr>
    </w:p>
    <w:p w14:paraId="06CE2E8F" w14:textId="77777777" w:rsidR="00544789" w:rsidRPr="007F29AE" w:rsidRDefault="00402339" w:rsidP="00C77F1B">
      <w:pPr>
        <w:pStyle w:val="Tekstpodstawowy"/>
        <w:pBdr>
          <w:top w:val="single" w:sz="4" w:space="1" w:color="auto"/>
          <w:left w:val="single" w:sz="4" w:space="4" w:color="auto"/>
          <w:bottom w:val="single" w:sz="4" w:space="1" w:color="auto"/>
          <w:right w:val="single" w:sz="4" w:space="4" w:color="auto"/>
        </w:pBdr>
        <w:spacing w:before="9"/>
        <w:ind w:left="567"/>
        <w:rPr>
          <w:rFonts w:asciiTheme="minorHAnsi" w:hAnsiTheme="minorHAnsi" w:cstheme="minorHAnsi"/>
          <w:sz w:val="22"/>
          <w:szCs w:val="22"/>
        </w:rPr>
      </w:pPr>
      <w:r>
        <w:rPr>
          <w:rFonts w:asciiTheme="minorHAnsi" w:hAnsiTheme="minorHAnsi"/>
          <w:sz w:val="22"/>
          <w:szCs w:val="22"/>
        </w:rPr>
        <w:t>Wszystkie wydatki wykorzystane do obliczenia stawki ryczałtowej zostały sprawdzone i zatwierdzone przez Instytucję Zarządzającą, Instytucję Certyfikującą i Instytucję Audytową.</w:t>
      </w:r>
    </w:p>
    <w:p w14:paraId="2EDCE01E" w14:textId="77777777" w:rsidR="00544789" w:rsidRPr="007F29AE" w:rsidRDefault="00544789">
      <w:pPr>
        <w:pStyle w:val="Tekstpodstawowy"/>
        <w:spacing w:before="5"/>
        <w:rPr>
          <w:rFonts w:asciiTheme="minorHAnsi" w:hAnsiTheme="minorHAnsi" w:cstheme="minorHAnsi"/>
          <w:sz w:val="20"/>
        </w:rPr>
      </w:pPr>
    </w:p>
    <w:p w14:paraId="6A8EB344" w14:textId="77777777" w:rsidR="00544789" w:rsidRPr="007F29AE" w:rsidRDefault="00834CFD" w:rsidP="00960A82">
      <w:pPr>
        <w:pStyle w:val="Akapitzlist"/>
        <w:numPr>
          <w:ilvl w:val="1"/>
          <w:numId w:val="2"/>
        </w:numPr>
        <w:tabs>
          <w:tab w:val="left" w:pos="753"/>
        </w:tabs>
        <w:spacing w:before="89"/>
        <w:ind w:left="510" w:right="612" w:firstLine="0"/>
        <w:rPr>
          <w:rFonts w:asciiTheme="minorHAnsi" w:hAnsiTheme="minorHAnsi" w:cstheme="minorHAnsi"/>
          <w:sz w:val="24"/>
        </w:rPr>
      </w:pPr>
      <w:r>
        <w:rPr>
          <w:rFonts w:asciiTheme="minorHAnsi" w:hAnsiTheme="minorHAnsi"/>
          <w:sz w:val="24"/>
        </w:rPr>
        <w:t>Ocena instytucji audytowej (instytucji audytowych) dotycząca metodologii obliczeń i kwot oraz ustaleń zapewniających weryfikację, jakość, gromadzenie i przechowywanie danych.</w:t>
      </w:r>
    </w:p>
    <w:p w14:paraId="7F8025C5" w14:textId="77777777" w:rsidR="00960A82" w:rsidRPr="007F29AE" w:rsidRDefault="00960A82" w:rsidP="00960A82">
      <w:pPr>
        <w:pStyle w:val="Akapitzlist"/>
        <w:tabs>
          <w:tab w:val="left" w:pos="753"/>
        </w:tabs>
        <w:spacing w:before="89"/>
        <w:ind w:left="510" w:right="612"/>
        <w:jc w:val="right"/>
        <w:rPr>
          <w:rFonts w:asciiTheme="minorHAnsi" w:hAnsiTheme="minorHAnsi" w:cstheme="minorHAnsi"/>
          <w:sz w:val="24"/>
        </w:rPr>
      </w:pPr>
    </w:p>
    <w:p w14:paraId="7235F03F" w14:textId="51D95BF2" w:rsidR="00544789" w:rsidRDefault="00544789" w:rsidP="00C77F1B">
      <w:pPr>
        <w:pStyle w:val="Tekstpodstawowy"/>
        <w:pBdr>
          <w:top w:val="single" w:sz="4" w:space="1" w:color="auto"/>
          <w:left w:val="single" w:sz="4" w:space="4" w:color="auto"/>
          <w:bottom w:val="single" w:sz="4" w:space="1" w:color="auto"/>
          <w:right w:val="single" w:sz="4" w:space="4" w:color="auto"/>
        </w:pBdr>
        <w:spacing w:before="4"/>
        <w:ind w:left="567"/>
        <w:rPr>
          <w:rFonts w:asciiTheme="minorHAnsi" w:hAnsiTheme="minorHAnsi" w:cstheme="minorHAnsi"/>
          <w:sz w:val="22"/>
          <w:szCs w:val="22"/>
        </w:rPr>
      </w:pPr>
    </w:p>
    <w:p w14:paraId="3567EBC5" w14:textId="6ECCB603" w:rsidR="0088247D" w:rsidRDefault="0088247D" w:rsidP="00C77F1B">
      <w:pPr>
        <w:pStyle w:val="Tekstpodstawowy"/>
        <w:pBdr>
          <w:top w:val="single" w:sz="4" w:space="1" w:color="auto"/>
          <w:left w:val="single" w:sz="4" w:space="4" w:color="auto"/>
          <w:bottom w:val="single" w:sz="4" w:space="1" w:color="auto"/>
          <w:right w:val="single" w:sz="4" w:space="4" w:color="auto"/>
        </w:pBdr>
        <w:spacing w:before="4"/>
        <w:ind w:left="567"/>
        <w:rPr>
          <w:rFonts w:asciiTheme="minorHAnsi" w:hAnsiTheme="minorHAnsi" w:cstheme="minorHAnsi"/>
          <w:sz w:val="22"/>
          <w:szCs w:val="22"/>
        </w:rPr>
      </w:pPr>
    </w:p>
    <w:p w14:paraId="3E6F7BF0" w14:textId="55F280ED" w:rsidR="0088247D" w:rsidRDefault="0088247D" w:rsidP="00C77F1B">
      <w:pPr>
        <w:pStyle w:val="Tekstpodstawowy"/>
        <w:pBdr>
          <w:top w:val="single" w:sz="4" w:space="1" w:color="auto"/>
          <w:left w:val="single" w:sz="4" w:space="4" w:color="auto"/>
          <w:bottom w:val="single" w:sz="4" w:space="1" w:color="auto"/>
          <w:right w:val="single" w:sz="4" w:space="4" w:color="auto"/>
        </w:pBdr>
        <w:spacing w:before="4"/>
        <w:ind w:left="567"/>
        <w:rPr>
          <w:rFonts w:asciiTheme="minorHAnsi" w:hAnsiTheme="minorHAnsi" w:cstheme="minorHAnsi"/>
          <w:sz w:val="22"/>
          <w:szCs w:val="22"/>
        </w:rPr>
      </w:pPr>
    </w:p>
    <w:p w14:paraId="5348DCA9" w14:textId="2D46340F" w:rsidR="0088247D" w:rsidRDefault="0088247D" w:rsidP="00C77F1B">
      <w:pPr>
        <w:pStyle w:val="Tekstpodstawowy"/>
        <w:pBdr>
          <w:top w:val="single" w:sz="4" w:space="1" w:color="auto"/>
          <w:left w:val="single" w:sz="4" w:space="4" w:color="auto"/>
          <w:bottom w:val="single" w:sz="4" w:space="1" w:color="auto"/>
          <w:right w:val="single" w:sz="4" w:space="4" w:color="auto"/>
        </w:pBdr>
        <w:spacing w:before="4"/>
        <w:ind w:left="567"/>
        <w:rPr>
          <w:rFonts w:asciiTheme="minorHAnsi" w:hAnsiTheme="minorHAnsi" w:cstheme="minorHAnsi"/>
          <w:sz w:val="22"/>
          <w:szCs w:val="22"/>
        </w:rPr>
      </w:pPr>
    </w:p>
    <w:p w14:paraId="7947F62B" w14:textId="58BBBDD7" w:rsidR="0088247D" w:rsidRDefault="0088247D" w:rsidP="00C77F1B">
      <w:pPr>
        <w:pStyle w:val="Tekstpodstawowy"/>
        <w:pBdr>
          <w:top w:val="single" w:sz="4" w:space="1" w:color="auto"/>
          <w:left w:val="single" w:sz="4" w:space="4" w:color="auto"/>
          <w:bottom w:val="single" w:sz="4" w:space="1" w:color="auto"/>
          <w:right w:val="single" w:sz="4" w:space="4" w:color="auto"/>
        </w:pBdr>
        <w:spacing w:before="4"/>
        <w:ind w:left="567"/>
        <w:rPr>
          <w:rFonts w:asciiTheme="minorHAnsi" w:hAnsiTheme="minorHAnsi" w:cstheme="minorHAnsi"/>
          <w:sz w:val="22"/>
          <w:szCs w:val="22"/>
        </w:rPr>
      </w:pPr>
    </w:p>
    <w:p w14:paraId="356EC270" w14:textId="77777777" w:rsidR="0088247D" w:rsidRPr="007F29AE" w:rsidRDefault="0088247D" w:rsidP="00C77F1B">
      <w:pPr>
        <w:pStyle w:val="Tekstpodstawowy"/>
        <w:pBdr>
          <w:top w:val="single" w:sz="4" w:space="1" w:color="auto"/>
          <w:left w:val="single" w:sz="4" w:space="4" w:color="auto"/>
          <w:bottom w:val="single" w:sz="4" w:space="1" w:color="auto"/>
          <w:right w:val="single" w:sz="4" w:space="4" w:color="auto"/>
        </w:pBdr>
        <w:spacing w:before="4"/>
        <w:ind w:left="567"/>
        <w:rPr>
          <w:rFonts w:asciiTheme="minorHAnsi" w:hAnsiTheme="minorHAnsi" w:cstheme="minorHAnsi"/>
          <w:sz w:val="22"/>
          <w:szCs w:val="22"/>
        </w:rPr>
      </w:pPr>
    </w:p>
    <w:p w14:paraId="1A4EA07E" w14:textId="77777777" w:rsidR="00544789" w:rsidRPr="007F29AE" w:rsidRDefault="00544789">
      <w:pPr>
        <w:pStyle w:val="Tekstpodstawowy"/>
        <w:rPr>
          <w:rFonts w:asciiTheme="minorHAnsi" w:hAnsiTheme="minorHAnsi" w:cstheme="minorHAnsi"/>
          <w:sz w:val="20"/>
        </w:rPr>
      </w:pPr>
    </w:p>
    <w:p w14:paraId="556FC223" w14:textId="77777777" w:rsidR="00544789" w:rsidRPr="007F29AE" w:rsidRDefault="00544789">
      <w:pPr>
        <w:pStyle w:val="Tekstpodstawowy"/>
        <w:rPr>
          <w:rFonts w:asciiTheme="minorHAnsi" w:hAnsiTheme="minorHAnsi" w:cstheme="minorHAnsi"/>
          <w:sz w:val="20"/>
        </w:rPr>
      </w:pPr>
    </w:p>
    <w:p w14:paraId="3B7793AE" w14:textId="77777777" w:rsidR="00544789" w:rsidRPr="007F29AE" w:rsidRDefault="00544789">
      <w:pPr>
        <w:pStyle w:val="Tekstpodstawowy"/>
        <w:rPr>
          <w:rFonts w:asciiTheme="minorHAnsi" w:hAnsiTheme="minorHAnsi" w:cstheme="minorHAnsi"/>
          <w:sz w:val="20"/>
        </w:rPr>
      </w:pPr>
    </w:p>
    <w:p w14:paraId="75694151" w14:textId="77777777" w:rsidR="00544789" w:rsidRPr="007F29AE" w:rsidRDefault="00544789">
      <w:pPr>
        <w:pStyle w:val="Tekstpodstawowy"/>
        <w:spacing w:before="7"/>
        <w:rPr>
          <w:rFonts w:asciiTheme="minorHAnsi" w:hAnsiTheme="minorHAnsi" w:cstheme="minorHAnsi"/>
          <w:sz w:val="17"/>
        </w:rPr>
      </w:pPr>
    </w:p>
    <w:sectPr w:rsidR="00544789" w:rsidRPr="007F29AE">
      <w:footerReference w:type="default" r:id="rId12"/>
      <w:pgSz w:w="11910" w:h="16840"/>
      <w:pgMar w:top="1140" w:right="620" w:bottom="1240" w:left="6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212DF" w14:textId="77777777" w:rsidR="008B1B6A" w:rsidRDefault="008B1B6A">
      <w:r>
        <w:separator/>
      </w:r>
    </w:p>
  </w:endnote>
  <w:endnote w:type="continuationSeparator" w:id="0">
    <w:p w14:paraId="10C76EDC" w14:textId="77777777" w:rsidR="008B1B6A" w:rsidRDefault="008B1B6A">
      <w:r>
        <w:continuationSeparator/>
      </w:r>
    </w:p>
  </w:endnote>
  <w:endnote w:type="continuationNotice" w:id="1">
    <w:p w14:paraId="40A94C25" w14:textId="77777777" w:rsidR="008B1B6A" w:rsidRDefault="008B1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46680"/>
      <w:docPartObj>
        <w:docPartGallery w:val="Page Numbers (Bottom of Page)"/>
        <w:docPartUnique/>
      </w:docPartObj>
    </w:sdtPr>
    <w:sdtEndPr>
      <w:rPr>
        <w:noProof/>
      </w:rPr>
    </w:sdtEndPr>
    <w:sdtContent>
      <w:p w14:paraId="2CF35D0C" w14:textId="73DFC59B" w:rsidR="00327157" w:rsidRDefault="00327157">
        <w:pPr>
          <w:pStyle w:val="Stopka"/>
          <w:jc w:val="center"/>
        </w:pPr>
        <w:r>
          <w:fldChar w:fldCharType="begin"/>
        </w:r>
        <w:r>
          <w:instrText xml:space="preserve"> PAGE   \* MERGEFORMAT </w:instrText>
        </w:r>
        <w:r>
          <w:fldChar w:fldCharType="separate"/>
        </w:r>
        <w:r w:rsidR="00747ADF">
          <w:rPr>
            <w:noProof/>
          </w:rPr>
          <w:t>2</w:t>
        </w:r>
        <w:r>
          <w:fldChar w:fldCharType="end"/>
        </w:r>
      </w:p>
    </w:sdtContent>
  </w:sdt>
  <w:p w14:paraId="69488888" w14:textId="77777777" w:rsidR="00327157" w:rsidRDefault="003271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D86DE" w14:textId="350C650A" w:rsidR="00544789" w:rsidRPr="000747EB" w:rsidRDefault="00544789" w:rsidP="000747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F4A9C" w14:textId="77777777" w:rsidR="008B1B6A" w:rsidRDefault="008B1B6A">
      <w:r>
        <w:separator/>
      </w:r>
    </w:p>
  </w:footnote>
  <w:footnote w:type="continuationSeparator" w:id="0">
    <w:p w14:paraId="6235DEAC" w14:textId="77777777" w:rsidR="008B1B6A" w:rsidRDefault="008B1B6A">
      <w:r>
        <w:continuationSeparator/>
      </w:r>
    </w:p>
  </w:footnote>
  <w:footnote w:type="continuationNotice" w:id="1">
    <w:p w14:paraId="39B6316F" w14:textId="77777777" w:rsidR="008B1B6A" w:rsidRDefault="008B1B6A"/>
  </w:footnote>
  <w:footnote w:id="2">
    <w:p w14:paraId="603AC2D9" w14:textId="2B24B7BE" w:rsidR="000747EB" w:rsidRPr="000747EB" w:rsidRDefault="000747EB">
      <w:pPr>
        <w:pStyle w:val="Tekstprzypisudolnego"/>
      </w:pPr>
      <w:r>
        <w:rPr>
          <w:rStyle w:val="Odwoanieprzypisudolnego"/>
          <w:rFonts w:asciiTheme="minorHAnsi" w:hAnsiTheme="minorHAnsi" w:cstheme="minorHAnsi"/>
          <w:sz w:val="18"/>
        </w:rPr>
        <w:footnoteRef/>
      </w:r>
      <w:r>
        <w:rPr>
          <w:rFonts w:asciiTheme="minorHAnsi" w:hAnsiTheme="minorHAnsi"/>
          <w:sz w:val="18"/>
        </w:rPr>
        <w:t xml:space="preserve"> Przewidywana data rozpoczęcia wyboru operacji i przewidywana data zakończenia ich realizacji (zob. art. 63 ust. 5 rozporządzenia w sprawie wspólnych przepisów)</w:t>
      </w:r>
    </w:p>
  </w:footnote>
  <w:footnote w:id="3">
    <w:p w14:paraId="4359C2FD" w14:textId="51760C4D" w:rsidR="000747EB" w:rsidRPr="000747EB" w:rsidRDefault="000747EB">
      <w:pPr>
        <w:pStyle w:val="Tekstprzypisudolnego"/>
        <w:rPr>
          <w:rFonts w:asciiTheme="minorHAnsi" w:hAnsiTheme="minorHAnsi" w:cstheme="minorHAnsi"/>
          <w:sz w:val="18"/>
        </w:rPr>
      </w:pPr>
      <w:r>
        <w:rPr>
          <w:rStyle w:val="Odwoanieprzypisudolnego"/>
        </w:rPr>
        <w:footnoteRef/>
      </w:r>
      <w:r>
        <w:t xml:space="preserve"> W przypadku operacji obejmujących kilka uproszczonych wariantów kosztów, dotyczących różnych kategorii kosztów, różnych projektów lub kolejnych etapów operacji, pola od 1.3 do 1.11 należy wypełnić dla każdego wskaźnika powodującego konieczność zwrotu kosztów.</w:t>
      </w:r>
    </w:p>
  </w:footnote>
  <w:footnote w:id="4">
    <w:p w14:paraId="6B158DE4" w14:textId="3C5C6827" w:rsidR="009E38FB" w:rsidRPr="009E38FB" w:rsidRDefault="009E38FB">
      <w:pPr>
        <w:pStyle w:val="Tekstprzypisudolnego"/>
      </w:pPr>
      <w:r>
        <w:rPr>
          <w:rStyle w:val="Odwoanieprzypisudolnego"/>
        </w:rPr>
        <w:footnoteRef/>
      </w:r>
      <w:r>
        <w:t xml:space="preserve"> W stosownych przypadkach należy wskazać częstotliwość i harmonogram dostosowania oraz podać wyraźne odniesienie do konkretnego wskaźnika (w tym, w stosownych przypadkach, link do strony internetowej, na której publikowany jest ten wskaźnik).</w:t>
      </w:r>
    </w:p>
  </w:footnote>
  <w:footnote w:id="5">
    <w:p w14:paraId="247EB776" w14:textId="4573F224" w:rsidR="009E38FB" w:rsidRPr="009E38FB" w:rsidRDefault="009E38FB">
      <w:pPr>
        <w:pStyle w:val="Tekstprzypisudolnego"/>
      </w:pPr>
      <w:r>
        <w:rPr>
          <w:rStyle w:val="Odwoanieprzypisudolnego"/>
        </w:rPr>
        <w:footnoteRef/>
      </w:r>
      <w:r>
        <w:t xml:space="preserve"> Czy istnieją jakiekolwiek potencjalne negatywne skutki dla jakości wspieranych operacji, a jeśli tak, jakie środki (takie jak zapewnienie jakości) zostaną podjęte w celu zrównoważenia tego ryzyka?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7858"/>
    <w:multiLevelType w:val="hybridMultilevel"/>
    <w:tmpl w:val="16F4DFF8"/>
    <w:lvl w:ilvl="0" w:tplc="CC125DA0">
      <w:start w:val="1"/>
      <w:numFmt w:val="upperLetter"/>
      <w:lvlText w:val="%1."/>
      <w:lvlJc w:val="left"/>
      <w:pPr>
        <w:ind w:left="581" w:hanging="401"/>
        <w:jc w:val="right"/>
      </w:pPr>
      <w:rPr>
        <w:rFonts w:hint="default"/>
        <w:b/>
        <w:bCs/>
        <w:spacing w:val="-1"/>
        <w:w w:val="99"/>
        <w:u w:val="single" w:color="231F20"/>
        <w:lang w:val="en-US" w:eastAsia="en-US" w:bidi="ar-SA"/>
      </w:rPr>
    </w:lvl>
    <w:lvl w:ilvl="1" w:tplc="1DB614FA">
      <w:start w:val="1"/>
      <w:numFmt w:val="decimal"/>
      <w:lvlText w:val="%2."/>
      <w:lvlJc w:val="left"/>
      <w:pPr>
        <w:ind w:left="512" w:hanging="241"/>
      </w:pPr>
      <w:rPr>
        <w:rFonts w:ascii="Times New Roman" w:eastAsia="Times New Roman" w:hAnsi="Times New Roman" w:cs="Times New Roman" w:hint="default"/>
        <w:i/>
        <w:iCs/>
        <w:color w:val="231F20"/>
        <w:w w:val="100"/>
        <w:sz w:val="24"/>
        <w:szCs w:val="24"/>
        <w:lang w:val="en-US" w:eastAsia="en-US" w:bidi="ar-SA"/>
      </w:rPr>
    </w:lvl>
    <w:lvl w:ilvl="2" w:tplc="3C807048">
      <w:numFmt w:val="bullet"/>
      <w:lvlText w:val="•"/>
      <w:lvlJc w:val="left"/>
      <w:pPr>
        <w:ind w:left="1700" w:hanging="241"/>
      </w:pPr>
      <w:rPr>
        <w:rFonts w:hint="default"/>
        <w:lang w:val="en-US" w:eastAsia="en-US" w:bidi="ar-SA"/>
      </w:rPr>
    </w:lvl>
    <w:lvl w:ilvl="3" w:tplc="EBD4DB5E">
      <w:numFmt w:val="bullet"/>
      <w:lvlText w:val="•"/>
      <w:lvlJc w:val="left"/>
      <w:pPr>
        <w:ind w:left="2820" w:hanging="241"/>
      </w:pPr>
      <w:rPr>
        <w:rFonts w:hint="default"/>
        <w:lang w:val="en-US" w:eastAsia="en-US" w:bidi="ar-SA"/>
      </w:rPr>
    </w:lvl>
    <w:lvl w:ilvl="4" w:tplc="57386BC0">
      <w:numFmt w:val="bullet"/>
      <w:lvlText w:val="•"/>
      <w:lvlJc w:val="left"/>
      <w:pPr>
        <w:ind w:left="3941" w:hanging="241"/>
      </w:pPr>
      <w:rPr>
        <w:rFonts w:hint="default"/>
        <w:lang w:val="en-US" w:eastAsia="en-US" w:bidi="ar-SA"/>
      </w:rPr>
    </w:lvl>
    <w:lvl w:ilvl="5" w:tplc="04E28A08">
      <w:numFmt w:val="bullet"/>
      <w:lvlText w:val="•"/>
      <w:lvlJc w:val="left"/>
      <w:pPr>
        <w:ind w:left="5061" w:hanging="241"/>
      </w:pPr>
      <w:rPr>
        <w:rFonts w:hint="default"/>
        <w:lang w:val="en-US" w:eastAsia="en-US" w:bidi="ar-SA"/>
      </w:rPr>
    </w:lvl>
    <w:lvl w:ilvl="6" w:tplc="DEC4A28A">
      <w:numFmt w:val="bullet"/>
      <w:lvlText w:val="•"/>
      <w:lvlJc w:val="left"/>
      <w:pPr>
        <w:ind w:left="6182" w:hanging="241"/>
      </w:pPr>
      <w:rPr>
        <w:rFonts w:hint="default"/>
        <w:lang w:val="en-US" w:eastAsia="en-US" w:bidi="ar-SA"/>
      </w:rPr>
    </w:lvl>
    <w:lvl w:ilvl="7" w:tplc="135CFB4A">
      <w:numFmt w:val="bullet"/>
      <w:lvlText w:val="•"/>
      <w:lvlJc w:val="left"/>
      <w:pPr>
        <w:ind w:left="7302" w:hanging="241"/>
      </w:pPr>
      <w:rPr>
        <w:rFonts w:hint="default"/>
        <w:lang w:val="en-US" w:eastAsia="en-US" w:bidi="ar-SA"/>
      </w:rPr>
    </w:lvl>
    <w:lvl w:ilvl="8" w:tplc="FE720CD6">
      <w:numFmt w:val="bullet"/>
      <w:lvlText w:val="•"/>
      <w:lvlJc w:val="left"/>
      <w:pPr>
        <w:ind w:left="8423" w:hanging="241"/>
      </w:pPr>
      <w:rPr>
        <w:rFonts w:hint="default"/>
        <w:lang w:val="en-US" w:eastAsia="en-US" w:bidi="ar-SA"/>
      </w:rPr>
    </w:lvl>
  </w:abstractNum>
  <w:abstractNum w:abstractNumId="1" w15:restartNumberingAfterBreak="0">
    <w:nsid w:val="45FF7ABC"/>
    <w:multiLevelType w:val="hybridMultilevel"/>
    <w:tmpl w:val="A06006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8C144E"/>
    <w:multiLevelType w:val="hybridMultilevel"/>
    <w:tmpl w:val="6520D7EA"/>
    <w:lvl w:ilvl="0" w:tplc="E3A2474C">
      <w:numFmt w:val="bullet"/>
      <w:lvlText w:val="-"/>
      <w:lvlJc w:val="left"/>
      <w:pPr>
        <w:ind w:left="107" w:hanging="140"/>
      </w:pPr>
      <w:rPr>
        <w:rFonts w:ascii="Times New Roman" w:eastAsia="Times New Roman" w:hAnsi="Times New Roman" w:cs="Times New Roman" w:hint="default"/>
        <w:color w:val="231F20"/>
        <w:w w:val="100"/>
        <w:sz w:val="24"/>
        <w:szCs w:val="24"/>
        <w:lang w:val="en-US" w:eastAsia="en-US" w:bidi="ar-SA"/>
      </w:rPr>
    </w:lvl>
    <w:lvl w:ilvl="1" w:tplc="9B522C38">
      <w:numFmt w:val="bullet"/>
      <w:lvlText w:val="•"/>
      <w:lvlJc w:val="left"/>
      <w:pPr>
        <w:ind w:left="430" w:hanging="140"/>
      </w:pPr>
      <w:rPr>
        <w:rFonts w:hint="default"/>
        <w:lang w:val="en-US" w:eastAsia="en-US" w:bidi="ar-SA"/>
      </w:rPr>
    </w:lvl>
    <w:lvl w:ilvl="2" w:tplc="E77616F4">
      <w:numFmt w:val="bullet"/>
      <w:lvlText w:val="•"/>
      <w:lvlJc w:val="left"/>
      <w:pPr>
        <w:ind w:left="761" w:hanging="140"/>
      </w:pPr>
      <w:rPr>
        <w:rFonts w:hint="default"/>
        <w:lang w:val="en-US" w:eastAsia="en-US" w:bidi="ar-SA"/>
      </w:rPr>
    </w:lvl>
    <w:lvl w:ilvl="3" w:tplc="E6D87540">
      <w:numFmt w:val="bullet"/>
      <w:lvlText w:val="•"/>
      <w:lvlJc w:val="left"/>
      <w:pPr>
        <w:ind w:left="1092" w:hanging="140"/>
      </w:pPr>
      <w:rPr>
        <w:rFonts w:hint="default"/>
        <w:lang w:val="en-US" w:eastAsia="en-US" w:bidi="ar-SA"/>
      </w:rPr>
    </w:lvl>
    <w:lvl w:ilvl="4" w:tplc="B0CC1D1E">
      <w:numFmt w:val="bullet"/>
      <w:lvlText w:val="•"/>
      <w:lvlJc w:val="left"/>
      <w:pPr>
        <w:ind w:left="1422" w:hanging="140"/>
      </w:pPr>
      <w:rPr>
        <w:rFonts w:hint="default"/>
        <w:lang w:val="en-US" w:eastAsia="en-US" w:bidi="ar-SA"/>
      </w:rPr>
    </w:lvl>
    <w:lvl w:ilvl="5" w:tplc="908854E2">
      <w:numFmt w:val="bullet"/>
      <w:lvlText w:val="•"/>
      <w:lvlJc w:val="left"/>
      <w:pPr>
        <w:ind w:left="1753" w:hanging="140"/>
      </w:pPr>
      <w:rPr>
        <w:rFonts w:hint="default"/>
        <w:lang w:val="en-US" w:eastAsia="en-US" w:bidi="ar-SA"/>
      </w:rPr>
    </w:lvl>
    <w:lvl w:ilvl="6" w:tplc="BDA0362C">
      <w:numFmt w:val="bullet"/>
      <w:lvlText w:val="•"/>
      <w:lvlJc w:val="left"/>
      <w:pPr>
        <w:ind w:left="2084" w:hanging="140"/>
      </w:pPr>
      <w:rPr>
        <w:rFonts w:hint="default"/>
        <w:lang w:val="en-US" w:eastAsia="en-US" w:bidi="ar-SA"/>
      </w:rPr>
    </w:lvl>
    <w:lvl w:ilvl="7" w:tplc="92C86E8A">
      <w:numFmt w:val="bullet"/>
      <w:lvlText w:val="•"/>
      <w:lvlJc w:val="left"/>
      <w:pPr>
        <w:ind w:left="2414" w:hanging="140"/>
      </w:pPr>
      <w:rPr>
        <w:rFonts w:hint="default"/>
        <w:lang w:val="en-US" w:eastAsia="en-US" w:bidi="ar-SA"/>
      </w:rPr>
    </w:lvl>
    <w:lvl w:ilvl="8" w:tplc="1778A832">
      <w:numFmt w:val="bullet"/>
      <w:lvlText w:val="•"/>
      <w:lvlJc w:val="left"/>
      <w:pPr>
        <w:ind w:left="2745" w:hanging="140"/>
      </w:pPr>
      <w:rPr>
        <w:rFonts w:hint="default"/>
        <w:lang w:val="en-US" w:eastAsia="en-US" w:bidi="ar-SA"/>
      </w:rPr>
    </w:lvl>
  </w:abstractNum>
  <w:abstractNum w:abstractNumId="3" w15:restartNumberingAfterBreak="0">
    <w:nsid w:val="50BE46F2"/>
    <w:multiLevelType w:val="hybridMultilevel"/>
    <w:tmpl w:val="05CCAA8E"/>
    <w:lvl w:ilvl="0" w:tplc="E3A2474C">
      <w:numFmt w:val="bullet"/>
      <w:lvlText w:val="-"/>
      <w:lvlJc w:val="left"/>
      <w:pPr>
        <w:ind w:left="720" w:hanging="360"/>
      </w:pPr>
      <w:rPr>
        <w:rFonts w:ascii="Times New Roman" w:eastAsia="Times New Roman" w:hAnsi="Times New Roman" w:cs="Times New Roman" w:hint="default"/>
        <w:color w:val="231F2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9C0891"/>
    <w:multiLevelType w:val="hybridMultilevel"/>
    <w:tmpl w:val="9028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255FB4"/>
    <w:multiLevelType w:val="hybridMultilevel"/>
    <w:tmpl w:val="564A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FA30F3"/>
    <w:multiLevelType w:val="hybridMultilevel"/>
    <w:tmpl w:val="49080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89"/>
    <w:rsid w:val="000211C3"/>
    <w:rsid w:val="00031D7A"/>
    <w:rsid w:val="00037A94"/>
    <w:rsid w:val="00042DD1"/>
    <w:rsid w:val="00043372"/>
    <w:rsid w:val="00050F46"/>
    <w:rsid w:val="00072566"/>
    <w:rsid w:val="00072D67"/>
    <w:rsid w:val="000747EB"/>
    <w:rsid w:val="0007694A"/>
    <w:rsid w:val="000D376B"/>
    <w:rsid w:val="00154B26"/>
    <w:rsid w:val="00167A58"/>
    <w:rsid w:val="001705B0"/>
    <w:rsid w:val="001B4FA4"/>
    <w:rsid w:val="001B51A6"/>
    <w:rsid w:val="001E4808"/>
    <w:rsid w:val="001E4AFF"/>
    <w:rsid w:val="001F6BA1"/>
    <w:rsid w:val="00202205"/>
    <w:rsid w:val="002314CB"/>
    <w:rsid w:val="00237E62"/>
    <w:rsid w:val="00274F66"/>
    <w:rsid w:val="00277081"/>
    <w:rsid w:val="00283BB6"/>
    <w:rsid w:val="002A42AC"/>
    <w:rsid w:val="002C3DA4"/>
    <w:rsid w:val="002D2EA2"/>
    <w:rsid w:val="002D5FE5"/>
    <w:rsid w:val="002E202A"/>
    <w:rsid w:val="00304C46"/>
    <w:rsid w:val="00327157"/>
    <w:rsid w:val="003372AD"/>
    <w:rsid w:val="00350043"/>
    <w:rsid w:val="00363C21"/>
    <w:rsid w:val="00376E57"/>
    <w:rsid w:val="00397CEF"/>
    <w:rsid w:val="003A17B0"/>
    <w:rsid w:val="003B3C5A"/>
    <w:rsid w:val="003C11B4"/>
    <w:rsid w:val="003F5D66"/>
    <w:rsid w:val="00402339"/>
    <w:rsid w:val="00423BAB"/>
    <w:rsid w:val="00447F73"/>
    <w:rsid w:val="00461120"/>
    <w:rsid w:val="0046576E"/>
    <w:rsid w:val="004871C9"/>
    <w:rsid w:val="004877FC"/>
    <w:rsid w:val="00493BA2"/>
    <w:rsid w:val="00493BC2"/>
    <w:rsid w:val="00493E95"/>
    <w:rsid w:val="00497C45"/>
    <w:rsid w:val="004C4D31"/>
    <w:rsid w:val="004D0A2E"/>
    <w:rsid w:val="00502B51"/>
    <w:rsid w:val="005418D9"/>
    <w:rsid w:val="00544789"/>
    <w:rsid w:val="00583BBE"/>
    <w:rsid w:val="00586276"/>
    <w:rsid w:val="005A2195"/>
    <w:rsid w:val="005C3143"/>
    <w:rsid w:val="005C7809"/>
    <w:rsid w:val="005D2DBB"/>
    <w:rsid w:val="00602310"/>
    <w:rsid w:val="00602D8A"/>
    <w:rsid w:val="00632585"/>
    <w:rsid w:val="006565F4"/>
    <w:rsid w:val="0069759E"/>
    <w:rsid w:val="006B4FFC"/>
    <w:rsid w:val="006F14CE"/>
    <w:rsid w:val="0070455A"/>
    <w:rsid w:val="007456C0"/>
    <w:rsid w:val="00747ADF"/>
    <w:rsid w:val="007563D5"/>
    <w:rsid w:val="00772BF7"/>
    <w:rsid w:val="00777DD5"/>
    <w:rsid w:val="00777F6E"/>
    <w:rsid w:val="007863CF"/>
    <w:rsid w:val="00797477"/>
    <w:rsid w:val="007B512C"/>
    <w:rsid w:val="007F29AE"/>
    <w:rsid w:val="007F2D7B"/>
    <w:rsid w:val="007F2F3E"/>
    <w:rsid w:val="00805E16"/>
    <w:rsid w:val="00834CFD"/>
    <w:rsid w:val="00864A91"/>
    <w:rsid w:val="0088247D"/>
    <w:rsid w:val="008962EE"/>
    <w:rsid w:val="008979CF"/>
    <w:rsid w:val="008B1B6A"/>
    <w:rsid w:val="008C502E"/>
    <w:rsid w:val="008C5092"/>
    <w:rsid w:val="008E2098"/>
    <w:rsid w:val="0090757E"/>
    <w:rsid w:val="00915AAE"/>
    <w:rsid w:val="0092555D"/>
    <w:rsid w:val="009571EB"/>
    <w:rsid w:val="00960A82"/>
    <w:rsid w:val="00976244"/>
    <w:rsid w:val="009910E2"/>
    <w:rsid w:val="009C3705"/>
    <w:rsid w:val="009E38FB"/>
    <w:rsid w:val="009E3AB1"/>
    <w:rsid w:val="009E7C6B"/>
    <w:rsid w:val="009F060E"/>
    <w:rsid w:val="00A52310"/>
    <w:rsid w:val="00A726D4"/>
    <w:rsid w:val="00A95A53"/>
    <w:rsid w:val="00A968F6"/>
    <w:rsid w:val="00AA1ED9"/>
    <w:rsid w:val="00AC5040"/>
    <w:rsid w:val="00AF612E"/>
    <w:rsid w:val="00B660E3"/>
    <w:rsid w:val="00B67665"/>
    <w:rsid w:val="00B71363"/>
    <w:rsid w:val="00B93B33"/>
    <w:rsid w:val="00C027A0"/>
    <w:rsid w:val="00C0652C"/>
    <w:rsid w:val="00C47DA1"/>
    <w:rsid w:val="00C50631"/>
    <w:rsid w:val="00C77F1B"/>
    <w:rsid w:val="00C804D5"/>
    <w:rsid w:val="00C81CF9"/>
    <w:rsid w:val="00CB4187"/>
    <w:rsid w:val="00D322E1"/>
    <w:rsid w:val="00D55CC5"/>
    <w:rsid w:val="00D670FA"/>
    <w:rsid w:val="00E16723"/>
    <w:rsid w:val="00E324B8"/>
    <w:rsid w:val="00E57449"/>
    <w:rsid w:val="00E74B6D"/>
    <w:rsid w:val="00E96174"/>
    <w:rsid w:val="00EE6983"/>
    <w:rsid w:val="00F064ED"/>
    <w:rsid w:val="00F07288"/>
    <w:rsid w:val="00F60B53"/>
    <w:rsid w:val="00F6541D"/>
    <w:rsid w:val="00FA49DD"/>
    <w:rsid w:val="00FD6409"/>
    <w:rsid w:val="00FF2F0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95C14"/>
  <w15:docId w15:val="{0CE52C36-3837-48F1-AD6E-0F1E5864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spacing w:before="90"/>
      <w:ind w:left="512"/>
      <w:outlineLvl w:val="0"/>
    </w:pPr>
    <w:rPr>
      <w:b/>
      <w:bCs/>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spacing w:before="90"/>
      <w:ind w:left="512"/>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E4AFF"/>
    <w:pPr>
      <w:tabs>
        <w:tab w:val="center" w:pos="4536"/>
        <w:tab w:val="right" w:pos="9072"/>
      </w:tabs>
    </w:pPr>
  </w:style>
  <w:style w:type="character" w:customStyle="1" w:styleId="NagwekZnak">
    <w:name w:val="Nagłówek Znak"/>
    <w:basedOn w:val="Domylnaczcionkaakapitu"/>
    <w:link w:val="Nagwek"/>
    <w:uiPriority w:val="99"/>
    <w:rsid w:val="001E4AFF"/>
    <w:rPr>
      <w:rFonts w:ascii="Times New Roman" w:eastAsia="Times New Roman" w:hAnsi="Times New Roman" w:cs="Times New Roman"/>
    </w:rPr>
  </w:style>
  <w:style w:type="paragraph" w:styleId="Stopka">
    <w:name w:val="footer"/>
    <w:basedOn w:val="Normalny"/>
    <w:link w:val="StopkaZnak"/>
    <w:uiPriority w:val="99"/>
    <w:unhideWhenUsed/>
    <w:rsid w:val="001E4AFF"/>
    <w:pPr>
      <w:tabs>
        <w:tab w:val="center" w:pos="4536"/>
        <w:tab w:val="right" w:pos="9072"/>
      </w:tabs>
    </w:pPr>
  </w:style>
  <w:style w:type="character" w:customStyle="1" w:styleId="StopkaZnak">
    <w:name w:val="Stopka Znak"/>
    <w:basedOn w:val="Domylnaczcionkaakapitu"/>
    <w:link w:val="Stopka"/>
    <w:uiPriority w:val="99"/>
    <w:rsid w:val="001E4AFF"/>
    <w:rPr>
      <w:rFonts w:ascii="Times New Roman" w:eastAsia="Times New Roman" w:hAnsi="Times New Roman" w:cs="Times New Roman"/>
    </w:rPr>
  </w:style>
  <w:style w:type="paragraph" w:customStyle="1" w:styleId="Default">
    <w:name w:val="Default"/>
    <w:rsid w:val="00A726D4"/>
    <w:pPr>
      <w:widowControl/>
      <w:adjustRightInd w:val="0"/>
    </w:pPr>
    <w:rPr>
      <w:rFonts w:ascii="Franklin Gothic Book" w:hAnsi="Franklin Gothic Book" w:cs="Franklin Gothic Book"/>
      <w:color w:val="000000"/>
      <w:sz w:val="24"/>
      <w:szCs w:val="24"/>
    </w:rPr>
  </w:style>
  <w:style w:type="character" w:styleId="Odwoaniedokomentarza">
    <w:name w:val="annotation reference"/>
    <w:basedOn w:val="Domylnaczcionkaakapitu"/>
    <w:uiPriority w:val="99"/>
    <w:semiHidden/>
    <w:unhideWhenUsed/>
    <w:rsid w:val="00C804D5"/>
    <w:rPr>
      <w:sz w:val="16"/>
      <w:szCs w:val="16"/>
    </w:rPr>
  </w:style>
  <w:style w:type="paragraph" w:styleId="Tekstkomentarza">
    <w:name w:val="annotation text"/>
    <w:basedOn w:val="Normalny"/>
    <w:link w:val="TekstkomentarzaZnak"/>
    <w:uiPriority w:val="99"/>
    <w:semiHidden/>
    <w:unhideWhenUsed/>
    <w:rsid w:val="00C804D5"/>
    <w:rPr>
      <w:sz w:val="20"/>
      <w:szCs w:val="20"/>
    </w:rPr>
  </w:style>
  <w:style w:type="character" w:customStyle="1" w:styleId="TekstkomentarzaZnak">
    <w:name w:val="Tekst komentarza Znak"/>
    <w:basedOn w:val="Domylnaczcionkaakapitu"/>
    <w:link w:val="Tekstkomentarza"/>
    <w:uiPriority w:val="99"/>
    <w:semiHidden/>
    <w:rsid w:val="00C804D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C804D5"/>
    <w:rPr>
      <w:b/>
      <w:bCs/>
    </w:rPr>
  </w:style>
  <w:style w:type="character" w:customStyle="1" w:styleId="TematkomentarzaZnak">
    <w:name w:val="Temat komentarza Znak"/>
    <w:basedOn w:val="TekstkomentarzaZnak"/>
    <w:link w:val="Tematkomentarza"/>
    <w:uiPriority w:val="99"/>
    <w:semiHidden/>
    <w:rsid w:val="00C804D5"/>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C804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04D5"/>
    <w:rPr>
      <w:rFonts w:ascii="Segoe UI" w:eastAsia="Times New Roman" w:hAnsi="Segoe UI" w:cs="Segoe UI"/>
      <w:sz w:val="18"/>
      <w:szCs w:val="18"/>
    </w:rPr>
  </w:style>
  <w:style w:type="table" w:styleId="Tabela-Siatka">
    <w:name w:val="Table Grid"/>
    <w:basedOn w:val="Standardowy"/>
    <w:uiPriority w:val="39"/>
    <w:rsid w:val="007F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747EB"/>
    <w:rPr>
      <w:sz w:val="20"/>
      <w:szCs w:val="20"/>
    </w:rPr>
  </w:style>
  <w:style w:type="character" w:customStyle="1" w:styleId="TekstprzypisudolnegoZnak">
    <w:name w:val="Tekst przypisu dolnego Znak"/>
    <w:basedOn w:val="Domylnaczcionkaakapitu"/>
    <w:link w:val="Tekstprzypisudolnego"/>
    <w:uiPriority w:val="99"/>
    <w:semiHidden/>
    <w:rsid w:val="000747EB"/>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747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C52382EAEA54D9390D8ACAED8808A" ma:contentTypeVersion="12" ma:contentTypeDescription="Create a new document." ma:contentTypeScope="" ma:versionID="6f58e567cf432b0e3f9fd0f0e6b2c81f">
  <xsd:schema xmlns:xsd="http://www.w3.org/2001/XMLSchema" xmlns:xs="http://www.w3.org/2001/XMLSchema" xmlns:p="http://schemas.microsoft.com/office/2006/metadata/properties" xmlns:ns2="b264460c-6b94-418e-95f3-3fdf4e9ab72c" xmlns:ns3="93ba97d9-6800-48fe-81bf-c413e55fe923" targetNamespace="http://schemas.microsoft.com/office/2006/metadata/properties" ma:root="true" ma:fieldsID="3c9b12727dac0d56aa6e8d9cc7a5b449" ns2:_="" ns3:_="">
    <xsd:import namespace="b264460c-6b94-418e-95f3-3fdf4e9ab72c"/>
    <xsd:import namespace="93ba97d9-6800-48fe-81bf-c413e55f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4460c-6b94-418e-95f3-3fdf4e9ab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a97d9-6800-48fe-81bf-c413e55fe9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D7601-4D2A-42EC-B79E-1B8952712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4460c-6b94-418e-95f3-3fdf4e9ab72c"/>
    <ds:schemaRef ds:uri="93ba97d9-6800-48fe-81bf-c413e55f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327FE-541F-4E09-80F8-D3DE77A766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F82C4-C659-4B1E-AAA3-B3FFC0904CEF}">
  <ds:schemaRefs>
    <ds:schemaRef ds:uri="http://schemas.microsoft.com/sharepoint/v3/contenttype/forms"/>
  </ds:schemaRefs>
</ds:datastoreItem>
</file>

<file path=customXml/itemProps4.xml><?xml version="1.0" encoding="utf-8"?>
<ds:datastoreItem xmlns:ds="http://schemas.openxmlformats.org/officeDocument/2006/customXml" ds:itemID="{E6673025-6E7A-4622-89C6-17025FB7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2007</Words>
  <Characters>12045</Characters>
  <Application>Microsoft Office Word</Application>
  <DocSecurity>0</DocSecurity>
  <Lines>100</Lines>
  <Paragraphs>28</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2019 12 18 CPR -Annexes II and V -progress report.pdf</vt:lpstr>
      <vt:lpstr>2019 12 18 CPR -Annexes II and V -progress report.pdf</vt:lpstr>
      <vt:lpstr>2019 12 18 CPR -Annexes II and V -progress report.pdf</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12 18 CPR -Annexes II and V -progress report.pdf</dc:title>
  <dc:creator>HANSEN Conny</dc:creator>
  <cp:lastModifiedBy>Jaroslaw Morawski</cp:lastModifiedBy>
  <cp:revision>4</cp:revision>
  <dcterms:created xsi:type="dcterms:W3CDTF">2021-08-20T08:39:00Z</dcterms:created>
  <dcterms:modified xsi:type="dcterms:W3CDTF">2021-08-20T08:47:00Z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Foxit Rendition Server 2.3.2.27</vt:lpwstr>
  </property>
  <property fmtid="{D5CDD505-2E9C-101B-9397-08002B2CF9AE}" pid="4" name="LastSaved">
    <vt:filetime>2021-03-09T00:00:00Z</vt:filetime>
  </property>
  <property fmtid="{D5CDD505-2E9C-101B-9397-08002B2CF9AE}" pid="5" name="ContentTypeId">
    <vt:lpwstr>0x0101004F7C52382EAEA54D9390D8ACAED8808A</vt:lpwstr>
  </property>
</Properties>
</file>