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7F265" w14:textId="1CAA6D36" w:rsidR="004E0F7E" w:rsidRDefault="00395451" w:rsidP="00395451">
      <w:pPr>
        <w:spacing w:before="120" w:after="120" w:line="240" w:lineRule="auto"/>
        <w:jc w:val="center"/>
        <w:rPr>
          <w:rFonts w:asciiTheme="minorHAnsi" w:hAnsiTheme="minorHAnsi" w:cstheme="minorHAnsi"/>
          <w:b/>
          <w:color w:val="FF0000"/>
          <w:sz w:val="32"/>
          <w:szCs w:val="24"/>
          <w:highlight w:val="yellow"/>
          <w:lang w:val="pl-PL"/>
        </w:rPr>
      </w:pPr>
      <w:r>
        <w:rPr>
          <w:rFonts w:asciiTheme="minorHAnsi" w:hAnsiTheme="minorHAnsi" w:cstheme="minorHAnsi"/>
          <w:b/>
          <w:color w:val="FF0000"/>
          <w:sz w:val="32"/>
          <w:szCs w:val="24"/>
          <w:highlight w:val="yellow"/>
          <w:lang w:val="pl-PL"/>
        </w:rPr>
        <w:t>Uwaga: Przekład roboczy. Dokument o charakterze pomocniczym.</w:t>
      </w:r>
      <w:r w:rsidR="004E0F7E">
        <w:rPr>
          <w:rFonts w:asciiTheme="minorHAnsi" w:hAnsiTheme="minorHAnsi" w:cstheme="minorHAnsi"/>
          <w:b/>
          <w:color w:val="FF0000"/>
          <w:sz w:val="32"/>
          <w:szCs w:val="24"/>
          <w:highlight w:val="yellow"/>
          <w:lang w:val="pl-PL"/>
        </w:rPr>
        <w:t xml:space="preserve"> Oryginał dokumentu </w:t>
      </w:r>
      <w:r w:rsidR="00735402">
        <w:rPr>
          <w:rFonts w:asciiTheme="minorHAnsi" w:hAnsiTheme="minorHAnsi" w:cstheme="minorHAnsi"/>
          <w:b/>
          <w:color w:val="FF0000"/>
          <w:sz w:val="32"/>
          <w:szCs w:val="24"/>
          <w:highlight w:val="yellow"/>
          <w:lang w:val="pl-PL"/>
        </w:rPr>
        <w:t xml:space="preserve">opracowano </w:t>
      </w:r>
      <w:r w:rsidR="004E0F7E">
        <w:rPr>
          <w:rFonts w:asciiTheme="minorHAnsi" w:hAnsiTheme="minorHAnsi" w:cstheme="minorHAnsi"/>
          <w:b/>
          <w:color w:val="FF0000"/>
          <w:sz w:val="32"/>
          <w:szCs w:val="24"/>
          <w:highlight w:val="yellow"/>
          <w:lang w:val="pl-PL"/>
        </w:rPr>
        <w:t>w języku angielskim.</w:t>
      </w:r>
    </w:p>
    <w:p w14:paraId="109D525E" w14:textId="513AD4B2" w:rsidR="00395451" w:rsidRDefault="00395451" w:rsidP="00395451">
      <w:pPr>
        <w:spacing w:before="120" w:after="120" w:line="240" w:lineRule="auto"/>
        <w:jc w:val="center"/>
        <w:rPr>
          <w:rFonts w:asciiTheme="minorHAnsi" w:hAnsiTheme="minorHAnsi" w:cstheme="minorHAnsi"/>
          <w:b/>
          <w:color w:val="FF0000"/>
          <w:sz w:val="32"/>
          <w:szCs w:val="24"/>
          <w:lang w:val="pl-PL"/>
        </w:rPr>
      </w:pPr>
      <w:r>
        <w:rPr>
          <w:rFonts w:asciiTheme="minorHAnsi" w:hAnsiTheme="minorHAnsi" w:cstheme="minorHAnsi"/>
          <w:b/>
          <w:color w:val="FF0000"/>
          <w:sz w:val="32"/>
          <w:szCs w:val="24"/>
          <w:highlight w:val="yellow"/>
          <w:lang w:val="pl-PL"/>
        </w:rPr>
        <w:t xml:space="preserve"> Odwołania do projektów rozporządzeń UE zostaną zweryfikowane po ich zatwierdzeniu, zgodnie z oficjalną wersją tłumaczenia.</w:t>
      </w:r>
    </w:p>
    <w:p w14:paraId="072A2667" w14:textId="0A839EA6" w:rsidR="005753AD" w:rsidRPr="00F879CC" w:rsidRDefault="00276BD9" w:rsidP="00F879CC">
      <w:pPr>
        <w:spacing w:after="200" w:line="276" w:lineRule="auto"/>
        <w:rPr>
          <w:rFonts w:asciiTheme="minorHAnsi" w:eastAsia="Times New Roman" w:hAnsiTheme="minorHAnsi" w:cstheme="minorHAnsi"/>
          <w:b/>
          <w:bCs/>
          <w:color w:val="2CAAE1"/>
          <w:sz w:val="28"/>
          <w:szCs w:val="28"/>
          <w:lang w:val="pl-PL"/>
        </w:rPr>
      </w:pPr>
      <w:r w:rsidRPr="00F879CC">
        <w:rPr>
          <w:rFonts w:asciiTheme="minorHAnsi" w:eastAsia="Times New Roman" w:hAnsiTheme="minorHAnsi" w:cstheme="minorHAnsi"/>
          <w:b/>
          <w:bCs/>
          <w:color w:val="2CAAE1"/>
          <w:sz w:val="28"/>
          <w:szCs w:val="28"/>
          <w:lang w:val="pl-PL"/>
        </w:rPr>
        <w:t>Wersja programu do konsultacji krajowych (stan na 15 kwietnia 2021 r</w:t>
      </w:r>
      <w:r w:rsidR="000B5923" w:rsidRPr="00F879CC">
        <w:rPr>
          <w:rFonts w:asciiTheme="minorHAnsi" w:hAnsiTheme="minorHAnsi" w:cstheme="minorHAnsi"/>
          <w:b/>
          <w:color w:val="2CAAE1"/>
          <w:sz w:val="28"/>
          <w:szCs w:val="28"/>
          <w:lang w:val="pl-PL"/>
        </w:rPr>
        <w:t>).</w:t>
      </w:r>
    </w:p>
    <w:sdt>
      <w:sdtPr>
        <w:rPr>
          <w:rFonts w:ascii="Times New Roman" w:eastAsiaTheme="minorHAnsi" w:hAnsi="Times New Roman" w:cstheme="minorBidi"/>
          <w:b w:val="0"/>
          <w:bCs w:val="0"/>
          <w:color w:val="auto"/>
          <w:sz w:val="24"/>
          <w:szCs w:val="22"/>
          <w:lang w:val="en-US" w:eastAsia="en-US"/>
        </w:rPr>
        <w:id w:val="6500433"/>
        <w:docPartObj>
          <w:docPartGallery w:val="Table of Contents"/>
          <w:docPartUnique/>
        </w:docPartObj>
      </w:sdtPr>
      <w:sdtEndPr/>
      <w:sdtContent>
        <w:p w14:paraId="6A49E4A4" w14:textId="712DAC25" w:rsidR="008A31C9" w:rsidRDefault="008A31C9">
          <w:pPr>
            <w:pStyle w:val="Nagwekspisutreci"/>
          </w:pPr>
          <w:r>
            <w:t>Spis treści</w:t>
          </w:r>
        </w:p>
        <w:p w14:paraId="2DBB263E" w14:textId="77777777" w:rsidR="00FD267F" w:rsidRDefault="008A31C9">
          <w:pPr>
            <w:pStyle w:val="Spistreci1"/>
            <w:tabs>
              <w:tab w:val="left" w:pos="480"/>
              <w:tab w:val="right" w:leader="dot" w:pos="9062"/>
            </w:tabs>
            <w:rPr>
              <w:rFonts w:asciiTheme="minorHAnsi" w:eastAsiaTheme="minorEastAsia" w:hAnsiTheme="minorHAnsi"/>
              <w:noProof/>
              <w:sz w:val="22"/>
              <w:lang w:val="pl-PL" w:eastAsia="pl-PL"/>
            </w:rPr>
          </w:pPr>
          <w:r>
            <w:fldChar w:fldCharType="begin"/>
          </w:r>
          <w:r>
            <w:instrText xml:space="preserve"> TOC \o "1-3" \h \z \u </w:instrText>
          </w:r>
          <w:r>
            <w:fldChar w:fldCharType="separate"/>
          </w:r>
          <w:hyperlink w:anchor="_Toc73432974" w:history="1">
            <w:r w:rsidR="00FD267F" w:rsidRPr="009D1F3B">
              <w:rPr>
                <w:rStyle w:val="Hipercze"/>
                <w:rFonts w:eastAsia="Times New Roman"/>
                <w:noProof/>
                <w:lang w:val="pl-PL" w:eastAsia="en-GB"/>
              </w:rPr>
              <w:t>1.</w:t>
            </w:r>
            <w:r w:rsidR="00FD267F">
              <w:rPr>
                <w:rFonts w:asciiTheme="minorHAnsi" w:eastAsiaTheme="minorEastAsia" w:hAnsiTheme="minorHAnsi"/>
                <w:noProof/>
                <w:sz w:val="22"/>
                <w:lang w:val="pl-PL" w:eastAsia="pl-PL"/>
              </w:rPr>
              <w:tab/>
            </w:r>
            <w:r w:rsidR="00FD267F" w:rsidRPr="009D1F3B">
              <w:rPr>
                <w:rStyle w:val="Hipercze"/>
                <w:rFonts w:eastAsia="Times New Roman"/>
                <w:noProof/>
                <w:lang w:val="pl-PL" w:eastAsia="en-GB"/>
              </w:rPr>
              <w:t>Strategia programu: główne wyzwania rozwojowe i reakcje polityczne</w:t>
            </w:r>
            <w:r w:rsidR="00FD267F">
              <w:rPr>
                <w:noProof/>
                <w:webHidden/>
              </w:rPr>
              <w:tab/>
            </w:r>
            <w:r w:rsidR="00FD267F">
              <w:rPr>
                <w:noProof/>
                <w:webHidden/>
              </w:rPr>
              <w:fldChar w:fldCharType="begin"/>
            </w:r>
            <w:r w:rsidR="00FD267F">
              <w:rPr>
                <w:noProof/>
                <w:webHidden/>
              </w:rPr>
              <w:instrText xml:space="preserve"> PAGEREF _Toc73432974 \h </w:instrText>
            </w:r>
            <w:r w:rsidR="00FD267F">
              <w:rPr>
                <w:noProof/>
                <w:webHidden/>
              </w:rPr>
            </w:r>
            <w:r w:rsidR="00FD267F">
              <w:rPr>
                <w:noProof/>
                <w:webHidden/>
              </w:rPr>
              <w:fldChar w:fldCharType="separate"/>
            </w:r>
            <w:r w:rsidR="00FD267F">
              <w:rPr>
                <w:noProof/>
                <w:webHidden/>
              </w:rPr>
              <w:t>3</w:t>
            </w:r>
            <w:r w:rsidR="00FD267F">
              <w:rPr>
                <w:noProof/>
                <w:webHidden/>
              </w:rPr>
              <w:fldChar w:fldCharType="end"/>
            </w:r>
          </w:hyperlink>
        </w:p>
        <w:p w14:paraId="7FB6F32F" w14:textId="77777777" w:rsidR="00FD267F" w:rsidRDefault="00C93217">
          <w:pPr>
            <w:pStyle w:val="Spistreci2"/>
            <w:tabs>
              <w:tab w:val="right" w:leader="dot" w:pos="9062"/>
            </w:tabs>
            <w:rPr>
              <w:rFonts w:asciiTheme="minorHAnsi" w:eastAsiaTheme="minorEastAsia" w:hAnsiTheme="minorHAnsi"/>
              <w:noProof/>
              <w:sz w:val="22"/>
              <w:lang w:val="pl-PL" w:eastAsia="pl-PL"/>
            </w:rPr>
          </w:pPr>
          <w:hyperlink w:anchor="_Toc73432975" w:history="1">
            <w:r w:rsidR="00FD267F" w:rsidRPr="009D1F3B">
              <w:rPr>
                <w:rStyle w:val="Hipercze"/>
                <w:rFonts w:eastAsia="Times New Roman"/>
                <w:noProof/>
                <w:lang w:val="pl-PL" w:eastAsia="en-GB"/>
              </w:rPr>
              <w:t>1.2 Obszar Programu</w:t>
            </w:r>
            <w:r w:rsidR="00FD267F">
              <w:rPr>
                <w:noProof/>
                <w:webHidden/>
              </w:rPr>
              <w:tab/>
            </w:r>
            <w:r w:rsidR="00FD267F">
              <w:rPr>
                <w:noProof/>
                <w:webHidden/>
              </w:rPr>
              <w:fldChar w:fldCharType="begin"/>
            </w:r>
            <w:r w:rsidR="00FD267F">
              <w:rPr>
                <w:noProof/>
                <w:webHidden/>
              </w:rPr>
              <w:instrText xml:space="preserve"> PAGEREF _Toc73432975 \h </w:instrText>
            </w:r>
            <w:r w:rsidR="00FD267F">
              <w:rPr>
                <w:noProof/>
                <w:webHidden/>
              </w:rPr>
            </w:r>
            <w:r w:rsidR="00FD267F">
              <w:rPr>
                <w:noProof/>
                <w:webHidden/>
              </w:rPr>
              <w:fldChar w:fldCharType="separate"/>
            </w:r>
            <w:r w:rsidR="00FD267F">
              <w:rPr>
                <w:noProof/>
                <w:webHidden/>
              </w:rPr>
              <w:t>3</w:t>
            </w:r>
            <w:r w:rsidR="00FD267F">
              <w:rPr>
                <w:noProof/>
                <w:webHidden/>
              </w:rPr>
              <w:fldChar w:fldCharType="end"/>
            </w:r>
          </w:hyperlink>
        </w:p>
        <w:p w14:paraId="289C4A09" w14:textId="77777777" w:rsidR="00FD267F" w:rsidRDefault="00C93217">
          <w:pPr>
            <w:pStyle w:val="Spistreci2"/>
            <w:tabs>
              <w:tab w:val="right" w:leader="dot" w:pos="9062"/>
            </w:tabs>
            <w:rPr>
              <w:rFonts w:asciiTheme="minorHAnsi" w:eastAsiaTheme="minorEastAsia" w:hAnsiTheme="minorHAnsi"/>
              <w:noProof/>
              <w:sz w:val="22"/>
              <w:lang w:val="pl-PL" w:eastAsia="pl-PL"/>
            </w:rPr>
          </w:pPr>
          <w:hyperlink w:anchor="_Toc73432976" w:history="1">
            <w:r w:rsidR="00FD267F" w:rsidRPr="009D1F3B">
              <w:rPr>
                <w:rStyle w:val="Hipercze"/>
                <w:noProof/>
                <w:lang w:val="pl-PL"/>
              </w:rPr>
              <w:t>1.2 Podsumowanie głównych, wspólnych wyzwań z uwzględnieniem różnic gospodarczych społecznych i terytorialnych, a także nierówności, wspólnych potrzeb inwestycyjnych oraz komplementarności i synergii z innymi formami wsparcia, wniosków wyciągniętych z wcześniejszych doświadczeń i strategii makroregionalnych oraz strategii dla basenów morskich, w których obszar programu, jako całość lub częściowo, objęty jest, co najmniej jedną strategią.</w:t>
            </w:r>
            <w:r w:rsidR="00FD267F">
              <w:rPr>
                <w:noProof/>
                <w:webHidden/>
              </w:rPr>
              <w:tab/>
            </w:r>
            <w:r w:rsidR="00FD267F">
              <w:rPr>
                <w:noProof/>
                <w:webHidden/>
              </w:rPr>
              <w:fldChar w:fldCharType="begin"/>
            </w:r>
            <w:r w:rsidR="00FD267F">
              <w:rPr>
                <w:noProof/>
                <w:webHidden/>
              </w:rPr>
              <w:instrText xml:space="preserve"> PAGEREF _Toc73432976 \h </w:instrText>
            </w:r>
            <w:r w:rsidR="00FD267F">
              <w:rPr>
                <w:noProof/>
                <w:webHidden/>
              </w:rPr>
            </w:r>
            <w:r w:rsidR="00FD267F">
              <w:rPr>
                <w:noProof/>
                <w:webHidden/>
              </w:rPr>
              <w:fldChar w:fldCharType="separate"/>
            </w:r>
            <w:r w:rsidR="00FD267F">
              <w:rPr>
                <w:noProof/>
                <w:webHidden/>
              </w:rPr>
              <w:t>4</w:t>
            </w:r>
            <w:r w:rsidR="00FD267F">
              <w:rPr>
                <w:noProof/>
                <w:webHidden/>
              </w:rPr>
              <w:fldChar w:fldCharType="end"/>
            </w:r>
          </w:hyperlink>
        </w:p>
        <w:p w14:paraId="0ED10DC5" w14:textId="77777777" w:rsidR="00FD267F" w:rsidRDefault="00C93217">
          <w:pPr>
            <w:pStyle w:val="Spistreci2"/>
            <w:tabs>
              <w:tab w:val="right" w:leader="dot" w:pos="9062"/>
            </w:tabs>
            <w:rPr>
              <w:rFonts w:asciiTheme="minorHAnsi" w:eastAsiaTheme="minorEastAsia" w:hAnsiTheme="minorHAnsi"/>
              <w:noProof/>
              <w:sz w:val="22"/>
              <w:lang w:val="pl-PL" w:eastAsia="pl-PL"/>
            </w:rPr>
          </w:pPr>
          <w:hyperlink w:anchor="_Toc73432977" w:history="1">
            <w:r w:rsidR="00FD267F" w:rsidRPr="009D1F3B">
              <w:rPr>
                <w:rStyle w:val="Hipercze"/>
                <w:rFonts w:eastAsia="Times New Roman"/>
                <w:noProof/>
                <w:lang w:val="pl-PL" w:eastAsia="en-GB"/>
              </w:rPr>
              <w:t>1.3 Uzasadnienie wyboru celów polityki i celów szczegółowych Interreg, odpowiadających im priorytetów, celów szczegółowych i form wsparcia z uwzględnieniem, w stosownych przypadkach, brakujących ogniw w infrastrukturze transgranicznej</w:t>
            </w:r>
            <w:r w:rsidR="00FD267F">
              <w:rPr>
                <w:noProof/>
                <w:webHidden/>
              </w:rPr>
              <w:tab/>
            </w:r>
            <w:r w:rsidR="00FD267F">
              <w:rPr>
                <w:noProof/>
                <w:webHidden/>
              </w:rPr>
              <w:fldChar w:fldCharType="begin"/>
            </w:r>
            <w:r w:rsidR="00FD267F">
              <w:rPr>
                <w:noProof/>
                <w:webHidden/>
              </w:rPr>
              <w:instrText xml:space="preserve"> PAGEREF _Toc73432977 \h </w:instrText>
            </w:r>
            <w:r w:rsidR="00FD267F">
              <w:rPr>
                <w:noProof/>
                <w:webHidden/>
              </w:rPr>
            </w:r>
            <w:r w:rsidR="00FD267F">
              <w:rPr>
                <w:noProof/>
                <w:webHidden/>
              </w:rPr>
              <w:fldChar w:fldCharType="separate"/>
            </w:r>
            <w:r w:rsidR="00FD267F">
              <w:rPr>
                <w:noProof/>
                <w:webHidden/>
              </w:rPr>
              <w:t>21</w:t>
            </w:r>
            <w:r w:rsidR="00FD267F">
              <w:rPr>
                <w:noProof/>
                <w:webHidden/>
              </w:rPr>
              <w:fldChar w:fldCharType="end"/>
            </w:r>
          </w:hyperlink>
        </w:p>
        <w:p w14:paraId="0509F186" w14:textId="77777777" w:rsidR="00FD267F" w:rsidRDefault="00C93217">
          <w:pPr>
            <w:pStyle w:val="Spistreci1"/>
            <w:tabs>
              <w:tab w:val="left" w:pos="480"/>
              <w:tab w:val="right" w:leader="dot" w:pos="9062"/>
            </w:tabs>
            <w:rPr>
              <w:rFonts w:asciiTheme="minorHAnsi" w:eastAsiaTheme="minorEastAsia" w:hAnsiTheme="minorHAnsi"/>
              <w:noProof/>
              <w:sz w:val="22"/>
              <w:lang w:val="pl-PL" w:eastAsia="pl-PL"/>
            </w:rPr>
          </w:pPr>
          <w:hyperlink w:anchor="_Toc73432978" w:history="1">
            <w:r w:rsidR="00FD267F" w:rsidRPr="009D1F3B">
              <w:rPr>
                <w:rStyle w:val="Hipercze"/>
                <w:rFonts w:eastAsia="Times New Roman"/>
                <w:noProof/>
                <w:lang w:val="pl-PL" w:eastAsia="en-GB"/>
              </w:rPr>
              <w:t>2.</w:t>
            </w:r>
            <w:r w:rsidR="00FD267F">
              <w:rPr>
                <w:rFonts w:asciiTheme="minorHAnsi" w:eastAsiaTheme="minorEastAsia" w:hAnsiTheme="minorHAnsi"/>
                <w:noProof/>
                <w:sz w:val="22"/>
                <w:lang w:val="pl-PL" w:eastAsia="pl-PL"/>
              </w:rPr>
              <w:tab/>
            </w:r>
            <w:r w:rsidR="00FD267F" w:rsidRPr="009D1F3B">
              <w:rPr>
                <w:rStyle w:val="Hipercze"/>
                <w:rFonts w:eastAsia="Times New Roman"/>
                <w:noProof/>
                <w:lang w:val="pl-PL" w:eastAsia="en-GB"/>
              </w:rPr>
              <w:t>Priorytety</w:t>
            </w:r>
            <w:r w:rsidR="00FD267F">
              <w:rPr>
                <w:noProof/>
                <w:webHidden/>
              </w:rPr>
              <w:tab/>
            </w:r>
            <w:r w:rsidR="00FD267F">
              <w:rPr>
                <w:noProof/>
                <w:webHidden/>
              </w:rPr>
              <w:fldChar w:fldCharType="begin"/>
            </w:r>
            <w:r w:rsidR="00FD267F">
              <w:rPr>
                <w:noProof/>
                <w:webHidden/>
              </w:rPr>
              <w:instrText xml:space="preserve"> PAGEREF _Toc73432978 \h </w:instrText>
            </w:r>
            <w:r w:rsidR="00FD267F">
              <w:rPr>
                <w:noProof/>
                <w:webHidden/>
              </w:rPr>
            </w:r>
            <w:r w:rsidR="00FD267F">
              <w:rPr>
                <w:noProof/>
                <w:webHidden/>
              </w:rPr>
              <w:fldChar w:fldCharType="separate"/>
            </w:r>
            <w:r w:rsidR="00FD267F">
              <w:rPr>
                <w:noProof/>
                <w:webHidden/>
              </w:rPr>
              <w:t>31</w:t>
            </w:r>
            <w:r w:rsidR="00FD267F">
              <w:rPr>
                <w:noProof/>
                <w:webHidden/>
              </w:rPr>
              <w:fldChar w:fldCharType="end"/>
            </w:r>
          </w:hyperlink>
        </w:p>
        <w:p w14:paraId="69834292" w14:textId="77777777" w:rsidR="00FD267F" w:rsidRDefault="00C93217">
          <w:pPr>
            <w:pStyle w:val="Spistreci2"/>
            <w:tabs>
              <w:tab w:val="right" w:leader="dot" w:pos="9062"/>
            </w:tabs>
            <w:rPr>
              <w:rFonts w:asciiTheme="minorHAnsi" w:eastAsiaTheme="minorEastAsia" w:hAnsiTheme="minorHAnsi"/>
              <w:noProof/>
              <w:sz w:val="22"/>
              <w:lang w:val="pl-PL" w:eastAsia="pl-PL"/>
            </w:rPr>
          </w:pPr>
          <w:hyperlink w:anchor="_Toc73432979" w:history="1">
            <w:r w:rsidR="00FD267F" w:rsidRPr="009D1F3B">
              <w:rPr>
                <w:rStyle w:val="Hipercze"/>
                <w:rFonts w:eastAsia="Times New Roman"/>
                <w:noProof/>
                <w:lang w:val="en-IE" w:eastAsia="en-GB"/>
              </w:rPr>
              <w:t xml:space="preserve">1. </w:t>
            </w:r>
            <w:r w:rsidR="00FD267F" w:rsidRPr="009D1F3B">
              <w:rPr>
                <w:rStyle w:val="Hipercze"/>
                <w:rFonts w:eastAsia="Times New Roman"/>
                <w:noProof/>
                <w:lang w:val="pl-PL" w:eastAsia="en-GB"/>
              </w:rPr>
              <w:t>Innowacyjne społeczeństwa</w:t>
            </w:r>
            <w:r w:rsidR="00FD267F">
              <w:rPr>
                <w:noProof/>
                <w:webHidden/>
              </w:rPr>
              <w:tab/>
            </w:r>
            <w:r w:rsidR="00FD267F">
              <w:rPr>
                <w:noProof/>
                <w:webHidden/>
              </w:rPr>
              <w:fldChar w:fldCharType="begin"/>
            </w:r>
            <w:r w:rsidR="00FD267F">
              <w:rPr>
                <w:noProof/>
                <w:webHidden/>
              </w:rPr>
              <w:instrText xml:space="preserve"> PAGEREF _Toc73432979 \h </w:instrText>
            </w:r>
            <w:r w:rsidR="00FD267F">
              <w:rPr>
                <w:noProof/>
                <w:webHidden/>
              </w:rPr>
            </w:r>
            <w:r w:rsidR="00FD267F">
              <w:rPr>
                <w:noProof/>
                <w:webHidden/>
              </w:rPr>
              <w:fldChar w:fldCharType="separate"/>
            </w:r>
            <w:r w:rsidR="00FD267F">
              <w:rPr>
                <w:noProof/>
                <w:webHidden/>
              </w:rPr>
              <w:t>32</w:t>
            </w:r>
            <w:r w:rsidR="00FD267F">
              <w:rPr>
                <w:noProof/>
                <w:webHidden/>
              </w:rPr>
              <w:fldChar w:fldCharType="end"/>
            </w:r>
          </w:hyperlink>
        </w:p>
        <w:p w14:paraId="6B9DD146" w14:textId="77777777" w:rsidR="00FD267F" w:rsidRDefault="00C93217">
          <w:pPr>
            <w:pStyle w:val="Spistreci3"/>
            <w:tabs>
              <w:tab w:val="right" w:leader="dot" w:pos="9062"/>
            </w:tabs>
            <w:rPr>
              <w:rFonts w:asciiTheme="minorHAnsi" w:eastAsiaTheme="minorEastAsia" w:hAnsiTheme="minorHAnsi"/>
              <w:noProof/>
              <w:sz w:val="22"/>
              <w:lang w:val="pl-PL" w:eastAsia="pl-PL"/>
            </w:rPr>
          </w:pPr>
          <w:hyperlink w:anchor="_Toc73432980" w:history="1">
            <w:r w:rsidR="00FD267F" w:rsidRPr="009D1F3B">
              <w:rPr>
                <w:rStyle w:val="Hipercze"/>
                <w:noProof/>
                <w:lang w:val="pl-PL"/>
              </w:rPr>
              <w:t>Cel szczegółowy 1.1 Odporne gospodarki i społeczności</w:t>
            </w:r>
            <w:r w:rsidR="00FD267F">
              <w:rPr>
                <w:noProof/>
                <w:webHidden/>
              </w:rPr>
              <w:tab/>
            </w:r>
            <w:r w:rsidR="00FD267F">
              <w:rPr>
                <w:noProof/>
                <w:webHidden/>
              </w:rPr>
              <w:fldChar w:fldCharType="begin"/>
            </w:r>
            <w:r w:rsidR="00FD267F">
              <w:rPr>
                <w:noProof/>
                <w:webHidden/>
              </w:rPr>
              <w:instrText xml:space="preserve"> PAGEREF _Toc73432980 \h </w:instrText>
            </w:r>
            <w:r w:rsidR="00FD267F">
              <w:rPr>
                <w:noProof/>
                <w:webHidden/>
              </w:rPr>
            </w:r>
            <w:r w:rsidR="00FD267F">
              <w:rPr>
                <w:noProof/>
                <w:webHidden/>
              </w:rPr>
              <w:fldChar w:fldCharType="separate"/>
            </w:r>
            <w:r w:rsidR="00FD267F">
              <w:rPr>
                <w:noProof/>
                <w:webHidden/>
              </w:rPr>
              <w:t>32</w:t>
            </w:r>
            <w:r w:rsidR="00FD267F">
              <w:rPr>
                <w:noProof/>
                <w:webHidden/>
              </w:rPr>
              <w:fldChar w:fldCharType="end"/>
            </w:r>
          </w:hyperlink>
        </w:p>
        <w:p w14:paraId="20725C66" w14:textId="77777777" w:rsidR="00FD267F" w:rsidRDefault="00C93217">
          <w:pPr>
            <w:pStyle w:val="Spistreci3"/>
            <w:tabs>
              <w:tab w:val="right" w:leader="dot" w:pos="9062"/>
            </w:tabs>
            <w:rPr>
              <w:rFonts w:asciiTheme="minorHAnsi" w:eastAsiaTheme="minorEastAsia" w:hAnsiTheme="minorHAnsi"/>
              <w:noProof/>
              <w:sz w:val="22"/>
              <w:lang w:val="pl-PL" w:eastAsia="pl-PL"/>
            </w:rPr>
          </w:pPr>
          <w:hyperlink w:anchor="_Toc73432981" w:history="1">
            <w:r w:rsidR="00FD267F" w:rsidRPr="009D1F3B">
              <w:rPr>
                <w:rStyle w:val="Hipercze"/>
                <w:noProof/>
                <w:lang w:val="pl-PL"/>
              </w:rPr>
              <w:t>Cel szczegółowy 1.2 Usługi publiczne odpowiadające na potrzeby mieszkańców</w:t>
            </w:r>
            <w:r w:rsidR="00FD267F">
              <w:rPr>
                <w:noProof/>
                <w:webHidden/>
              </w:rPr>
              <w:tab/>
            </w:r>
            <w:r w:rsidR="00FD267F">
              <w:rPr>
                <w:noProof/>
                <w:webHidden/>
              </w:rPr>
              <w:fldChar w:fldCharType="begin"/>
            </w:r>
            <w:r w:rsidR="00FD267F">
              <w:rPr>
                <w:noProof/>
                <w:webHidden/>
              </w:rPr>
              <w:instrText xml:space="preserve"> PAGEREF _Toc73432981 \h </w:instrText>
            </w:r>
            <w:r w:rsidR="00FD267F">
              <w:rPr>
                <w:noProof/>
                <w:webHidden/>
              </w:rPr>
            </w:r>
            <w:r w:rsidR="00FD267F">
              <w:rPr>
                <w:noProof/>
                <w:webHidden/>
              </w:rPr>
              <w:fldChar w:fldCharType="separate"/>
            </w:r>
            <w:r w:rsidR="00FD267F">
              <w:rPr>
                <w:noProof/>
                <w:webHidden/>
              </w:rPr>
              <w:t>38</w:t>
            </w:r>
            <w:r w:rsidR="00FD267F">
              <w:rPr>
                <w:noProof/>
                <w:webHidden/>
              </w:rPr>
              <w:fldChar w:fldCharType="end"/>
            </w:r>
          </w:hyperlink>
        </w:p>
        <w:p w14:paraId="5E4F732B" w14:textId="77777777" w:rsidR="00FD267F" w:rsidRDefault="00C93217">
          <w:pPr>
            <w:pStyle w:val="Spistreci2"/>
            <w:tabs>
              <w:tab w:val="right" w:leader="dot" w:pos="9062"/>
            </w:tabs>
            <w:rPr>
              <w:rFonts w:asciiTheme="minorHAnsi" w:eastAsiaTheme="minorEastAsia" w:hAnsiTheme="minorHAnsi"/>
              <w:noProof/>
              <w:sz w:val="22"/>
              <w:lang w:val="pl-PL" w:eastAsia="pl-PL"/>
            </w:rPr>
          </w:pPr>
          <w:hyperlink w:anchor="_Toc73432982" w:history="1">
            <w:r w:rsidR="00FD267F" w:rsidRPr="009D1F3B">
              <w:rPr>
                <w:rStyle w:val="Hipercze"/>
                <w:rFonts w:eastAsia="Times New Roman"/>
                <w:noProof/>
                <w:lang w:val="en-IE" w:eastAsia="en-GB"/>
              </w:rPr>
              <w:t>2. Społeczeństwa rozważnie korzystające z wody</w:t>
            </w:r>
            <w:r w:rsidR="00FD267F">
              <w:rPr>
                <w:noProof/>
                <w:webHidden/>
              </w:rPr>
              <w:tab/>
            </w:r>
            <w:r w:rsidR="00FD267F">
              <w:rPr>
                <w:noProof/>
                <w:webHidden/>
              </w:rPr>
              <w:fldChar w:fldCharType="begin"/>
            </w:r>
            <w:r w:rsidR="00FD267F">
              <w:rPr>
                <w:noProof/>
                <w:webHidden/>
              </w:rPr>
              <w:instrText xml:space="preserve"> PAGEREF _Toc73432982 \h </w:instrText>
            </w:r>
            <w:r w:rsidR="00FD267F">
              <w:rPr>
                <w:noProof/>
                <w:webHidden/>
              </w:rPr>
            </w:r>
            <w:r w:rsidR="00FD267F">
              <w:rPr>
                <w:noProof/>
                <w:webHidden/>
              </w:rPr>
              <w:fldChar w:fldCharType="separate"/>
            </w:r>
            <w:r w:rsidR="00FD267F">
              <w:rPr>
                <w:noProof/>
                <w:webHidden/>
              </w:rPr>
              <w:t>44</w:t>
            </w:r>
            <w:r w:rsidR="00FD267F">
              <w:rPr>
                <w:noProof/>
                <w:webHidden/>
              </w:rPr>
              <w:fldChar w:fldCharType="end"/>
            </w:r>
          </w:hyperlink>
        </w:p>
        <w:p w14:paraId="290228B7" w14:textId="77777777" w:rsidR="00FD267F" w:rsidRDefault="00C93217">
          <w:pPr>
            <w:pStyle w:val="Spistreci3"/>
            <w:tabs>
              <w:tab w:val="right" w:leader="dot" w:pos="9062"/>
            </w:tabs>
            <w:rPr>
              <w:rFonts w:asciiTheme="minorHAnsi" w:eastAsiaTheme="minorEastAsia" w:hAnsiTheme="minorHAnsi"/>
              <w:noProof/>
              <w:sz w:val="22"/>
              <w:lang w:val="pl-PL" w:eastAsia="pl-PL"/>
            </w:rPr>
          </w:pPr>
          <w:hyperlink w:anchor="_Toc73432983" w:history="1">
            <w:r w:rsidR="00FD267F" w:rsidRPr="009D1F3B">
              <w:rPr>
                <w:rStyle w:val="Hipercze"/>
                <w:rFonts w:eastAsia="Times New Roman"/>
                <w:noProof/>
                <w:lang w:val="pl-PL" w:eastAsia="en-GB"/>
              </w:rPr>
              <w:t>Cel szczegółowy 2.1 Zrównoważone wody</w:t>
            </w:r>
            <w:r w:rsidR="00FD267F">
              <w:rPr>
                <w:noProof/>
                <w:webHidden/>
              </w:rPr>
              <w:tab/>
            </w:r>
            <w:r w:rsidR="00FD267F">
              <w:rPr>
                <w:noProof/>
                <w:webHidden/>
              </w:rPr>
              <w:fldChar w:fldCharType="begin"/>
            </w:r>
            <w:r w:rsidR="00FD267F">
              <w:rPr>
                <w:noProof/>
                <w:webHidden/>
              </w:rPr>
              <w:instrText xml:space="preserve"> PAGEREF _Toc73432983 \h </w:instrText>
            </w:r>
            <w:r w:rsidR="00FD267F">
              <w:rPr>
                <w:noProof/>
                <w:webHidden/>
              </w:rPr>
            </w:r>
            <w:r w:rsidR="00FD267F">
              <w:rPr>
                <w:noProof/>
                <w:webHidden/>
              </w:rPr>
              <w:fldChar w:fldCharType="separate"/>
            </w:r>
            <w:r w:rsidR="00FD267F">
              <w:rPr>
                <w:noProof/>
                <w:webHidden/>
              </w:rPr>
              <w:t>44</w:t>
            </w:r>
            <w:r w:rsidR="00FD267F">
              <w:rPr>
                <w:noProof/>
                <w:webHidden/>
              </w:rPr>
              <w:fldChar w:fldCharType="end"/>
            </w:r>
          </w:hyperlink>
        </w:p>
        <w:p w14:paraId="52E0C421" w14:textId="77777777" w:rsidR="00FD267F" w:rsidRDefault="00C93217">
          <w:pPr>
            <w:pStyle w:val="Spistreci3"/>
            <w:tabs>
              <w:tab w:val="right" w:leader="dot" w:pos="9062"/>
            </w:tabs>
            <w:rPr>
              <w:rFonts w:asciiTheme="minorHAnsi" w:eastAsiaTheme="minorEastAsia" w:hAnsiTheme="minorHAnsi"/>
              <w:noProof/>
              <w:sz w:val="22"/>
              <w:lang w:val="pl-PL" w:eastAsia="pl-PL"/>
            </w:rPr>
          </w:pPr>
          <w:hyperlink w:anchor="_Toc73432984" w:history="1">
            <w:r w:rsidR="00FD267F" w:rsidRPr="009D1F3B">
              <w:rPr>
                <w:rStyle w:val="Hipercze"/>
                <w:rFonts w:eastAsia="Times New Roman"/>
                <w:noProof/>
                <w:lang w:val="pl-PL" w:eastAsia="en-GB"/>
              </w:rPr>
              <w:t>Cel szczegółowy 2.2 Niebieska gospodarka</w:t>
            </w:r>
            <w:r w:rsidR="00FD267F">
              <w:rPr>
                <w:noProof/>
                <w:webHidden/>
              </w:rPr>
              <w:tab/>
            </w:r>
            <w:r w:rsidR="00FD267F">
              <w:rPr>
                <w:noProof/>
                <w:webHidden/>
              </w:rPr>
              <w:fldChar w:fldCharType="begin"/>
            </w:r>
            <w:r w:rsidR="00FD267F">
              <w:rPr>
                <w:noProof/>
                <w:webHidden/>
              </w:rPr>
              <w:instrText xml:space="preserve"> PAGEREF _Toc73432984 \h </w:instrText>
            </w:r>
            <w:r w:rsidR="00FD267F">
              <w:rPr>
                <w:noProof/>
                <w:webHidden/>
              </w:rPr>
            </w:r>
            <w:r w:rsidR="00FD267F">
              <w:rPr>
                <w:noProof/>
                <w:webHidden/>
              </w:rPr>
              <w:fldChar w:fldCharType="separate"/>
            </w:r>
            <w:r w:rsidR="00FD267F">
              <w:rPr>
                <w:noProof/>
                <w:webHidden/>
              </w:rPr>
              <w:t>46</w:t>
            </w:r>
            <w:r w:rsidR="00FD267F">
              <w:rPr>
                <w:noProof/>
                <w:webHidden/>
              </w:rPr>
              <w:fldChar w:fldCharType="end"/>
            </w:r>
          </w:hyperlink>
        </w:p>
        <w:p w14:paraId="13D1030D" w14:textId="77777777" w:rsidR="00FD267F" w:rsidRDefault="00C93217">
          <w:pPr>
            <w:pStyle w:val="Spistreci2"/>
            <w:tabs>
              <w:tab w:val="right" w:leader="dot" w:pos="9062"/>
            </w:tabs>
            <w:rPr>
              <w:rFonts w:asciiTheme="minorHAnsi" w:eastAsiaTheme="minorEastAsia" w:hAnsiTheme="minorHAnsi"/>
              <w:noProof/>
              <w:sz w:val="22"/>
              <w:lang w:val="pl-PL" w:eastAsia="pl-PL"/>
            </w:rPr>
          </w:pPr>
          <w:hyperlink w:anchor="_Toc73432985" w:history="1">
            <w:r w:rsidR="00FD267F" w:rsidRPr="009D1F3B">
              <w:rPr>
                <w:rStyle w:val="Hipercze"/>
                <w:rFonts w:eastAsia="Times New Roman"/>
                <w:noProof/>
                <w:lang w:val="en-IE" w:eastAsia="en-GB"/>
              </w:rPr>
              <w:t>3. Społeczeństwa neutralne dla klimatu</w:t>
            </w:r>
            <w:r w:rsidR="00FD267F">
              <w:rPr>
                <w:noProof/>
                <w:webHidden/>
              </w:rPr>
              <w:tab/>
            </w:r>
            <w:r w:rsidR="00FD267F">
              <w:rPr>
                <w:noProof/>
                <w:webHidden/>
              </w:rPr>
              <w:fldChar w:fldCharType="begin"/>
            </w:r>
            <w:r w:rsidR="00FD267F">
              <w:rPr>
                <w:noProof/>
                <w:webHidden/>
              </w:rPr>
              <w:instrText xml:space="preserve"> PAGEREF _Toc73432985 \h </w:instrText>
            </w:r>
            <w:r w:rsidR="00FD267F">
              <w:rPr>
                <w:noProof/>
                <w:webHidden/>
              </w:rPr>
            </w:r>
            <w:r w:rsidR="00FD267F">
              <w:rPr>
                <w:noProof/>
                <w:webHidden/>
              </w:rPr>
              <w:fldChar w:fldCharType="separate"/>
            </w:r>
            <w:r w:rsidR="00FD267F">
              <w:rPr>
                <w:noProof/>
                <w:webHidden/>
              </w:rPr>
              <w:t>53</w:t>
            </w:r>
            <w:r w:rsidR="00FD267F">
              <w:rPr>
                <w:noProof/>
                <w:webHidden/>
              </w:rPr>
              <w:fldChar w:fldCharType="end"/>
            </w:r>
          </w:hyperlink>
        </w:p>
        <w:p w14:paraId="546ED420" w14:textId="77777777" w:rsidR="00FD267F" w:rsidRDefault="00C93217">
          <w:pPr>
            <w:pStyle w:val="Spistreci3"/>
            <w:tabs>
              <w:tab w:val="right" w:leader="dot" w:pos="9062"/>
            </w:tabs>
            <w:rPr>
              <w:rFonts w:asciiTheme="minorHAnsi" w:eastAsiaTheme="minorEastAsia" w:hAnsiTheme="minorHAnsi"/>
              <w:noProof/>
              <w:sz w:val="22"/>
              <w:lang w:val="pl-PL" w:eastAsia="pl-PL"/>
            </w:rPr>
          </w:pPr>
          <w:hyperlink w:anchor="_Toc73432986" w:history="1">
            <w:r w:rsidR="00FD267F" w:rsidRPr="009D1F3B">
              <w:rPr>
                <w:rStyle w:val="Hipercze"/>
                <w:rFonts w:eastAsia="Times New Roman"/>
                <w:noProof/>
                <w:lang w:val="pl-PL" w:eastAsia="en-GB"/>
              </w:rPr>
              <w:t>Cel szczegółowy 3.1 Gospodarka o obiegu zamkniętym</w:t>
            </w:r>
            <w:r w:rsidR="00FD267F">
              <w:rPr>
                <w:noProof/>
                <w:webHidden/>
              </w:rPr>
              <w:tab/>
            </w:r>
            <w:r w:rsidR="00FD267F">
              <w:rPr>
                <w:noProof/>
                <w:webHidden/>
              </w:rPr>
              <w:fldChar w:fldCharType="begin"/>
            </w:r>
            <w:r w:rsidR="00FD267F">
              <w:rPr>
                <w:noProof/>
                <w:webHidden/>
              </w:rPr>
              <w:instrText xml:space="preserve"> PAGEREF _Toc73432986 \h </w:instrText>
            </w:r>
            <w:r w:rsidR="00FD267F">
              <w:rPr>
                <w:noProof/>
                <w:webHidden/>
              </w:rPr>
            </w:r>
            <w:r w:rsidR="00FD267F">
              <w:rPr>
                <w:noProof/>
                <w:webHidden/>
              </w:rPr>
              <w:fldChar w:fldCharType="separate"/>
            </w:r>
            <w:r w:rsidR="00FD267F">
              <w:rPr>
                <w:noProof/>
                <w:webHidden/>
              </w:rPr>
              <w:t>53</w:t>
            </w:r>
            <w:r w:rsidR="00FD267F">
              <w:rPr>
                <w:noProof/>
                <w:webHidden/>
              </w:rPr>
              <w:fldChar w:fldCharType="end"/>
            </w:r>
          </w:hyperlink>
        </w:p>
        <w:p w14:paraId="3ACCB7A0" w14:textId="77777777" w:rsidR="00FD267F" w:rsidRDefault="00C93217">
          <w:pPr>
            <w:pStyle w:val="Spistreci3"/>
            <w:tabs>
              <w:tab w:val="right" w:leader="dot" w:pos="9062"/>
            </w:tabs>
            <w:rPr>
              <w:rFonts w:asciiTheme="minorHAnsi" w:eastAsiaTheme="minorEastAsia" w:hAnsiTheme="minorHAnsi"/>
              <w:noProof/>
              <w:sz w:val="22"/>
              <w:lang w:val="pl-PL" w:eastAsia="pl-PL"/>
            </w:rPr>
          </w:pPr>
          <w:hyperlink w:anchor="_Toc73432987" w:history="1">
            <w:r w:rsidR="00FD267F" w:rsidRPr="009D1F3B">
              <w:rPr>
                <w:rStyle w:val="Hipercze"/>
                <w:rFonts w:eastAsia="Times New Roman"/>
                <w:noProof/>
                <w:lang w:val="pl-PL" w:eastAsia="en-GB"/>
              </w:rPr>
              <w:t>Cel szczegółowy 3.2 Transformacja energetyczna</w:t>
            </w:r>
            <w:r w:rsidR="00FD267F">
              <w:rPr>
                <w:noProof/>
                <w:webHidden/>
              </w:rPr>
              <w:tab/>
            </w:r>
            <w:r w:rsidR="00FD267F">
              <w:rPr>
                <w:noProof/>
                <w:webHidden/>
              </w:rPr>
              <w:fldChar w:fldCharType="begin"/>
            </w:r>
            <w:r w:rsidR="00FD267F">
              <w:rPr>
                <w:noProof/>
                <w:webHidden/>
              </w:rPr>
              <w:instrText xml:space="preserve"> PAGEREF _Toc73432987 \h </w:instrText>
            </w:r>
            <w:r w:rsidR="00FD267F">
              <w:rPr>
                <w:noProof/>
                <w:webHidden/>
              </w:rPr>
            </w:r>
            <w:r w:rsidR="00FD267F">
              <w:rPr>
                <w:noProof/>
                <w:webHidden/>
              </w:rPr>
              <w:fldChar w:fldCharType="separate"/>
            </w:r>
            <w:r w:rsidR="00FD267F">
              <w:rPr>
                <w:noProof/>
                <w:webHidden/>
              </w:rPr>
              <w:t>60</w:t>
            </w:r>
            <w:r w:rsidR="00FD267F">
              <w:rPr>
                <w:noProof/>
                <w:webHidden/>
              </w:rPr>
              <w:fldChar w:fldCharType="end"/>
            </w:r>
          </w:hyperlink>
        </w:p>
        <w:p w14:paraId="5AAD5375" w14:textId="77777777" w:rsidR="00FD267F" w:rsidRDefault="00C93217">
          <w:pPr>
            <w:pStyle w:val="Spistreci3"/>
            <w:tabs>
              <w:tab w:val="right" w:leader="dot" w:pos="9062"/>
            </w:tabs>
            <w:rPr>
              <w:rFonts w:asciiTheme="minorHAnsi" w:eastAsiaTheme="minorEastAsia" w:hAnsiTheme="minorHAnsi"/>
              <w:noProof/>
              <w:sz w:val="22"/>
              <w:lang w:val="pl-PL" w:eastAsia="pl-PL"/>
            </w:rPr>
          </w:pPr>
          <w:hyperlink w:anchor="_Toc73432988" w:history="1">
            <w:r w:rsidR="00FD267F" w:rsidRPr="009D1F3B">
              <w:rPr>
                <w:rStyle w:val="Hipercze"/>
                <w:rFonts w:eastAsia="Times New Roman"/>
                <w:noProof/>
                <w:lang w:val="pl-PL" w:eastAsia="en-GB"/>
              </w:rPr>
              <w:t>Cel szczegółowy 3.3 Inteligentna zielona mobilność</w:t>
            </w:r>
            <w:r w:rsidR="00FD267F">
              <w:rPr>
                <w:noProof/>
                <w:webHidden/>
              </w:rPr>
              <w:tab/>
            </w:r>
            <w:r w:rsidR="00FD267F">
              <w:rPr>
                <w:noProof/>
                <w:webHidden/>
              </w:rPr>
              <w:fldChar w:fldCharType="begin"/>
            </w:r>
            <w:r w:rsidR="00FD267F">
              <w:rPr>
                <w:noProof/>
                <w:webHidden/>
              </w:rPr>
              <w:instrText xml:space="preserve"> PAGEREF _Toc73432988 \h </w:instrText>
            </w:r>
            <w:r w:rsidR="00FD267F">
              <w:rPr>
                <w:noProof/>
                <w:webHidden/>
              </w:rPr>
            </w:r>
            <w:r w:rsidR="00FD267F">
              <w:rPr>
                <w:noProof/>
                <w:webHidden/>
              </w:rPr>
              <w:fldChar w:fldCharType="separate"/>
            </w:r>
            <w:r w:rsidR="00FD267F">
              <w:rPr>
                <w:noProof/>
                <w:webHidden/>
              </w:rPr>
              <w:t>66</w:t>
            </w:r>
            <w:r w:rsidR="00FD267F">
              <w:rPr>
                <w:noProof/>
                <w:webHidden/>
              </w:rPr>
              <w:fldChar w:fldCharType="end"/>
            </w:r>
          </w:hyperlink>
        </w:p>
        <w:p w14:paraId="4667A3A5" w14:textId="77777777" w:rsidR="00FD267F" w:rsidRDefault="00C93217">
          <w:pPr>
            <w:pStyle w:val="Spistreci2"/>
            <w:tabs>
              <w:tab w:val="right" w:leader="dot" w:pos="9062"/>
            </w:tabs>
            <w:rPr>
              <w:rFonts w:asciiTheme="minorHAnsi" w:eastAsiaTheme="minorEastAsia" w:hAnsiTheme="minorHAnsi"/>
              <w:noProof/>
              <w:sz w:val="22"/>
              <w:lang w:val="pl-PL" w:eastAsia="pl-PL"/>
            </w:rPr>
          </w:pPr>
          <w:hyperlink w:anchor="_Toc73432989" w:history="1">
            <w:r w:rsidR="00FD267F" w:rsidRPr="009D1F3B">
              <w:rPr>
                <w:rStyle w:val="Hipercze"/>
                <w:rFonts w:eastAsia="Times New Roman"/>
                <w:noProof/>
                <w:lang w:val="en-IE" w:eastAsia="en-GB"/>
              </w:rPr>
              <w:t>4. Zarządzanie współpracą</w:t>
            </w:r>
            <w:r w:rsidR="00FD267F">
              <w:rPr>
                <w:noProof/>
                <w:webHidden/>
              </w:rPr>
              <w:tab/>
            </w:r>
            <w:r w:rsidR="00FD267F">
              <w:rPr>
                <w:noProof/>
                <w:webHidden/>
              </w:rPr>
              <w:fldChar w:fldCharType="begin"/>
            </w:r>
            <w:r w:rsidR="00FD267F">
              <w:rPr>
                <w:noProof/>
                <w:webHidden/>
              </w:rPr>
              <w:instrText xml:space="preserve"> PAGEREF _Toc73432989 \h </w:instrText>
            </w:r>
            <w:r w:rsidR="00FD267F">
              <w:rPr>
                <w:noProof/>
                <w:webHidden/>
              </w:rPr>
            </w:r>
            <w:r w:rsidR="00FD267F">
              <w:rPr>
                <w:noProof/>
                <w:webHidden/>
              </w:rPr>
              <w:fldChar w:fldCharType="separate"/>
            </w:r>
            <w:r w:rsidR="00FD267F">
              <w:rPr>
                <w:noProof/>
                <w:webHidden/>
              </w:rPr>
              <w:t>73</w:t>
            </w:r>
            <w:r w:rsidR="00FD267F">
              <w:rPr>
                <w:noProof/>
                <w:webHidden/>
              </w:rPr>
              <w:fldChar w:fldCharType="end"/>
            </w:r>
          </w:hyperlink>
        </w:p>
        <w:p w14:paraId="10FDB940" w14:textId="77777777" w:rsidR="00FD267F" w:rsidRDefault="00C93217">
          <w:pPr>
            <w:pStyle w:val="Spistreci3"/>
            <w:tabs>
              <w:tab w:val="right" w:leader="dot" w:pos="9062"/>
            </w:tabs>
            <w:rPr>
              <w:rFonts w:asciiTheme="minorHAnsi" w:eastAsiaTheme="minorEastAsia" w:hAnsiTheme="minorHAnsi"/>
              <w:noProof/>
              <w:sz w:val="22"/>
              <w:lang w:val="pl-PL" w:eastAsia="pl-PL"/>
            </w:rPr>
          </w:pPr>
          <w:hyperlink w:anchor="_Toc73432990" w:history="1">
            <w:r w:rsidR="00FD267F" w:rsidRPr="009D1F3B">
              <w:rPr>
                <w:rStyle w:val="Hipercze"/>
                <w:rFonts w:eastAsia="Times New Roman"/>
                <w:noProof/>
                <w:lang w:val="pl-PL" w:eastAsia="en-GB"/>
              </w:rPr>
              <w:t>Cel szczegółowy 4.1 Platformy projektów</w:t>
            </w:r>
            <w:r w:rsidR="00FD267F">
              <w:rPr>
                <w:noProof/>
                <w:webHidden/>
              </w:rPr>
              <w:tab/>
            </w:r>
            <w:r w:rsidR="00FD267F">
              <w:rPr>
                <w:noProof/>
                <w:webHidden/>
              </w:rPr>
              <w:fldChar w:fldCharType="begin"/>
            </w:r>
            <w:r w:rsidR="00FD267F">
              <w:rPr>
                <w:noProof/>
                <w:webHidden/>
              </w:rPr>
              <w:instrText xml:space="preserve"> PAGEREF _Toc73432990 \h </w:instrText>
            </w:r>
            <w:r w:rsidR="00FD267F">
              <w:rPr>
                <w:noProof/>
                <w:webHidden/>
              </w:rPr>
            </w:r>
            <w:r w:rsidR="00FD267F">
              <w:rPr>
                <w:noProof/>
                <w:webHidden/>
              </w:rPr>
              <w:fldChar w:fldCharType="separate"/>
            </w:r>
            <w:r w:rsidR="00FD267F">
              <w:rPr>
                <w:noProof/>
                <w:webHidden/>
              </w:rPr>
              <w:t>73</w:t>
            </w:r>
            <w:r w:rsidR="00FD267F">
              <w:rPr>
                <w:noProof/>
                <w:webHidden/>
              </w:rPr>
              <w:fldChar w:fldCharType="end"/>
            </w:r>
          </w:hyperlink>
        </w:p>
        <w:p w14:paraId="70B88A96" w14:textId="77777777" w:rsidR="00FD267F" w:rsidRDefault="00C93217">
          <w:pPr>
            <w:pStyle w:val="Spistreci3"/>
            <w:tabs>
              <w:tab w:val="right" w:leader="dot" w:pos="9062"/>
            </w:tabs>
            <w:rPr>
              <w:rFonts w:asciiTheme="minorHAnsi" w:eastAsiaTheme="minorEastAsia" w:hAnsiTheme="minorHAnsi"/>
              <w:noProof/>
              <w:sz w:val="22"/>
              <w:lang w:val="pl-PL" w:eastAsia="pl-PL"/>
            </w:rPr>
          </w:pPr>
          <w:hyperlink w:anchor="_Toc73432991" w:history="1">
            <w:r w:rsidR="00FD267F" w:rsidRPr="009D1F3B">
              <w:rPr>
                <w:rStyle w:val="Hipercze"/>
                <w:noProof/>
                <w:lang w:val="pl-PL"/>
              </w:rPr>
              <w:t>Cel szczegółowy 4.2 Zarządzanie makroregionalne</w:t>
            </w:r>
            <w:r w:rsidR="00FD267F">
              <w:rPr>
                <w:noProof/>
                <w:webHidden/>
              </w:rPr>
              <w:tab/>
            </w:r>
            <w:r w:rsidR="00FD267F">
              <w:rPr>
                <w:noProof/>
                <w:webHidden/>
              </w:rPr>
              <w:fldChar w:fldCharType="begin"/>
            </w:r>
            <w:r w:rsidR="00FD267F">
              <w:rPr>
                <w:noProof/>
                <w:webHidden/>
              </w:rPr>
              <w:instrText xml:space="preserve"> PAGEREF _Toc73432991 \h </w:instrText>
            </w:r>
            <w:r w:rsidR="00FD267F">
              <w:rPr>
                <w:noProof/>
                <w:webHidden/>
              </w:rPr>
            </w:r>
            <w:r w:rsidR="00FD267F">
              <w:rPr>
                <w:noProof/>
                <w:webHidden/>
              </w:rPr>
              <w:fldChar w:fldCharType="separate"/>
            </w:r>
            <w:r w:rsidR="00FD267F">
              <w:rPr>
                <w:noProof/>
                <w:webHidden/>
              </w:rPr>
              <w:t>77</w:t>
            </w:r>
            <w:r w:rsidR="00FD267F">
              <w:rPr>
                <w:noProof/>
                <w:webHidden/>
              </w:rPr>
              <w:fldChar w:fldCharType="end"/>
            </w:r>
          </w:hyperlink>
        </w:p>
        <w:p w14:paraId="72A9A17D" w14:textId="77777777" w:rsidR="00FD267F" w:rsidRDefault="00C93217">
          <w:pPr>
            <w:pStyle w:val="Spistreci1"/>
            <w:tabs>
              <w:tab w:val="left" w:pos="480"/>
              <w:tab w:val="right" w:leader="dot" w:pos="9062"/>
            </w:tabs>
            <w:rPr>
              <w:rFonts w:asciiTheme="minorHAnsi" w:eastAsiaTheme="minorEastAsia" w:hAnsiTheme="minorHAnsi"/>
              <w:noProof/>
              <w:sz w:val="22"/>
              <w:lang w:val="pl-PL" w:eastAsia="pl-PL"/>
            </w:rPr>
          </w:pPr>
          <w:hyperlink w:anchor="_Toc73432992" w:history="1">
            <w:r w:rsidR="00FD267F" w:rsidRPr="009D1F3B">
              <w:rPr>
                <w:rStyle w:val="Hipercze"/>
                <w:noProof/>
              </w:rPr>
              <w:t>3.</w:t>
            </w:r>
            <w:r w:rsidR="00FD267F">
              <w:rPr>
                <w:rFonts w:asciiTheme="minorHAnsi" w:eastAsiaTheme="minorEastAsia" w:hAnsiTheme="minorHAnsi"/>
                <w:noProof/>
                <w:sz w:val="22"/>
                <w:lang w:val="pl-PL" w:eastAsia="pl-PL"/>
              </w:rPr>
              <w:tab/>
            </w:r>
            <w:r w:rsidR="00FD267F" w:rsidRPr="009D1F3B">
              <w:rPr>
                <w:rStyle w:val="Hipercze"/>
                <w:noProof/>
              </w:rPr>
              <w:t>Plan finansowania</w:t>
            </w:r>
            <w:r w:rsidR="00FD267F">
              <w:rPr>
                <w:noProof/>
                <w:webHidden/>
              </w:rPr>
              <w:tab/>
            </w:r>
            <w:r w:rsidR="00FD267F">
              <w:rPr>
                <w:noProof/>
                <w:webHidden/>
              </w:rPr>
              <w:fldChar w:fldCharType="begin"/>
            </w:r>
            <w:r w:rsidR="00FD267F">
              <w:rPr>
                <w:noProof/>
                <w:webHidden/>
              </w:rPr>
              <w:instrText xml:space="preserve"> PAGEREF _Toc73432992 \h </w:instrText>
            </w:r>
            <w:r w:rsidR="00FD267F">
              <w:rPr>
                <w:noProof/>
                <w:webHidden/>
              </w:rPr>
            </w:r>
            <w:r w:rsidR="00FD267F">
              <w:rPr>
                <w:noProof/>
                <w:webHidden/>
              </w:rPr>
              <w:fldChar w:fldCharType="separate"/>
            </w:r>
            <w:r w:rsidR="00FD267F">
              <w:rPr>
                <w:noProof/>
                <w:webHidden/>
              </w:rPr>
              <w:t>81</w:t>
            </w:r>
            <w:r w:rsidR="00FD267F">
              <w:rPr>
                <w:noProof/>
                <w:webHidden/>
              </w:rPr>
              <w:fldChar w:fldCharType="end"/>
            </w:r>
          </w:hyperlink>
        </w:p>
        <w:p w14:paraId="70A52222" w14:textId="77777777" w:rsidR="00FD267F" w:rsidRDefault="00C93217">
          <w:pPr>
            <w:pStyle w:val="Spistreci2"/>
            <w:tabs>
              <w:tab w:val="right" w:leader="dot" w:pos="9062"/>
            </w:tabs>
            <w:rPr>
              <w:rFonts w:asciiTheme="minorHAnsi" w:eastAsiaTheme="minorEastAsia" w:hAnsiTheme="minorHAnsi"/>
              <w:noProof/>
              <w:sz w:val="22"/>
              <w:lang w:val="pl-PL" w:eastAsia="pl-PL"/>
            </w:rPr>
          </w:pPr>
          <w:hyperlink w:anchor="_Toc73432993" w:history="1">
            <w:r w:rsidR="00FD267F" w:rsidRPr="009D1F3B">
              <w:rPr>
                <w:rStyle w:val="Hipercze"/>
                <w:rFonts w:eastAsia="Times New Roman"/>
                <w:noProof/>
                <w:lang w:val="pl-PL" w:eastAsia="en-GB"/>
              </w:rPr>
              <w:t>3.1 Środki finansowe w podziale na lata</w:t>
            </w:r>
            <w:r w:rsidR="00FD267F">
              <w:rPr>
                <w:noProof/>
                <w:webHidden/>
              </w:rPr>
              <w:tab/>
            </w:r>
            <w:r w:rsidR="00FD267F">
              <w:rPr>
                <w:noProof/>
                <w:webHidden/>
              </w:rPr>
              <w:fldChar w:fldCharType="begin"/>
            </w:r>
            <w:r w:rsidR="00FD267F">
              <w:rPr>
                <w:noProof/>
                <w:webHidden/>
              </w:rPr>
              <w:instrText xml:space="preserve"> PAGEREF _Toc73432993 \h </w:instrText>
            </w:r>
            <w:r w:rsidR="00FD267F">
              <w:rPr>
                <w:noProof/>
                <w:webHidden/>
              </w:rPr>
            </w:r>
            <w:r w:rsidR="00FD267F">
              <w:rPr>
                <w:noProof/>
                <w:webHidden/>
              </w:rPr>
              <w:fldChar w:fldCharType="separate"/>
            </w:r>
            <w:r w:rsidR="00FD267F">
              <w:rPr>
                <w:noProof/>
                <w:webHidden/>
              </w:rPr>
              <w:t>81</w:t>
            </w:r>
            <w:r w:rsidR="00FD267F">
              <w:rPr>
                <w:noProof/>
                <w:webHidden/>
              </w:rPr>
              <w:fldChar w:fldCharType="end"/>
            </w:r>
          </w:hyperlink>
        </w:p>
        <w:p w14:paraId="0A1B5795" w14:textId="77777777" w:rsidR="00FD267F" w:rsidRDefault="00C93217">
          <w:pPr>
            <w:pStyle w:val="Spistreci2"/>
            <w:tabs>
              <w:tab w:val="right" w:leader="dot" w:pos="9062"/>
            </w:tabs>
            <w:rPr>
              <w:rFonts w:asciiTheme="minorHAnsi" w:eastAsiaTheme="minorEastAsia" w:hAnsiTheme="minorHAnsi"/>
              <w:noProof/>
              <w:sz w:val="22"/>
              <w:lang w:val="pl-PL" w:eastAsia="pl-PL"/>
            </w:rPr>
          </w:pPr>
          <w:hyperlink w:anchor="_Toc73432994" w:history="1">
            <w:r w:rsidR="00FD267F" w:rsidRPr="009D1F3B">
              <w:rPr>
                <w:rStyle w:val="Hipercze"/>
                <w:rFonts w:eastAsia="Times New Roman"/>
                <w:noProof/>
                <w:lang w:val="pl-PL" w:eastAsia="en-GB"/>
              </w:rPr>
              <w:t>3.2 Całkowite środki finansowe według funduszu i współfinansowania krajowego</w:t>
            </w:r>
            <w:r w:rsidR="00FD267F">
              <w:rPr>
                <w:noProof/>
                <w:webHidden/>
              </w:rPr>
              <w:tab/>
            </w:r>
            <w:r w:rsidR="00FD267F">
              <w:rPr>
                <w:noProof/>
                <w:webHidden/>
              </w:rPr>
              <w:fldChar w:fldCharType="begin"/>
            </w:r>
            <w:r w:rsidR="00FD267F">
              <w:rPr>
                <w:noProof/>
                <w:webHidden/>
              </w:rPr>
              <w:instrText xml:space="preserve"> PAGEREF _Toc73432994 \h </w:instrText>
            </w:r>
            <w:r w:rsidR="00FD267F">
              <w:rPr>
                <w:noProof/>
                <w:webHidden/>
              </w:rPr>
            </w:r>
            <w:r w:rsidR="00FD267F">
              <w:rPr>
                <w:noProof/>
                <w:webHidden/>
              </w:rPr>
              <w:fldChar w:fldCharType="separate"/>
            </w:r>
            <w:r w:rsidR="00FD267F">
              <w:rPr>
                <w:noProof/>
                <w:webHidden/>
              </w:rPr>
              <w:t>82</w:t>
            </w:r>
            <w:r w:rsidR="00FD267F">
              <w:rPr>
                <w:noProof/>
                <w:webHidden/>
              </w:rPr>
              <w:fldChar w:fldCharType="end"/>
            </w:r>
          </w:hyperlink>
        </w:p>
        <w:p w14:paraId="55FBB1E4" w14:textId="77777777" w:rsidR="00FD267F" w:rsidRDefault="00C93217">
          <w:pPr>
            <w:pStyle w:val="Spistreci1"/>
            <w:tabs>
              <w:tab w:val="left" w:pos="480"/>
              <w:tab w:val="right" w:leader="dot" w:pos="9062"/>
            </w:tabs>
            <w:rPr>
              <w:rFonts w:asciiTheme="minorHAnsi" w:eastAsiaTheme="minorEastAsia" w:hAnsiTheme="minorHAnsi"/>
              <w:noProof/>
              <w:sz w:val="22"/>
              <w:lang w:val="pl-PL" w:eastAsia="pl-PL"/>
            </w:rPr>
          </w:pPr>
          <w:hyperlink w:anchor="_Toc73432995" w:history="1">
            <w:r w:rsidR="00FD267F" w:rsidRPr="009D1F3B">
              <w:rPr>
                <w:rStyle w:val="Hipercze"/>
                <w:rFonts w:eastAsia="Times New Roman"/>
                <w:noProof/>
                <w:lang w:val="pl-PL" w:eastAsia="en-GB"/>
              </w:rPr>
              <w:t>4.</w:t>
            </w:r>
            <w:r w:rsidR="00FD267F">
              <w:rPr>
                <w:rFonts w:asciiTheme="minorHAnsi" w:eastAsiaTheme="minorEastAsia" w:hAnsiTheme="minorHAnsi"/>
                <w:noProof/>
                <w:sz w:val="22"/>
                <w:lang w:val="pl-PL" w:eastAsia="pl-PL"/>
              </w:rPr>
              <w:tab/>
            </w:r>
            <w:r w:rsidR="00FD267F" w:rsidRPr="009D1F3B">
              <w:rPr>
                <w:rStyle w:val="Hipercze"/>
                <w:rFonts w:eastAsia="Times New Roman"/>
                <w:noProof/>
                <w:lang w:val="pl-PL" w:eastAsia="en-GB"/>
              </w:rPr>
              <w:t>Działania podjęte w celu zaangażowania odpowiednich partnerów programu w przygotowanie programu Interreg oraz rola tych partnerów programu we wdrażaniu, monitorowaniu i ocenie</w:t>
            </w:r>
            <w:r w:rsidR="00FD267F">
              <w:rPr>
                <w:noProof/>
                <w:webHidden/>
              </w:rPr>
              <w:tab/>
            </w:r>
            <w:r w:rsidR="00FD267F">
              <w:rPr>
                <w:noProof/>
                <w:webHidden/>
              </w:rPr>
              <w:fldChar w:fldCharType="begin"/>
            </w:r>
            <w:r w:rsidR="00FD267F">
              <w:rPr>
                <w:noProof/>
                <w:webHidden/>
              </w:rPr>
              <w:instrText xml:space="preserve"> PAGEREF _Toc73432995 \h </w:instrText>
            </w:r>
            <w:r w:rsidR="00FD267F">
              <w:rPr>
                <w:noProof/>
                <w:webHidden/>
              </w:rPr>
            </w:r>
            <w:r w:rsidR="00FD267F">
              <w:rPr>
                <w:noProof/>
                <w:webHidden/>
              </w:rPr>
              <w:fldChar w:fldCharType="separate"/>
            </w:r>
            <w:r w:rsidR="00FD267F">
              <w:rPr>
                <w:noProof/>
                <w:webHidden/>
              </w:rPr>
              <w:t>86</w:t>
            </w:r>
            <w:r w:rsidR="00FD267F">
              <w:rPr>
                <w:noProof/>
                <w:webHidden/>
              </w:rPr>
              <w:fldChar w:fldCharType="end"/>
            </w:r>
          </w:hyperlink>
        </w:p>
        <w:p w14:paraId="33E44B99" w14:textId="77777777" w:rsidR="00FD267F" w:rsidRDefault="00C93217">
          <w:pPr>
            <w:pStyle w:val="Spistreci1"/>
            <w:tabs>
              <w:tab w:val="left" w:pos="480"/>
              <w:tab w:val="right" w:leader="dot" w:pos="9062"/>
            </w:tabs>
            <w:rPr>
              <w:rFonts w:asciiTheme="minorHAnsi" w:eastAsiaTheme="minorEastAsia" w:hAnsiTheme="minorHAnsi"/>
              <w:noProof/>
              <w:sz w:val="22"/>
              <w:lang w:val="pl-PL" w:eastAsia="pl-PL"/>
            </w:rPr>
          </w:pPr>
          <w:hyperlink w:anchor="_Toc73432996" w:history="1">
            <w:r w:rsidR="00FD267F" w:rsidRPr="009D1F3B">
              <w:rPr>
                <w:rStyle w:val="Hipercze"/>
                <w:rFonts w:eastAsia="Times New Roman"/>
                <w:noProof/>
                <w:lang w:val="pl-PL" w:eastAsia="en-GB"/>
              </w:rPr>
              <w:t>5.</w:t>
            </w:r>
            <w:r w:rsidR="00FD267F">
              <w:rPr>
                <w:rFonts w:asciiTheme="minorHAnsi" w:eastAsiaTheme="minorEastAsia" w:hAnsiTheme="minorHAnsi"/>
                <w:noProof/>
                <w:sz w:val="22"/>
                <w:lang w:val="pl-PL" w:eastAsia="pl-PL"/>
              </w:rPr>
              <w:tab/>
            </w:r>
            <w:r w:rsidR="00FD267F" w:rsidRPr="009D1F3B">
              <w:rPr>
                <w:rStyle w:val="Hipercze"/>
                <w:rFonts w:eastAsia="Times New Roman"/>
                <w:noProof/>
                <w:lang w:val="pl-PL" w:eastAsia="en-GB"/>
              </w:rPr>
              <w:t>Podejście do komunikacji i widoczności programu Interreg (cele, odbiorcy docelowi, kanały komunikacji, w tym, gdzie to właściwe, zasięg w mediach społecznościowych, planowany budżet i odpowiednie wskaźniki na potrzeby monitorowania i oceny)</w:t>
            </w:r>
            <w:r w:rsidR="00FD267F">
              <w:rPr>
                <w:noProof/>
                <w:webHidden/>
              </w:rPr>
              <w:tab/>
            </w:r>
            <w:r w:rsidR="00FD267F">
              <w:rPr>
                <w:noProof/>
                <w:webHidden/>
              </w:rPr>
              <w:fldChar w:fldCharType="begin"/>
            </w:r>
            <w:r w:rsidR="00FD267F">
              <w:rPr>
                <w:noProof/>
                <w:webHidden/>
              </w:rPr>
              <w:instrText xml:space="preserve"> PAGEREF _Toc73432996 \h </w:instrText>
            </w:r>
            <w:r w:rsidR="00FD267F">
              <w:rPr>
                <w:noProof/>
                <w:webHidden/>
              </w:rPr>
            </w:r>
            <w:r w:rsidR="00FD267F">
              <w:rPr>
                <w:noProof/>
                <w:webHidden/>
              </w:rPr>
              <w:fldChar w:fldCharType="separate"/>
            </w:r>
            <w:r w:rsidR="00FD267F">
              <w:rPr>
                <w:noProof/>
                <w:webHidden/>
              </w:rPr>
              <w:t>87</w:t>
            </w:r>
            <w:r w:rsidR="00FD267F">
              <w:rPr>
                <w:noProof/>
                <w:webHidden/>
              </w:rPr>
              <w:fldChar w:fldCharType="end"/>
            </w:r>
          </w:hyperlink>
        </w:p>
        <w:p w14:paraId="58350944" w14:textId="77777777" w:rsidR="00FD267F" w:rsidRDefault="00C93217">
          <w:pPr>
            <w:pStyle w:val="Spistreci1"/>
            <w:tabs>
              <w:tab w:val="left" w:pos="480"/>
              <w:tab w:val="right" w:leader="dot" w:pos="9062"/>
            </w:tabs>
            <w:rPr>
              <w:rFonts w:asciiTheme="minorHAnsi" w:eastAsiaTheme="minorEastAsia" w:hAnsiTheme="minorHAnsi"/>
              <w:noProof/>
              <w:sz w:val="22"/>
              <w:lang w:val="pl-PL" w:eastAsia="pl-PL"/>
            </w:rPr>
          </w:pPr>
          <w:hyperlink w:anchor="_Toc73432997" w:history="1">
            <w:r w:rsidR="00FD267F" w:rsidRPr="009D1F3B">
              <w:rPr>
                <w:rStyle w:val="Hipercze"/>
                <w:rFonts w:eastAsia="Times New Roman"/>
                <w:noProof/>
                <w:lang w:val="pl-PL" w:eastAsia="en-GB"/>
              </w:rPr>
              <w:t>6.</w:t>
            </w:r>
            <w:r w:rsidR="00FD267F">
              <w:rPr>
                <w:rFonts w:asciiTheme="minorHAnsi" w:eastAsiaTheme="minorEastAsia" w:hAnsiTheme="minorHAnsi"/>
                <w:noProof/>
                <w:sz w:val="22"/>
                <w:lang w:val="pl-PL" w:eastAsia="pl-PL"/>
              </w:rPr>
              <w:tab/>
            </w:r>
            <w:r w:rsidR="00FD267F" w:rsidRPr="009D1F3B">
              <w:rPr>
                <w:rStyle w:val="Hipercze"/>
                <w:rFonts w:eastAsia="Times New Roman"/>
                <w:noProof/>
                <w:lang w:val="pl-PL" w:eastAsia="en-GB"/>
              </w:rPr>
              <w:t>Wskazanie wsparcia dla projektów o małej skali, w tym małych projektów w ramach funduszy małych projektów</w:t>
            </w:r>
            <w:r w:rsidR="00FD267F">
              <w:rPr>
                <w:noProof/>
                <w:webHidden/>
              </w:rPr>
              <w:tab/>
            </w:r>
            <w:r w:rsidR="00FD267F">
              <w:rPr>
                <w:noProof/>
                <w:webHidden/>
              </w:rPr>
              <w:fldChar w:fldCharType="begin"/>
            </w:r>
            <w:r w:rsidR="00FD267F">
              <w:rPr>
                <w:noProof/>
                <w:webHidden/>
              </w:rPr>
              <w:instrText xml:space="preserve"> PAGEREF _Toc73432997 \h </w:instrText>
            </w:r>
            <w:r w:rsidR="00FD267F">
              <w:rPr>
                <w:noProof/>
                <w:webHidden/>
              </w:rPr>
            </w:r>
            <w:r w:rsidR="00FD267F">
              <w:rPr>
                <w:noProof/>
                <w:webHidden/>
              </w:rPr>
              <w:fldChar w:fldCharType="separate"/>
            </w:r>
            <w:r w:rsidR="00FD267F">
              <w:rPr>
                <w:noProof/>
                <w:webHidden/>
              </w:rPr>
              <w:t>89</w:t>
            </w:r>
            <w:r w:rsidR="00FD267F">
              <w:rPr>
                <w:noProof/>
                <w:webHidden/>
              </w:rPr>
              <w:fldChar w:fldCharType="end"/>
            </w:r>
          </w:hyperlink>
        </w:p>
        <w:p w14:paraId="05B169FF" w14:textId="77777777" w:rsidR="00FD267F" w:rsidRDefault="00C93217">
          <w:pPr>
            <w:pStyle w:val="Spistreci1"/>
            <w:tabs>
              <w:tab w:val="left" w:pos="480"/>
              <w:tab w:val="right" w:leader="dot" w:pos="9062"/>
            </w:tabs>
            <w:rPr>
              <w:rFonts w:asciiTheme="minorHAnsi" w:eastAsiaTheme="minorEastAsia" w:hAnsiTheme="minorHAnsi"/>
              <w:noProof/>
              <w:sz w:val="22"/>
              <w:lang w:val="pl-PL" w:eastAsia="pl-PL"/>
            </w:rPr>
          </w:pPr>
          <w:hyperlink w:anchor="_Toc73432998" w:history="1">
            <w:r w:rsidR="00FD267F" w:rsidRPr="009D1F3B">
              <w:rPr>
                <w:rStyle w:val="Hipercze"/>
                <w:rFonts w:eastAsia="Times New Roman"/>
                <w:noProof/>
                <w:lang w:val="pl-PL" w:eastAsia="en-GB"/>
              </w:rPr>
              <w:t>7.</w:t>
            </w:r>
            <w:r w:rsidR="00FD267F">
              <w:rPr>
                <w:rFonts w:asciiTheme="minorHAnsi" w:eastAsiaTheme="minorEastAsia" w:hAnsiTheme="minorHAnsi"/>
                <w:noProof/>
                <w:sz w:val="22"/>
                <w:lang w:val="pl-PL" w:eastAsia="pl-PL"/>
              </w:rPr>
              <w:tab/>
            </w:r>
            <w:r w:rsidR="00FD267F" w:rsidRPr="009D1F3B">
              <w:rPr>
                <w:rStyle w:val="Hipercze"/>
                <w:rFonts w:eastAsia="Times New Roman"/>
                <w:noProof/>
                <w:lang w:val="pl-PL" w:eastAsia="en-GB"/>
              </w:rPr>
              <w:t>Przepisy wykonawcze</w:t>
            </w:r>
            <w:r w:rsidR="00FD267F">
              <w:rPr>
                <w:noProof/>
                <w:webHidden/>
              </w:rPr>
              <w:tab/>
            </w:r>
            <w:r w:rsidR="00FD267F">
              <w:rPr>
                <w:noProof/>
                <w:webHidden/>
              </w:rPr>
              <w:fldChar w:fldCharType="begin"/>
            </w:r>
            <w:r w:rsidR="00FD267F">
              <w:rPr>
                <w:noProof/>
                <w:webHidden/>
              </w:rPr>
              <w:instrText xml:space="preserve"> PAGEREF _Toc73432998 \h </w:instrText>
            </w:r>
            <w:r w:rsidR="00FD267F">
              <w:rPr>
                <w:noProof/>
                <w:webHidden/>
              </w:rPr>
            </w:r>
            <w:r w:rsidR="00FD267F">
              <w:rPr>
                <w:noProof/>
                <w:webHidden/>
              </w:rPr>
              <w:fldChar w:fldCharType="separate"/>
            </w:r>
            <w:r w:rsidR="00FD267F">
              <w:rPr>
                <w:noProof/>
                <w:webHidden/>
              </w:rPr>
              <w:t>90</w:t>
            </w:r>
            <w:r w:rsidR="00FD267F">
              <w:rPr>
                <w:noProof/>
                <w:webHidden/>
              </w:rPr>
              <w:fldChar w:fldCharType="end"/>
            </w:r>
          </w:hyperlink>
        </w:p>
        <w:p w14:paraId="023C0B85" w14:textId="77777777" w:rsidR="00FD267F" w:rsidRDefault="00C93217">
          <w:pPr>
            <w:pStyle w:val="Spistreci2"/>
            <w:tabs>
              <w:tab w:val="right" w:leader="dot" w:pos="9062"/>
            </w:tabs>
            <w:rPr>
              <w:rFonts w:asciiTheme="minorHAnsi" w:eastAsiaTheme="minorEastAsia" w:hAnsiTheme="minorHAnsi"/>
              <w:noProof/>
              <w:sz w:val="22"/>
              <w:lang w:val="pl-PL" w:eastAsia="pl-PL"/>
            </w:rPr>
          </w:pPr>
          <w:hyperlink w:anchor="_Toc73432999" w:history="1">
            <w:r w:rsidR="00FD267F" w:rsidRPr="009D1F3B">
              <w:rPr>
                <w:rStyle w:val="Hipercze"/>
                <w:rFonts w:eastAsia="Times New Roman"/>
                <w:noProof/>
                <w:lang w:val="pl-PL" w:eastAsia="en-GB"/>
              </w:rPr>
              <w:t>7.1 Władze programu</w:t>
            </w:r>
            <w:r w:rsidR="00FD267F">
              <w:rPr>
                <w:noProof/>
                <w:webHidden/>
              </w:rPr>
              <w:tab/>
            </w:r>
            <w:r w:rsidR="00FD267F">
              <w:rPr>
                <w:noProof/>
                <w:webHidden/>
              </w:rPr>
              <w:fldChar w:fldCharType="begin"/>
            </w:r>
            <w:r w:rsidR="00FD267F">
              <w:rPr>
                <w:noProof/>
                <w:webHidden/>
              </w:rPr>
              <w:instrText xml:space="preserve"> PAGEREF _Toc73432999 \h </w:instrText>
            </w:r>
            <w:r w:rsidR="00FD267F">
              <w:rPr>
                <w:noProof/>
                <w:webHidden/>
              </w:rPr>
            </w:r>
            <w:r w:rsidR="00FD267F">
              <w:rPr>
                <w:noProof/>
                <w:webHidden/>
              </w:rPr>
              <w:fldChar w:fldCharType="separate"/>
            </w:r>
            <w:r w:rsidR="00FD267F">
              <w:rPr>
                <w:noProof/>
                <w:webHidden/>
              </w:rPr>
              <w:t>90</w:t>
            </w:r>
            <w:r w:rsidR="00FD267F">
              <w:rPr>
                <w:noProof/>
                <w:webHidden/>
              </w:rPr>
              <w:fldChar w:fldCharType="end"/>
            </w:r>
          </w:hyperlink>
        </w:p>
        <w:p w14:paraId="5492A36A" w14:textId="77777777" w:rsidR="00FD267F" w:rsidRDefault="00C93217">
          <w:pPr>
            <w:pStyle w:val="Spistreci2"/>
            <w:tabs>
              <w:tab w:val="right" w:leader="dot" w:pos="9062"/>
            </w:tabs>
            <w:rPr>
              <w:rFonts w:asciiTheme="minorHAnsi" w:eastAsiaTheme="minorEastAsia" w:hAnsiTheme="minorHAnsi"/>
              <w:noProof/>
              <w:sz w:val="22"/>
              <w:lang w:val="pl-PL" w:eastAsia="pl-PL"/>
            </w:rPr>
          </w:pPr>
          <w:hyperlink w:anchor="_Toc73433000" w:history="1">
            <w:r w:rsidR="00FD267F" w:rsidRPr="009D1F3B">
              <w:rPr>
                <w:rStyle w:val="Hipercze"/>
                <w:rFonts w:eastAsia="Times New Roman"/>
                <w:noProof/>
                <w:lang w:val="pl-PL" w:eastAsia="en-GB"/>
              </w:rPr>
              <w:t>7.2 Procedura tworzenia wspólnego sekretariatu</w:t>
            </w:r>
            <w:r w:rsidR="00FD267F">
              <w:rPr>
                <w:noProof/>
                <w:webHidden/>
              </w:rPr>
              <w:tab/>
            </w:r>
            <w:r w:rsidR="00FD267F">
              <w:rPr>
                <w:noProof/>
                <w:webHidden/>
              </w:rPr>
              <w:fldChar w:fldCharType="begin"/>
            </w:r>
            <w:r w:rsidR="00FD267F">
              <w:rPr>
                <w:noProof/>
                <w:webHidden/>
              </w:rPr>
              <w:instrText xml:space="preserve"> PAGEREF _Toc73433000 \h </w:instrText>
            </w:r>
            <w:r w:rsidR="00FD267F">
              <w:rPr>
                <w:noProof/>
                <w:webHidden/>
              </w:rPr>
            </w:r>
            <w:r w:rsidR="00FD267F">
              <w:rPr>
                <w:noProof/>
                <w:webHidden/>
              </w:rPr>
              <w:fldChar w:fldCharType="separate"/>
            </w:r>
            <w:r w:rsidR="00FD267F">
              <w:rPr>
                <w:noProof/>
                <w:webHidden/>
              </w:rPr>
              <w:t>92</w:t>
            </w:r>
            <w:r w:rsidR="00FD267F">
              <w:rPr>
                <w:noProof/>
                <w:webHidden/>
              </w:rPr>
              <w:fldChar w:fldCharType="end"/>
            </w:r>
          </w:hyperlink>
        </w:p>
        <w:p w14:paraId="1893F8E6" w14:textId="77777777" w:rsidR="00FD267F" w:rsidRDefault="00C93217">
          <w:pPr>
            <w:pStyle w:val="Spistreci2"/>
            <w:tabs>
              <w:tab w:val="right" w:leader="dot" w:pos="9062"/>
            </w:tabs>
            <w:rPr>
              <w:rFonts w:asciiTheme="minorHAnsi" w:eastAsiaTheme="minorEastAsia" w:hAnsiTheme="minorHAnsi"/>
              <w:noProof/>
              <w:sz w:val="22"/>
              <w:lang w:val="pl-PL" w:eastAsia="pl-PL"/>
            </w:rPr>
          </w:pPr>
          <w:hyperlink w:anchor="_Toc73433001" w:history="1">
            <w:r w:rsidR="00FD267F" w:rsidRPr="009D1F3B">
              <w:rPr>
                <w:rStyle w:val="Hipercze"/>
                <w:rFonts w:eastAsia="Times New Roman"/>
                <w:noProof/>
                <w:lang w:val="pl-PL" w:eastAsia="en-GB"/>
              </w:rPr>
              <w:t>7.3 Podział odpowiedzialności między uczestniczące państwa członkowskie oraz, w stosownych przypadkach, państwa trzecie i KTZ w przypadku korekt finansowych nałożonych przez instytucję zarządzającą lub Komisję</w:t>
            </w:r>
            <w:r w:rsidR="00FD267F">
              <w:rPr>
                <w:noProof/>
                <w:webHidden/>
              </w:rPr>
              <w:tab/>
            </w:r>
            <w:r w:rsidR="00FD267F">
              <w:rPr>
                <w:noProof/>
                <w:webHidden/>
              </w:rPr>
              <w:fldChar w:fldCharType="begin"/>
            </w:r>
            <w:r w:rsidR="00FD267F">
              <w:rPr>
                <w:noProof/>
                <w:webHidden/>
              </w:rPr>
              <w:instrText xml:space="preserve"> PAGEREF _Toc73433001 \h </w:instrText>
            </w:r>
            <w:r w:rsidR="00FD267F">
              <w:rPr>
                <w:noProof/>
                <w:webHidden/>
              </w:rPr>
            </w:r>
            <w:r w:rsidR="00FD267F">
              <w:rPr>
                <w:noProof/>
                <w:webHidden/>
              </w:rPr>
              <w:fldChar w:fldCharType="separate"/>
            </w:r>
            <w:r w:rsidR="00FD267F">
              <w:rPr>
                <w:noProof/>
                <w:webHidden/>
              </w:rPr>
              <w:t>93</w:t>
            </w:r>
            <w:r w:rsidR="00FD267F">
              <w:rPr>
                <w:noProof/>
                <w:webHidden/>
              </w:rPr>
              <w:fldChar w:fldCharType="end"/>
            </w:r>
          </w:hyperlink>
        </w:p>
        <w:p w14:paraId="7FC03C6F" w14:textId="77777777" w:rsidR="00FD267F" w:rsidRDefault="00C93217">
          <w:pPr>
            <w:pStyle w:val="Spistreci1"/>
            <w:tabs>
              <w:tab w:val="left" w:pos="480"/>
              <w:tab w:val="right" w:leader="dot" w:pos="9062"/>
            </w:tabs>
            <w:rPr>
              <w:rFonts w:asciiTheme="minorHAnsi" w:eastAsiaTheme="minorEastAsia" w:hAnsiTheme="minorHAnsi"/>
              <w:noProof/>
              <w:sz w:val="22"/>
              <w:lang w:val="pl-PL" w:eastAsia="pl-PL"/>
            </w:rPr>
          </w:pPr>
          <w:hyperlink w:anchor="_Toc73433002" w:history="1">
            <w:r w:rsidR="00FD267F" w:rsidRPr="009D1F3B">
              <w:rPr>
                <w:rStyle w:val="Hipercze"/>
                <w:rFonts w:eastAsia="Times New Roman"/>
                <w:noProof/>
                <w:lang w:val="pl-PL" w:eastAsia="en-GB"/>
              </w:rPr>
              <w:t>8.</w:t>
            </w:r>
            <w:r w:rsidR="00FD267F">
              <w:rPr>
                <w:rFonts w:asciiTheme="minorHAnsi" w:eastAsiaTheme="minorEastAsia" w:hAnsiTheme="minorHAnsi"/>
                <w:noProof/>
                <w:sz w:val="22"/>
                <w:lang w:val="pl-PL" w:eastAsia="pl-PL"/>
              </w:rPr>
              <w:tab/>
            </w:r>
            <w:r w:rsidR="00FD267F" w:rsidRPr="009D1F3B">
              <w:rPr>
                <w:rStyle w:val="Hipercze"/>
                <w:rFonts w:eastAsia="Times New Roman"/>
                <w:noProof/>
                <w:lang w:val="pl-PL" w:eastAsia="en-GB"/>
              </w:rPr>
              <w:t>Stosowanie kosztów jednostkowych, kwot ryczałtowych, stawek ryczałtowych i finansowania niepowiązanego z kosztami</w:t>
            </w:r>
            <w:r w:rsidR="00FD267F">
              <w:rPr>
                <w:noProof/>
                <w:webHidden/>
              </w:rPr>
              <w:tab/>
            </w:r>
            <w:r w:rsidR="00FD267F">
              <w:rPr>
                <w:noProof/>
                <w:webHidden/>
              </w:rPr>
              <w:fldChar w:fldCharType="begin"/>
            </w:r>
            <w:r w:rsidR="00FD267F">
              <w:rPr>
                <w:noProof/>
                <w:webHidden/>
              </w:rPr>
              <w:instrText xml:space="preserve"> PAGEREF _Toc73433002 \h </w:instrText>
            </w:r>
            <w:r w:rsidR="00FD267F">
              <w:rPr>
                <w:noProof/>
                <w:webHidden/>
              </w:rPr>
            </w:r>
            <w:r w:rsidR="00FD267F">
              <w:rPr>
                <w:noProof/>
                <w:webHidden/>
              </w:rPr>
              <w:fldChar w:fldCharType="separate"/>
            </w:r>
            <w:r w:rsidR="00FD267F">
              <w:rPr>
                <w:noProof/>
                <w:webHidden/>
              </w:rPr>
              <w:t>97</w:t>
            </w:r>
            <w:r w:rsidR="00FD267F">
              <w:rPr>
                <w:noProof/>
                <w:webHidden/>
              </w:rPr>
              <w:fldChar w:fldCharType="end"/>
            </w:r>
          </w:hyperlink>
        </w:p>
        <w:p w14:paraId="2FD5525A" w14:textId="44259764" w:rsidR="008A31C9" w:rsidRDefault="008A31C9">
          <w:r>
            <w:rPr>
              <w:b/>
              <w:bCs/>
            </w:rPr>
            <w:fldChar w:fldCharType="end"/>
          </w:r>
        </w:p>
      </w:sdtContent>
    </w:sdt>
    <w:p w14:paraId="54C2D988" w14:textId="77777777" w:rsidR="00F34DE9" w:rsidRDefault="00F34DE9" w:rsidP="00F50542">
      <w:pPr>
        <w:spacing w:after="200" w:line="276" w:lineRule="auto"/>
        <w:jc w:val="center"/>
        <w:rPr>
          <w:rFonts w:asciiTheme="minorHAnsi" w:hAnsiTheme="minorHAnsi" w:cstheme="minorHAnsi"/>
          <w:b/>
          <w:szCs w:val="24"/>
          <w:lang w:val="pl-PL"/>
        </w:rPr>
      </w:pPr>
    </w:p>
    <w:p w14:paraId="40EA0DCF" w14:textId="77777777" w:rsidR="00A56537" w:rsidRPr="00F879CC" w:rsidRDefault="00A56537" w:rsidP="00F50542">
      <w:pPr>
        <w:spacing w:after="200" w:line="276" w:lineRule="auto"/>
        <w:jc w:val="center"/>
        <w:rPr>
          <w:rFonts w:asciiTheme="minorHAnsi" w:hAnsiTheme="minorHAnsi" w:cstheme="minorHAnsi"/>
          <w:b/>
          <w:szCs w:val="24"/>
          <w:lang w:val="pl-PL"/>
        </w:rPr>
      </w:pPr>
    </w:p>
    <w:p w14:paraId="3A993134" w14:textId="77777777" w:rsidR="00095A0D" w:rsidRDefault="00095A0D" w:rsidP="00F879CC">
      <w:pPr>
        <w:spacing w:after="200" w:line="276" w:lineRule="auto"/>
        <w:rPr>
          <w:rFonts w:asciiTheme="minorHAnsi" w:hAnsiTheme="minorHAnsi" w:cstheme="minorHAnsi"/>
          <w:b/>
          <w:sz w:val="28"/>
          <w:szCs w:val="28"/>
          <w:lang w:val="en-IE"/>
        </w:rPr>
      </w:pPr>
    </w:p>
    <w:p w14:paraId="22016046" w14:textId="77777777" w:rsidR="00095A0D" w:rsidRDefault="00095A0D" w:rsidP="00F879CC">
      <w:pPr>
        <w:spacing w:after="200" w:line="276" w:lineRule="auto"/>
        <w:rPr>
          <w:rFonts w:asciiTheme="minorHAnsi" w:hAnsiTheme="minorHAnsi" w:cstheme="minorHAnsi"/>
          <w:b/>
          <w:sz w:val="28"/>
          <w:szCs w:val="28"/>
          <w:lang w:val="en-IE"/>
        </w:rPr>
      </w:pPr>
    </w:p>
    <w:p w14:paraId="29D722BD" w14:textId="77777777" w:rsidR="00095A0D" w:rsidRDefault="00095A0D" w:rsidP="00F879CC">
      <w:pPr>
        <w:spacing w:after="200" w:line="276" w:lineRule="auto"/>
        <w:rPr>
          <w:rFonts w:asciiTheme="minorHAnsi" w:hAnsiTheme="minorHAnsi" w:cstheme="minorHAnsi"/>
          <w:b/>
          <w:sz w:val="28"/>
          <w:szCs w:val="28"/>
          <w:lang w:val="en-IE"/>
        </w:rPr>
      </w:pPr>
    </w:p>
    <w:p w14:paraId="3D5C872D" w14:textId="77777777" w:rsidR="00095A0D" w:rsidRDefault="00095A0D" w:rsidP="00F879CC">
      <w:pPr>
        <w:spacing w:after="200" w:line="276" w:lineRule="auto"/>
        <w:rPr>
          <w:rFonts w:asciiTheme="minorHAnsi" w:hAnsiTheme="minorHAnsi" w:cstheme="minorHAnsi"/>
          <w:b/>
          <w:sz w:val="28"/>
          <w:szCs w:val="28"/>
          <w:lang w:val="en-IE"/>
        </w:rPr>
      </w:pPr>
    </w:p>
    <w:p w14:paraId="21BA8D03" w14:textId="77777777" w:rsidR="00095A0D" w:rsidRDefault="00095A0D" w:rsidP="00F879CC">
      <w:pPr>
        <w:spacing w:after="200" w:line="276" w:lineRule="auto"/>
        <w:rPr>
          <w:rFonts w:asciiTheme="minorHAnsi" w:hAnsiTheme="minorHAnsi" w:cstheme="minorHAnsi"/>
          <w:b/>
          <w:sz w:val="28"/>
          <w:szCs w:val="28"/>
          <w:lang w:val="en-IE"/>
        </w:rPr>
      </w:pPr>
    </w:p>
    <w:p w14:paraId="0E75840E" w14:textId="77777777" w:rsidR="00FD267F" w:rsidRDefault="00FD267F" w:rsidP="00F879CC">
      <w:pPr>
        <w:spacing w:after="200" w:line="276" w:lineRule="auto"/>
        <w:rPr>
          <w:rFonts w:asciiTheme="minorHAnsi" w:hAnsiTheme="minorHAnsi" w:cstheme="minorHAnsi"/>
          <w:b/>
          <w:sz w:val="28"/>
          <w:szCs w:val="28"/>
          <w:lang w:val="en-IE"/>
        </w:rPr>
      </w:pPr>
    </w:p>
    <w:p w14:paraId="4AA1752E" w14:textId="22E6F944" w:rsidR="00F50542" w:rsidRPr="00F879CC" w:rsidRDefault="00276BD9" w:rsidP="00F879CC">
      <w:pPr>
        <w:spacing w:after="200" w:line="276" w:lineRule="auto"/>
        <w:rPr>
          <w:rFonts w:asciiTheme="minorHAnsi" w:hAnsiTheme="minorHAnsi" w:cstheme="minorHAnsi"/>
          <w:b/>
          <w:sz w:val="28"/>
          <w:szCs w:val="28"/>
          <w:lang w:val="en-IE"/>
        </w:rPr>
      </w:pPr>
      <w:r w:rsidRPr="00F879CC">
        <w:rPr>
          <w:rFonts w:asciiTheme="minorHAnsi" w:hAnsiTheme="minorHAnsi" w:cstheme="minorHAnsi"/>
          <w:b/>
          <w:sz w:val="28"/>
          <w:szCs w:val="28"/>
          <w:lang w:val="en-IE"/>
        </w:rPr>
        <w:lastRenderedPageBreak/>
        <w:t>SZABLON PROGRAMÓW INTERREG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będąca szablonem programów Interreg"/>
      </w:tblPr>
      <w:tblGrid>
        <w:gridCol w:w="3315"/>
        <w:gridCol w:w="5103"/>
      </w:tblGrid>
      <w:tr w:rsidR="00F50542" w:rsidRPr="0021540D" w14:paraId="4376F203" w14:textId="77777777" w:rsidTr="00F879CC">
        <w:trPr>
          <w:trHeight w:val="222"/>
        </w:trPr>
        <w:tc>
          <w:tcPr>
            <w:tcW w:w="3315" w:type="dxa"/>
            <w:shd w:val="clear" w:color="auto" w:fill="auto"/>
          </w:tcPr>
          <w:p w14:paraId="2F1935A9" w14:textId="77777777" w:rsidR="00F50542" w:rsidRPr="00F879CC" w:rsidRDefault="00F50542" w:rsidP="00F50542">
            <w:pPr>
              <w:spacing w:line="276" w:lineRule="auto"/>
              <w:rPr>
                <w:rFonts w:asciiTheme="minorHAnsi" w:hAnsiTheme="minorHAnsi" w:cstheme="minorHAnsi"/>
                <w:b/>
                <w:szCs w:val="24"/>
                <w:lang w:val="pl-PL"/>
              </w:rPr>
            </w:pPr>
            <w:bookmarkStart w:id="0" w:name="OLE_LINK1"/>
            <w:r w:rsidRPr="00F879CC">
              <w:rPr>
                <w:rFonts w:asciiTheme="minorHAnsi" w:hAnsiTheme="minorHAnsi" w:cstheme="minorHAnsi"/>
                <w:b/>
                <w:szCs w:val="24"/>
                <w:lang w:val="pl-PL"/>
              </w:rPr>
              <w:t>CCI</w:t>
            </w:r>
            <w:bookmarkEnd w:id="0"/>
          </w:p>
        </w:tc>
        <w:tc>
          <w:tcPr>
            <w:tcW w:w="5103" w:type="dxa"/>
            <w:shd w:val="clear" w:color="auto" w:fill="auto"/>
          </w:tcPr>
          <w:p w14:paraId="752C66F6" w14:textId="15CA32DD" w:rsidR="00F50542" w:rsidRPr="00F879CC" w:rsidRDefault="00F50542" w:rsidP="00276BD9">
            <w:pPr>
              <w:spacing w:line="276" w:lineRule="auto"/>
              <w:rPr>
                <w:rFonts w:asciiTheme="minorHAnsi" w:hAnsiTheme="minorHAnsi" w:cstheme="minorHAnsi"/>
                <w:szCs w:val="24"/>
                <w:lang w:val="pl-PL"/>
              </w:rPr>
            </w:pPr>
            <w:r w:rsidRPr="00F879CC">
              <w:rPr>
                <w:rFonts w:asciiTheme="minorHAnsi" w:hAnsiTheme="minorHAnsi" w:cstheme="minorHAnsi"/>
                <w:szCs w:val="24"/>
                <w:lang w:val="pl-PL"/>
              </w:rPr>
              <w:t xml:space="preserve">[15 </w:t>
            </w:r>
            <w:r w:rsidR="00276BD9" w:rsidRPr="00F879CC">
              <w:rPr>
                <w:rFonts w:asciiTheme="minorHAnsi" w:hAnsiTheme="minorHAnsi" w:cstheme="minorHAnsi"/>
                <w:szCs w:val="24"/>
                <w:lang w:val="pl-PL"/>
              </w:rPr>
              <w:t>znaków</w:t>
            </w:r>
            <w:r w:rsidRPr="00F879CC">
              <w:rPr>
                <w:rFonts w:asciiTheme="minorHAnsi" w:hAnsiTheme="minorHAnsi" w:cstheme="minorHAnsi"/>
                <w:szCs w:val="24"/>
                <w:lang w:val="pl-PL"/>
              </w:rPr>
              <w:t>]</w:t>
            </w:r>
          </w:p>
        </w:tc>
      </w:tr>
      <w:tr w:rsidR="00F50542" w:rsidRPr="0021540D" w14:paraId="1AC940C8" w14:textId="77777777" w:rsidTr="00F879CC">
        <w:trPr>
          <w:trHeight w:val="269"/>
        </w:trPr>
        <w:tc>
          <w:tcPr>
            <w:tcW w:w="3315" w:type="dxa"/>
            <w:shd w:val="clear" w:color="auto" w:fill="auto"/>
          </w:tcPr>
          <w:p w14:paraId="452F46AA" w14:textId="0941F3C3" w:rsidR="00F50542" w:rsidRPr="00F879CC" w:rsidRDefault="00276BD9" w:rsidP="00F50542">
            <w:pPr>
              <w:spacing w:line="276" w:lineRule="auto"/>
              <w:rPr>
                <w:rFonts w:asciiTheme="minorHAnsi" w:hAnsiTheme="minorHAnsi" w:cstheme="minorHAnsi"/>
                <w:b/>
                <w:szCs w:val="24"/>
                <w:lang w:val="pl-PL"/>
              </w:rPr>
            </w:pPr>
            <w:r w:rsidRPr="00F879CC">
              <w:rPr>
                <w:rFonts w:asciiTheme="minorHAnsi" w:hAnsiTheme="minorHAnsi" w:cstheme="minorHAnsi"/>
                <w:b/>
                <w:szCs w:val="24"/>
                <w:lang w:val="pl-PL"/>
              </w:rPr>
              <w:t>Nazwa</w:t>
            </w:r>
          </w:p>
        </w:tc>
        <w:tc>
          <w:tcPr>
            <w:tcW w:w="5103" w:type="dxa"/>
            <w:shd w:val="clear" w:color="auto" w:fill="auto"/>
          </w:tcPr>
          <w:p w14:paraId="41B6BEF9" w14:textId="4966DC9B" w:rsidR="00F50542" w:rsidRPr="00F879CC" w:rsidRDefault="00F50542" w:rsidP="00F50542">
            <w:pPr>
              <w:spacing w:line="276" w:lineRule="auto"/>
              <w:rPr>
                <w:rFonts w:asciiTheme="minorHAnsi" w:hAnsiTheme="minorHAnsi" w:cstheme="minorHAnsi"/>
                <w:szCs w:val="24"/>
                <w:lang w:val="pl-PL"/>
              </w:rPr>
            </w:pPr>
            <w:r w:rsidRPr="00F879CC">
              <w:rPr>
                <w:rFonts w:asciiTheme="minorHAnsi" w:hAnsiTheme="minorHAnsi" w:cstheme="minorHAnsi"/>
                <w:szCs w:val="24"/>
                <w:lang w:val="pl-PL"/>
              </w:rPr>
              <w:t>[255]</w:t>
            </w:r>
            <w:r w:rsidR="00FB2073" w:rsidRPr="00F879CC">
              <w:rPr>
                <w:rFonts w:asciiTheme="minorHAnsi" w:hAnsiTheme="minorHAnsi" w:cstheme="minorHAnsi"/>
                <w:szCs w:val="24"/>
                <w:lang w:val="pl-PL"/>
              </w:rPr>
              <w:t xml:space="preserve"> </w:t>
            </w:r>
            <w:r w:rsidR="00276BD9" w:rsidRPr="00F879CC">
              <w:rPr>
                <w:rFonts w:asciiTheme="minorHAnsi" w:hAnsiTheme="minorHAnsi" w:cstheme="minorHAnsi"/>
                <w:szCs w:val="24"/>
                <w:lang w:val="pl-PL"/>
              </w:rPr>
              <w:t>Interreg Region Morza Bałtyckiego</w:t>
            </w:r>
          </w:p>
        </w:tc>
      </w:tr>
      <w:tr w:rsidR="00F50542" w:rsidRPr="0021540D" w14:paraId="3E0F79B2" w14:textId="77777777" w:rsidTr="00F879CC">
        <w:trPr>
          <w:trHeight w:val="138"/>
        </w:trPr>
        <w:tc>
          <w:tcPr>
            <w:tcW w:w="3315" w:type="dxa"/>
            <w:shd w:val="clear" w:color="auto" w:fill="auto"/>
          </w:tcPr>
          <w:p w14:paraId="35C708D5" w14:textId="4B263D56" w:rsidR="00F50542" w:rsidRPr="00F879CC" w:rsidRDefault="00276BD9" w:rsidP="00F50542">
            <w:pPr>
              <w:spacing w:line="276" w:lineRule="auto"/>
              <w:rPr>
                <w:rFonts w:asciiTheme="minorHAnsi" w:hAnsiTheme="minorHAnsi" w:cstheme="minorHAnsi"/>
                <w:b/>
                <w:szCs w:val="24"/>
                <w:lang w:val="pl-PL"/>
              </w:rPr>
            </w:pPr>
            <w:r w:rsidRPr="00F879CC">
              <w:rPr>
                <w:rFonts w:asciiTheme="minorHAnsi" w:hAnsiTheme="minorHAnsi" w:cstheme="minorHAnsi"/>
                <w:b/>
                <w:szCs w:val="24"/>
                <w:lang w:val="pl-PL"/>
              </w:rPr>
              <w:t>Wersja</w:t>
            </w:r>
          </w:p>
        </w:tc>
        <w:tc>
          <w:tcPr>
            <w:tcW w:w="5103" w:type="dxa"/>
            <w:shd w:val="clear" w:color="auto" w:fill="auto"/>
          </w:tcPr>
          <w:p w14:paraId="2FAA947E" w14:textId="0ED78CB0" w:rsidR="00F50542" w:rsidRPr="00F879CC" w:rsidRDefault="00FB2073" w:rsidP="00F50542">
            <w:pPr>
              <w:spacing w:line="276" w:lineRule="auto"/>
              <w:rPr>
                <w:rFonts w:asciiTheme="minorHAnsi" w:hAnsiTheme="minorHAnsi" w:cstheme="minorHAnsi"/>
                <w:szCs w:val="24"/>
                <w:lang w:val="pl-PL"/>
              </w:rPr>
            </w:pPr>
            <w:r w:rsidRPr="00F879CC">
              <w:rPr>
                <w:rFonts w:asciiTheme="minorHAnsi" w:hAnsiTheme="minorHAnsi" w:cstheme="minorHAnsi"/>
                <w:szCs w:val="24"/>
                <w:lang w:val="pl-PL"/>
              </w:rPr>
              <w:t>0.1</w:t>
            </w:r>
          </w:p>
        </w:tc>
      </w:tr>
      <w:tr w:rsidR="00F50542" w:rsidRPr="0021540D" w14:paraId="2E07A1CD" w14:textId="77777777" w:rsidTr="00F879CC">
        <w:tc>
          <w:tcPr>
            <w:tcW w:w="3315" w:type="dxa"/>
            <w:shd w:val="clear" w:color="auto" w:fill="auto"/>
          </w:tcPr>
          <w:p w14:paraId="72BC65EC" w14:textId="06C25A84" w:rsidR="00F50542" w:rsidRPr="00F879CC" w:rsidRDefault="00E53528" w:rsidP="00F50542">
            <w:pPr>
              <w:spacing w:line="276" w:lineRule="auto"/>
              <w:rPr>
                <w:rFonts w:asciiTheme="minorHAnsi" w:hAnsiTheme="minorHAnsi" w:cstheme="minorHAnsi"/>
                <w:b/>
                <w:szCs w:val="24"/>
                <w:lang w:val="pl-PL"/>
              </w:rPr>
            </w:pPr>
            <w:r w:rsidRPr="00F879CC">
              <w:rPr>
                <w:rFonts w:asciiTheme="minorHAnsi" w:hAnsiTheme="minorHAnsi" w:cstheme="minorHAnsi"/>
                <w:b/>
                <w:szCs w:val="24"/>
                <w:lang w:val="pl-PL"/>
              </w:rPr>
              <w:t>Pierwszy rok</w:t>
            </w:r>
          </w:p>
        </w:tc>
        <w:tc>
          <w:tcPr>
            <w:tcW w:w="5103" w:type="dxa"/>
            <w:shd w:val="clear" w:color="auto" w:fill="auto"/>
          </w:tcPr>
          <w:p w14:paraId="409EFAC8" w14:textId="42B1BB90" w:rsidR="00F50542" w:rsidRPr="00F879CC" w:rsidRDefault="00F50542" w:rsidP="00F50542">
            <w:pPr>
              <w:spacing w:line="276" w:lineRule="auto"/>
              <w:rPr>
                <w:rFonts w:asciiTheme="minorHAnsi" w:hAnsiTheme="minorHAnsi" w:cstheme="minorHAnsi"/>
                <w:szCs w:val="24"/>
                <w:lang w:val="pl-PL"/>
              </w:rPr>
            </w:pPr>
            <w:r w:rsidRPr="00F879CC">
              <w:rPr>
                <w:rFonts w:asciiTheme="minorHAnsi" w:hAnsiTheme="minorHAnsi" w:cstheme="minorHAnsi"/>
                <w:szCs w:val="24"/>
                <w:lang w:val="pl-PL"/>
              </w:rPr>
              <w:t>[4]</w:t>
            </w:r>
            <w:r w:rsidR="00FB2073" w:rsidRPr="00F879CC">
              <w:rPr>
                <w:rFonts w:asciiTheme="minorHAnsi" w:hAnsiTheme="minorHAnsi" w:cstheme="minorHAnsi"/>
                <w:szCs w:val="24"/>
                <w:lang w:val="pl-PL"/>
              </w:rPr>
              <w:t xml:space="preserve"> 2021</w:t>
            </w:r>
          </w:p>
        </w:tc>
      </w:tr>
      <w:tr w:rsidR="00F50542" w:rsidRPr="0021540D" w14:paraId="46C862DB" w14:textId="77777777" w:rsidTr="00F879CC">
        <w:tc>
          <w:tcPr>
            <w:tcW w:w="3315" w:type="dxa"/>
            <w:shd w:val="clear" w:color="auto" w:fill="auto"/>
          </w:tcPr>
          <w:p w14:paraId="75D6F276" w14:textId="16BE3E8E" w:rsidR="00F50542" w:rsidRPr="00F879CC" w:rsidRDefault="00E53528" w:rsidP="00F50542">
            <w:pPr>
              <w:spacing w:line="276" w:lineRule="auto"/>
              <w:rPr>
                <w:rFonts w:asciiTheme="minorHAnsi" w:hAnsiTheme="minorHAnsi" w:cstheme="minorHAnsi"/>
                <w:b/>
                <w:szCs w:val="24"/>
                <w:lang w:val="pl-PL"/>
              </w:rPr>
            </w:pPr>
            <w:r w:rsidRPr="00F879CC">
              <w:rPr>
                <w:rFonts w:asciiTheme="minorHAnsi" w:hAnsiTheme="minorHAnsi" w:cstheme="minorHAnsi"/>
                <w:b/>
                <w:szCs w:val="24"/>
                <w:lang w:val="pl-PL"/>
              </w:rPr>
              <w:t>Ostatni rok</w:t>
            </w:r>
          </w:p>
        </w:tc>
        <w:tc>
          <w:tcPr>
            <w:tcW w:w="5103" w:type="dxa"/>
            <w:shd w:val="clear" w:color="auto" w:fill="auto"/>
          </w:tcPr>
          <w:p w14:paraId="52209386" w14:textId="27F27375" w:rsidR="00F50542" w:rsidRPr="00F879CC" w:rsidRDefault="00F50542" w:rsidP="00F50542">
            <w:pPr>
              <w:spacing w:line="276" w:lineRule="auto"/>
              <w:rPr>
                <w:rFonts w:asciiTheme="minorHAnsi" w:hAnsiTheme="minorHAnsi" w:cstheme="minorHAnsi"/>
                <w:szCs w:val="24"/>
                <w:lang w:val="pl-PL"/>
              </w:rPr>
            </w:pPr>
            <w:r w:rsidRPr="00F879CC">
              <w:rPr>
                <w:rFonts w:asciiTheme="minorHAnsi" w:hAnsiTheme="minorHAnsi" w:cstheme="minorHAnsi"/>
                <w:szCs w:val="24"/>
                <w:lang w:val="pl-PL"/>
              </w:rPr>
              <w:t>[4]</w:t>
            </w:r>
            <w:r w:rsidR="00FB2073" w:rsidRPr="00F879CC">
              <w:rPr>
                <w:rFonts w:asciiTheme="minorHAnsi" w:hAnsiTheme="minorHAnsi" w:cstheme="minorHAnsi"/>
                <w:szCs w:val="24"/>
                <w:lang w:val="pl-PL"/>
              </w:rPr>
              <w:t xml:space="preserve"> 2027</w:t>
            </w:r>
          </w:p>
        </w:tc>
      </w:tr>
      <w:tr w:rsidR="00F50542" w:rsidRPr="0021540D" w14:paraId="3E95934A" w14:textId="77777777" w:rsidTr="00F879CC">
        <w:tc>
          <w:tcPr>
            <w:tcW w:w="3315" w:type="dxa"/>
            <w:shd w:val="clear" w:color="auto" w:fill="auto"/>
          </w:tcPr>
          <w:p w14:paraId="108549F9" w14:textId="78578523" w:rsidR="00F50542" w:rsidRPr="00F879CC" w:rsidRDefault="00E53528" w:rsidP="00F50542">
            <w:pPr>
              <w:spacing w:line="276" w:lineRule="auto"/>
              <w:rPr>
                <w:rFonts w:asciiTheme="minorHAnsi" w:hAnsiTheme="minorHAnsi" w:cstheme="minorHAnsi"/>
                <w:b/>
                <w:szCs w:val="24"/>
                <w:lang w:val="pl-PL"/>
              </w:rPr>
            </w:pPr>
            <w:r w:rsidRPr="00F879CC">
              <w:rPr>
                <w:rFonts w:asciiTheme="minorHAnsi" w:hAnsiTheme="minorHAnsi" w:cstheme="minorHAnsi"/>
                <w:b/>
                <w:szCs w:val="24"/>
                <w:lang w:val="pl-PL"/>
              </w:rPr>
              <w:t>Kwalifikowalny od</w:t>
            </w:r>
          </w:p>
        </w:tc>
        <w:tc>
          <w:tcPr>
            <w:tcW w:w="5103" w:type="dxa"/>
            <w:shd w:val="clear" w:color="auto" w:fill="auto"/>
          </w:tcPr>
          <w:p w14:paraId="647383D6" w14:textId="77777777" w:rsidR="00F50542" w:rsidRPr="00F879CC" w:rsidRDefault="00F50542" w:rsidP="00F50542">
            <w:pPr>
              <w:spacing w:line="276" w:lineRule="auto"/>
              <w:rPr>
                <w:rFonts w:asciiTheme="minorHAnsi" w:hAnsiTheme="minorHAnsi" w:cstheme="minorHAnsi"/>
                <w:szCs w:val="24"/>
                <w:lang w:val="pl-PL"/>
              </w:rPr>
            </w:pPr>
          </w:p>
        </w:tc>
      </w:tr>
      <w:tr w:rsidR="00F50542" w:rsidRPr="0021540D" w14:paraId="59660DBA" w14:textId="77777777" w:rsidTr="00F879CC">
        <w:tc>
          <w:tcPr>
            <w:tcW w:w="3315" w:type="dxa"/>
            <w:shd w:val="clear" w:color="auto" w:fill="auto"/>
          </w:tcPr>
          <w:p w14:paraId="0B4062F7" w14:textId="5DCB1F74" w:rsidR="00F50542" w:rsidRPr="00F879CC" w:rsidRDefault="00E53528" w:rsidP="00F50542">
            <w:pPr>
              <w:spacing w:line="276" w:lineRule="auto"/>
              <w:rPr>
                <w:rFonts w:asciiTheme="minorHAnsi" w:hAnsiTheme="minorHAnsi" w:cstheme="minorHAnsi"/>
                <w:b/>
                <w:szCs w:val="24"/>
                <w:lang w:val="pl-PL"/>
              </w:rPr>
            </w:pPr>
            <w:r w:rsidRPr="00F879CC">
              <w:rPr>
                <w:rFonts w:asciiTheme="minorHAnsi" w:hAnsiTheme="minorHAnsi" w:cstheme="minorHAnsi"/>
                <w:b/>
                <w:szCs w:val="24"/>
                <w:lang w:val="pl-PL"/>
              </w:rPr>
              <w:t>Kwalifikowalny do</w:t>
            </w:r>
          </w:p>
        </w:tc>
        <w:tc>
          <w:tcPr>
            <w:tcW w:w="5103" w:type="dxa"/>
            <w:shd w:val="clear" w:color="auto" w:fill="auto"/>
          </w:tcPr>
          <w:p w14:paraId="4021527B" w14:textId="77777777" w:rsidR="00F50542" w:rsidRPr="00F879CC" w:rsidRDefault="00F50542" w:rsidP="00F50542">
            <w:pPr>
              <w:spacing w:line="276" w:lineRule="auto"/>
              <w:rPr>
                <w:rFonts w:asciiTheme="minorHAnsi" w:hAnsiTheme="minorHAnsi" w:cstheme="minorHAnsi"/>
                <w:i/>
                <w:szCs w:val="24"/>
                <w:lang w:val="pl-PL"/>
              </w:rPr>
            </w:pPr>
          </w:p>
        </w:tc>
      </w:tr>
      <w:tr w:rsidR="00F50542" w:rsidRPr="0021540D" w14:paraId="0D023B3E" w14:textId="77777777" w:rsidTr="00F879CC">
        <w:tc>
          <w:tcPr>
            <w:tcW w:w="3315" w:type="dxa"/>
            <w:shd w:val="clear" w:color="auto" w:fill="auto"/>
          </w:tcPr>
          <w:p w14:paraId="3B2978A1" w14:textId="4053D413" w:rsidR="00F50542" w:rsidRPr="00F879CC" w:rsidRDefault="00E53528" w:rsidP="00F50542">
            <w:pPr>
              <w:spacing w:line="276" w:lineRule="auto"/>
              <w:rPr>
                <w:rFonts w:asciiTheme="minorHAnsi" w:hAnsiTheme="minorHAnsi" w:cstheme="minorHAnsi"/>
                <w:b/>
                <w:szCs w:val="24"/>
                <w:lang w:val="pl-PL"/>
              </w:rPr>
            </w:pPr>
            <w:r w:rsidRPr="00F879CC">
              <w:rPr>
                <w:rFonts w:asciiTheme="minorHAnsi" w:hAnsiTheme="minorHAnsi" w:cstheme="minorHAnsi"/>
                <w:b/>
                <w:szCs w:val="24"/>
                <w:lang w:val="pl-PL"/>
              </w:rPr>
              <w:t>Numer decyzji Komisji</w:t>
            </w:r>
          </w:p>
        </w:tc>
        <w:tc>
          <w:tcPr>
            <w:tcW w:w="5103" w:type="dxa"/>
            <w:shd w:val="clear" w:color="auto" w:fill="auto"/>
          </w:tcPr>
          <w:p w14:paraId="41058D15" w14:textId="77777777" w:rsidR="00F50542" w:rsidRPr="00F879CC" w:rsidRDefault="00F50542" w:rsidP="00F50542">
            <w:pPr>
              <w:spacing w:line="276" w:lineRule="auto"/>
              <w:rPr>
                <w:rFonts w:asciiTheme="minorHAnsi" w:hAnsiTheme="minorHAnsi" w:cstheme="minorHAnsi"/>
                <w:i/>
                <w:szCs w:val="24"/>
                <w:lang w:val="pl-PL"/>
              </w:rPr>
            </w:pPr>
          </w:p>
        </w:tc>
      </w:tr>
      <w:tr w:rsidR="00F50542" w:rsidRPr="0021540D" w14:paraId="7845AD71" w14:textId="77777777" w:rsidTr="00F879CC">
        <w:tc>
          <w:tcPr>
            <w:tcW w:w="3315" w:type="dxa"/>
            <w:shd w:val="clear" w:color="auto" w:fill="auto"/>
          </w:tcPr>
          <w:p w14:paraId="29A7807B" w14:textId="05E606C6" w:rsidR="00F50542" w:rsidRPr="00F879CC" w:rsidRDefault="00E53528" w:rsidP="00F50542">
            <w:pPr>
              <w:spacing w:line="276" w:lineRule="auto"/>
              <w:rPr>
                <w:rFonts w:asciiTheme="minorHAnsi" w:hAnsiTheme="minorHAnsi" w:cstheme="minorHAnsi"/>
                <w:b/>
                <w:szCs w:val="24"/>
                <w:lang w:val="pl-PL"/>
              </w:rPr>
            </w:pPr>
            <w:r w:rsidRPr="00F879CC">
              <w:rPr>
                <w:rFonts w:asciiTheme="minorHAnsi" w:hAnsiTheme="minorHAnsi" w:cstheme="minorHAnsi"/>
                <w:b/>
                <w:szCs w:val="24"/>
                <w:lang w:val="pl-PL"/>
              </w:rPr>
              <w:t>Data decyzji Komisji</w:t>
            </w:r>
          </w:p>
        </w:tc>
        <w:tc>
          <w:tcPr>
            <w:tcW w:w="5103" w:type="dxa"/>
            <w:shd w:val="clear" w:color="auto" w:fill="auto"/>
          </w:tcPr>
          <w:p w14:paraId="19F8C90D" w14:textId="77777777" w:rsidR="00F50542" w:rsidRPr="00F879CC" w:rsidRDefault="00F50542" w:rsidP="00F50542">
            <w:pPr>
              <w:spacing w:line="276" w:lineRule="auto"/>
              <w:rPr>
                <w:rFonts w:asciiTheme="minorHAnsi" w:hAnsiTheme="minorHAnsi" w:cstheme="minorHAnsi"/>
                <w:i/>
                <w:szCs w:val="24"/>
                <w:lang w:val="pl-PL"/>
              </w:rPr>
            </w:pPr>
          </w:p>
        </w:tc>
      </w:tr>
      <w:tr w:rsidR="00F50542" w:rsidRPr="0021540D" w14:paraId="7F43D1AD" w14:textId="77777777" w:rsidTr="00F879CC">
        <w:tc>
          <w:tcPr>
            <w:tcW w:w="3315" w:type="dxa"/>
            <w:shd w:val="clear" w:color="auto" w:fill="auto"/>
          </w:tcPr>
          <w:p w14:paraId="241BD152" w14:textId="5CA064DF" w:rsidR="00F50542" w:rsidRPr="00F879CC" w:rsidRDefault="00E53528" w:rsidP="00F50542">
            <w:pPr>
              <w:spacing w:line="276" w:lineRule="auto"/>
              <w:rPr>
                <w:rFonts w:asciiTheme="minorHAnsi" w:hAnsiTheme="minorHAnsi" w:cstheme="minorHAnsi"/>
                <w:b/>
                <w:szCs w:val="24"/>
                <w:lang w:val="pl-PL"/>
              </w:rPr>
            </w:pPr>
            <w:r w:rsidRPr="00F879CC">
              <w:rPr>
                <w:rFonts w:asciiTheme="minorHAnsi" w:hAnsiTheme="minorHAnsi" w:cstheme="minorHAnsi"/>
                <w:b/>
                <w:szCs w:val="24"/>
                <w:lang w:val="pl-PL"/>
              </w:rPr>
              <w:t>Numer decyzji zmieniającej program</w:t>
            </w:r>
          </w:p>
        </w:tc>
        <w:tc>
          <w:tcPr>
            <w:tcW w:w="5103" w:type="dxa"/>
            <w:shd w:val="clear" w:color="auto" w:fill="auto"/>
          </w:tcPr>
          <w:p w14:paraId="5A3A07A3" w14:textId="77777777" w:rsidR="00F50542" w:rsidRPr="00F879CC" w:rsidRDefault="00F50542" w:rsidP="00F50542">
            <w:pPr>
              <w:spacing w:line="276" w:lineRule="auto"/>
              <w:rPr>
                <w:rFonts w:asciiTheme="minorHAnsi" w:hAnsiTheme="minorHAnsi" w:cstheme="minorHAnsi"/>
                <w:i/>
                <w:szCs w:val="24"/>
                <w:lang w:val="pl-PL"/>
              </w:rPr>
            </w:pPr>
            <w:r w:rsidRPr="00F879CC">
              <w:rPr>
                <w:rFonts w:asciiTheme="minorHAnsi" w:hAnsiTheme="minorHAnsi" w:cstheme="minorHAnsi"/>
                <w:szCs w:val="24"/>
                <w:lang w:val="pl-PL"/>
              </w:rPr>
              <w:t>[20]</w:t>
            </w:r>
          </w:p>
        </w:tc>
      </w:tr>
      <w:tr w:rsidR="00F50542" w:rsidRPr="00367EF1" w14:paraId="07AA94BC" w14:textId="77777777" w:rsidTr="00F879CC">
        <w:tc>
          <w:tcPr>
            <w:tcW w:w="3315" w:type="dxa"/>
            <w:shd w:val="clear" w:color="auto" w:fill="auto"/>
          </w:tcPr>
          <w:p w14:paraId="67CFD567" w14:textId="6D2A7803" w:rsidR="00F50542" w:rsidRPr="00F879CC" w:rsidRDefault="00E53528" w:rsidP="00F50542">
            <w:pPr>
              <w:spacing w:line="276" w:lineRule="auto"/>
              <w:rPr>
                <w:rFonts w:asciiTheme="minorHAnsi" w:hAnsiTheme="minorHAnsi" w:cstheme="minorHAnsi"/>
                <w:b/>
                <w:szCs w:val="24"/>
                <w:lang w:val="pl-PL"/>
              </w:rPr>
            </w:pPr>
            <w:r w:rsidRPr="00F879CC">
              <w:rPr>
                <w:rFonts w:asciiTheme="minorHAnsi" w:hAnsiTheme="minorHAnsi" w:cstheme="minorHAnsi"/>
                <w:b/>
                <w:szCs w:val="24"/>
                <w:lang w:val="pl-PL"/>
              </w:rPr>
              <w:t>Data wejścia w życie decyzji zmieniającej program</w:t>
            </w:r>
          </w:p>
        </w:tc>
        <w:tc>
          <w:tcPr>
            <w:tcW w:w="5103" w:type="dxa"/>
            <w:shd w:val="clear" w:color="auto" w:fill="auto"/>
          </w:tcPr>
          <w:p w14:paraId="2B3ABE7D" w14:textId="77777777" w:rsidR="00F50542" w:rsidRPr="00F879CC" w:rsidRDefault="00F50542" w:rsidP="00F50542">
            <w:pPr>
              <w:spacing w:line="276" w:lineRule="auto"/>
              <w:rPr>
                <w:rFonts w:asciiTheme="minorHAnsi" w:hAnsiTheme="minorHAnsi" w:cstheme="minorHAnsi"/>
                <w:szCs w:val="24"/>
                <w:lang w:val="pl-PL"/>
              </w:rPr>
            </w:pPr>
          </w:p>
        </w:tc>
      </w:tr>
      <w:tr w:rsidR="00F50542" w:rsidRPr="0021540D" w14:paraId="1C9D0236" w14:textId="77777777" w:rsidTr="00F879CC">
        <w:tc>
          <w:tcPr>
            <w:tcW w:w="3315" w:type="dxa"/>
            <w:shd w:val="clear" w:color="auto" w:fill="auto"/>
          </w:tcPr>
          <w:p w14:paraId="3618A32D" w14:textId="69E46D39" w:rsidR="00F50542" w:rsidRPr="00F879CC" w:rsidRDefault="00E53528" w:rsidP="00F50542">
            <w:pPr>
              <w:spacing w:line="276" w:lineRule="auto"/>
              <w:rPr>
                <w:rFonts w:asciiTheme="minorHAnsi" w:hAnsiTheme="minorHAnsi" w:cstheme="minorHAnsi"/>
                <w:b/>
                <w:szCs w:val="24"/>
                <w:lang w:val="pl-PL"/>
              </w:rPr>
            </w:pPr>
            <w:r w:rsidRPr="00F879CC">
              <w:rPr>
                <w:rFonts w:asciiTheme="minorHAnsi" w:hAnsiTheme="minorHAnsi" w:cstheme="minorHAnsi"/>
                <w:b/>
                <w:szCs w:val="24"/>
                <w:lang w:val="pl-PL"/>
              </w:rPr>
              <w:t>Regiony NUTS objęte programem</w:t>
            </w:r>
          </w:p>
        </w:tc>
        <w:tc>
          <w:tcPr>
            <w:tcW w:w="5103" w:type="dxa"/>
            <w:shd w:val="clear" w:color="auto" w:fill="auto"/>
          </w:tcPr>
          <w:p w14:paraId="6A38B5A2" w14:textId="77777777" w:rsidR="00F50542" w:rsidRPr="00F879CC" w:rsidRDefault="00F50542" w:rsidP="00F50542">
            <w:pPr>
              <w:spacing w:line="276" w:lineRule="auto"/>
              <w:rPr>
                <w:rFonts w:asciiTheme="minorHAnsi" w:hAnsiTheme="minorHAnsi" w:cstheme="minorHAnsi"/>
                <w:szCs w:val="24"/>
                <w:lang w:val="pl-PL"/>
              </w:rPr>
            </w:pPr>
          </w:p>
        </w:tc>
      </w:tr>
      <w:tr w:rsidR="00F50542" w:rsidRPr="0021540D" w14:paraId="5DD2E40E" w14:textId="77777777" w:rsidTr="00F879CC">
        <w:tc>
          <w:tcPr>
            <w:tcW w:w="3315" w:type="dxa"/>
            <w:shd w:val="clear" w:color="auto" w:fill="auto"/>
          </w:tcPr>
          <w:p w14:paraId="4E6A9CD8" w14:textId="4F77C06F" w:rsidR="00F50542" w:rsidRPr="00F879CC" w:rsidRDefault="00E53528" w:rsidP="00E53528">
            <w:pPr>
              <w:spacing w:line="276" w:lineRule="auto"/>
              <w:rPr>
                <w:rFonts w:asciiTheme="minorHAnsi" w:hAnsiTheme="minorHAnsi" w:cstheme="minorHAnsi"/>
                <w:b/>
                <w:strike/>
                <w:szCs w:val="24"/>
                <w:lang w:val="pl-PL"/>
              </w:rPr>
            </w:pPr>
            <w:bookmarkStart w:id="1" w:name="OLE_LINK4"/>
            <w:r w:rsidRPr="00F879CC">
              <w:rPr>
                <w:rFonts w:asciiTheme="minorHAnsi" w:hAnsiTheme="minorHAnsi" w:cstheme="minorHAnsi"/>
                <w:b/>
                <w:szCs w:val="24"/>
                <w:lang w:val="pl-PL"/>
              </w:rPr>
              <w:t xml:space="preserve">Komponent </w:t>
            </w:r>
            <w:r w:rsidR="00F50542" w:rsidRPr="00F879CC">
              <w:rPr>
                <w:rFonts w:asciiTheme="minorHAnsi" w:hAnsiTheme="minorHAnsi" w:cstheme="minorHAnsi"/>
                <w:b/>
                <w:szCs w:val="24"/>
                <w:lang w:val="pl-PL"/>
              </w:rPr>
              <w:t>Interreg</w:t>
            </w:r>
            <w:bookmarkEnd w:id="1"/>
          </w:p>
        </w:tc>
        <w:tc>
          <w:tcPr>
            <w:tcW w:w="5103" w:type="dxa"/>
            <w:shd w:val="clear" w:color="auto" w:fill="auto"/>
          </w:tcPr>
          <w:p w14:paraId="6B0FF264" w14:textId="5A0F08CC" w:rsidR="00F50542" w:rsidRPr="00F879CC" w:rsidRDefault="00E53528" w:rsidP="00E53528">
            <w:pPr>
              <w:spacing w:line="276" w:lineRule="auto"/>
              <w:rPr>
                <w:rFonts w:asciiTheme="minorHAnsi" w:hAnsiTheme="minorHAnsi" w:cstheme="minorHAnsi"/>
                <w:szCs w:val="24"/>
                <w:lang w:val="pl-PL"/>
              </w:rPr>
            </w:pPr>
            <w:r w:rsidRPr="00F879CC">
              <w:rPr>
                <w:rFonts w:asciiTheme="minorHAnsi" w:hAnsiTheme="minorHAnsi" w:cstheme="minorHAnsi"/>
                <w:szCs w:val="24"/>
                <w:lang w:val="pl-PL"/>
              </w:rPr>
              <w:t>Komponent</w:t>
            </w:r>
            <w:r w:rsidR="00FB2073" w:rsidRPr="00F879CC">
              <w:rPr>
                <w:rFonts w:asciiTheme="minorHAnsi" w:hAnsiTheme="minorHAnsi" w:cstheme="minorHAnsi"/>
                <w:szCs w:val="24"/>
                <w:lang w:val="pl-PL"/>
              </w:rPr>
              <w:t xml:space="preserve"> B – </w:t>
            </w:r>
            <w:r w:rsidRPr="00F879CC">
              <w:rPr>
                <w:rFonts w:asciiTheme="minorHAnsi" w:hAnsiTheme="minorHAnsi" w:cstheme="minorHAnsi"/>
                <w:szCs w:val="24"/>
                <w:lang w:val="pl-PL"/>
              </w:rPr>
              <w:t>Współpraca transnarodowa</w:t>
            </w:r>
          </w:p>
        </w:tc>
      </w:tr>
    </w:tbl>
    <w:p w14:paraId="25080F02" w14:textId="2B3766C1" w:rsidR="00732082" w:rsidRPr="00F879CC" w:rsidRDefault="00E53528" w:rsidP="004B2A97">
      <w:pPr>
        <w:spacing w:before="240" w:after="240" w:line="276" w:lineRule="auto"/>
        <w:rPr>
          <w:rFonts w:asciiTheme="minorHAnsi" w:eastAsia="Times New Roman" w:hAnsiTheme="minorHAnsi" w:cstheme="minorHAnsi"/>
          <w:iCs/>
          <w:szCs w:val="24"/>
          <w:lang w:val="pl-PL" w:eastAsia="en-GB"/>
        </w:rPr>
      </w:pPr>
      <w:r w:rsidRPr="00F879CC">
        <w:rPr>
          <w:rFonts w:asciiTheme="minorHAnsi" w:eastAsia="Times New Roman" w:hAnsiTheme="minorHAnsi" w:cstheme="minorHAnsi"/>
          <w:iCs/>
          <w:szCs w:val="24"/>
          <w:lang w:val="pl-PL" w:eastAsia="en-GB"/>
        </w:rPr>
        <w:t xml:space="preserve">Należy </w:t>
      </w:r>
      <w:r w:rsidR="001D1123">
        <w:rPr>
          <w:rFonts w:asciiTheme="minorHAnsi" w:eastAsia="Times New Roman" w:hAnsiTheme="minorHAnsi" w:cstheme="minorHAnsi"/>
          <w:iCs/>
          <w:szCs w:val="24"/>
          <w:lang w:val="pl-PL" w:eastAsia="en-GB"/>
        </w:rPr>
        <w:t>mieć na uwadze, iż</w:t>
      </w:r>
      <w:r w:rsidRPr="00F879CC">
        <w:rPr>
          <w:rFonts w:asciiTheme="minorHAnsi" w:eastAsia="Times New Roman" w:hAnsiTheme="minorHAnsi" w:cstheme="minorHAnsi"/>
          <w:iCs/>
          <w:szCs w:val="24"/>
          <w:lang w:val="pl-PL" w:eastAsia="en-GB"/>
        </w:rPr>
        <w:t xml:space="preserve"> odniesienia do przepisów zostaną zaktualizowane po opublikowaniu ostatecznych przepisów</w:t>
      </w:r>
      <w:r w:rsidR="00CC222E" w:rsidRPr="00F879CC">
        <w:rPr>
          <w:rFonts w:asciiTheme="minorHAnsi" w:hAnsiTheme="minorHAnsi" w:cstheme="minorHAnsi"/>
          <w:lang w:val="pl-PL"/>
        </w:rPr>
        <w:t>.</w:t>
      </w:r>
    </w:p>
    <w:p w14:paraId="4134797F" w14:textId="7F126F2E" w:rsidR="00F50542" w:rsidRPr="00000498" w:rsidRDefault="00E53528" w:rsidP="00A56537">
      <w:pPr>
        <w:pStyle w:val="Nagwek1"/>
        <w:numPr>
          <w:ilvl w:val="0"/>
          <w:numId w:val="5"/>
        </w:numPr>
        <w:rPr>
          <w:rFonts w:eastAsia="Times New Roman"/>
          <w:lang w:val="pl-PL" w:eastAsia="en-GB"/>
        </w:rPr>
      </w:pPr>
      <w:bookmarkStart w:id="2" w:name="_Toc73432974"/>
      <w:r w:rsidRPr="00000498">
        <w:rPr>
          <w:rFonts w:eastAsia="Times New Roman"/>
          <w:lang w:val="pl-PL" w:eastAsia="en-GB"/>
        </w:rPr>
        <w:t>Strategia programu: główne wyzwania rozwojowe i reakcje polityczne</w:t>
      </w:r>
      <w:bookmarkEnd w:id="2"/>
    </w:p>
    <w:p w14:paraId="1525D8B4" w14:textId="1D1FD16F" w:rsidR="00F50542" w:rsidRPr="004B2A97" w:rsidRDefault="00B32B6B" w:rsidP="00B32B6B">
      <w:pPr>
        <w:pStyle w:val="Nagwek2"/>
        <w:rPr>
          <w:rFonts w:eastAsia="Times New Roman"/>
          <w:lang w:val="pl-PL" w:eastAsia="en-GB"/>
        </w:rPr>
      </w:pPr>
      <w:bookmarkStart w:id="3" w:name="_Toc73432975"/>
      <w:r>
        <w:rPr>
          <w:rFonts w:eastAsia="Times New Roman"/>
          <w:lang w:val="pl-PL" w:eastAsia="en-GB"/>
        </w:rPr>
        <w:t xml:space="preserve">1.2 </w:t>
      </w:r>
      <w:r w:rsidR="00E53528" w:rsidRPr="004B2A97">
        <w:rPr>
          <w:rFonts w:eastAsia="Times New Roman"/>
          <w:lang w:val="pl-PL" w:eastAsia="en-GB"/>
        </w:rPr>
        <w:t>Obszar Programu</w:t>
      </w:r>
      <w:bookmarkEnd w:id="3"/>
    </w:p>
    <w:p w14:paraId="67F72384" w14:textId="55F08FFA" w:rsidR="00F50542" w:rsidRPr="00F879CC" w:rsidRDefault="005940A8" w:rsidP="00F879CC">
      <w:pPr>
        <w:spacing w:after="200" w:line="276" w:lineRule="auto"/>
        <w:rPr>
          <w:rFonts w:asciiTheme="minorHAnsi" w:eastAsia="Times New Roman" w:hAnsiTheme="minorHAnsi" w:cstheme="minorHAnsi"/>
          <w:szCs w:val="24"/>
          <w:lang w:val="pl-PL" w:eastAsia="en-GB"/>
        </w:rPr>
      </w:pPr>
      <w:r w:rsidRPr="00F879CC">
        <w:rPr>
          <w:rFonts w:asciiTheme="minorHAnsi" w:eastAsia="Times New Roman" w:hAnsiTheme="minorHAnsi" w:cstheme="minorHAnsi"/>
          <w:szCs w:val="24"/>
          <w:lang w:val="pl-PL" w:eastAsia="en-GB"/>
        </w:rPr>
        <w:t>Dotyczy</w:t>
      </w:r>
      <w:r w:rsidR="00700CBF" w:rsidRPr="00F879CC">
        <w:rPr>
          <w:rFonts w:asciiTheme="minorHAnsi" w:eastAsia="Times New Roman" w:hAnsiTheme="minorHAnsi" w:cstheme="minorHAnsi"/>
          <w:szCs w:val="24"/>
          <w:lang w:val="pl-PL" w:eastAsia="en-GB"/>
        </w:rPr>
        <w:t xml:space="preserve">: </w:t>
      </w:r>
      <w:bookmarkStart w:id="4" w:name="OLE_LINK8"/>
      <w:bookmarkStart w:id="5" w:name="OLE_LINK9"/>
      <w:r w:rsidR="00C05222" w:rsidRPr="00F879CC">
        <w:rPr>
          <w:rFonts w:asciiTheme="minorHAnsi" w:eastAsia="Times New Roman" w:hAnsiTheme="minorHAnsi" w:cstheme="minorHAnsi"/>
          <w:szCs w:val="24"/>
          <w:lang w:val="pl-PL" w:eastAsia="en-GB"/>
        </w:rPr>
        <w:t>art.</w:t>
      </w:r>
      <w:r w:rsidR="00700CBF" w:rsidRPr="00F879CC">
        <w:rPr>
          <w:rFonts w:asciiTheme="minorHAnsi" w:eastAsia="Times New Roman" w:hAnsiTheme="minorHAnsi" w:cstheme="minorHAnsi"/>
          <w:szCs w:val="24"/>
          <w:lang w:val="pl-PL" w:eastAsia="en-GB"/>
        </w:rPr>
        <w:t xml:space="preserve"> 17 ust. 4 lit. a), art. 17 ust. 9 lit. a)</w:t>
      </w:r>
    </w:p>
    <w:bookmarkEnd w:id="4"/>
    <w:bookmarkEnd w:id="5"/>
    <w:p w14:paraId="5A780D67" w14:textId="4DF4E164" w:rsidR="005753AD" w:rsidRPr="00F879CC" w:rsidRDefault="00700CBF" w:rsidP="004B2A97">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iCs/>
          <w:szCs w:val="24"/>
          <w:lang w:val="pl-PL" w:eastAsia="en-GB"/>
        </w:rPr>
      </w:pPr>
      <w:r w:rsidRPr="00F879CC">
        <w:rPr>
          <w:rFonts w:asciiTheme="minorHAnsi" w:eastAsia="Times New Roman" w:hAnsiTheme="minorHAnsi" w:cstheme="minorHAnsi"/>
          <w:iCs/>
          <w:szCs w:val="24"/>
          <w:lang w:val="pl-PL" w:eastAsia="en-GB"/>
        </w:rPr>
        <w:t>Interreg Region Morza Bałtyckiego obejmuje jedenaście krajów, z których osiem to państwa członkowskie UE (Dania, Estonia, Finlandia, Litwa,</w:t>
      </w:r>
      <w:r w:rsidR="0056593F" w:rsidRPr="00F879CC">
        <w:rPr>
          <w:rFonts w:asciiTheme="minorHAnsi" w:eastAsia="Times New Roman" w:hAnsiTheme="minorHAnsi" w:cstheme="minorHAnsi"/>
          <w:iCs/>
          <w:szCs w:val="24"/>
          <w:lang w:val="pl-PL" w:eastAsia="en-GB"/>
        </w:rPr>
        <w:t xml:space="preserve"> Łotwa, Niemcy,</w:t>
      </w:r>
      <w:r w:rsidRPr="00F879CC">
        <w:rPr>
          <w:rFonts w:asciiTheme="minorHAnsi" w:eastAsia="Times New Roman" w:hAnsiTheme="minorHAnsi" w:cstheme="minorHAnsi"/>
          <w:iCs/>
          <w:szCs w:val="24"/>
          <w:lang w:val="pl-PL" w:eastAsia="en-GB"/>
        </w:rPr>
        <w:t xml:space="preserve"> Polska i Szwecja) oraz trzy kraje partnerskie (Białoruś, Norwegia i Rosja</w:t>
      </w:r>
      <w:r w:rsidR="00D0615A" w:rsidRPr="00F879CC">
        <w:rPr>
          <w:rFonts w:asciiTheme="minorHAnsi" w:eastAsia="Times New Roman" w:hAnsiTheme="minorHAnsi" w:cstheme="minorHAnsi"/>
          <w:iCs/>
          <w:szCs w:val="24"/>
          <w:lang w:val="pl-PL" w:eastAsia="en-GB"/>
        </w:rPr>
        <w:t>)</w:t>
      </w:r>
      <w:r w:rsidR="005753AD" w:rsidRPr="00F879CC">
        <w:rPr>
          <w:rFonts w:asciiTheme="minorHAnsi" w:eastAsia="Times New Roman" w:hAnsiTheme="minorHAnsi" w:cstheme="minorHAnsi"/>
          <w:iCs/>
          <w:szCs w:val="24"/>
          <w:lang w:val="pl-PL" w:eastAsia="en-GB"/>
        </w:rPr>
        <w:t xml:space="preserve">. </w:t>
      </w:r>
    </w:p>
    <w:p w14:paraId="4AA713A4" w14:textId="59BD14CC" w:rsidR="005753AD" w:rsidRPr="00F879CC" w:rsidRDefault="00C87848" w:rsidP="004B2A97">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iCs/>
          <w:szCs w:val="24"/>
          <w:lang w:val="pl-PL" w:eastAsia="en-GB"/>
        </w:rPr>
      </w:pPr>
      <w:r w:rsidRPr="00F879CC">
        <w:rPr>
          <w:rFonts w:asciiTheme="minorHAnsi" w:eastAsia="Times New Roman" w:hAnsiTheme="minorHAnsi" w:cstheme="minorHAnsi"/>
          <w:iCs/>
          <w:szCs w:val="24"/>
          <w:lang w:val="pl-PL" w:eastAsia="en-GB"/>
        </w:rPr>
        <w:t>Program obejmuje swoim zasięgiem obszar około 3,8 miliona km</w:t>
      </w:r>
      <w:r w:rsidR="0056593F" w:rsidRPr="00F879CC">
        <w:rPr>
          <w:rFonts w:asciiTheme="minorHAnsi" w:eastAsia="Times New Roman" w:hAnsiTheme="minorHAnsi" w:cstheme="minorHAnsi"/>
          <w:iCs/>
          <w:szCs w:val="24"/>
          <w:vertAlign w:val="superscript"/>
          <w:lang w:val="pl-PL" w:eastAsia="en-GB"/>
        </w:rPr>
        <w:t>2</w:t>
      </w:r>
      <w:r w:rsidRPr="00F879CC">
        <w:rPr>
          <w:rFonts w:asciiTheme="minorHAnsi" w:eastAsia="Times New Roman" w:hAnsiTheme="minorHAnsi" w:cstheme="minorHAnsi"/>
          <w:iCs/>
          <w:szCs w:val="24"/>
          <w:lang w:val="pl-PL" w:eastAsia="en-GB"/>
        </w:rPr>
        <w:t xml:space="preserve">, zamieszkiwany przez ponad 103 miliony ludzi. Rozciąga się od centralnej części Europy, do jej najbardziej wysuniętych na północ obszarów peryferyjnych. Obszar programu obejmuje europejskie obszary metropolitalne takie, jak Berlin, Kopenhaga, Helsinki, Oslo, Sztokholm, Warszawa i St. Petersburg, jednakże w większości są to obszary wiejskie. Struktury osadnicze na południu </w:t>
      </w:r>
      <w:r w:rsidR="00B67BCD" w:rsidRPr="00F879CC">
        <w:rPr>
          <w:rFonts w:asciiTheme="minorHAnsi" w:eastAsia="Times New Roman" w:hAnsiTheme="minorHAnsi" w:cstheme="minorHAnsi"/>
          <w:iCs/>
          <w:szCs w:val="24"/>
          <w:lang w:val="pl-PL" w:eastAsia="en-GB"/>
        </w:rPr>
        <w:t>charakteryzują</w:t>
      </w:r>
      <w:r w:rsidRPr="00F879CC">
        <w:rPr>
          <w:rFonts w:asciiTheme="minorHAnsi" w:eastAsia="Times New Roman" w:hAnsiTheme="minorHAnsi" w:cstheme="minorHAnsi"/>
          <w:iCs/>
          <w:szCs w:val="24"/>
          <w:lang w:val="pl-PL" w:eastAsia="en-GB"/>
        </w:rPr>
        <w:t xml:space="preserve"> się większym zagęszczeniem. Większość obszarów wiejskich znajduje się w bliskim sąsiedztwie miast. W północnej, a w pewnym stopniu także we wschodniej części regionu, obszary wiejskie charakteryzowane są często, jako odległe. Regiony arktyczne, w najbardziej wysuniętej na północ części obszaru objętego programem, to szczególne wyzwania i możliwości z uwagi na oddalenie oraz warunki geograficzne i klimatyczne</w:t>
      </w:r>
      <w:r w:rsidR="005753AD" w:rsidRPr="00F879CC">
        <w:rPr>
          <w:rFonts w:asciiTheme="minorHAnsi" w:eastAsia="Times New Roman" w:hAnsiTheme="minorHAnsi" w:cstheme="minorHAnsi"/>
          <w:iCs/>
          <w:szCs w:val="24"/>
          <w:lang w:val="pl-PL" w:eastAsia="en-GB"/>
        </w:rPr>
        <w:t>.</w:t>
      </w:r>
    </w:p>
    <w:p w14:paraId="201AFF11" w14:textId="63D0AA3F" w:rsidR="00D175DC" w:rsidRPr="00F879CC" w:rsidRDefault="00C87848" w:rsidP="004B2A97">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iCs/>
          <w:szCs w:val="24"/>
          <w:lang w:val="pl-PL" w:eastAsia="en-GB"/>
        </w:rPr>
      </w:pPr>
      <w:r w:rsidRPr="00F879CC">
        <w:rPr>
          <w:rFonts w:asciiTheme="minorHAnsi" w:eastAsia="Times New Roman" w:hAnsiTheme="minorHAnsi" w:cstheme="minorHAnsi"/>
          <w:iCs/>
          <w:szCs w:val="24"/>
          <w:lang w:val="pl-PL" w:eastAsia="en-GB"/>
        </w:rPr>
        <w:lastRenderedPageBreak/>
        <w:t>Od 2004 r., Morze Bałtyckie jest otoczone głównie przez państwa członkowskie UE. Jednocześnie, region obejmuje kraje partnerskie, tj. Norwegię, Rosję i Białoruś</w:t>
      </w:r>
      <w:r w:rsidR="00D175DC" w:rsidRPr="00F879CC">
        <w:rPr>
          <w:rFonts w:asciiTheme="minorHAnsi" w:eastAsia="Times New Roman" w:hAnsiTheme="minorHAnsi" w:cstheme="minorHAnsi"/>
          <w:iCs/>
          <w:szCs w:val="24"/>
          <w:lang w:val="pl-PL" w:eastAsia="en-GB"/>
        </w:rPr>
        <w:t>.</w:t>
      </w:r>
    </w:p>
    <w:p w14:paraId="03C6F327" w14:textId="5BFEE11D" w:rsidR="00F50542" w:rsidRPr="00B32B6B" w:rsidRDefault="00B32B6B" w:rsidP="00B32B6B">
      <w:pPr>
        <w:pStyle w:val="Nagwek2"/>
        <w:rPr>
          <w:lang w:val="pl-PL"/>
        </w:rPr>
      </w:pPr>
      <w:bookmarkStart w:id="6" w:name="_Toc73432976"/>
      <w:r w:rsidRPr="00B32B6B">
        <w:rPr>
          <w:rStyle w:val="Nagwek2Znak"/>
          <w:b/>
          <w:bCs/>
          <w:lang w:val="pl-PL"/>
        </w:rPr>
        <w:t xml:space="preserve">1.2 </w:t>
      </w:r>
      <w:r w:rsidR="00C87848" w:rsidRPr="00B32B6B">
        <w:rPr>
          <w:rStyle w:val="Nagwek2Znak"/>
          <w:b/>
          <w:bCs/>
          <w:lang w:val="pl-PL"/>
        </w:rPr>
        <w:t>Podsumowanie głównych, wspólnych wyzwań z uwzględnieniem różnic gospodarczych społecznych i terytorialnych, a także nierówności, wspólnych</w:t>
      </w:r>
      <w:r w:rsidR="00C87848" w:rsidRPr="00B32B6B">
        <w:rPr>
          <w:lang w:val="pl-PL"/>
        </w:rPr>
        <w:t xml:space="preserve"> potrzeb inwestycyjnych oraz komplementarności i synergii z innymi formami wsparcia, wniosków wyciągniętych z wcześniejszych doświadczeń i strategii makroregionalnych oraz strategii dla basenów </w:t>
      </w:r>
      <w:r w:rsidR="00CC0F52" w:rsidRPr="00B32B6B">
        <w:rPr>
          <w:lang w:val="pl-PL"/>
        </w:rPr>
        <w:t>morskich, w których</w:t>
      </w:r>
      <w:r w:rsidR="00C87848" w:rsidRPr="00B32B6B">
        <w:rPr>
          <w:lang w:val="pl-PL"/>
        </w:rPr>
        <w:t xml:space="preserve"> obszar programu, jako całość lub częściowo</w:t>
      </w:r>
      <w:r w:rsidR="00955D7A" w:rsidRPr="00B32B6B">
        <w:rPr>
          <w:lang w:val="pl-PL"/>
        </w:rPr>
        <w:t>,</w:t>
      </w:r>
      <w:r w:rsidR="00C87848" w:rsidRPr="00B32B6B">
        <w:rPr>
          <w:lang w:val="pl-PL"/>
        </w:rPr>
        <w:t xml:space="preserve"> objęty jest, co najmniej jedną strategią</w:t>
      </w:r>
      <w:r w:rsidR="00F50542" w:rsidRPr="00B32B6B">
        <w:rPr>
          <w:lang w:val="pl-PL"/>
        </w:rPr>
        <w:t>.</w:t>
      </w:r>
      <w:bookmarkEnd w:id="6"/>
    </w:p>
    <w:p w14:paraId="026AC04A" w14:textId="3D7776F3" w:rsidR="00F50542" w:rsidRPr="00F879CC" w:rsidRDefault="005940A8" w:rsidP="00F879CC">
      <w:pPr>
        <w:spacing w:after="200" w:line="276" w:lineRule="auto"/>
        <w:rPr>
          <w:rFonts w:asciiTheme="minorHAnsi" w:eastAsia="Times New Roman" w:hAnsiTheme="minorHAnsi" w:cstheme="minorHAnsi"/>
          <w:szCs w:val="24"/>
          <w:lang w:val="pl-PL" w:eastAsia="en-GB"/>
        </w:rPr>
      </w:pPr>
      <w:r w:rsidRPr="00F879CC">
        <w:rPr>
          <w:rFonts w:asciiTheme="minorHAnsi" w:eastAsia="Times New Roman" w:hAnsiTheme="minorHAnsi" w:cstheme="minorHAnsi"/>
          <w:szCs w:val="24"/>
          <w:lang w:val="pl-PL" w:eastAsia="en-GB"/>
        </w:rPr>
        <w:t>Dotyczy</w:t>
      </w:r>
      <w:r w:rsidR="00C87848" w:rsidRPr="00F879CC">
        <w:rPr>
          <w:rFonts w:asciiTheme="minorHAnsi" w:eastAsia="Times New Roman" w:hAnsiTheme="minorHAnsi" w:cstheme="minorHAnsi"/>
          <w:szCs w:val="24"/>
          <w:lang w:val="pl-PL" w:eastAsia="en-GB"/>
        </w:rPr>
        <w:t>: art. 17 ust. 4 lit. b), art. 17 ust. 9 lit. b)</w:t>
      </w:r>
    </w:p>
    <w:p w14:paraId="63EF8B95" w14:textId="66C85304" w:rsidR="005753AD" w:rsidRPr="00F879CC" w:rsidRDefault="00C87848"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F879CC">
        <w:rPr>
          <w:rFonts w:asciiTheme="minorHAnsi" w:eastAsia="Times New Roman" w:hAnsiTheme="minorHAnsi" w:cstheme="minorHAnsi"/>
          <w:szCs w:val="24"/>
          <w:lang w:val="pl-PL" w:eastAsia="en-GB"/>
        </w:rPr>
        <w:t xml:space="preserve">Region Morza Bałtyckiego (RMB) charakteryzuje się różnicami regionalnymi, stojąc jednocześnie w obliczu wspólnych wyzwań. W ciągu ostatnich dwudziestu lat wiele z nich udało się </w:t>
      </w:r>
      <w:r w:rsidR="00955D7A">
        <w:rPr>
          <w:rFonts w:asciiTheme="minorHAnsi" w:eastAsia="Times New Roman" w:hAnsiTheme="minorHAnsi" w:cstheme="minorHAnsi"/>
          <w:szCs w:val="24"/>
          <w:lang w:val="pl-PL" w:eastAsia="en-GB"/>
        </w:rPr>
        <w:t>przezwyciężyć</w:t>
      </w:r>
      <w:r w:rsidR="00955D7A" w:rsidRPr="00F879CC">
        <w:rPr>
          <w:rFonts w:asciiTheme="minorHAnsi" w:eastAsia="Times New Roman" w:hAnsiTheme="minorHAnsi" w:cstheme="minorHAnsi"/>
          <w:szCs w:val="24"/>
          <w:lang w:val="pl-PL" w:eastAsia="en-GB"/>
        </w:rPr>
        <w:t xml:space="preserve"> </w:t>
      </w:r>
      <w:r w:rsidRPr="00F879CC">
        <w:rPr>
          <w:rFonts w:asciiTheme="minorHAnsi" w:eastAsia="Times New Roman" w:hAnsiTheme="minorHAnsi" w:cstheme="minorHAnsi"/>
          <w:szCs w:val="24"/>
          <w:lang w:val="pl-PL" w:eastAsia="en-GB"/>
        </w:rPr>
        <w:t>w ramach współpracy transnarodowej. Już od dawna istnieje wiele sieci na szczeblu krajowym, regionalnym i lokalnym, a także między sferą biznesu, sektorem akademickim i społeczeństwem obywatelskim</w:t>
      </w:r>
      <w:r w:rsidR="00435A36" w:rsidRPr="00F879CC">
        <w:rPr>
          <w:rFonts w:asciiTheme="minorHAnsi" w:eastAsia="Times New Roman" w:hAnsiTheme="minorHAnsi" w:cstheme="minorHAnsi"/>
          <w:szCs w:val="24"/>
          <w:lang w:val="pl-PL" w:eastAsia="en-GB"/>
        </w:rPr>
        <w:t>.</w:t>
      </w:r>
      <w:r w:rsidRPr="00F879CC">
        <w:rPr>
          <w:rFonts w:asciiTheme="minorHAnsi" w:eastAsia="Times New Roman" w:hAnsiTheme="minorHAnsi" w:cstheme="minorHAnsi"/>
          <w:szCs w:val="24"/>
          <w:lang w:val="pl-PL" w:eastAsia="en-GB"/>
        </w:rPr>
        <w:t xml:space="preserve"> </w:t>
      </w:r>
      <w:r w:rsidR="00435A36" w:rsidRPr="00F879CC">
        <w:rPr>
          <w:rFonts w:asciiTheme="minorHAnsi" w:eastAsia="Times New Roman" w:hAnsiTheme="minorHAnsi" w:cstheme="minorHAnsi"/>
          <w:szCs w:val="24"/>
          <w:lang w:val="pl-PL" w:eastAsia="en-GB"/>
        </w:rPr>
        <w:t>S</w:t>
      </w:r>
      <w:r w:rsidRPr="00F879CC">
        <w:rPr>
          <w:rFonts w:asciiTheme="minorHAnsi" w:eastAsia="Times New Roman" w:hAnsiTheme="minorHAnsi" w:cstheme="minorHAnsi"/>
          <w:szCs w:val="24"/>
          <w:lang w:val="pl-PL" w:eastAsia="en-GB"/>
        </w:rPr>
        <w:t>kutecznie przyczyniają się</w:t>
      </w:r>
      <w:r w:rsidR="00435A36" w:rsidRPr="00F879CC">
        <w:rPr>
          <w:rFonts w:asciiTheme="minorHAnsi" w:eastAsia="Times New Roman" w:hAnsiTheme="minorHAnsi" w:cstheme="minorHAnsi"/>
          <w:szCs w:val="24"/>
          <w:lang w:val="pl-PL" w:eastAsia="en-GB"/>
        </w:rPr>
        <w:t xml:space="preserve"> one</w:t>
      </w:r>
      <w:r w:rsidRPr="00F879CC">
        <w:rPr>
          <w:rFonts w:asciiTheme="minorHAnsi" w:eastAsia="Times New Roman" w:hAnsiTheme="minorHAnsi" w:cstheme="minorHAnsi"/>
          <w:szCs w:val="24"/>
          <w:lang w:val="pl-PL" w:eastAsia="en-GB"/>
        </w:rPr>
        <w:t xml:space="preserve"> do rozwoju terytorialnego regionu</w:t>
      </w:r>
      <w:r w:rsidR="005753AD" w:rsidRPr="00F879CC">
        <w:rPr>
          <w:rFonts w:asciiTheme="minorHAnsi" w:eastAsia="Times New Roman" w:hAnsiTheme="minorHAnsi" w:cstheme="minorHAnsi"/>
          <w:szCs w:val="24"/>
          <w:lang w:val="pl-PL" w:eastAsia="en-GB"/>
        </w:rPr>
        <w:t>.</w:t>
      </w:r>
    </w:p>
    <w:p w14:paraId="1170ABBE" w14:textId="74019C64" w:rsidR="002A62DD" w:rsidRPr="00F879CC" w:rsidRDefault="00C87848"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F879CC">
        <w:rPr>
          <w:rFonts w:asciiTheme="minorHAnsi" w:eastAsia="Times New Roman" w:hAnsiTheme="minorHAnsi" w:cstheme="minorHAnsi"/>
          <w:szCs w:val="24"/>
          <w:lang w:val="pl-PL" w:eastAsia="en-GB"/>
        </w:rPr>
        <w:t xml:space="preserve">Od 2009 roku, Strategia UE dla regionu Morza Bałtyckiego (SUE RMB) określa ramy współpracy w tym obszarze. Obszary </w:t>
      </w:r>
      <w:r w:rsidR="00C748EC">
        <w:rPr>
          <w:rFonts w:asciiTheme="minorHAnsi" w:eastAsia="Times New Roman" w:hAnsiTheme="minorHAnsi" w:cstheme="minorHAnsi"/>
          <w:szCs w:val="24"/>
          <w:lang w:val="pl-PL" w:eastAsia="en-GB"/>
        </w:rPr>
        <w:t>Tematyczne</w:t>
      </w:r>
      <w:r w:rsidRPr="00F879CC">
        <w:rPr>
          <w:rFonts w:asciiTheme="minorHAnsi" w:eastAsia="Times New Roman" w:hAnsiTheme="minorHAnsi" w:cstheme="minorHAnsi"/>
          <w:szCs w:val="24"/>
          <w:lang w:val="pl-PL" w:eastAsia="en-GB"/>
        </w:rPr>
        <w:t xml:space="preserve"> i działania są określone w towarzyszącym planie działań. Obszary </w:t>
      </w:r>
      <w:r w:rsidR="00C748EC">
        <w:rPr>
          <w:rFonts w:asciiTheme="minorHAnsi" w:eastAsia="Times New Roman" w:hAnsiTheme="minorHAnsi" w:cstheme="minorHAnsi"/>
          <w:szCs w:val="24"/>
          <w:lang w:val="pl-PL" w:eastAsia="en-GB"/>
        </w:rPr>
        <w:t>Tematyczne</w:t>
      </w:r>
      <w:r w:rsidRPr="00F879CC">
        <w:rPr>
          <w:rFonts w:asciiTheme="minorHAnsi" w:eastAsia="Times New Roman" w:hAnsiTheme="minorHAnsi" w:cstheme="minorHAnsi"/>
          <w:szCs w:val="24"/>
          <w:lang w:val="pl-PL" w:eastAsia="en-GB"/>
        </w:rPr>
        <w:t xml:space="preserve"> SUE RMB w dużym stopniu odpowiadają strategiom i priorytetom krajów partnerskich. Interreg Region Morza Bałtyckiego był najważniejszym instrumentem finansowania projektów strategii. Zapewnił również wsparcie finansowe dla koordynacji i komunikacji strategii; i odwrotnie, SUE RMB wzmocniła Program sprawiając, iż sam Program i jego projekty są lepiej widoczne</w:t>
      </w:r>
      <w:r w:rsidR="005753AD" w:rsidRPr="00F879CC">
        <w:rPr>
          <w:rFonts w:asciiTheme="minorHAnsi" w:eastAsia="Times New Roman" w:hAnsiTheme="minorHAnsi" w:cstheme="minorHAnsi"/>
          <w:szCs w:val="24"/>
          <w:lang w:val="pl-PL" w:eastAsia="en-GB"/>
        </w:rPr>
        <w:t xml:space="preserve">. </w:t>
      </w:r>
    </w:p>
    <w:p w14:paraId="77CAC312" w14:textId="7D6FBCB3" w:rsidR="005753AD" w:rsidRPr="00F879CC" w:rsidRDefault="00C87848"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F879CC">
        <w:rPr>
          <w:rFonts w:asciiTheme="minorHAnsi" w:eastAsia="Times New Roman" w:hAnsiTheme="minorHAnsi" w:cstheme="minorHAnsi"/>
          <w:szCs w:val="24"/>
          <w:lang w:val="pl-PL" w:eastAsia="en-GB"/>
        </w:rPr>
        <w:t>Podobnie jak w poprzednich okresach finansowania, Program został starannie dostosowany do SUE RMB i jej planu działania tak, aby zmaksymalizować korzyści dla mieszkańców RMB. Program zapewni również finansowanie środków instytucjonalnych i administracyjnych wspierających zarządzanie i wdrażanie strategii</w:t>
      </w:r>
      <w:r w:rsidR="00776C98" w:rsidRPr="00F879CC">
        <w:rPr>
          <w:rFonts w:asciiTheme="minorHAnsi" w:eastAsia="Times New Roman" w:hAnsiTheme="minorHAnsi" w:cstheme="minorHAnsi"/>
          <w:szCs w:val="24"/>
          <w:lang w:val="pl-PL" w:eastAsia="en-GB"/>
        </w:rPr>
        <w:t>.</w:t>
      </w:r>
    </w:p>
    <w:p w14:paraId="38AA719E" w14:textId="493EF81B" w:rsidR="005753AD" w:rsidRPr="00F879CC" w:rsidRDefault="00DA31DD"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F879CC">
        <w:rPr>
          <w:rFonts w:asciiTheme="minorHAnsi" w:eastAsia="Times New Roman" w:hAnsiTheme="minorHAnsi" w:cstheme="minorHAnsi"/>
          <w:szCs w:val="24"/>
          <w:lang w:val="pl-PL" w:eastAsia="en-GB"/>
        </w:rPr>
        <w:t>Interreg Region Morza Bałtyckiego zdecydowanie popiera cele zrównoważonego rozwoju ONZ (UN SDG) oraz cele Agendy na rzecz zrównoważonego rozwoju 2030. W centrum uwagi znajdą się: Cel 8 (promowanie trwałego, sprzyjającego włączeniu społecznemu i zrównoważonego wzrostu gospodarczego), Cel 13 (podjęcie pilnych działań w celu przeciwdziałania zmianom klimatu i ich skutkom), a także Cel 14 (ochrona i zrównoważone użytkowanie oceanów i ich zasobów)</w:t>
      </w:r>
      <w:r w:rsidR="00D175DC" w:rsidRPr="00F879CC">
        <w:rPr>
          <w:rFonts w:asciiTheme="minorHAnsi" w:eastAsia="Times New Roman" w:hAnsiTheme="minorHAnsi" w:cstheme="minorHAnsi"/>
          <w:szCs w:val="24"/>
          <w:lang w:val="pl-PL" w:eastAsia="en-GB"/>
        </w:rPr>
        <w:t>.</w:t>
      </w:r>
      <w:r w:rsidR="005753AD" w:rsidRPr="00F879CC">
        <w:rPr>
          <w:rFonts w:asciiTheme="minorHAnsi" w:eastAsia="Times New Roman" w:hAnsiTheme="minorHAnsi" w:cstheme="minorHAnsi"/>
          <w:szCs w:val="24"/>
          <w:lang w:val="pl-PL" w:eastAsia="en-GB"/>
        </w:rPr>
        <w:t xml:space="preserve"> </w:t>
      </w:r>
    </w:p>
    <w:p w14:paraId="7DD57969" w14:textId="7CD98AEE" w:rsidR="005753AD" w:rsidRPr="00F879CC" w:rsidRDefault="00DA31DD"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F879CC">
        <w:rPr>
          <w:rFonts w:asciiTheme="minorHAnsi" w:eastAsia="Times New Roman" w:hAnsiTheme="minorHAnsi" w:cstheme="minorHAnsi"/>
          <w:szCs w:val="24"/>
          <w:lang w:val="pl-PL" w:eastAsia="en-GB"/>
        </w:rPr>
        <w:t xml:space="preserve">Program opiera się na wielu istniejących analizach i strategiach, a także know-how doświadczonych panbałtyckich interesariuszy i </w:t>
      </w:r>
      <w:r w:rsidR="00435A36" w:rsidRPr="00F1357A">
        <w:rPr>
          <w:rFonts w:asciiTheme="minorHAnsi" w:eastAsia="Times New Roman" w:hAnsiTheme="minorHAnsi" w:cstheme="minorHAnsi"/>
          <w:szCs w:val="24"/>
          <w:lang w:val="pl-PL" w:eastAsia="en-GB"/>
        </w:rPr>
        <w:t>organizacji</w:t>
      </w:r>
      <w:r w:rsidRPr="00F879CC">
        <w:rPr>
          <w:rFonts w:asciiTheme="minorHAnsi" w:eastAsia="Times New Roman" w:hAnsiTheme="minorHAnsi" w:cstheme="minorHAnsi"/>
          <w:szCs w:val="24"/>
          <w:lang w:val="pl-PL" w:eastAsia="en-GB"/>
        </w:rPr>
        <w:t xml:space="preserve">. Program oparto na ogromnym doświadczeniu zdobytym w poprzednich okresach programowych, a proces programowania miał charakter partycypacyjny. W 2019 roku przeprowadzono przegląd priorytetów </w:t>
      </w:r>
      <w:r w:rsidRPr="00F879CC">
        <w:rPr>
          <w:rFonts w:asciiTheme="minorHAnsi" w:eastAsia="Times New Roman" w:hAnsiTheme="minorHAnsi" w:cstheme="minorHAnsi"/>
          <w:szCs w:val="24"/>
          <w:lang w:val="pl-PL" w:eastAsia="en-GB"/>
        </w:rPr>
        <w:lastRenderedPageBreak/>
        <w:t>strategicznych zawartych w RMB. Na potrzeby przeglądu systematycznie sprawdzano i analizowano odpowiednie dokumenty panbałtyckie i krajowe; odfiltrowano główne ustalenia dotyczące potencjalnych priorytetów Programu na lata 2021-2027. Po przeglądzie powołano Wspólny Komitet Programujący (WKP). Przy wsparciu Instytucji Zarządzającej i Wspólnego Sekretariatu, WKP dokonał wyboru priorytetów Programu</w:t>
      </w:r>
      <w:r w:rsidR="005753AD" w:rsidRPr="00F879CC">
        <w:rPr>
          <w:rFonts w:asciiTheme="minorHAnsi" w:eastAsia="Times New Roman" w:hAnsiTheme="minorHAnsi" w:cstheme="minorHAnsi"/>
          <w:szCs w:val="24"/>
          <w:lang w:val="pl-PL" w:eastAsia="en-GB"/>
        </w:rPr>
        <w:t xml:space="preserve">. </w:t>
      </w:r>
    </w:p>
    <w:p w14:paraId="019FA823" w14:textId="40B3CE29" w:rsidR="005753AD" w:rsidRPr="00F879CC" w:rsidRDefault="00DA31DD"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F879CC">
        <w:rPr>
          <w:rFonts w:asciiTheme="minorHAnsi" w:eastAsia="Times New Roman" w:hAnsiTheme="minorHAnsi" w:cstheme="minorHAnsi"/>
          <w:szCs w:val="24"/>
          <w:lang w:val="pl-PL" w:eastAsia="en-GB"/>
        </w:rPr>
        <w:t xml:space="preserve">Od początku 2020 r., pandemia COVID-19 wywierała wpływ na proces programowania. Program nie był projektowany, jako instrument bezpośredniego reagowania na skutki pandemii. Kraje uczestniczące w programie uznawały pandemię </w:t>
      </w:r>
      <w:r w:rsidR="00955D7A">
        <w:rPr>
          <w:rFonts w:asciiTheme="minorHAnsi" w:eastAsia="Times New Roman" w:hAnsiTheme="minorHAnsi" w:cstheme="minorHAnsi"/>
          <w:szCs w:val="24"/>
          <w:lang w:val="pl-PL" w:eastAsia="en-GB"/>
        </w:rPr>
        <w:t xml:space="preserve">raczej </w:t>
      </w:r>
      <w:r w:rsidRPr="00F879CC">
        <w:rPr>
          <w:rFonts w:asciiTheme="minorHAnsi" w:eastAsia="Times New Roman" w:hAnsiTheme="minorHAnsi" w:cstheme="minorHAnsi"/>
          <w:szCs w:val="24"/>
          <w:lang w:val="pl-PL" w:eastAsia="en-GB"/>
        </w:rPr>
        <w:t>za przykład poważnych zakłóceń zewnętrznych. Taki incydent stawia szczególne wymagania władzom publicznym, aby dostosować się do zmieniających się potrzeb takich, jak korzystanie z narzędzi cyfrowych</w:t>
      </w:r>
      <w:r w:rsidR="005753AD" w:rsidRPr="00F879CC">
        <w:rPr>
          <w:rFonts w:asciiTheme="minorHAnsi" w:eastAsia="Times New Roman" w:hAnsiTheme="minorHAnsi" w:cstheme="minorHAnsi"/>
          <w:szCs w:val="24"/>
          <w:lang w:val="pl-PL" w:eastAsia="en-GB"/>
        </w:rPr>
        <w:t xml:space="preserve">. </w:t>
      </w:r>
    </w:p>
    <w:p w14:paraId="6501E4E9" w14:textId="08A75FC5" w:rsidR="005753AD" w:rsidRPr="00F879CC" w:rsidRDefault="005753AD"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b/>
          <w:bCs/>
          <w:szCs w:val="24"/>
          <w:lang w:val="pl-PL" w:eastAsia="en-GB"/>
        </w:rPr>
      </w:pPr>
      <w:r w:rsidRPr="00F879CC">
        <w:rPr>
          <w:rFonts w:asciiTheme="minorHAnsi" w:eastAsia="Times New Roman" w:hAnsiTheme="minorHAnsi" w:cstheme="minorHAnsi"/>
          <w:b/>
          <w:bCs/>
          <w:szCs w:val="24"/>
          <w:lang w:val="pl-PL" w:eastAsia="en-GB"/>
        </w:rPr>
        <w:t xml:space="preserve">i) </w:t>
      </w:r>
      <w:r w:rsidR="00DA31DD" w:rsidRPr="00F879CC">
        <w:rPr>
          <w:rFonts w:asciiTheme="minorHAnsi" w:eastAsia="Times New Roman" w:hAnsiTheme="minorHAnsi" w:cstheme="minorHAnsi"/>
          <w:b/>
          <w:bCs/>
          <w:szCs w:val="24"/>
          <w:lang w:val="pl-PL" w:eastAsia="en-GB"/>
        </w:rPr>
        <w:t>Główne</w:t>
      </w:r>
      <w:r w:rsidR="00955D7A">
        <w:rPr>
          <w:rFonts w:asciiTheme="minorHAnsi" w:eastAsia="Times New Roman" w:hAnsiTheme="minorHAnsi" w:cstheme="minorHAnsi"/>
          <w:b/>
          <w:bCs/>
          <w:szCs w:val="24"/>
          <w:lang w:val="pl-PL" w:eastAsia="en-GB"/>
        </w:rPr>
        <w:t>,</w:t>
      </w:r>
      <w:r w:rsidR="00DA31DD" w:rsidRPr="00F879CC">
        <w:rPr>
          <w:rFonts w:asciiTheme="minorHAnsi" w:eastAsia="Times New Roman" w:hAnsiTheme="minorHAnsi" w:cstheme="minorHAnsi"/>
          <w:b/>
          <w:bCs/>
          <w:szCs w:val="24"/>
          <w:lang w:val="pl-PL" w:eastAsia="en-GB"/>
        </w:rPr>
        <w:t xml:space="preserve"> wspólne wyzwania regionu Morza Bałtyckiego z uwzględnieniem różnic gospodarczych, społecznych i terytorialnych oraz wspólnych potrzeb inwestycyjnych</w:t>
      </w:r>
    </w:p>
    <w:p w14:paraId="14B7A035" w14:textId="09FDA849" w:rsidR="005753AD" w:rsidRPr="00F879CC" w:rsidRDefault="009F327D"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F879CC">
        <w:rPr>
          <w:rFonts w:asciiTheme="minorHAnsi" w:eastAsia="Times New Roman" w:hAnsiTheme="minorHAnsi" w:cstheme="minorHAnsi"/>
          <w:szCs w:val="24"/>
          <w:lang w:val="pl-PL" w:eastAsia="en-GB"/>
        </w:rPr>
        <w:t>Poniżej przedstawiono główne, wspólne wyzwania RMB i potrzeby w zakresie sprostania tym wyzwaniom. Wyzwania te są powiązane z celami polityki i celami szczegółowymi EFRR określonymi w art. 2 i 4 projektu rozporządzenia COM (2018) 372, a także z celami szczegółowymi Interreg określonymi w art. 14 projektu rozporządzenia COM (2018) 374. Analiza opiera się na strategiach regionalnych i transnarodowych obejmujących RMB</w:t>
      </w:r>
      <w:r w:rsidR="005753AD" w:rsidRPr="00F879CC">
        <w:rPr>
          <w:rFonts w:asciiTheme="minorHAnsi" w:eastAsia="Times New Roman" w:hAnsiTheme="minorHAnsi" w:cstheme="minorHAnsi"/>
          <w:szCs w:val="24"/>
          <w:lang w:val="pl-PL" w:eastAsia="en-GB"/>
        </w:rPr>
        <w:t xml:space="preserve">. </w:t>
      </w:r>
    </w:p>
    <w:p w14:paraId="6389BCDC" w14:textId="2B4846CC" w:rsidR="005753AD" w:rsidRPr="00F879CC" w:rsidRDefault="0034632C"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b/>
          <w:bCs/>
          <w:szCs w:val="24"/>
          <w:lang w:val="pl-PL" w:eastAsia="en-GB"/>
        </w:rPr>
      </w:pPr>
      <w:r w:rsidRPr="00F879CC">
        <w:rPr>
          <w:rFonts w:asciiTheme="minorHAnsi" w:eastAsia="Times New Roman" w:hAnsiTheme="minorHAnsi" w:cstheme="minorHAnsi"/>
          <w:szCs w:val="24"/>
          <w:lang w:val="pl-PL" w:eastAsia="en-GB"/>
        </w:rPr>
        <w:t>Ogólny cel programu stanowi swego rodzaju parasol dla Programu Interreg Region Morza Bałtyckiego na lata 2021-2027: „</w:t>
      </w:r>
      <w:r w:rsidRPr="00F879CC">
        <w:rPr>
          <w:rFonts w:asciiTheme="minorHAnsi" w:eastAsia="Times New Roman" w:hAnsiTheme="minorHAnsi" w:cstheme="minorHAnsi"/>
          <w:b/>
          <w:szCs w:val="24"/>
          <w:lang w:val="pl-PL" w:eastAsia="en-GB"/>
        </w:rPr>
        <w:t>Wdrażanie innowacyjnych, inteligentnych w zakresie gospodarki wodnej oraz neutralnych dla klimatu rozwiązań, poprzez współpracę transnarodową z korzyścią dla mieszkańców całego regionu Morza Bałtyckiego</w:t>
      </w:r>
      <w:r w:rsidRPr="00F879CC">
        <w:rPr>
          <w:rFonts w:asciiTheme="minorHAnsi" w:eastAsia="Times New Roman" w:hAnsiTheme="minorHAnsi" w:cstheme="minorHAnsi"/>
          <w:b/>
          <w:bCs/>
          <w:szCs w:val="24"/>
          <w:lang w:val="pl-PL" w:eastAsia="en-GB"/>
        </w:rPr>
        <w:t>”.</w:t>
      </w:r>
    </w:p>
    <w:p w14:paraId="361F3930" w14:textId="4ECD283B" w:rsidR="005753AD" w:rsidRPr="00F879CC" w:rsidRDefault="0034632C"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F879CC">
        <w:rPr>
          <w:rFonts w:asciiTheme="minorHAnsi" w:eastAsia="Times New Roman" w:hAnsiTheme="minorHAnsi" w:cstheme="minorHAnsi"/>
          <w:szCs w:val="24"/>
          <w:lang w:val="pl-PL" w:eastAsia="en-GB"/>
        </w:rPr>
        <w:t>Poniższe trzy elementy opisują deklarację wartości Programu</w:t>
      </w:r>
      <w:r w:rsidR="005753AD" w:rsidRPr="00F879CC">
        <w:rPr>
          <w:rFonts w:asciiTheme="minorHAnsi" w:eastAsia="Times New Roman" w:hAnsiTheme="minorHAnsi" w:cstheme="minorHAnsi"/>
          <w:szCs w:val="24"/>
          <w:lang w:val="pl-PL" w:eastAsia="en-GB"/>
        </w:rPr>
        <w:t xml:space="preserve">:  </w:t>
      </w:r>
    </w:p>
    <w:p w14:paraId="66E1A42D" w14:textId="3B9E1B3D" w:rsidR="005753AD" w:rsidRPr="00F879CC" w:rsidRDefault="00930E40"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bCs/>
          <w:szCs w:val="24"/>
          <w:lang w:val="pl-PL" w:eastAsia="en-GB"/>
        </w:rPr>
      </w:pPr>
      <w:r w:rsidRPr="00F879CC">
        <w:rPr>
          <w:rFonts w:asciiTheme="minorHAnsi" w:eastAsia="Times New Roman" w:hAnsiTheme="minorHAnsi" w:cstheme="minorHAnsi"/>
          <w:b/>
          <w:bCs/>
          <w:szCs w:val="24"/>
          <w:lang w:val="pl-PL" w:eastAsia="en-GB"/>
        </w:rPr>
        <w:t xml:space="preserve">Wspieranie transformacji: </w:t>
      </w:r>
      <w:r w:rsidRPr="00F879CC">
        <w:rPr>
          <w:rFonts w:asciiTheme="minorHAnsi" w:eastAsia="Times New Roman" w:hAnsiTheme="minorHAnsi" w:cstheme="minorHAnsi"/>
          <w:bCs/>
          <w:szCs w:val="24"/>
          <w:lang w:val="pl-PL" w:eastAsia="en-GB"/>
        </w:rPr>
        <w:t>Program stwarza odpowiednie warunki ramowe w regionie Morza Bałtyckiego sprzyjające wspieraniu transformacji w kierunku bardziej ekologicznych i odporniejszych społeczności i gospodarek poprzez współpracę transnarodową. Cyfryzacja jest głównym czynnikiem sprawczym przedmiotowej transformacji</w:t>
      </w:r>
      <w:r w:rsidR="005753AD" w:rsidRPr="00F879CC">
        <w:rPr>
          <w:rFonts w:asciiTheme="minorHAnsi" w:eastAsia="Times New Roman" w:hAnsiTheme="minorHAnsi" w:cstheme="minorHAnsi"/>
          <w:szCs w:val="24"/>
          <w:lang w:val="pl-PL" w:eastAsia="en-GB"/>
        </w:rPr>
        <w:t xml:space="preserve">. </w:t>
      </w:r>
      <w:r w:rsidR="005753AD" w:rsidRPr="00F879CC">
        <w:rPr>
          <w:rFonts w:asciiTheme="minorHAnsi" w:eastAsia="Times New Roman" w:hAnsiTheme="minorHAnsi" w:cstheme="minorHAnsi"/>
          <w:bCs/>
          <w:szCs w:val="24"/>
          <w:lang w:val="pl-PL" w:eastAsia="en-GB"/>
        </w:rPr>
        <w:t xml:space="preserve"> </w:t>
      </w:r>
    </w:p>
    <w:p w14:paraId="47F357F7" w14:textId="77777777" w:rsidR="00930E40" w:rsidRPr="00F879CC" w:rsidRDefault="00930E40"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bCs/>
          <w:szCs w:val="24"/>
          <w:lang w:val="pl-PL" w:eastAsia="en-GB"/>
        </w:rPr>
      </w:pPr>
      <w:r w:rsidRPr="00F879CC">
        <w:rPr>
          <w:rFonts w:asciiTheme="minorHAnsi" w:eastAsia="Times New Roman" w:hAnsiTheme="minorHAnsi" w:cstheme="minorHAnsi"/>
          <w:b/>
          <w:bCs/>
          <w:szCs w:val="24"/>
          <w:lang w:val="pl-PL" w:eastAsia="en-GB"/>
        </w:rPr>
        <w:t xml:space="preserve">Zorientowanie na klienta: </w:t>
      </w:r>
      <w:r w:rsidRPr="00F879CC">
        <w:rPr>
          <w:rFonts w:asciiTheme="minorHAnsi" w:eastAsia="Times New Roman" w:hAnsiTheme="minorHAnsi" w:cstheme="minorHAnsi"/>
          <w:bCs/>
          <w:szCs w:val="24"/>
          <w:lang w:val="pl-PL" w:eastAsia="en-GB"/>
        </w:rPr>
        <w:t>Program jest pobudzany zapotrzebowaniem i wspiera władze publiczne w zaspokajaniu potrzeb ich grup docelowych (np. firm i społeczności).</w:t>
      </w:r>
    </w:p>
    <w:p w14:paraId="5D827F63" w14:textId="4CF8E4EB" w:rsidR="00930E40" w:rsidRPr="00F879CC" w:rsidRDefault="00930E40"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bCs/>
          <w:szCs w:val="24"/>
          <w:lang w:val="pl-PL" w:eastAsia="en-GB"/>
        </w:rPr>
      </w:pPr>
      <w:r w:rsidRPr="00F879CC">
        <w:rPr>
          <w:rFonts w:asciiTheme="minorHAnsi" w:eastAsia="Times New Roman" w:hAnsiTheme="minorHAnsi" w:cstheme="minorHAnsi"/>
          <w:b/>
          <w:bCs/>
          <w:szCs w:val="24"/>
          <w:lang w:val="pl-PL" w:eastAsia="en-GB"/>
        </w:rPr>
        <w:t>Transfer wiedzy i budowanie potencjału</w:t>
      </w:r>
      <w:r w:rsidRPr="00F879CC">
        <w:rPr>
          <w:rFonts w:asciiTheme="minorHAnsi" w:eastAsia="Times New Roman" w:hAnsiTheme="minorHAnsi" w:cstheme="minorHAnsi"/>
          <w:bCs/>
          <w:szCs w:val="24"/>
          <w:lang w:val="pl-PL" w:eastAsia="en-GB"/>
        </w:rPr>
        <w:t xml:space="preserve">: Transfer wiedzy jest ważnym składnikiem działań transnarodowych w ramach wszystkich celów polityki. Przyszłe projekty wspierają budowanie zdolności w celu zwiększenia świadomości społecznej i zmiany zachowań. </w:t>
      </w:r>
    </w:p>
    <w:p w14:paraId="3088F91A" w14:textId="725DDEF1" w:rsidR="005753AD" w:rsidRPr="00F879CC" w:rsidRDefault="00930E40"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F879CC">
        <w:rPr>
          <w:rFonts w:asciiTheme="minorHAnsi" w:eastAsia="Times New Roman" w:hAnsiTheme="minorHAnsi" w:cstheme="minorHAnsi"/>
          <w:bCs/>
          <w:szCs w:val="24"/>
          <w:lang w:val="pl-PL" w:eastAsia="en-GB"/>
        </w:rPr>
        <w:t>Zgodnie z rozporządzeniem w sprawie wspólnych przepisów, program zapewnia stosowanie zasad równości płci i niedyskryminacji</w:t>
      </w:r>
      <w:r w:rsidR="005753AD" w:rsidRPr="00F879CC">
        <w:rPr>
          <w:rFonts w:asciiTheme="minorHAnsi" w:eastAsia="Times New Roman" w:hAnsiTheme="minorHAnsi" w:cstheme="minorHAnsi"/>
          <w:szCs w:val="24"/>
          <w:lang w:val="pl-PL" w:eastAsia="en-GB"/>
        </w:rPr>
        <w:t xml:space="preserve">. </w:t>
      </w:r>
    </w:p>
    <w:p w14:paraId="6B91EC99" w14:textId="1334611E" w:rsidR="005753AD" w:rsidRPr="00F879CC" w:rsidRDefault="00930E40"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F879CC">
        <w:rPr>
          <w:rFonts w:asciiTheme="minorHAnsi" w:eastAsia="Times New Roman" w:hAnsiTheme="minorHAnsi" w:cstheme="minorHAnsi"/>
          <w:szCs w:val="24"/>
          <w:lang w:val="pl-PL" w:eastAsia="en-GB"/>
        </w:rPr>
        <w:t xml:space="preserve">Zgodnie z ogólnym celem Programu i zasadami przewodnimi deklaracji wartości, struktura Interreg Regionu Morza Bałtyckiego jest podzielona na cztery priorytety. Należą do nich: </w:t>
      </w:r>
      <w:r w:rsidR="00617687">
        <w:rPr>
          <w:rFonts w:asciiTheme="minorHAnsi" w:eastAsia="Times New Roman" w:hAnsiTheme="minorHAnsi" w:cstheme="minorHAnsi"/>
          <w:szCs w:val="24"/>
          <w:lang w:val="pl-PL" w:eastAsia="en-GB"/>
        </w:rPr>
        <w:t>„</w:t>
      </w:r>
      <w:bookmarkStart w:id="7" w:name="OLE_LINK34"/>
      <w:bookmarkStart w:id="8" w:name="OLE_LINK35"/>
      <w:r w:rsidRPr="00F879CC">
        <w:rPr>
          <w:rFonts w:asciiTheme="minorHAnsi" w:eastAsia="Times New Roman" w:hAnsiTheme="minorHAnsi" w:cstheme="minorHAnsi"/>
          <w:szCs w:val="24"/>
          <w:lang w:val="pl-PL" w:eastAsia="en-GB"/>
        </w:rPr>
        <w:t>Innowacyjne społeczeństwa</w:t>
      </w:r>
      <w:bookmarkEnd w:id="7"/>
      <w:bookmarkEnd w:id="8"/>
      <w:r w:rsidR="00617687">
        <w:rPr>
          <w:rFonts w:asciiTheme="minorHAnsi" w:eastAsia="Times New Roman" w:hAnsiTheme="minorHAnsi" w:cstheme="minorHAnsi"/>
          <w:szCs w:val="24"/>
          <w:lang w:val="pl-PL" w:eastAsia="en-GB"/>
        </w:rPr>
        <w:t>”</w:t>
      </w:r>
      <w:r w:rsidRPr="00F879CC">
        <w:rPr>
          <w:rFonts w:asciiTheme="minorHAnsi" w:eastAsia="Times New Roman" w:hAnsiTheme="minorHAnsi" w:cstheme="minorHAnsi"/>
          <w:szCs w:val="24"/>
          <w:lang w:val="pl-PL" w:eastAsia="en-GB"/>
        </w:rPr>
        <w:t xml:space="preserve"> (priorytet 1), </w:t>
      </w:r>
      <w:r w:rsidR="00617687">
        <w:rPr>
          <w:rFonts w:asciiTheme="minorHAnsi" w:eastAsia="Times New Roman" w:hAnsiTheme="minorHAnsi" w:cstheme="minorHAnsi"/>
          <w:szCs w:val="24"/>
          <w:lang w:val="pl-PL" w:eastAsia="en-GB"/>
        </w:rPr>
        <w:t>„</w:t>
      </w:r>
      <w:r w:rsidR="00617687" w:rsidRPr="007B3555">
        <w:rPr>
          <w:rFonts w:asciiTheme="minorHAnsi" w:eastAsia="Times New Roman" w:hAnsiTheme="minorHAnsi" w:cstheme="minorHAnsi"/>
          <w:szCs w:val="24"/>
          <w:lang w:val="pl-PL" w:eastAsia="en-GB"/>
        </w:rPr>
        <w:t>S</w:t>
      </w:r>
      <w:r w:rsidRPr="007B3555">
        <w:rPr>
          <w:rFonts w:asciiTheme="minorHAnsi" w:eastAsia="Times New Roman" w:hAnsiTheme="minorHAnsi" w:cstheme="minorHAnsi"/>
          <w:szCs w:val="24"/>
          <w:lang w:val="pl-PL" w:eastAsia="en-GB"/>
        </w:rPr>
        <w:t xml:space="preserve">połeczeństwa </w:t>
      </w:r>
      <w:r w:rsidR="00A56C60" w:rsidRPr="007B3555">
        <w:rPr>
          <w:rFonts w:asciiTheme="minorHAnsi" w:eastAsia="Times New Roman" w:hAnsiTheme="minorHAnsi" w:cstheme="minorHAnsi"/>
          <w:szCs w:val="24"/>
          <w:lang w:val="pl-PL" w:eastAsia="en-GB"/>
        </w:rPr>
        <w:t xml:space="preserve">rozważnie </w:t>
      </w:r>
      <w:r w:rsidRPr="007B3555">
        <w:rPr>
          <w:rFonts w:asciiTheme="minorHAnsi" w:eastAsia="Times New Roman" w:hAnsiTheme="minorHAnsi" w:cstheme="minorHAnsi"/>
          <w:szCs w:val="24"/>
          <w:lang w:val="pl-PL" w:eastAsia="en-GB"/>
        </w:rPr>
        <w:t>korzystające</w:t>
      </w:r>
      <w:r w:rsidRPr="00F879CC">
        <w:rPr>
          <w:rFonts w:asciiTheme="minorHAnsi" w:eastAsia="Times New Roman" w:hAnsiTheme="minorHAnsi" w:cstheme="minorHAnsi"/>
          <w:szCs w:val="24"/>
          <w:lang w:val="pl-PL" w:eastAsia="en-GB"/>
        </w:rPr>
        <w:t xml:space="preserve"> z wody</w:t>
      </w:r>
      <w:r w:rsidR="00617687">
        <w:rPr>
          <w:rFonts w:asciiTheme="minorHAnsi" w:eastAsia="Times New Roman" w:hAnsiTheme="minorHAnsi" w:cstheme="minorHAnsi"/>
          <w:szCs w:val="24"/>
          <w:lang w:val="pl-PL" w:eastAsia="en-GB"/>
        </w:rPr>
        <w:t>”</w:t>
      </w:r>
      <w:r w:rsidRPr="00F879CC">
        <w:rPr>
          <w:rFonts w:asciiTheme="minorHAnsi" w:eastAsia="Times New Roman" w:hAnsiTheme="minorHAnsi" w:cstheme="minorHAnsi"/>
          <w:szCs w:val="24"/>
          <w:lang w:val="pl-PL" w:eastAsia="en-GB"/>
        </w:rPr>
        <w:t xml:space="preserve"> </w:t>
      </w:r>
      <w:r w:rsidRPr="00F879CC">
        <w:rPr>
          <w:rFonts w:asciiTheme="minorHAnsi" w:eastAsia="Times New Roman" w:hAnsiTheme="minorHAnsi" w:cstheme="minorHAnsi"/>
          <w:szCs w:val="24"/>
          <w:lang w:val="pl-PL" w:eastAsia="en-GB"/>
        </w:rPr>
        <w:lastRenderedPageBreak/>
        <w:t xml:space="preserve">(priorytet 2), </w:t>
      </w:r>
      <w:r w:rsidR="00617687">
        <w:rPr>
          <w:rFonts w:asciiTheme="minorHAnsi" w:eastAsia="Times New Roman" w:hAnsiTheme="minorHAnsi" w:cstheme="minorHAnsi"/>
          <w:szCs w:val="24"/>
          <w:lang w:val="pl-PL" w:eastAsia="en-GB"/>
        </w:rPr>
        <w:t>„</w:t>
      </w:r>
      <w:r w:rsidRPr="00F879CC">
        <w:rPr>
          <w:rFonts w:asciiTheme="minorHAnsi" w:eastAsia="Times New Roman" w:hAnsiTheme="minorHAnsi" w:cstheme="minorHAnsi"/>
          <w:szCs w:val="24"/>
          <w:lang w:val="pl-PL" w:eastAsia="en-GB"/>
        </w:rPr>
        <w:t>Społeczeństwa neutralne dla klimatu</w:t>
      </w:r>
      <w:r w:rsidR="00617687">
        <w:rPr>
          <w:rFonts w:asciiTheme="minorHAnsi" w:eastAsia="Times New Roman" w:hAnsiTheme="minorHAnsi" w:cstheme="minorHAnsi"/>
          <w:szCs w:val="24"/>
          <w:lang w:val="pl-PL" w:eastAsia="en-GB"/>
        </w:rPr>
        <w:t>”</w:t>
      </w:r>
      <w:r w:rsidRPr="00F879CC">
        <w:rPr>
          <w:rFonts w:asciiTheme="minorHAnsi" w:eastAsia="Times New Roman" w:hAnsiTheme="minorHAnsi" w:cstheme="minorHAnsi"/>
          <w:szCs w:val="24"/>
          <w:lang w:val="pl-PL" w:eastAsia="en-GB"/>
        </w:rPr>
        <w:t xml:space="preserve"> (priorytet 3) oraz </w:t>
      </w:r>
      <w:r w:rsidR="00617687">
        <w:rPr>
          <w:rFonts w:asciiTheme="minorHAnsi" w:eastAsia="Times New Roman" w:hAnsiTheme="minorHAnsi" w:cstheme="minorHAnsi"/>
          <w:szCs w:val="24"/>
          <w:lang w:val="pl-PL" w:eastAsia="en-GB"/>
        </w:rPr>
        <w:t>„</w:t>
      </w:r>
      <w:r w:rsidRPr="00F879CC">
        <w:rPr>
          <w:rFonts w:asciiTheme="minorHAnsi" w:eastAsia="Times New Roman" w:hAnsiTheme="minorHAnsi" w:cstheme="minorHAnsi"/>
          <w:szCs w:val="24"/>
          <w:lang w:val="pl-PL" w:eastAsia="en-GB"/>
        </w:rPr>
        <w:t>Zarządzanie współpracą</w:t>
      </w:r>
      <w:r w:rsidR="00617687">
        <w:rPr>
          <w:rFonts w:asciiTheme="minorHAnsi" w:eastAsia="Times New Roman" w:hAnsiTheme="minorHAnsi" w:cstheme="minorHAnsi"/>
          <w:szCs w:val="24"/>
          <w:lang w:val="pl-PL" w:eastAsia="en-GB"/>
        </w:rPr>
        <w:t>”</w:t>
      </w:r>
      <w:r w:rsidR="006009E1">
        <w:rPr>
          <w:rFonts w:asciiTheme="minorHAnsi" w:eastAsia="Times New Roman" w:hAnsiTheme="minorHAnsi" w:cstheme="minorHAnsi"/>
          <w:szCs w:val="24"/>
          <w:lang w:val="pl-PL" w:eastAsia="en-GB"/>
        </w:rPr>
        <w:t xml:space="preserve"> (priorytet 4)</w:t>
      </w:r>
      <w:r w:rsidRPr="00F879CC">
        <w:rPr>
          <w:rFonts w:asciiTheme="minorHAnsi" w:eastAsia="Times New Roman" w:hAnsiTheme="minorHAnsi" w:cstheme="minorHAnsi"/>
          <w:szCs w:val="24"/>
          <w:lang w:val="pl-PL" w:eastAsia="en-GB"/>
        </w:rPr>
        <w:t xml:space="preserve">. W sumie, </w:t>
      </w:r>
      <w:r w:rsidR="00117D71">
        <w:rPr>
          <w:rFonts w:asciiTheme="minorHAnsi" w:eastAsia="Times New Roman" w:hAnsiTheme="minorHAnsi" w:cstheme="minorHAnsi"/>
          <w:szCs w:val="24"/>
          <w:lang w:val="pl-PL" w:eastAsia="en-GB"/>
        </w:rPr>
        <w:t>we wspomnianych</w:t>
      </w:r>
      <w:r w:rsidRPr="00F879CC">
        <w:rPr>
          <w:rFonts w:asciiTheme="minorHAnsi" w:eastAsia="Times New Roman" w:hAnsiTheme="minorHAnsi" w:cstheme="minorHAnsi"/>
          <w:szCs w:val="24"/>
          <w:lang w:val="pl-PL" w:eastAsia="en-GB"/>
        </w:rPr>
        <w:t xml:space="preserve"> czterech priorytetach uwzględniono osiem celów szczegółowych. Na mocy rozporządzenia UE</w:t>
      </w:r>
      <w:r w:rsidR="00117D71">
        <w:rPr>
          <w:rFonts w:asciiTheme="minorHAnsi" w:eastAsia="Times New Roman" w:hAnsiTheme="minorHAnsi" w:cstheme="minorHAnsi"/>
          <w:szCs w:val="24"/>
          <w:lang w:val="pl-PL" w:eastAsia="en-GB"/>
        </w:rPr>
        <w:t>,</w:t>
      </w:r>
      <w:r w:rsidRPr="00F879CC">
        <w:rPr>
          <w:rFonts w:asciiTheme="minorHAnsi" w:eastAsia="Times New Roman" w:hAnsiTheme="minorHAnsi" w:cstheme="minorHAnsi"/>
          <w:szCs w:val="24"/>
          <w:lang w:val="pl-PL" w:eastAsia="en-GB"/>
        </w:rPr>
        <w:t xml:space="preserve"> cele szczegółowe zostały przełożone na dziewięć celów </w:t>
      </w:r>
      <w:r w:rsidR="00DC4C40">
        <w:rPr>
          <w:rFonts w:asciiTheme="minorHAnsi" w:eastAsia="Times New Roman" w:hAnsiTheme="minorHAnsi" w:cstheme="minorHAnsi"/>
          <w:szCs w:val="24"/>
          <w:lang w:val="pl-PL" w:eastAsia="en-GB"/>
        </w:rPr>
        <w:t xml:space="preserve">szczegółowych </w:t>
      </w:r>
      <w:r w:rsidR="004B2A97">
        <w:rPr>
          <w:rFonts w:asciiTheme="minorHAnsi" w:eastAsia="Times New Roman" w:hAnsiTheme="minorHAnsi" w:cstheme="minorHAnsi"/>
          <w:szCs w:val="24"/>
          <w:lang w:val="pl-PL" w:eastAsia="en-GB"/>
        </w:rPr>
        <w:t>P</w:t>
      </w:r>
      <w:r w:rsidRPr="00F879CC">
        <w:rPr>
          <w:rFonts w:asciiTheme="minorHAnsi" w:eastAsia="Times New Roman" w:hAnsiTheme="minorHAnsi" w:cstheme="minorHAnsi"/>
          <w:szCs w:val="24"/>
          <w:lang w:val="pl-PL" w:eastAsia="en-GB"/>
        </w:rPr>
        <w:t xml:space="preserve">rogramu. Poniższy tekst podzielono na trzy poziomy: priorytety, cele szczegółowe </w:t>
      </w:r>
      <w:r w:rsidR="00DC4C40">
        <w:rPr>
          <w:rFonts w:asciiTheme="minorHAnsi" w:eastAsia="Times New Roman" w:hAnsiTheme="minorHAnsi" w:cstheme="minorHAnsi"/>
          <w:szCs w:val="24"/>
          <w:lang w:val="pl-PL" w:eastAsia="en-GB"/>
        </w:rPr>
        <w:t xml:space="preserve">i </w:t>
      </w:r>
      <w:r w:rsidR="00DC4C40" w:rsidRPr="00DC4C40">
        <w:rPr>
          <w:rFonts w:asciiTheme="minorHAnsi" w:eastAsia="Times New Roman" w:hAnsiTheme="minorHAnsi" w:cstheme="minorHAnsi"/>
          <w:szCs w:val="24"/>
          <w:lang w:val="pl-PL" w:eastAsia="en-GB"/>
        </w:rPr>
        <w:t xml:space="preserve">cele szczegółowe </w:t>
      </w:r>
      <w:r w:rsidRPr="00F879CC">
        <w:rPr>
          <w:rFonts w:asciiTheme="minorHAnsi" w:eastAsia="Times New Roman" w:hAnsiTheme="minorHAnsi" w:cstheme="minorHAnsi"/>
          <w:szCs w:val="24"/>
          <w:lang w:val="pl-PL" w:eastAsia="en-GB"/>
        </w:rPr>
        <w:t xml:space="preserve">Programu. </w:t>
      </w:r>
    </w:p>
    <w:p w14:paraId="10963CCF" w14:textId="4D98829B" w:rsidR="005753AD" w:rsidRPr="00F879CC" w:rsidRDefault="005753AD"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b/>
          <w:bCs/>
          <w:sz w:val="28"/>
          <w:szCs w:val="28"/>
          <w:u w:val="single"/>
          <w:lang w:val="pl-PL" w:eastAsia="en-GB"/>
        </w:rPr>
      </w:pPr>
      <w:r w:rsidRPr="00F879CC">
        <w:rPr>
          <w:rFonts w:asciiTheme="minorHAnsi" w:eastAsia="Times New Roman" w:hAnsiTheme="minorHAnsi" w:cstheme="minorHAnsi"/>
          <w:b/>
          <w:bCs/>
          <w:sz w:val="28"/>
          <w:szCs w:val="28"/>
          <w:u w:val="single"/>
          <w:lang w:val="pl-PL" w:eastAsia="en-GB"/>
        </w:rPr>
        <w:t>Prio</w:t>
      </w:r>
      <w:r w:rsidR="00930E40" w:rsidRPr="00F879CC">
        <w:rPr>
          <w:rFonts w:asciiTheme="minorHAnsi" w:eastAsia="Times New Roman" w:hAnsiTheme="minorHAnsi" w:cstheme="minorHAnsi"/>
          <w:b/>
          <w:bCs/>
          <w:sz w:val="28"/>
          <w:szCs w:val="28"/>
          <w:u w:val="single"/>
          <w:lang w:val="pl-PL" w:eastAsia="en-GB"/>
        </w:rPr>
        <w:t>rytet</w:t>
      </w:r>
      <w:r w:rsidRPr="00F879CC">
        <w:rPr>
          <w:rFonts w:asciiTheme="minorHAnsi" w:eastAsia="Times New Roman" w:hAnsiTheme="minorHAnsi" w:cstheme="minorHAnsi"/>
          <w:b/>
          <w:bCs/>
          <w:sz w:val="28"/>
          <w:szCs w:val="28"/>
          <w:u w:val="single"/>
          <w:lang w:val="pl-PL" w:eastAsia="en-GB"/>
        </w:rPr>
        <w:t xml:space="preserve"> 1) </w:t>
      </w:r>
      <w:bookmarkStart w:id="9" w:name="_Hlk55404774"/>
      <w:r w:rsidR="00930E40" w:rsidRPr="00F879CC">
        <w:rPr>
          <w:rFonts w:asciiTheme="minorHAnsi" w:eastAsia="Times New Roman" w:hAnsiTheme="minorHAnsi" w:cstheme="minorHAnsi"/>
          <w:b/>
          <w:bCs/>
          <w:sz w:val="28"/>
          <w:szCs w:val="28"/>
          <w:u w:val="single"/>
          <w:lang w:val="pl-PL" w:eastAsia="en-GB"/>
        </w:rPr>
        <w:t>Innowacyjne społeczeństwa</w:t>
      </w:r>
      <w:r w:rsidRPr="00F879CC">
        <w:rPr>
          <w:rFonts w:asciiTheme="minorHAnsi" w:eastAsia="Times New Roman" w:hAnsiTheme="minorHAnsi" w:cstheme="minorHAnsi"/>
          <w:b/>
          <w:bCs/>
          <w:sz w:val="28"/>
          <w:szCs w:val="28"/>
          <w:u w:val="single"/>
          <w:lang w:val="pl-PL" w:eastAsia="en-GB"/>
        </w:rPr>
        <w:t xml:space="preserve"> </w:t>
      </w:r>
      <w:bookmarkEnd w:id="9"/>
    </w:p>
    <w:p w14:paraId="6EA780B4" w14:textId="6E152DD4" w:rsidR="005753AD" w:rsidRPr="00F879CC" w:rsidRDefault="00E62762"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b/>
          <w:bCs/>
          <w:szCs w:val="24"/>
          <w:lang w:val="pl-PL" w:eastAsia="en-GB"/>
        </w:rPr>
      </w:pPr>
      <w:r w:rsidRPr="00F879CC">
        <w:rPr>
          <w:rFonts w:asciiTheme="minorHAnsi" w:eastAsia="Times New Roman" w:hAnsiTheme="minorHAnsi" w:cstheme="minorHAnsi"/>
          <w:b/>
          <w:bCs/>
          <w:szCs w:val="24"/>
          <w:lang w:val="pl-PL" w:eastAsia="en-GB"/>
        </w:rPr>
        <w:t xml:space="preserve">Cel szczegółowy iv) </w:t>
      </w:r>
      <w:bookmarkStart w:id="10" w:name="OLE_LINK71"/>
      <w:r w:rsidRPr="00F879CC">
        <w:rPr>
          <w:rFonts w:asciiTheme="minorHAnsi" w:eastAsia="Times New Roman" w:hAnsiTheme="minorHAnsi" w:cstheme="minorHAnsi"/>
          <w:b/>
          <w:bCs/>
          <w:szCs w:val="24"/>
          <w:lang w:val="pl-PL" w:eastAsia="en-GB"/>
        </w:rPr>
        <w:t>rozwijanie umiejętności w zakresie inteligentnej specjalizacji, transformacji przemysłowej i przedsiębiorczości</w:t>
      </w:r>
      <w:bookmarkEnd w:id="10"/>
    </w:p>
    <w:p w14:paraId="2B015960" w14:textId="552EC7F5" w:rsidR="005753AD" w:rsidRPr="00F879CC" w:rsidRDefault="00E62762"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u w:val="single"/>
          <w:lang w:val="pl-PL" w:eastAsia="en-GB"/>
        </w:rPr>
      </w:pPr>
      <w:r w:rsidRPr="006009E1">
        <w:rPr>
          <w:rFonts w:asciiTheme="minorHAnsi" w:eastAsia="Times New Roman" w:hAnsiTheme="minorHAnsi" w:cstheme="minorHAnsi"/>
          <w:szCs w:val="24"/>
          <w:u w:val="single"/>
          <w:lang w:val="pl-PL" w:eastAsia="en-GB"/>
        </w:rPr>
        <w:t xml:space="preserve">Cel </w:t>
      </w:r>
      <w:r w:rsidR="004E0F7E" w:rsidRPr="006009E1">
        <w:rPr>
          <w:rFonts w:asciiTheme="minorHAnsi" w:eastAsia="Times New Roman" w:hAnsiTheme="minorHAnsi" w:cstheme="minorHAnsi"/>
          <w:szCs w:val="24"/>
          <w:u w:val="single"/>
          <w:lang w:val="pl-PL" w:eastAsia="en-GB"/>
        </w:rPr>
        <w:t xml:space="preserve">szczegółowy </w:t>
      </w:r>
      <w:r w:rsidR="00B67BCD" w:rsidRPr="006009E1">
        <w:rPr>
          <w:rFonts w:asciiTheme="minorHAnsi" w:eastAsia="Times New Roman" w:hAnsiTheme="minorHAnsi" w:cstheme="minorHAnsi"/>
          <w:szCs w:val="24"/>
          <w:u w:val="single"/>
          <w:lang w:val="pl-PL" w:eastAsia="en-GB"/>
        </w:rPr>
        <w:t>1.1</w:t>
      </w:r>
      <w:r w:rsidR="00DC4C40" w:rsidRPr="006009E1">
        <w:rPr>
          <w:rFonts w:asciiTheme="minorHAnsi" w:eastAsia="Times New Roman" w:hAnsiTheme="minorHAnsi" w:cstheme="minorHAnsi"/>
          <w:szCs w:val="24"/>
          <w:u w:val="single"/>
          <w:lang w:val="pl-PL" w:eastAsia="en-GB"/>
        </w:rPr>
        <w:t xml:space="preserve"> </w:t>
      </w:r>
      <w:r w:rsidRPr="006009E1">
        <w:rPr>
          <w:rFonts w:asciiTheme="minorHAnsi" w:eastAsia="Times New Roman" w:hAnsiTheme="minorHAnsi" w:cstheme="minorHAnsi"/>
          <w:szCs w:val="24"/>
          <w:u w:val="single"/>
          <w:lang w:val="pl-PL" w:eastAsia="en-GB"/>
        </w:rPr>
        <w:t>Odporne gospodarki i społeczności</w:t>
      </w:r>
    </w:p>
    <w:p w14:paraId="6DCE8593" w14:textId="0D258124" w:rsidR="005753AD" w:rsidRPr="00F879CC" w:rsidRDefault="00E62762"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iCs/>
          <w:szCs w:val="24"/>
          <w:lang w:val="pl-PL" w:eastAsia="en-GB"/>
        </w:rPr>
      </w:pPr>
      <w:bookmarkStart w:id="11" w:name="OLE_LINK135"/>
      <w:bookmarkStart w:id="12" w:name="OLE_LINK136"/>
      <w:r w:rsidRPr="00F879CC">
        <w:rPr>
          <w:rFonts w:asciiTheme="minorHAnsi" w:eastAsia="Times New Roman" w:hAnsiTheme="minorHAnsi" w:cstheme="minorHAnsi"/>
          <w:iCs/>
          <w:szCs w:val="24"/>
          <w:lang w:val="pl-PL" w:eastAsia="en-GB"/>
        </w:rPr>
        <w:t>Odporność określa zdolność reagowania na zewnętrzne zakłócenia takie</w:t>
      </w:r>
      <w:r w:rsidR="00117D71">
        <w:rPr>
          <w:rFonts w:asciiTheme="minorHAnsi" w:eastAsia="Times New Roman" w:hAnsiTheme="minorHAnsi" w:cstheme="minorHAnsi"/>
          <w:iCs/>
          <w:szCs w:val="24"/>
          <w:lang w:val="pl-PL" w:eastAsia="en-GB"/>
        </w:rPr>
        <w:t>,</w:t>
      </w:r>
      <w:r w:rsidRPr="00F879CC">
        <w:rPr>
          <w:rFonts w:asciiTheme="minorHAnsi" w:eastAsia="Times New Roman" w:hAnsiTheme="minorHAnsi" w:cstheme="minorHAnsi"/>
          <w:iCs/>
          <w:szCs w:val="24"/>
          <w:lang w:val="pl-PL" w:eastAsia="en-GB"/>
        </w:rPr>
        <w:t xml:space="preserve"> jak poważne recesje i kryzysy finansowe, pogorszenie koniunktury w poszczególnych branżach lub poważne kryzysy natury zdrowotnej. Odporność odnosi się również do społeczeństwa charakteryzującego się silną spójnością społeczną i wspólnym systemem wartości. Nieoczekiwane wstrząsy mogą mieć bardzo silne i długotrwałe skutki. Dla gospodarek i społeczeństw regionu ważne jest, aby były w stanie uniknąć niepożądanych skutków zewnętrznych</w:t>
      </w:r>
      <w:r w:rsidR="00117D71">
        <w:rPr>
          <w:rFonts w:asciiTheme="minorHAnsi" w:eastAsia="Times New Roman" w:hAnsiTheme="minorHAnsi" w:cstheme="minorHAnsi"/>
          <w:iCs/>
          <w:szCs w:val="24"/>
          <w:lang w:val="pl-PL" w:eastAsia="en-GB"/>
        </w:rPr>
        <w:t>,</w:t>
      </w:r>
      <w:r w:rsidRPr="00F879CC">
        <w:rPr>
          <w:rFonts w:asciiTheme="minorHAnsi" w:eastAsia="Times New Roman" w:hAnsiTheme="minorHAnsi" w:cstheme="minorHAnsi"/>
          <w:iCs/>
          <w:szCs w:val="24"/>
          <w:lang w:val="pl-PL" w:eastAsia="en-GB"/>
        </w:rPr>
        <w:t xml:space="preserve"> stawić im czoła lub szybko się z nich otrząsnąć. Oznacza to również możliwość wykrywania i monitorowania potencjalnych luk w zabezpieczeniach. W tym kontekście, zasadnicze znaczenie ma dobrze zakorzeniona kultura innowacji, która, jak wiadomo, skutecznie wspiera budowanie odporności</w:t>
      </w:r>
      <w:r w:rsidR="005753AD" w:rsidRPr="00F879CC">
        <w:rPr>
          <w:rFonts w:asciiTheme="minorHAnsi" w:eastAsia="Times New Roman" w:hAnsiTheme="minorHAnsi" w:cstheme="minorHAnsi"/>
          <w:iCs/>
          <w:szCs w:val="24"/>
          <w:lang w:val="pl-PL" w:eastAsia="en-GB"/>
        </w:rPr>
        <w:t xml:space="preserve">. </w:t>
      </w:r>
    </w:p>
    <w:p w14:paraId="26DCAC2C" w14:textId="4727020D" w:rsidR="006E3F20" w:rsidRPr="00F879CC" w:rsidRDefault="006E3F20"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iCs/>
          <w:szCs w:val="24"/>
          <w:lang w:val="pl-PL" w:eastAsia="en-GB"/>
        </w:rPr>
      </w:pPr>
      <w:r w:rsidRPr="00F879CC">
        <w:rPr>
          <w:rFonts w:asciiTheme="minorHAnsi" w:eastAsia="Times New Roman" w:hAnsiTheme="minorHAnsi" w:cstheme="minorHAnsi"/>
          <w:iCs/>
          <w:szCs w:val="24"/>
          <w:lang w:val="pl-PL" w:eastAsia="en-GB"/>
        </w:rPr>
        <w:t xml:space="preserve">Postępująca globalizacja przynosi wiele pozytywnych skutków dla gospodarek i społeczeństw. Oznacza to również silniejszą zależność od zmian globalnych; te zaś mogą mieć charakter pozytywny, ale jak pokazały ostatnie lata, mogą również stanowić poważne zagrożenie. Dotyczy to również RMB. </w:t>
      </w:r>
      <w:r w:rsidR="00117D71">
        <w:rPr>
          <w:rFonts w:asciiTheme="minorHAnsi" w:eastAsia="Times New Roman" w:hAnsiTheme="minorHAnsi" w:cstheme="minorHAnsi"/>
          <w:iCs/>
          <w:szCs w:val="24"/>
          <w:lang w:val="pl-PL" w:eastAsia="en-GB"/>
        </w:rPr>
        <w:t>Pragnąc uczynić</w:t>
      </w:r>
      <w:r w:rsidRPr="00F879CC">
        <w:rPr>
          <w:rFonts w:asciiTheme="minorHAnsi" w:eastAsia="Times New Roman" w:hAnsiTheme="minorHAnsi" w:cstheme="minorHAnsi"/>
          <w:iCs/>
          <w:szCs w:val="24"/>
          <w:lang w:val="pl-PL" w:eastAsia="en-GB"/>
        </w:rPr>
        <w:t xml:space="preserve"> region Morza Bałtyckiego jeszcze odporniejszy</w:t>
      </w:r>
      <w:r w:rsidR="0071582C">
        <w:rPr>
          <w:rFonts w:asciiTheme="minorHAnsi" w:eastAsia="Times New Roman" w:hAnsiTheme="minorHAnsi" w:cstheme="minorHAnsi"/>
          <w:iCs/>
          <w:szCs w:val="24"/>
          <w:lang w:val="pl-PL" w:eastAsia="en-GB"/>
        </w:rPr>
        <w:t>m w przyszłości</w:t>
      </w:r>
      <w:r w:rsidRPr="00F879CC">
        <w:rPr>
          <w:rFonts w:asciiTheme="minorHAnsi" w:eastAsia="Times New Roman" w:hAnsiTheme="minorHAnsi" w:cstheme="minorHAnsi"/>
          <w:iCs/>
          <w:szCs w:val="24"/>
          <w:lang w:val="pl-PL" w:eastAsia="en-GB"/>
        </w:rPr>
        <w:t>, należy stworzyć odpowiednie warunki ramowe wspierające innowacyjne i kreatywne podmioty gospodarcze i społeczne, aby móc stawić czoła zakłóceniom zewnętrz</w:t>
      </w:r>
      <w:r w:rsidR="0071582C">
        <w:rPr>
          <w:rFonts w:asciiTheme="minorHAnsi" w:eastAsia="Times New Roman" w:hAnsiTheme="minorHAnsi" w:cstheme="minorHAnsi"/>
          <w:iCs/>
          <w:szCs w:val="24"/>
          <w:lang w:val="pl-PL" w:eastAsia="en-GB"/>
        </w:rPr>
        <w:t>nym</w:t>
      </w:r>
      <w:r w:rsidRPr="00F879CC">
        <w:rPr>
          <w:rFonts w:asciiTheme="minorHAnsi" w:eastAsia="Times New Roman" w:hAnsiTheme="minorHAnsi" w:cstheme="minorHAnsi"/>
          <w:iCs/>
          <w:szCs w:val="24"/>
          <w:lang w:val="pl-PL" w:eastAsia="en-GB"/>
        </w:rPr>
        <w:t>.</w:t>
      </w:r>
    </w:p>
    <w:p w14:paraId="10930E46" w14:textId="7AC5E641" w:rsidR="005753AD" w:rsidRPr="00F879CC" w:rsidRDefault="006E3F20"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F879CC">
        <w:rPr>
          <w:rFonts w:asciiTheme="minorHAnsi" w:eastAsia="Times New Roman" w:hAnsiTheme="minorHAnsi" w:cstheme="minorHAnsi"/>
          <w:iCs/>
          <w:szCs w:val="24"/>
          <w:lang w:val="pl-PL" w:eastAsia="en-GB"/>
        </w:rPr>
        <w:t>O centralnej roli innowacji w budowaniu odporności wspomniano w aktualnych europejskich i panbałtyckich, krajowych i regionalnych analizach i strategiach</w:t>
      </w:r>
      <w:bookmarkEnd w:id="11"/>
      <w:bookmarkEnd w:id="12"/>
      <w:r w:rsidR="005753AD" w:rsidRPr="00F879CC">
        <w:rPr>
          <w:rFonts w:asciiTheme="minorHAnsi" w:eastAsia="Times New Roman" w:hAnsiTheme="minorHAnsi" w:cstheme="minorHAnsi"/>
          <w:szCs w:val="24"/>
          <w:lang w:val="pl-PL" w:eastAsia="en-GB"/>
        </w:rPr>
        <w:t xml:space="preserve">. </w:t>
      </w:r>
    </w:p>
    <w:p w14:paraId="74974B53" w14:textId="60BFB112" w:rsidR="005753AD" w:rsidRPr="00F879CC" w:rsidRDefault="006E3F20"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iCs/>
          <w:szCs w:val="24"/>
          <w:lang w:val="pl-PL" w:eastAsia="en-GB"/>
        </w:rPr>
      </w:pPr>
      <w:r w:rsidRPr="00F879CC">
        <w:rPr>
          <w:rFonts w:asciiTheme="minorHAnsi" w:eastAsia="Times New Roman" w:hAnsiTheme="minorHAnsi" w:cstheme="minorHAnsi"/>
          <w:iCs/>
          <w:szCs w:val="24"/>
          <w:lang w:val="pl-PL" w:eastAsia="en-GB"/>
        </w:rPr>
        <w:t xml:space="preserve">W SUE RMB, cel: </w:t>
      </w:r>
      <w:r w:rsidR="00617687">
        <w:rPr>
          <w:rFonts w:asciiTheme="minorHAnsi" w:eastAsia="Times New Roman" w:hAnsiTheme="minorHAnsi" w:cstheme="minorHAnsi"/>
          <w:iCs/>
          <w:szCs w:val="24"/>
          <w:lang w:val="pl-PL" w:eastAsia="en-GB"/>
        </w:rPr>
        <w:t>„</w:t>
      </w:r>
      <w:r w:rsidRPr="00F879CC">
        <w:rPr>
          <w:rFonts w:asciiTheme="minorHAnsi" w:eastAsia="Times New Roman" w:hAnsiTheme="minorHAnsi" w:cstheme="minorHAnsi"/>
          <w:iCs/>
          <w:szCs w:val="24"/>
          <w:lang w:val="pl-PL" w:eastAsia="en-GB"/>
        </w:rPr>
        <w:t>Zwiększenie dobrobytu</w:t>
      </w:r>
      <w:r w:rsidR="00617687">
        <w:rPr>
          <w:rFonts w:asciiTheme="minorHAnsi" w:eastAsia="Times New Roman" w:hAnsiTheme="minorHAnsi" w:cstheme="minorHAnsi"/>
          <w:iCs/>
          <w:szCs w:val="24"/>
          <w:lang w:val="pl-PL" w:eastAsia="en-GB"/>
        </w:rPr>
        <w:t>”</w:t>
      </w:r>
      <w:r w:rsidRPr="00F879CC">
        <w:rPr>
          <w:rFonts w:asciiTheme="minorHAnsi" w:eastAsia="Times New Roman" w:hAnsiTheme="minorHAnsi" w:cstheme="minorHAnsi"/>
          <w:iCs/>
          <w:szCs w:val="24"/>
          <w:lang w:val="pl-PL" w:eastAsia="en-GB"/>
        </w:rPr>
        <w:t xml:space="preserve"> oraz </w:t>
      </w:r>
      <w:r w:rsidR="00C748EC">
        <w:rPr>
          <w:rFonts w:asciiTheme="minorHAnsi" w:eastAsia="Times New Roman" w:hAnsiTheme="minorHAnsi" w:cstheme="minorHAnsi"/>
          <w:iCs/>
          <w:szCs w:val="24"/>
          <w:lang w:val="pl-PL" w:eastAsia="en-GB"/>
        </w:rPr>
        <w:t>Obszar Tematyczny</w:t>
      </w:r>
      <w:r w:rsidRPr="00F879CC">
        <w:rPr>
          <w:rFonts w:asciiTheme="minorHAnsi" w:eastAsia="Times New Roman" w:hAnsiTheme="minorHAnsi" w:cstheme="minorHAnsi"/>
          <w:iCs/>
          <w:szCs w:val="24"/>
          <w:lang w:val="pl-PL" w:eastAsia="en-GB"/>
        </w:rPr>
        <w:t xml:space="preserve"> </w:t>
      </w:r>
      <w:r w:rsidR="00617687">
        <w:rPr>
          <w:rFonts w:asciiTheme="minorHAnsi" w:eastAsia="Times New Roman" w:hAnsiTheme="minorHAnsi" w:cstheme="minorHAnsi"/>
          <w:iCs/>
          <w:szCs w:val="24"/>
          <w:lang w:val="pl-PL" w:eastAsia="en-GB"/>
        </w:rPr>
        <w:t>„</w:t>
      </w:r>
      <w:r w:rsidRPr="00F879CC">
        <w:rPr>
          <w:rFonts w:asciiTheme="minorHAnsi" w:eastAsia="Times New Roman" w:hAnsiTheme="minorHAnsi" w:cstheme="minorHAnsi"/>
          <w:iCs/>
          <w:szCs w:val="24"/>
          <w:lang w:val="pl-PL" w:eastAsia="en-GB"/>
        </w:rPr>
        <w:t>Innowacje</w:t>
      </w:r>
      <w:r w:rsidR="00617687">
        <w:rPr>
          <w:rFonts w:asciiTheme="minorHAnsi" w:eastAsia="Times New Roman" w:hAnsiTheme="minorHAnsi" w:cstheme="minorHAnsi"/>
          <w:iCs/>
          <w:szCs w:val="24"/>
          <w:lang w:val="pl-PL" w:eastAsia="en-GB"/>
        </w:rPr>
        <w:t>”</w:t>
      </w:r>
      <w:r w:rsidRPr="00F879CC">
        <w:rPr>
          <w:rFonts w:asciiTheme="minorHAnsi" w:eastAsia="Times New Roman" w:hAnsiTheme="minorHAnsi" w:cstheme="minorHAnsi"/>
          <w:iCs/>
          <w:szCs w:val="24"/>
          <w:lang w:val="pl-PL" w:eastAsia="en-GB"/>
        </w:rPr>
        <w:t xml:space="preserve"> wskazują na znaczenie dalszej poprawy globalnej konkurencyjności RMB. Można to osiągnąć poprzez wspieranie ulepszonego, makroregionalnego ekosystemu współpracy na rzecz innowacji, badań, MŚP i cyfryzacji. Globalna konkurencyjność regionu zależy również, w dużym stopniu, od zdolności adaptacji do zmieniających się warunków; te zaś znajdują się poza wpływem regionalnych interesariuszy. Jednym z konkretnych </w:t>
      </w:r>
      <w:r w:rsidR="00CC0F52" w:rsidRPr="00F879CC">
        <w:rPr>
          <w:rFonts w:asciiTheme="minorHAnsi" w:eastAsia="Times New Roman" w:hAnsiTheme="minorHAnsi" w:cstheme="minorHAnsi"/>
          <w:iCs/>
          <w:szCs w:val="24"/>
          <w:lang w:val="pl-PL" w:eastAsia="en-GB"/>
        </w:rPr>
        <w:t>przykładów, o których</w:t>
      </w:r>
      <w:r w:rsidRPr="00F879CC">
        <w:rPr>
          <w:rFonts w:asciiTheme="minorHAnsi" w:eastAsia="Times New Roman" w:hAnsiTheme="minorHAnsi" w:cstheme="minorHAnsi"/>
          <w:iCs/>
          <w:szCs w:val="24"/>
          <w:lang w:val="pl-PL" w:eastAsia="en-GB"/>
        </w:rPr>
        <w:t xml:space="preserve"> mowa w planie działania SUE RMB jest pandemia COVID-19. Kryzys ten bardzo wyraźnie uwidocznił nadal istniejące wyzwania związane z transformacją cyfrową w regionie Morza Bałtyckiego i pilną potrzebę stawienia im czoła</w:t>
      </w:r>
      <w:r w:rsidR="005753AD" w:rsidRPr="00F879CC">
        <w:rPr>
          <w:rFonts w:asciiTheme="minorHAnsi" w:eastAsia="Times New Roman" w:hAnsiTheme="minorHAnsi" w:cstheme="minorHAnsi"/>
          <w:iCs/>
          <w:szCs w:val="24"/>
          <w:lang w:val="pl-PL" w:eastAsia="en-GB"/>
        </w:rPr>
        <w:t xml:space="preserve">. </w:t>
      </w:r>
    </w:p>
    <w:p w14:paraId="79EAFA17" w14:textId="34F8EB5D" w:rsidR="005947C1" w:rsidRPr="00F879CC" w:rsidRDefault="006E3F20"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iCs/>
          <w:szCs w:val="24"/>
          <w:lang w:val="pl-PL" w:eastAsia="en-GB"/>
        </w:rPr>
      </w:pPr>
      <w:r w:rsidRPr="00F879CC">
        <w:rPr>
          <w:rFonts w:asciiTheme="minorHAnsi" w:eastAsia="Times New Roman" w:hAnsiTheme="minorHAnsi" w:cstheme="minorHAnsi"/>
          <w:iCs/>
          <w:szCs w:val="24"/>
          <w:lang w:val="pl-PL" w:eastAsia="en-GB"/>
        </w:rPr>
        <w:lastRenderedPageBreak/>
        <w:t xml:space="preserve">Aktualne analizy i strategie krajów i regionów RMB, podkreślają potrzebę skuteczniejszego radzenia sobie z nadchodzącymi wyzwaniami gospodarczymi i społecznymi. Wskazują na potrzebę dalszego wzmacniania środowiska wiedzy oraz zwiększania </w:t>
      </w:r>
      <w:bookmarkStart w:id="13" w:name="OLE_LINK64"/>
      <w:r w:rsidRPr="00F879CC">
        <w:rPr>
          <w:rFonts w:asciiTheme="minorHAnsi" w:eastAsia="Times New Roman" w:hAnsiTheme="minorHAnsi" w:cstheme="minorHAnsi"/>
          <w:iCs/>
          <w:szCs w:val="24"/>
          <w:lang w:val="pl-PL" w:eastAsia="en-GB"/>
        </w:rPr>
        <w:t>multidyscyplinarnej</w:t>
      </w:r>
      <w:bookmarkEnd w:id="13"/>
      <w:r w:rsidRPr="00F879CC">
        <w:rPr>
          <w:rFonts w:asciiTheme="minorHAnsi" w:eastAsia="Times New Roman" w:hAnsiTheme="minorHAnsi" w:cstheme="minorHAnsi"/>
          <w:iCs/>
          <w:szCs w:val="24"/>
          <w:lang w:val="pl-PL" w:eastAsia="en-GB"/>
        </w:rPr>
        <w:t xml:space="preserve"> wiedzy </w:t>
      </w:r>
      <w:r w:rsidR="00636158">
        <w:rPr>
          <w:rFonts w:asciiTheme="minorHAnsi" w:eastAsia="Times New Roman" w:hAnsiTheme="minorHAnsi" w:cstheme="minorHAnsi"/>
          <w:iCs/>
          <w:szCs w:val="24"/>
          <w:lang w:val="pl-PL" w:eastAsia="en-GB"/>
        </w:rPr>
        <w:t xml:space="preserve">sięgającej </w:t>
      </w:r>
      <w:r w:rsidRPr="00F879CC">
        <w:rPr>
          <w:rFonts w:asciiTheme="minorHAnsi" w:eastAsia="Times New Roman" w:hAnsiTheme="minorHAnsi" w:cstheme="minorHAnsi"/>
          <w:iCs/>
          <w:szCs w:val="24"/>
          <w:lang w:val="pl-PL" w:eastAsia="en-GB"/>
        </w:rPr>
        <w:t>ponad granicami. Ponadto, wielokrotnie podkreślano już wymóg skuteczniejszego zarządzania transformacją cyfrową w gospodarce i społeczeństwie. Z perspektywy decydentów na poziomie regionalnym i krajowym, tylko bardziej intensywna współpraca interesariuszy w regionie Morza Bałtyckiego oraz wymiana doświadczeń ponad granicami i sektorami mogą</w:t>
      </w:r>
      <w:r w:rsidR="008C7439" w:rsidRPr="00F879CC">
        <w:rPr>
          <w:rFonts w:asciiTheme="minorHAnsi" w:eastAsia="Times New Roman" w:hAnsiTheme="minorHAnsi" w:cstheme="minorHAnsi"/>
          <w:iCs/>
          <w:szCs w:val="24"/>
          <w:lang w:val="pl-PL" w:eastAsia="en-GB"/>
        </w:rPr>
        <w:t xml:space="preserve"> pomóc w osiągnięciu tych celów</w:t>
      </w:r>
      <w:r w:rsidR="005947C1" w:rsidRPr="00F879CC">
        <w:rPr>
          <w:rFonts w:asciiTheme="minorHAnsi" w:eastAsia="Times New Roman" w:hAnsiTheme="minorHAnsi" w:cstheme="minorHAnsi"/>
          <w:iCs/>
          <w:szCs w:val="24"/>
          <w:lang w:val="pl-PL" w:eastAsia="en-GB"/>
        </w:rPr>
        <w:t xml:space="preserve">. </w:t>
      </w:r>
    </w:p>
    <w:p w14:paraId="6946E8A7" w14:textId="1C161CCC" w:rsidR="005753AD" w:rsidRPr="00F879CC" w:rsidRDefault="008C7439"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iCs/>
          <w:szCs w:val="24"/>
          <w:lang w:val="pl-PL" w:eastAsia="en-GB"/>
        </w:rPr>
      </w:pPr>
      <w:r w:rsidRPr="00F879CC">
        <w:rPr>
          <w:rFonts w:asciiTheme="minorHAnsi" w:eastAsia="Times New Roman" w:hAnsiTheme="minorHAnsi" w:cstheme="minorHAnsi"/>
          <w:iCs/>
          <w:szCs w:val="24"/>
          <w:lang w:val="pl-PL" w:eastAsia="en-GB"/>
        </w:rPr>
        <w:t>Przy rozważaniu potencjału innowacyjnego regionu</w:t>
      </w:r>
      <w:r w:rsidR="00636158">
        <w:rPr>
          <w:rFonts w:asciiTheme="minorHAnsi" w:eastAsia="Times New Roman" w:hAnsiTheme="minorHAnsi" w:cstheme="minorHAnsi"/>
          <w:iCs/>
          <w:szCs w:val="24"/>
          <w:lang w:val="pl-PL" w:eastAsia="en-GB"/>
        </w:rPr>
        <w:t>,</w:t>
      </w:r>
      <w:r w:rsidRPr="00F879CC">
        <w:rPr>
          <w:rFonts w:asciiTheme="minorHAnsi" w:eastAsia="Times New Roman" w:hAnsiTheme="minorHAnsi" w:cstheme="minorHAnsi"/>
          <w:iCs/>
          <w:szCs w:val="24"/>
          <w:lang w:val="pl-PL" w:eastAsia="en-GB"/>
        </w:rPr>
        <w:t xml:space="preserve"> Interreg Region Morza Bałtyckiego 2014-2020</w:t>
      </w:r>
      <w:r w:rsidR="00A12497">
        <w:rPr>
          <w:rFonts w:asciiTheme="minorHAnsi" w:eastAsia="Times New Roman" w:hAnsiTheme="minorHAnsi" w:cstheme="minorHAnsi"/>
          <w:iCs/>
          <w:szCs w:val="24"/>
          <w:lang w:val="pl-PL" w:eastAsia="en-GB"/>
        </w:rPr>
        <w:t>,</w:t>
      </w:r>
      <w:r w:rsidRPr="00F879CC">
        <w:rPr>
          <w:rFonts w:asciiTheme="minorHAnsi" w:eastAsia="Times New Roman" w:hAnsiTheme="minorHAnsi" w:cstheme="minorHAnsi"/>
          <w:iCs/>
          <w:szCs w:val="24"/>
          <w:lang w:val="pl-PL" w:eastAsia="en-GB"/>
        </w:rPr>
        <w:t xml:space="preserve"> nie odniósł się bezpośrednio do koncepcji budowania odporności gospodarek i społeczeństw. Jednakże, niektóre projekty zawierały elementy budowania takiej odporności. Dotyczy to, w szczególności, wspierania firm będących w trudnej sytuacji i poszukiwania następców. Ponadto, w ramach Programu </w:t>
      </w:r>
      <w:r w:rsidR="00CC0F52" w:rsidRPr="00F879CC">
        <w:rPr>
          <w:rFonts w:asciiTheme="minorHAnsi" w:eastAsia="Times New Roman" w:hAnsiTheme="minorHAnsi" w:cstheme="minorHAnsi"/>
          <w:iCs/>
          <w:szCs w:val="24"/>
          <w:lang w:val="pl-PL" w:eastAsia="en-GB"/>
        </w:rPr>
        <w:t>zbadano, w jaki</w:t>
      </w:r>
      <w:r w:rsidRPr="00F879CC">
        <w:rPr>
          <w:rFonts w:asciiTheme="minorHAnsi" w:eastAsia="Times New Roman" w:hAnsiTheme="minorHAnsi" w:cstheme="minorHAnsi"/>
          <w:iCs/>
          <w:szCs w:val="24"/>
          <w:lang w:val="pl-PL" w:eastAsia="en-GB"/>
        </w:rPr>
        <w:t xml:space="preserve"> sposób modelować podejścia do inteligentnej specjalizacji w celu osiągnięcia wzrostu na poziomie makroregionalnym oraz utrzymać gospodarkę w perspektywie długoterminowej. Równolegle, w niektórych projektach, zidentyfikowano możliwości lokalnego pozyskiwania towarów, jako sposób na wzmocnienie gospodarek i społeczeństw. Próby te zademonstrowały wykonalność </w:t>
      </w:r>
      <w:r w:rsidR="00B5007B">
        <w:rPr>
          <w:rFonts w:asciiTheme="minorHAnsi" w:eastAsia="Times New Roman" w:hAnsiTheme="minorHAnsi" w:cstheme="minorHAnsi"/>
          <w:iCs/>
          <w:szCs w:val="24"/>
          <w:lang w:val="pl-PL" w:eastAsia="en-GB"/>
        </w:rPr>
        <w:t>koncepcji budowy</w:t>
      </w:r>
      <w:r w:rsidRPr="00F879CC">
        <w:rPr>
          <w:rFonts w:asciiTheme="minorHAnsi" w:eastAsia="Times New Roman" w:hAnsiTheme="minorHAnsi" w:cstheme="minorHAnsi"/>
          <w:iCs/>
          <w:szCs w:val="24"/>
          <w:lang w:val="pl-PL" w:eastAsia="en-GB"/>
        </w:rPr>
        <w:t xml:space="preserve"> odporności w kontekście transnarodowym. Obecny Program </w:t>
      </w:r>
      <w:r w:rsidR="00B5007B">
        <w:rPr>
          <w:rFonts w:asciiTheme="minorHAnsi" w:eastAsia="Times New Roman" w:hAnsiTheme="minorHAnsi" w:cstheme="minorHAnsi"/>
          <w:iCs/>
          <w:szCs w:val="24"/>
          <w:lang w:val="pl-PL" w:eastAsia="en-GB"/>
        </w:rPr>
        <w:t>stawia za cel</w:t>
      </w:r>
      <w:r w:rsidRPr="00F879CC">
        <w:rPr>
          <w:rFonts w:asciiTheme="minorHAnsi" w:eastAsia="Times New Roman" w:hAnsiTheme="minorHAnsi" w:cstheme="minorHAnsi"/>
          <w:iCs/>
          <w:szCs w:val="24"/>
          <w:lang w:val="pl-PL" w:eastAsia="en-GB"/>
        </w:rPr>
        <w:t xml:space="preserve"> bardziej systematyczne podejście. Budowanie odporności społecznej i gospodarczej będzie głównym elementem interwencji w ramach projektów</w:t>
      </w:r>
      <w:r w:rsidR="005753AD" w:rsidRPr="00F879CC">
        <w:rPr>
          <w:rFonts w:asciiTheme="minorHAnsi" w:eastAsia="Times New Roman" w:hAnsiTheme="minorHAnsi" w:cstheme="minorHAnsi"/>
          <w:iCs/>
          <w:szCs w:val="24"/>
          <w:lang w:val="pl-PL" w:eastAsia="en-GB"/>
        </w:rPr>
        <w:t xml:space="preserve">. </w:t>
      </w:r>
    </w:p>
    <w:p w14:paraId="60583A0A" w14:textId="6BBA1CD5" w:rsidR="005753AD" w:rsidRPr="00F879CC" w:rsidRDefault="008C7439"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iCs/>
          <w:szCs w:val="24"/>
          <w:lang w:val="pl-PL" w:eastAsia="en-GB"/>
        </w:rPr>
      </w:pPr>
      <w:r w:rsidRPr="00F879CC">
        <w:rPr>
          <w:rFonts w:asciiTheme="minorHAnsi" w:eastAsia="Times New Roman" w:hAnsiTheme="minorHAnsi" w:cstheme="minorHAnsi"/>
          <w:iCs/>
          <w:szCs w:val="24"/>
          <w:lang w:val="pl-PL" w:eastAsia="en-GB"/>
        </w:rPr>
        <w:t xml:space="preserve">Jednym z kluczowych aspektów budowania innowacyjnej odporności jest wzmacnianie podejść do inteligentnej specjalizacji z naciskiem na zagadnienia, w których RMB jest już silny i wysoce konkurencyjny. Ponadto, należy przyspieszyć </w:t>
      </w:r>
      <w:r w:rsidR="00B5007B">
        <w:rPr>
          <w:rFonts w:asciiTheme="minorHAnsi" w:eastAsia="Times New Roman" w:hAnsiTheme="minorHAnsi" w:cstheme="minorHAnsi"/>
          <w:iCs/>
          <w:szCs w:val="24"/>
          <w:lang w:val="pl-PL" w:eastAsia="en-GB"/>
        </w:rPr>
        <w:t>proces cyfryzacji</w:t>
      </w:r>
      <w:r w:rsidRPr="00F879CC">
        <w:rPr>
          <w:rFonts w:asciiTheme="minorHAnsi" w:eastAsia="Times New Roman" w:hAnsiTheme="minorHAnsi" w:cstheme="minorHAnsi"/>
          <w:iCs/>
          <w:szCs w:val="24"/>
          <w:lang w:val="pl-PL" w:eastAsia="en-GB"/>
        </w:rPr>
        <w:t>, aby móc połączyć podmioty w całym regionie Morza Bałtyckiego oraz zapewnić szybk</w:t>
      </w:r>
      <w:r w:rsidR="00A12497">
        <w:rPr>
          <w:rFonts w:asciiTheme="minorHAnsi" w:eastAsia="Times New Roman" w:hAnsiTheme="minorHAnsi" w:cstheme="minorHAnsi"/>
          <w:iCs/>
          <w:szCs w:val="24"/>
          <w:lang w:val="pl-PL" w:eastAsia="en-GB"/>
        </w:rPr>
        <w:t>ą</w:t>
      </w:r>
      <w:r w:rsidRPr="00F879CC">
        <w:rPr>
          <w:rFonts w:asciiTheme="minorHAnsi" w:eastAsia="Times New Roman" w:hAnsiTheme="minorHAnsi" w:cstheme="minorHAnsi"/>
          <w:iCs/>
          <w:szCs w:val="24"/>
          <w:lang w:val="pl-PL" w:eastAsia="en-GB"/>
        </w:rPr>
        <w:t xml:space="preserve"> i elastyczn</w:t>
      </w:r>
      <w:r w:rsidR="00A12497">
        <w:rPr>
          <w:rFonts w:asciiTheme="minorHAnsi" w:eastAsia="Times New Roman" w:hAnsiTheme="minorHAnsi" w:cstheme="minorHAnsi"/>
          <w:iCs/>
          <w:szCs w:val="24"/>
          <w:lang w:val="pl-PL" w:eastAsia="en-GB"/>
        </w:rPr>
        <w:t>ą</w:t>
      </w:r>
      <w:r w:rsidRPr="00F879CC">
        <w:rPr>
          <w:rFonts w:asciiTheme="minorHAnsi" w:eastAsia="Times New Roman" w:hAnsiTheme="minorHAnsi" w:cstheme="minorHAnsi"/>
          <w:iCs/>
          <w:szCs w:val="24"/>
          <w:lang w:val="pl-PL" w:eastAsia="en-GB"/>
        </w:rPr>
        <w:t xml:space="preserve"> re</w:t>
      </w:r>
      <w:r w:rsidR="00A12497">
        <w:rPr>
          <w:rFonts w:asciiTheme="minorHAnsi" w:eastAsia="Times New Roman" w:hAnsiTheme="minorHAnsi" w:cstheme="minorHAnsi"/>
          <w:iCs/>
          <w:szCs w:val="24"/>
          <w:lang w:val="pl-PL" w:eastAsia="en-GB"/>
        </w:rPr>
        <w:t>akcję</w:t>
      </w:r>
      <w:r w:rsidRPr="00F879CC">
        <w:rPr>
          <w:rFonts w:asciiTheme="minorHAnsi" w:eastAsia="Times New Roman" w:hAnsiTheme="minorHAnsi" w:cstheme="minorHAnsi"/>
          <w:iCs/>
          <w:szCs w:val="24"/>
          <w:lang w:val="pl-PL" w:eastAsia="en-GB"/>
        </w:rPr>
        <w:t xml:space="preserve"> na nieoczekiwane zdarzenia. Odporność może również oznaczać lepszą równowagę między </w:t>
      </w:r>
      <w:r w:rsidR="00D61C1B">
        <w:rPr>
          <w:rFonts w:asciiTheme="minorHAnsi" w:eastAsia="Times New Roman" w:hAnsiTheme="minorHAnsi" w:cstheme="minorHAnsi"/>
          <w:iCs/>
          <w:szCs w:val="24"/>
          <w:lang w:val="pl-PL" w:eastAsia="en-GB"/>
        </w:rPr>
        <w:t xml:space="preserve">globalnymi łańcuchami wartości i dostaw </w:t>
      </w:r>
      <w:r w:rsidRPr="00F879CC">
        <w:rPr>
          <w:rFonts w:asciiTheme="minorHAnsi" w:eastAsia="Times New Roman" w:hAnsiTheme="minorHAnsi" w:cstheme="minorHAnsi"/>
          <w:iCs/>
          <w:szCs w:val="24"/>
          <w:lang w:val="pl-PL" w:eastAsia="en-GB"/>
        </w:rPr>
        <w:t>oraz lokalnymi i regionalnymi wzorcami produkcji i usługami. Wreszcie, budowanie odporności może wzmocnić tożsamość regionalną opartą na różnorodności kulturowej i dziedzictwie oraz wspólnych wartościach europejskich</w:t>
      </w:r>
      <w:r w:rsidR="005753AD" w:rsidRPr="00F879CC">
        <w:rPr>
          <w:rFonts w:asciiTheme="minorHAnsi" w:eastAsia="Times New Roman" w:hAnsiTheme="minorHAnsi" w:cstheme="minorHAnsi"/>
          <w:iCs/>
          <w:szCs w:val="24"/>
          <w:lang w:val="pl-PL" w:eastAsia="en-GB"/>
        </w:rPr>
        <w:t xml:space="preserve">. </w:t>
      </w:r>
    </w:p>
    <w:p w14:paraId="204F1F5D" w14:textId="1483C7D6" w:rsidR="005753AD" w:rsidRPr="00F879CC" w:rsidRDefault="008D6A79"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iCs/>
          <w:szCs w:val="24"/>
          <w:lang w:val="pl-PL" w:eastAsia="en-GB"/>
        </w:rPr>
      </w:pPr>
      <w:r w:rsidRPr="00F879CC">
        <w:rPr>
          <w:rFonts w:asciiTheme="minorHAnsi" w:eastAsia="Times New Roman" w:hAnsiTheme="minorHAnsi" w:cstheme="minorHAnsi"/>
          <w:iCs/>
          <w:szCs w:val="24"/>
          <w:lang w:val="pl-PL" w:eastAsia="en-GB"/>
        </w:rPr>
        <w:t xml:space="preserve">Opisane wyzwania i potrzeby zostaną uwzględnione w Programie w Priorytecie 1 </w:t>
      </w:r>
      <w:r w:rsidR="00A12497">
        <w:rPr>
          <w:rFonts w:asciiTheme="minorHAnsi" w:eastAsia="Times New Roman" w:hAnsiTheme="minorHAnsi" w:cstheme="minorHAnsi"/>
          <w:iCs/>
          <w:szCs w:val="24"/>
          <w:lang w:val="pl-PL" w:eastAsia="en-GB"/>
        </w:rPr>
        <w:t>„</w:t>
      </w:r>
      <w:r w:rsidRPr="00F879CC">
        <w:rPr>
          <w:rFonts w:asciiTheme="minorHAnsi" w:eastAsia="Times New Roman" w:hAnsiTheme="minorHAnsi" w:cstheme="minorHAnsi"/>
          <w:iCs/>
          <w:szCs w:val="24"/>
          <w:lang w:val="pl-PL" w:eastAsia="en-GB"/>
        </w:rPr>
        <w:t>Innowacyjne społeczeństwa</w:t>
      </w:r>
      <w:r w:rsidR="00A12497">
        <w:rPr>
          <w:rFonts w:asciiTheme="minorHAnsi" w:eastAsia="Times New Roman" w:hAnsiTheme="minorHAnsi" w:cstheme="minorHAnsi"/>
          <w:iCs/>
          <w:szCs w:val="24"/>
          <w:lang w:val="pl-PL" w:eastAsia="en-GB"/>
        </w:rPr>
        <w:t>”</w:t>
      </w:r>
      <w:r w:rsidRPr="00F879CC">
        <w:rPr>
          <w:rFonts w:asciiTheme="minorHAnsi" w:eastAsia="Times New Roman" w:hAnsiTheme="minorHAnsi" w:cstheme="minorHAnsi"/>
          <w:iCs/>
          <w:szCs w:val="24"/>
          <w:lang w:val="pl-PL" w:eastAsia="en-GB"/>
        </w:rPr>
        <w:t xml:space="preserve"> oraz w celu szczegółowym iv) </w:t>
      </w:r>
      <w:r w:rsidR="00EA15C4">
        <w:rPr>
          <w:rFonts w:asciiTheme="minorHAnsi" w:eastAsia="Times New Roman" w:hAnsiTheme="minorHAnsi" w:cstheme="minorHAnsi"/>
          <w:iCs/>
          <w:szCs w:val="24"/>
          <w:lang w:val="pl-PL" w:eastAsia="en-GB"/>
        </w:rPr>
        <w:t>„</w:t>
      </w:r>
      <w:r w:rsidRPr="00F879CC">
        <w:rPr>
          <w:rFonts w:asciiTheme="minorHAnsi" w:eastAsia="Times New Roman" w:hAnsiTheme="minorHAnsi" w:cstheme="minorHAnsi"/>
          <w:iCs/>
          <w:szCs w:val="24"/>
          <w:lang w:val="pl-PL" w:eastAsia="en-GB"/>
        </w:rPr>
        <w:t>rozwijanie umiejętności w zakresie inteligentnej specjalizacji, transformacji przemysłowej i przedsiębiorczości</w:t>
      </w:r>
      <w:r w:rsidR="00EA15C4">
        <w:rPr>
          <w:rFonts w:asciiTheme="minorHAnsi" w:eastAsia="Times New Roman" w:hAnsiTheme="minorHAnsi" w:cstheme="minorHAnsi"/>
          <w:iCs/>
          <w:szCs w:val="24"/>
          <w:lang w:val="pl-PL" w:eastAsia="en-GB"/>
        </w:rPr>
        <w:t>”</w:t>
      </w:r>
      <w:r w:rsidRPr="00F879CC">
        <w:rPr>
          <w:rFonts w:asciiTheme="minorHAnsi" w:eastAsia="Times New Roman" w:hAnsiTheme="minorHAnsi" w:cstheme="minorHAnsi"/>
          <w:iCs/>
          <w:szCs w:val="24"/>
          <w:lang w:val="pl-PL" w:eastAsia="en-GB"/>
        </w:rPr>
        <w:t xml:space="preserve">, co przekłada </w:t>
      </w:r>
      <w:r w:rsidRPr="00A56C60">
        <w:rPr>
          <w:rFonts w:asciiTheme="minorHAnsi" w:eastAsia="Times New Roman" w:hAnsiTheme="minorHAnsi" w:cstheme="minorHAnsi"/>
          <w:iCs/>
          <w:szCs w:val="24"/>
          <w:lang w:val="pl-PL" w:eastAsia="en-GB"/>
        </w:rPr>
        <w:t xml:space="preserve">się na Cel </w:t>
      </w:r>
      <w:r w:rsidR="004E0F7E" w:rsidRPr="00A56C60">
        <w:rPr>
          <w:rFonts w:asciiTheme="minorHAnsi" w:eastAsia="Times New Roman" w:hAnsiTheme="minorHAnsi" w:cstheme="minorHAnsi"/>
          <w:iCs/>
          <w:szCs w:val="24"/>
          <w:lang w:val="pl-PL" w:eastAsia="en-GB"/>
        </w:rPr>
        <w:t xml:space="preserve">szczegółowy </w:t>
      </w:r>
      <w:r w:rsidRPr="00A56C60">
        <w:rPr>
          <w:rFonts w:asciiTheme="minorHAnsi" w:eastAsia="Times New Roman" w:hAnsiTheme="minorHAnsi" w:cstheme="minorHAnsi"/>
          <w:iCs/>
          <w:szCs w:val="24"/>
          <w:lang w:val="pl-PL" w:eastAsia="en-GB"/>
        </w:rPr>
        <w:t>1.1</w:t>
      </w:r>
      <w:r w:rsidR="004E0F7E" w:rsidRPr="00A56C60">
        <w:rPr>
          <w:rFonts w:asciiTheme="minorHAnsi" w:eastAsia="Times New Roman" w:hAnsiTheme="minorHAnsi" w:cstheme="minorHAnsi"/>
          <w:iCs/>
          <w:szCs w:val="24"/>
          <w:lang w:val="pl-PL" w:eastAsia="en-GB"/>
        </w:rPr>
        <w:t xml:space="preserve"> </w:t>
      </w:r>
      <w:r w:rsidRPr="00A56C60">
        <w:rPr>
          <w:rFonts w:asciiTheme="minorHAnsi" w:eastAsia="Times New Roman" w:hAnsiTheme="minorHAnsi" w:cstheme="minorHAnsi"/>
          <w:iCs/>
          <w:szCs w:val="24"/>
          <w:lang w:val="pl-PL" w:eastAsia="en-GB"/>
        </w:rPr>
        <w:t>Odporne gospodarki i społeczności</w:t>
      </w:r>
      <w:r w:rsidR="005753AD" w:rsidRPr="00A56C60">
        <w:rPr>
          <w:rFonts w:asciiTheme="minorHAnsi" w:eastAsia="Times New Roman" w:hAnsiTheme="minorHAnsi" w:cstheme="minorHAnsi"/>
          <w:iCs/>
          <w:szCs w:val="24"/>
          <w:lang w:val="pl-PL" w:eastAsia="en-GB"/>
        </w:rPr>
        <w:t>.</w:t>
      </w:r>
      <w:r w:rsidR="005753AD" w:rsidRPr="00F879CC">
        <w:rPr>
          <w:rFonts w:asciiTheme="minorHAnsi" w:eastAsia="Times New Roman" w:hAnsiTheme="minorHAnsi" w:cstheme="minorHAnsi"/>
          <w:iCs/>
          <w:szCs w:val="24"/>
          <w:lang w:val="pl-PL" w:eastAsia="en-GB"/>
        </w:rPr>
        <w:t xml:space="preserve"> </w:t>
      </w:r>
    </w:p>
    <w:p w14:paraId="1672E597" w14:textId="5AE68E86" w:rsidR="005753AD" w:rsidRPr="00F879CC" w:rsidRDefault="008D6A79"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b/>
          <w:bCs/>
          <w:iCs/>
          <w:szCs w:val="24"/>
          <w:lang w:val="pl-PL" w:eastAsia="en-GB"/>
        </w:rPr>
      </w:pPr>
      <w:r w:rsidRPr="00F879CC">
        <w:rPr>
          <w:rFonts w:asciiTheme="minorHAnsi" w:eastAsia="Times New Roman" w:hAnsiTheme="minorHAnsi" w:cstheme="minorHAnsi"/>
          <w:b/>
          <w:bCs/>
          <w:iCs/>
          <w:szCs w:val="24"/>
          <w:lang w:val="pl-PL" w:eastAsia="en-GB"/>
        </w:rPr>
        <w:t>Cel szczegółowy</w:t>
      </w:r>
      <w:r w:rsidR="005753AD" w:rsidRPr="00F879CC">
        <w:rPr>
          <w:rFonts w:asciiTheme="minorHAnsi" w:eastAsia="Times New Roman" w:hAnsiTheme="minorHAnsi" w:cstheme="minorHAnsi"/>
          <w:b/>
          <w:bCs/>
          <w:iCs/>
          <w:szCs w:val="24"/>
          <w:lang w:val="pl-PL" w:eastAsia="en-GB"/>
        </w:rPr>
        <w:t xml:space="preserve"> i) </w:t>
      </w:r>
      <w:bookmarkStart w:id="14" w:name="OLE_LINK72"/>
      <w:r w:rsidRPr="00F879CC">
        <w:rPr>
          <w:rFonts w:asciiTheme="minorHAnsi" w:eastAsia="Times New Roman" w:hAnsiTheme="minorHAnsi" w:cstheme="minorHAnsi"/>
          <w:b/>
          <w:bCs/>
          <w:iCs/>
          <w:szCs w:val="24"/>
          <w:lang w:val="pl-PL" w:eastAsia="en-GB"/>
        </w:rPr>
        <w:t>rozwijanie i wzmacnianie potencjału badawczego i innowacyjnego oraz wykorzystywanie zaawansowanych technologii</w:t>
      </w:r>
      <w:bookmarkEnd w:id="14"/>
    </w:p>
    <w:p w14:paraId="50DE8B2D" w14:textId="3C02B5D4" w:rsidR="005753AD" w:rsidRPr="00F879CC" w:rsidRDefault="008D6A79"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u w:val="single"/>
          <w:lang w:val="pl-PL" w:eastAsia="en-GB"/>
        </w:rPr>
      </w:pPr>
      <w:r w:rsidRPr="00A56C60">
        <w:rPr>
          <w:rFonts w:asciiTheme="minorHAnsi" w:eastAsia="Times New Roman" w:hAnsiTheme="minorHAnsi" w:cstheme="minorHAnsi"/>
          <w:szCs w:val="24"/>
          <w:u w:val="single"/>
          <w:lang w:val="pl-PL" w:eastAsia="en-GB"/>
        </w:rPr>
        <w:t>Cel</w:t>
      </w:r>
      <w:r w:rsidR="00B67BCD" w:rsidRPr="00A56C60">
        <w:rPr>
          <w:rFonts w:asciiTheme="minorHAnsi" w:eastAsia="Times New Roman" w:hAnsiTheme="minorHAnsi" w:cstheme="minorHAnsi"/>
          <w:szCs w:val="24"/>
          <w:u w:val="single"/>
          <w:lang w:val="pl-PL" w:eastAsia="en-GB"/>
        </w:rPr>
        <w:t xml:space="preserve"> </w:t>
      </w:r>
      <w:r w:rsidR="004E0F7E" w:rsidRPr="00A56C60">
        <w:rPr>
          <w:rFonts w:asciiTheme="minorHAnsi" w:eastAsia="Times New Roman" w:hAnsiTheme="minorHAnsi" w:cstheme="minorHAnsi"/>
          <w:szCs w:val="24"/>
          <w:u w:val="single"/>
          <w:lang w:val="pl-PL" w:eastAsia="en-GB"/>
        </w:rPr>
        <w:t xml:space="preserve">szczegółowy </w:t>
      </w:r>
      <w:r w:rsidR="00B67BCD" w:rsidRPr="00A56C60">
        <w:rPr>
          <w:rFonts w:asciiTheme="minorHAnsi" w:eastAsia="Times New Roman" w:hAnsiTheme="minorHAnsi" w:cstheme="minorHAnsi"/>
          <w:szCs w:val="24"/>
          <w:u w:val="single"/>
          <w:lang w:val="pl-PL" w:eastAsia="en-GB"/>
        </w:rPr>
        <w:t>1.2</w:t>
      </w:r>
      <w:r w:rsidR="005753AD" w:rsidRPr="00A56C60">
        <w:rPr>
          <w:rFonts w:asciiTheme="minorHAnsi" w:eastAsia="Times New Roman" w:hAnsiTheme="minorHAnsi" w:cstheme="minorHAnsi"/>
          <w:szCs w:val="24"/>
          <w:u w:val="single"/>
          <w:lang w:val="pl-PL" w:eastAsia="en-GB"/>
        </w:rPr>
        <w:t xml:space="preserve"> </w:t>
      </w:r>
      <w:r w:rsidR="00735402" w:rsidRPr="007B3555">
        <w:rPr>
          <w:rFonts w:asciiTheme="minorHAnsi" w:eastAsia="Times New Roman" w:hAnsiTheme="minorHAnsi" w:cstheme="minorHAnsi"/>
          <w:szCs w:val="24"/>
          <w:u w:val="single"/>
          <w:lang w:val="pl-PL" w:eastAsia="en-GB"/>
        </w:rPr>
        <w:t>U</w:t>
      </w:r>
      <w:r w:rsidRPr="007B3555">
        <w:rPr>
          <w:rFonts w:asciiTheme="minorHAnsi" w:eastAsia="Times New Roman" w:hAnsiTheme="minorHAnsi" w:cstheme="minorHAnsi"/>
          <w:szCs w:val="24"/>
          <w:u w:val="single"/>
          <w:lang w:val="pl-PL" w:eastAsia="en-GB"/>
        </w:rPr>
        <w:t>sługi publiczne</w:t>
      </w:r>
      <w:r w:rsidR="00A56C60" w:rsidRPr="007B3555">
        <w:rPr>
          <w:rFonts w:asciiTheme="minorHAnsi" w:eastAsia="Times New Roman" w:hAnsiTheme="minorHAnsi" w:cstheme="minorHAnsi"/>
          <w:szCs w:val="24"/>
          <w:u w:val="single"/>
          <w:lang w:val="pl-PL" w:eastAsia="en-GB"/>
        </w:rPr>
        <w:t xml:space="preserve"> odpowiadające na potrzeby mieszkańców</w:t>
      </w:r>
    </w:p>
    <w:p w14:paraId="6511D51C" w14:textId="77777777" w:rsidR="00141C2B" w:rsidRPr="00F879CC" w:rsidRDefault="00141C2B"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bookmarkStart w:id="15" w:name="OLE_LINK149"/>
      <w:bookmarkStart w:id="16" w:name="OLE_LINK150"/>
      <w:r w:rsidRPr="00F879CC">
        <w:rPr>
          <w:rFonts w:asciiTheme="minorHAnsi" w:eastAsia="Times New Roman" w:hAnsiTheme="minorHAnsi" w:cstheme="minorHAnsi"/>
          <w:szCs w:val="24"/>
          <w:lang w:val="pl-PL" w:eastAsia="en-GB"/>
        </w:rPr>
        <w:t>Przez usługi publiczne rozumie się usługi mające służyć wszystkim członkom społeczności, np. opieka zdrowotna, urbanistyka lub usługi socjalne.</w:t>
      </w:r>
    </w:p>
    <w:p w14:paraId="78298522" w14:textId="10E8BA34" w:rsidR="00141C2B" w:rsidRPr="00F879CC" w:rsidRDefault="007B3555"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7B3555">
        <w:rPr>
          <w:rFonts w:asciiTheme="minorHAnsi" w:eastAsia="Times New Roman" w:hAnsiTheme="minorHAnsi" w:cstheme="minorHAnsi"/>
          <w:szCs w:val="24"/>
          <w:lang w:val="pl-PL" w:eastAsia="en-GB"/>
        </w:rPr>
        <w:t xml:space="preserve">Usługi publiczne </w:t>
      </w:r>
      <w:r w:rsidR="00735402" w:rsidRPr="007B3555">
        <w:rPr>
          <w:rFonts w:asciiTheme="minorHAnsi" w:eastAsia="Times New Roman" w:hAnsiTheme="minorHAnsi" w:cstheme="minorHAnsi"/>
          <w:szCs w:val="24"/>
          <w:lang w:val="pl-PL" w:eastAsia="en-GB"/>
        </w:rPr>
        <w:t xml:space="preserve">odpowiadające na potrzeby </w:t>
      </w:r>
      <w:r w:rsidR="00141C2B" w:rsidRPr="007B3555">
        <w:rPr>
          <w:rFonts w:asciiTheme="minorHAnsi" w:eastAsia="Times New Roman" w:hAnsiTheme="minorHAnsi" w:cstheme="minorHAnsi"/>
          <w:szCs w:val="24"/>
          <w:lang w:val="pl-PL" w:eastAsia="en-GB"/>
        </w:rPr>
        <w:t>będą wymagały</w:t>
      </w:r>
      <w:r w:rsidR="00141C2B" w:rsidRPr="00F879CC">
        <w:rPr>
          <w:rFonts w:asciiTheme="minorHAnsi" w:eastAsia="Times New Roman" w:hAnsiTheme="minorHAnsi" w:cstheme="minorHAnsi"/>
          <w:szCs w:val="24"/>
          <w:lang w:val="pl-PL" w:eastAsia="en-GB"/>
        </w:rPr>
        <w:t xml:space="preserve"> bardziej systemowego, przekrojowego i innowacyjnego podejścia do świadczenia usług publicznych. Coraz częściej </w:t>
      </w:r>
      <w:r w:rsidR="00141C2B" w:rsidRPr="00F879CC">
        <w:rPr>
          <w:rFonts w:asciiTheme="minorHAnsi" w:eastAsia="Times New Roman" w:hAnsiTheme="minorHAnsi" w:cstheme="minorHAnsi"/>
          <w:szCs w:val="24"/>
          <w:lang w:val="pl-PL" w:eastAsia="en-GB"/>
        </w:rPr>
        <w:lastRenderedPageBreak/>
        <w:t>będą wykorzystywane narzędzia cyfrowe i przyjazne dla środowiska (ekologiczne) rozwiązania. Celem jest zwiększenie wydajności i dostosowanie usług publicznych specjalnie do potrzeb obywateli na różnych terytoriach.</w:t>
      </w:r>
    </w:p>
    <w:p w14:paraId="24FFAE14" w14:textId="6BE5741E" w:rsidR="005753AD" w:rsidRPr="00F879CC" w:rsidRDefault="00141C2B"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F879CC">
        <w:rPr>
          <w:rFonts w:asciiTheme="minorHAnsi" w:eastAsia="Times New Roman" w:hAnsiTheme="minorHAnsi" w:cstheme="minorHAnsi"/>
          <w:szCs w:val="24"/>
          <w:lang w:val="pl-PL" w:eastAsia="en-GB"/>
        </w:rPr>
        <w:t>Do tych wyzwań odnoszą się również aktualne analizy i strategie europejskie oraz panbałtyckie, jak również krajowe i regionalne</w:t>
      </w:r>
      <w:r w:rsidR="005753AD" w:rsidRPr="00F879CC">
        <w:rPr>
          <w:rFonts w:asciiTheme="minorHAnsi" w:eastAsia="Times New Roman" w:hAnsiTheme="minorHAnsi" w:cstheme="minorHAnsi"/>
          <w:szCs w:val="24"/>
          <w:lang w:val="pl-PL" w:eastAsia="en-GB"/>
        </w:rPr>
        <w:t>.</w:t>
      </w:r>
    </w:p>
    <w:p w14:paraId="4D02CC31" w14:textId="77777777" w:rsidR="00A33603" w:rsidRPr="00F879CC" w:rsidRDefault="00A33603"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F879CC">
        <w:rPr>
          <w:rFonts w:asciiTheme="minorHAnsi" w:eastAsia="Times New Roman" w:hAnsiTheme="minorHAnsi" w:cstheme="minorHAnsi"/>
          <w:szCs w:val="24"/>
          <w:lang w:val="pl-PL" w:eastAsia="en-GB"/>
        </w:rPr>
        <w:t>Europejski Zielony Ład podkreślił potrzebę opracowania nowych i innowacyjnych rozwiązań oraz usług we wszystkich sektorach, jako kluczowy czynnik sukcesu - wyraźnie wskazując na sektor publiczny. Na przykład, sektor publiczny może być prekursorem stosowania ekologicznych rozwiązań w zamówieniach publicznych.</w:t>
      </w:r>
    </w:p>
    <w:p w14:paraId="69363365" w14:textId="7ECDBC71" w:rsidR="005753AD" w:rsidRPr="00F879CC" w:rsidRDefault="00A33603"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F879CC">
        <w:rPr>
          <w:rFonts w:asciiTheme="minorHAnsi" w:eastAsia="Times New Roman" w:hAnsiTheme="minorHAnsi" w:cstheme="minorHAnsi"/>
          <w:szCs w:val="24"/>
          <w:lang w:val="pl-PL" w:eastAsia="en-GB"/>
        </w:rPr>
        <w:t xml:space="preserve">W SUE RMB, dwa cele, tj. </w:t>
      </w:r>
      <w:r w:rsidR="00A12497">
        <w:rPr>
          <w:rFonts w:asciiTheme="minorHAnsi" w:eastAsia="Times New Roman" w:hAnsiTheme="minorHAnsi" w:cstheme="minorHAnsi"/>
          <w:szCs w:val="24"/>
          <w:lang w:val="pl-PL" w:eastAsia="en-GB"/>
        </w:rPr>
        <w:t>„</w:t>
      </w:r>
      <w:r w:rsidRPr="00F879CC">
        <w:rPr>
          <w:rFonts w:asciiTheme="minorHAnsi" w:eastAsia="Times New Roman" w:hAnsiTheme="minorHAnsi" w:cstheme="minorHAnsi"/>
          <w:szCs w:val="24"/>
          <w:lang w:val="pl-PL" w:eastAsia="en-GB"/>
        </w:rPr>
        <w:t>Wzrost dobrobytu</w:t>
      </w:r>
      <w:r w:rsidR="00A12497">
        <w:rPr>
          <w:rFonts w:asciiTheme="minorHAnsi" w:eastAsia="Times New Roman" w:hAnsiTheme="minorHAnsi" w:cstheme="minorHAnsi"/>
          <w:szCs w:val="24"/>
          <w:lang w:val="pl-PL" w:eastAsia="en-GB"/>
        </w:rPr>
        <w:t>”</w:t>
      </w:r>
      <w:r w:rsidRPr="00F879CC">
        <w:rPr>
          <w:rFonts w:asciiTheme="minorHAnsi" w:eastAsia="Times New Roman" w:hAnsiTheme="minorHAnsi" w:cstheme="minorHAnsi"/>
          <w:szCs w:val="24"/>
          <w:lang w:val="pl-PL" w:eastAsia="en-GB"/>
        </w:rPr>
        <w:t xml:space="preserve"> i </w:t>
      </w:r>
      <w:r w:rsidR="00A12497">
        <w:rPr>
          <w:rFonts w:asciiTheme="minorHAnsi" w:eastAsia="Times New Roman" w:hAnsiTheme="minorHAnsi" w:cstheme="minorHAnsi"/>
          <w:szCs w:val="24"/>
          <w:lang w:val="pl-PL" w:eastAsia="en-GB"/>
        </w:rPr>
        <w:t>„</w:t>
      </w:r>
      <w:r w:rsidR="00B87529">
        <w:rPr>
          <w:rFonts w:asciiTheme="minorHAnsi" w:eastAsia="Times New Roman" w:hAnsiTheme="minorHAnsi" w:cstheme="minorHAnsi"/>
          <w:szCs w:val="24"/>
          <w:lang w:val="pl-PL" w:eastAsia="en-GB"/>
        </w:rPr>
        <w:t>Poprawa spójności regionu</w:t>
      </w:r>
      <w:r w:rsidR="00A12497">
        <w:rPr>
          <w:rFonts w:asciiTheme="minorHAnsi" w:eastAsia="Times New Roman" w:hAnsiTheme="minorHAnsi" w:cstheme="minorHAnsi"/>
          <w:szCs w:val="24"/>
          <w:lang w:val="pl-PL" w:eastAsia="en-GB"/>
        </w:rPr>
        <w:t>”</w:t>
      </w:r>
      <w:r w:rsidRPr="00F879CC">
        <w:rPr>
          <w:rFonts w:asciiTheme="minorHAnsi" w:eastAsia="Times New Roman" w:hAnsiTheme="minorHAnsi" w:cstheme="minorHAnsi"/>
          <w:szCs w:val="24"/>
          <w:lang w:val="pl-PL" w:eastAsia="en-GB"/>
        </w:rPr>
        <w:t xml:space="preserve"> dotyczą aspektu bardziej innowacyjnych i </w:t>
      </w:r>
      <w:r w:rsidR="001D1123">
        <w:rPr>
          <w:rFonts w:asciiTheme="minorHAnsi" w:eastAsia="Times New Roman" w:hAnsiTheme="minorHAnsi" w:cstheme="minorHAnsi"/>
          <w:szCs w:val="24"/>
          <w:lang w:val="pl-PL" w:eastAsia="en-GB"/>
        </w:rPr>
        <w:t>responsywnych</w:t>
      </w:r>
      <w:r w:rsidR="001D1123" w:rsidRPr="00F879CC">
        <w:rPr>
          <w:rFonts w:asciiTheme="minorHAnsi" w:eastAsia="Times New Roman" w:hAnsiTheme="minorHAnsi" w:cstheme="minorHAnsi"/>
          <w:szCs w:val="24"/>
          <w:lang w:val="pl-PL" w:eastAsia="en-GB"/>
        </w:rPr>
        <w:t xml:space="preserve"> </w:t>
      </w:r>
      <w:r w:rsidRPr="00F879CC">
        <w:rPr>
          <w:rFonts w:asciiTheme="minorHAnsi" w:eastAsia="Times New Roman" w:hAnsiTheme="minorHAnsi" w:cstheme="minorHAnsi"/>
          <w:szCs w:val="24"/>
          <w:lang w:val="pl-PL" w:eastAsia="en-GB"/>
        </w:rPr>
        <w:t xml:space="preserve">usług publicznych. Obszar </w:t>
      </w:r>
      <w:r w:rsidR="00C748EC">
        <w:rPr>
          <w:rFonts w:asciiTheme="minorHAnsi" w:eastAsia="Times New Roman" w:hAnsiTheme="minorHAnsi" w:cstheme="minorHAnsi"/>
          <w:szCs w:val="24"/>
          <w:lang w:val="pl-PL" w:eastAsia="en-GB"/>
        </w:rPr>
        <w:t>Tematyczny</w:t>
      </w:r>
      <w:r w:rsidRPr="00F879CC">
        <w:rPr>
          <w:rFonts w:asciiTheme="minorHAnsi" w:eastAsia="Times New Roman" w:hAnsiTheme="minorHAnsi" w:cstheme="minorHAnsi"/>
          <w:szCs w:val="24"/>
          <w:lang w:val="pl-PL" w:eastAsia="en-GB"/>
        </w:rPr>
        <w:t xml:space="preserve"> </w:t>
      </w:r>
      <w:r w:rsidR="00A12497">
        <w:rPr>
          <w:rFonts w:asciiTheme="minorHAnsi" w:eastAsia="Times New Roman" w:hAnsiTheme="minorHAnsi" w:cstheme="minorHAnsi"/>
          <w:szCs w:val="24"/>
          <w:lang w:val="pl-PL" w:eastAsia="en-GB"/>
        </w:rPr>
        <w:t>„</w:t>
      </w:r>
      <w:r w:rsidRPr="00F879CC">
        <w:rPr>
          <w:rFonts w:asciiTheme="minorHAnsi" w:eastAsia="Times New Roman" w:hAnsiTheme="minorHAnsi" w:cstheme="minorHAnsi"/>
          <w:szCs w:val="24"/>
          <w:lang w:val="pl-PL" w:eastAsia="en-GB"/>
        </w:rPr>
        <w:t>Innowacje</w:t>
      </w:r>
      <w:r w:rsidR="00A12497">
        <w:rPr>
          <w:rFonts w:asciiTheme="minorHAnsi" w:eastAsia="Times New Roman" w:hAnsiTheme="minorHAnsi" w:cstheme="minorHAnsi"/>
          <w:szCs w:val="24"/>
          <w:lang w:val="pl-PL" w:eastAsia="en-GB"/>
        </w:rPr>
        <w:t>”</w:t>
      </w:r>
      <w:r w:rsidRPr="00F879CC">
        <w:rPr>
          <w:rFonts w:asciiTheme="minorHAnsi" w:eastAsia="Times New Roman" w:hAnsiTheme="minorHAnsi" w:cstheme="minorHAnsi"/>
          <w:szCs w:val="24"/>
          <w:lang w:val="pl-PL" w:eastAsia="en-GB"/>
        </w:rPr>
        <w:t xml:space="preserve"> wskazuje na zwiększone stosowanie technologii cyfrowych i bardziej innowacyjne procesy w świadczeniu usług publicznych w celu sprostania wyzwaniom w warstwie społecznej</w:t>
      </w:r>
      <w:bookmarkEnd w:id="15"/>
      <w:bookmarkEnd w:id="16"/>
      <w:r w:rsidR="00D82EFA" w:rsidRPr="00F879CC">
        <w:rPr>
          <w:rFonts w:asciiTheme="minorHAnsi" w:eastAsia="Times New Roman" w:hAnsiTheme="minorHAnsi" w:cstheme="minorHAnsi"/>
          <w:szCs w:val="24"/>
          <w:lang w:val="pl-PL" w:eastAsia="en-GB"/>
        </w:rPr>
        <w:t>.</w:t>
      </w:r>
      <w:r w:rsidR="005753AD" w:rsidRPr="00F879CC">
        <w:rPr>
          <w:rFonts w:asciiTheme="minorHAnsi" w:eastAsia="Times New Roman" w:hAnsiTheme="minorHAnsi" w:cstheme="minorHAnsi"/>
          <w:szCs w:val="24"/>
          <w:lang w:val="pl-PL" w:eastAsia="en-GB"/>
        </w:rPr>
        <w:t xml:space="preserve"> </w:t>
      </w:r>
    </w:p>
    <w:p w14:paraId="5F5EA998" w14:textId="5A406E59" w:rsidR="005753AD" w:rsidRPr="00F879CC" w:rsidRDefault="00A33603"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F879CC">
        <w:rPr>
          <w:rFonts w:asciiTheme="minorHAnsi" w:eastAsia="Times New Roman" w:hAnsiTheme="minorHAnsi" w:cstheme="minorHAnsi"/>
          <w:szCs w:val="24"/>
          <w:lang w:val="pl-PL" w:eastAsia="en-GB"/>
        </w:rPr>
        <w:t>W kontekście świadczenia usług publicznych, wiele regionów i krajów w regionie Morza Bałtyckiego podkreśla znaczenie skutecznego zarządzania transformacją cyfrową. Z perspektywy decydentów na poziomie regionalnym i krajowym, można to osiągnąć jedynie poprzez skuteczny, transnarodowy transfer wiedzy oraz współpracę między władzami publicznymi w różnych regionach RMB. Gminy w różnych regionach RMB stoją przed podobnymi wyzwaniami i dlatego powinny dzielić się pomysłami oraz tworzyć sieci i platformy służące wzajemnemu pogłębianiu wiedzy</w:t>
      </w:r>
      <w:r w:rsidR="00125406" w:rsidRPr="00F879CC">
        <w:rPr>
          <w:rFonts w:asciiTheme="minorHAnsi" w:eastAsia="Times New Roman" w:hAnsiTheme="minorHAnsi" w:cstheme="minorHAnsi"/>
          <w:szCs w:val="24"/>
          <w:lang w:val="pl-PL" w:eastAsia="en-GB"/>
        </w:rPr>
        <w:t>. M</w:t>
      </w:r>
      <w:r w:rsidRPr="00F879CC">
        <w:rPr>
          <w:rFonts w:asciiTheme="minorHAnsi" w:eastAsia="Times New Roman" w:hAnsiTheme="minorHAnsi" w:cstheme="minorHAnsi"/>
          <w:szCs w:val="24"/>
          <w:lang w:val="pl-PL" w:eastAsia="en-GB"/>
        </w:rPr>
        <w:t>ogłoby to pomóc w opracowaniu lepszych rozwiązań w zakresie świadczenia usług publicznych w krótszym czasie</w:t>
      </w:r>
      <w:r w:rsidR="005753AD" w:rsidRPr="00F879CC">
        <w:rPr>
          <w:rFonts w:asciiTheme="minorHAnsi" w:eastAsia="Times New Roman" w:hAnsiTheme="minorHAnsi" w:cstheme="minorHAnsi"/>
          <w:szCs w:val="24"/>
          <w:lang w:val="pl-PL" w:eastAsia="en-GB"/>
        </w:rPr>
        <w:t xml:space="preserve">. </w:t>
      </w:r>
    </w:p>
    <w:p w14:paraId="4D9D0861" w14:textId="0E186329" w:rsidR="005753AD" w:rsidRPr="00F879CC" w:rsidRDefault="0001170C"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F879CC">
        <w:rPr>
          <w:rFonts w:asciiTheme="minorHAnsi" w:eastAsia="Times New Roman" w:hAnsiTheme="minorHAnsi" w:cstheme="minorHAnsi"/>
          <w:szCs w:val="24"/>
          <w:lang w:val="pl-PL" w:eastAsia="en-GB"/>
        </w:rPr>
        <w:t>Interreg Region Morza Bałtyckiego 2014-2020 nie odniósł się wprost do zagadnienia świadczenia usług publicznych. Mimo to, kilka projektów obejmujących różne cele podjęło ten temat. Program, w szczególności, wspierał wprowadzenie innowacyjnych ofert usług na rzecz zdrowia i dobrego samopoczucia</w:t>
      </w:r>
      <w:r w:rsidR="00A12497">
        <w:rPr>
          <w:rFonts w:asciiTheme="minorHAnsi" w:eastAsia="Times New Roman" w:hAnsiTheme="minorHAnsi" w:cstheme="minorHAnsi"/>
          <w:szCs w:val="24"/>
          <w:lang w:val="pl-PL" w:eastAsia="en-GB"/>
        </w:rPr>
        <w:t>; s</w:t>
      </w:r>
      <w:r w:rsidRPr="00F879CC">
        <w:rPr>
          <w:rFonts w:asciiTheme="minorHAnsi" w:eastAsia="Times New Roman" w:hAnsiTheme="minorHAnsi" w:cstheme="minorHAnsi"/>
          <w:szCs w:val="24"/>
          <w:lang w:val="pl-PL" w:eastAsia="en-GB"/>
        </w:rPr>
        <w:t>tworzył usługi transportowe zaprojektowane specjalnie na potrzeby obszarów wiejskich dotkniętych zmianami demograficznymi. Inne projekty były skierowane do określonych, szczególnie narażonych grup w celu świadczenia lepszych usług socjalnych. Jednym z przykładów było dostosowanie przestrzeni publicznych dla tych grup. Podsumowując, Program na lata 2014-2020</w:t>
      </w:r>
      <w:r w:rsidR="00A12497">
        <w:rPr>
          <w:rFonts w:asciiTheme="minorHAnsi" w:eastAsia="Times New Roman" w:hAnsiTheme="minorHAnsi" w:cstheme="minorHAnsi"/>
          <w:szCs w:val="24"/>
          <w:lang w:val="pl-PL" w:eastAsia="en-GB"/>
        </w:rPr>
        <w:t>,</w:t>
      </w:r>
      <w:r w:rsidRPr="00F879CC">
        <w:rPr>
          <w:rFonts w:asciiTheme="minorHAnsi" w:eastAsia="Times New Roman" w:hAnsiTheme="minorHAnsi" w:cstheme="minorHAnsi"/>
          <w:szCs w:val="24"/>
          <w:lang w:val="pl-PL" w:eastAsia="en-GB"/>
        </w:rPr>
        <w:t xml:space="preserve"> utorował drogę bardziej ekologicznym rozwiązaniom, stworzył możliwości dla biznesu oraz, w stosownych przypadkach, obejmował </w:t>
      </w:r>
      <w:r w:rsidR="00B5007B">
        <w:rPr>
          <w:rFonts w:asciiTheme="minorHAnsi" w:eastAsia="Times New Roman" w:hAnsiTheme="minorHAnsi" w:cstheme="minorHAnsi"/>
          <w:szCs w:val="24"/>
          <w:lang w:val="pl-PL" w:eastAsia="en-GB"/>
        </w:rPr>
        <w:t>różnorakie</w:t>
      </w:r>
      <w:r w:rsidRPr="00F879CC">
        <w:rPr>
          <w:rFonts w:asciiTheme="minorHAnsi" w:eastAsia="Times New Roman" w:hAnsiTheme="minorHAnsi" w:cstheme="minorHAnsi"/>
          <w:szCs w:val="24"/>
          <w:lang w:val="pl-PL" w:eastAsia="en-GB"/>
        </w:rPr>
        <w:t xml:space="preserve"> sektory</w:t>
      </w:r>
      <w:r w:rsidR="005753AD" w:rsidRPr="00F879CC">
        <w:rPr>
          <w:rFonts w:asciiTheme="minorHAnsi" w:eastAsia="Times New Roman" w:hAnsiTheme="minorHAnsi" w:cstheme="minorHAnsi"/>
          <w:szCs w:val="24"/>
          <w:lang w:val="pl-PL" w:eastAsia="en-GB"/>
        </w:rPr>
        <w:t xml:space="preserve">. </w:t>
      </w:r>
    </w:p>
    <w:p w14:paraId="1C575B1D" w14:textId="5CCE9AFE" w:rsidR="005753AD" w:rsidRPr="00F879CC" w:rsidRDefault="0001170C"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F879CC">
        <w:rPr>
          <w:rFonts w:asciiTheme="minorHAnsi" w:eastAsia="Times New Roman" w:hAnsiTheme="minorHAnsi" w:cstheme="minorHAnsi"/>
          <w:szCs w:val="24"/>
          <w:lang w:val="pl-PL" w:eastAsia="en-GB"/>
        </w:rPr>
        <w:t>RMB musi skuteczniej reagować na różnorodne i często szybko pojawiające się wyzwania natury społecznej. Należy ponownie rozważyć świadczenie usług w domenie publicznej. Powin</w:t>
      </w:r>
      <w:r w:rsidR="00B56C10" w:rsidRPr="00F879CC">
        <w:rPr>
          <w:rFonts w:asciiTheme="minorHAnsi" w:eastAsia="Times New Roman" w:hAnsiTheme="minorHAnsi" w:cstheme="minorHAnsi"/>
          <w:szCs w:val="24"/>
          <w:lang w:val="pl-PL" w:eastAsia="en-GB"/>
        </w:rPr>
        <w:t>no</w:t>
      </w:r>
      <w:r w:rsidRPr="00F879CC">
        <w:rPr>
          <w:rFonts w:asciiTheme="minorHAnsi" w:eastAsia="Times New Roman" w:hAnsiTheme="minorHAnsi" w:cstheme="minorHAnsi"/>
          <w:szCs w:val="24"/>
          <w:lang w:val="pl-PL" w:eastAsia="en-GB"/>
        </w:rPr>
        <w:t xml:space="preserve"> on</w:t>
      </w:r>
      <w:r w:rsidR="00B56C10" w:rsidRPr="00F879CC">
        <w:rPr>
          <w:rFonts w:asciiTheme="minorHAnsi" w:eastAsia="Times New Roman" w:hAnsiTheme="minorHAnsi" w:cstheme="minorHAnsi"/>
          <w:szCs w:val="24"/>
          <w:lang w:val="pl-PL" w:eastAsia="en-GB"/>
        </w:rPr>
        <w:t>o</w:t>
      </w:r>
      <w:r w:rsidRPr="00F879CC">
        <w:rPr>
          <w:rFonts w:asciiTheme="minorHAnsi" w:eastAsia="Times New Roman" w:hAnsiTheme="minorHAnsi" w:cstheme="minorHAnsi"/>
          <w:szCs w:val="24"/>
          <w:lang w:val="pl-PL" w:eastAsia="en-GB"/>
        </w:rPr>
        <w:t xml:space="preserve"> być postrzegan</w:t>
      </w:r>
      <w:r w:rsidR="00B56C10" w:rsidRPr="00F879CC">
        <w:rPr>
          <w:rFonts w:asciiTheme="minorHAnsi" w:eastAsia="Times New Roman" w:hAnsiTheme="minorHAnsi" w:cstheme="minorHAnsi"/>
          <w:szCs w:val="24"/>
          <w:lang w:val="pl-PL" w:eastAsia="en-GB"/>
        </w:rPr>
        <w:t>e</w:t>
      </w:r>
      <w:r w:rsidRPr="00F879CC">
        <w:rPr>
          <w:rFonts w:asciiTheme="minorHAnsi" w:eastAsia="Times New Roman" w:hAnsiTheme="minorHAnsi" w:cstheme="minorHAnsi"/>
          <w:szCs w:val="24"/>
          <w:lang w:val="pl-PL" w:eastAsia="en-GB"/>
        </w:rPr>
        <w:t xml:space="preserve">, jako dziedzina o dużym potencjale w zakresie innowacyjności. Można to osiągnąć poprzez rozwijanie niekonwencjonalnych i zrównoważonych sposobów świadczenia usług. Obejmują one rozwiązania cyfrowe służące specyficznym potrzebom obywateli w regionach o różnych zmianach terytorialnych i demograficznych. Kolejnym </w:t>
      </w:r>
      <w:r w:rsidRPr="00F879CC">
        <w:rPr>
          <w:rFonts w:asciiTheme="minorHAnsi" w:eastAsia="Times New Roman" w:hAnsiTheme="minorHAnsi" w:cstheme="minorHAnsi"/>
          <w:szCs w:val="24"/>
          <w:lang w:val="pl-PL" w:eastAsia="en-GB"/>
        </w:rPr>
        <w:lastRenderedPageBreak/>
        <w:t>czynnikiem będzie zwiększone zaangażowanie obywateli w przekształcanie usług publicznych w kierunku samoorganizacji</w:t>
      </w:r>
      <w:r w:rsidR="002C1A96" w:rsidRPr="00F879CC">
        <w:rPr>
          <w:rFonts w:asciiTheme="minorHAnsi" w:eastAsia="Times New Roman" w:hAnsiTheme="minorHAnsi" w:cstheme="minorHAnsi"/>
          <w:szCs w:val="24"/>
          <w:lang w:val="pl-PL" w:eastAsia="en-GB"/>
        </w:rPr>
        <w:t>.</w:t>
      </w:r>
      <w:r w:rsidR="005753AD" w:rsidRPr="00F879CC">
        <w:rPr>
          <w:rFonts w:asciiTheme="minorHAnsi" w:eastAsia="Times New Roman" w:hAnsiTheme="minorHAnsi" w:cstheme="minorHAnsi"/>
          <w:szCs w:val="24"/>
          <w:lang w:val="pl-PL" w:eastAsia="en-GB"/>
        </w:rPr>
        <w:t xml:space="preserve"> </w:t>
      </w:r>
    </w:p>
    <w:p w14:paraId="1F94C82E" w14:textId="69F75277" w:rsidR="005753AD" w:rsidRPr="00F879CC" w:rsidRDefault="007A7662"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iCs/>
          <w:szCs w:val="24"/>
          <w:lang w:val="pl-PL" w:eastAsia="en-GB"/>
        </w:rPr>
      </w:pPr>
      <w:r w:rsidRPr="00F879CC">
        <w:rPr>
          <w:rFonts w:asciiTheme="minorHAnsi" w:eastAsia="Times New Roman" w:hAnsiTheme="minorHAnsi" w:cstheme="minorHAnsi"/>
          <w:iCs/>
          <w:szCs w:val="24"/>
          <w:lang w:val="pl-PL" w:eastAsia="en-GB"/>
        </w:rPr>
        <w:t xml:space="preserve">Wspomniane wyzwania i potrzeby zostaną uwzględnione w Programie w Priorytecie 1 "Innowacyjne społeczeństwa" oraz w celu szczegółowym i) </w:t>
      </w:r>
      <w:r w:rsidR="00EA15C4">
        <w:rPr>
          <w:rFonts w:asciiTheme="minorHAnsi" w:eastAsia="Times New Roman" w:hAnsiTheme="minorHAnsi" w:cstheme="minorHAnsi"/>
          <w:iCs/>
          <w:szCs w:val="24"/>
          <w:lang w:val="pl-PL" w:eastAsia="en-GB"/>
        </w:rPr>
        <w:t>„</w:t>
      </w:r>
      <w:r w:rsidRPr="00F879CC">
        <w:rPr>
          <w:rFonts w:asciiTheme="minorHAnsi" w:eastAsia="Times New Roman" w:hAnsiTheme="minorHAnsi" w:cstheme="minorHAnsi"/>
          <w:iCs/>
          <w:szCs w:val="24"/>
          <w:lang w:val="pl-PL" w:eastAsia="en-GB"/>
        </w:rPr>
        <w:t>rozwijanie i wzmacnianie potencjału badawczego i innowacyjnego oraz wykorzystywanie zaawansowanych technologii</w:t>
      </w:r>
      <w:r w:rsidR="00EA15C4">
        <w:rPr>
          <w:rFonts w:asciiTheme="minorHAnsi" w:eastAsia="Times New Roman" w:hAnsiTheme="minorHAnsi" w:cstheme="minorHAnsi"/>
          <w:iCs/>
          <w:szCs w:val="24"/>
          <w:lang w:val="pl-PL" w:eastAsia="en-GB"/>
        </w:rPr>
        <w:t>”</w:t>
      </w:r>
      <w:r w:rsidRPr="00F879CC">
        <w:rPr>
          <w:rFonts w:asciiTheme="minorHAnsi" w:eastAsia="Times New Roman" w:hAnsiTheme="minorHAnsi" w:cstheme="minorHAnsi"/>
          <w:iCs/>
          <w:szCs w:val="24"/>
          <w:lang w:val="pl-PL" w:eastAsia="en-GB"/>
        </w:rPr>
        <w:t xml:space="preserve">, co przekłada się na Cel 1.2 </w:t>
      </w:r>
      <w:r w:rsidR="00735402">
        <w:rPr>
          <w:rFonts w:asciiTheme="minorHAnsi" w:eastAsia="Times New Roman" w:hAnsiTheme="minorHAnsi" w:cstheme="minorHAnsi"/>
          <w:iCs/>
          <w:szCs w:val="24"/>
          <w:lang w:val="pl-PL" w:eastAsia="en-GB"/>
        </w:rPr>
        <w:t>U</w:t>
      </w:r>
      <w:r w:rsidRPr="00F879CC">
        <w:rPr>
          <w:rFonts w:asciiTheme="minorHAnsi" w:eastAsia="Times New Roman" w:hAnsiTheme="minorHAnsi" w:cstheme="minorHAnsi"/>
          <w:iCs/>
          <w:szCs w:val="24"/>
          <w:lang w:val="pl-PL" w:eastAsia="en-GB"/>
        </w:rPr>
        <w:t>sługi publiczne</w:t>
      </w:r>
      <w:r w:rsidR="00A56C60">
        <w:rPr>
          <w:rFonts w:asciiTheme="minorHAnsi" w:eastAsia="Times New Roman" w:hAnsiTheme="minorHAnsi" w:cstheme="minorHAnsi"/>
          <w:iCs/>
          <w:szCs w:val="24"/>
          <w:lang w:val="pl-PL" w:eastAsia="en-GB"/>
        </w:rPr>
        <w:t xml:space="preserve"> </w:t>
      </w:r>
      <w:r w:rsidR="00A56C60" w:rsidRPr="007B3555">
        <w:rPr>
          <w:rFonts w:asciiTheme="minorHAnsi" w:eastAsia="Times New Roman" w:hAnsiTheme="minorHAnsi" w:cstheme="minorHAnsi"/>
          <w:iCs/>
          <w:szCs w:val="24"/>
          <w:lang w:val="pl-PL" w:eastAsia="en-GB"/>
        </w:rPr>
        <w:t>odpowiadające na potrzeby mieszkańców</w:t>
      </w:r>
      <w:r w:rsidR="006E3F20" w:rsidRPr="007B3555">
        <w:rPr>
          <w:rFonts w:asciiTheme="minorHAnsi" w:eastAsia="Times New Roman" w:hAnsiTheme="minorHAnsi" w:cstheme="minorHAnsi"/>
          <w:iCs/>
          <w:szCs w:val="24"/>
          <w:lang w:val="pl-PL" w:eastAsia="en-GB"/>
        </w:rPr>
        <w:t>.</w:t>
      </w:r>
      <w:r w:rsidR="006E3F20" w:rsidRPr="00F879CC">
        <w:rPr>
          <w:rFonts w:asciiTheme="minorHAnsi" w:eastAsia="Times New Roman" w:hAnsiTheme="minorHAnsi" w:cstheme="minorHAnsi"/>
          <w:iCs/>
          <w:szCs w:val="24"/>
          <w:lang w:val="pl-PL" w:eastAsia="en-GB"/>
        </w:rPr>
        <w:t xml:space="preserve"> </w:t>
      </w:r>
    </w:p>
    <w:p w14:paraId="29D05E62" w14:textId="003E8E14" w:rsidR="005753AD" w:rsidRPr="00F879CC" w:rsidRDefault="007A7662"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b/>
          <w:bCs/>
          <w:sz w:val="28"/>
          <w:szCs w:val="28"/>
          <w:u w:val="single"/>
          <w:lang w:val="pl-PL" w:eastAsia="en-GB"/>
        </w:rPr>
      </w:pPr>
      <w:r w:rsidRPr="00F879CC">
        <w:rPr>
          <w:rFonts w:asciiTheme="minorHAnsi" w:eastAsia="Times New Roman" w:hAnsiTheme="minorHAnsi" w:cstheme="minorHAnsi"/>
          <w:b/>
          <w:bCs/>
          <w:sz w:val="28"/>
          <w:szCs w:val="28"/>
          <w:u w:val="single"/>
          <w:lang w:val="pl-PL" w:eastAsia="en-GB"/>
        </w:rPr>
        <w:t>Priorytet</w:t>
      </w:r>
      <w:r w:rsidR="005753AD" w:rsidRPr="00F879CC">
        <w:rPr>
          <w:rFonts w:asciiTheme="minorHAnsi" w:eastAsia="Times New Roman" w:hAnsiTheme="minorHAnsi" w:cstheme="minorHAnsi"/>
          <w:b/>
          <w:bCs/>
          <w:sz w:val="28"/>
          <w:szCs w:val="28"/>
          <w:u w:val="single"/>
          <w:lang w:val="pl-PL" w:eastAsia="en-GB"/>
        </w:rPr>
        <w:t xml:space="preserve"> 2) </w:t>
      </w:r>
      <w:r w:rsidRPr="007B3555">
        <w:rPr>
          <w:rFonts w:asciiTheme="minorHAnsi" w:eastAsia="Times New Roman" w:hAnsiTheme="minorHAnsi" w:cstheme="minorHAnsi"/>
          <w:b/>
          <w:bCs/>
          <w:sz w:val="28"/>
          <w:szCs w:val="28"/>
          <w:u w:val="single"/>
          <w:lang w:val="pl-PL" w:eastAsia="en-GB"/>
        </w:rPr>
        <w:t xml:space="preserve">Społeczeństwa </w:t>
      </w:r>
      <w:r w:rsidR="00A56C60" w:rsidRPr="007B3555">
        <w:rPr>
          <w:rFonts w:asciiTheme="minorHAnsi" w:eastAsia="Times New Roman" w:hAnsiTheme="minorHAnsi" w:cstheme="minorHAnsi"/>
          <w:b/>
          <w:bCs/>
          <w:sz w:val="28"/>
          <w:szCs w:val="28"/>
          <w:u w:val="single"/>
          <w:lang w:val="pl-PL" w:eastAsia="en-GB"/>
        </w:rPr>
        <w:t xml:space="preserve">rozważnie </w:t>
      </w:r>
      <w:r w:rsidRPr="007B3555">
        <w:rPr>
          <w:rFonts w:asciiTheme="minorHAnsi" w:eastAsia="Times New Roman" w:hAnsiTheme="minorHAnsi" w:cstheme="minorHAnsi"/>
          <w:b/>
          <w:bCs/>
          <w:sz w:val="28"/>
          <w:szCs w:val="28"/>
          <w:u w:val="single"/>
          <w:lang w:val="pl-PL" w:eastAsia="en-GB"/>
        </w:rPr>
        <w:t>korzystające</w:t>
      </w:r>
      <w:r w:rsidRPr="00F879CC">
        <w:rPr>
          <w:rFonts w:asciiTheme="minorHAnsi" w:eastAsia="Times New Roman" w:hAnsiTheme="minorHAnsi" w:cstheme="minorHAnsi"/>
          <w:b/>
          <w:bCs/>
          <w:sz w:val="28"/>
          <w:szCs w:val="28"/>
          <w:u w:val="single"/>
          <w:lang w:val="pl-PL" w:eastAsia="en-GB"/>
        </w:rPr>
        <w:t xml:space="preserve"> z wody</w:t>
      </w:r>
    </w:p>
    <w:p w14:paraId="39C1AEFE" w14:textId="29841B71" w:rsidR="005753AD" w:rsidRPr="00F879CC" w:rsidRDefault="007A7662"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b/>
          <w:bCs/>
          <w:szCs w:val="24"/>
          <w:lang w:val="pl-PL" w:eastAsia="en-GB"/>
        </w:rPr>
      </w:pPr>
      <w:r w:rsidRPr="00F879CC">
        <w:rPr>
          <w:rFonts w:asciiTheme="minorHAnsi" w:eastAsia="Times New Roman" w:hAnsiTheme="minorHAnsi" w:cstheme="minorHAnsi"/>
          <w:b/>
          <w:bCs/>
          <w:szCs w:val="24"/>
          <w:lang w:val="pl-PL" w:eastAsia="en-GB"/>
        </w:rPr>
        <w:t>Cel szczegółowy</w:t>
      </w:r>
      <w:r w:rsidR="005753AD" w:rsidRPr="00F879CC">
        <w:rPr>
          <w:rFonts w:asciiTheme="minorHAnsi" w:eastAsia="Times New Roman" w:hAnsiTheme="minorHAnsi" w:cstheme="minorHAnsi"/>
          <w:b/>
          <w:bCs/>
          <w:szCs w:val="24"/>
          <w:lang w:val="pl-PL" w:eastAsia="en-GB"/>
        </w:rPr>
        <w:t xml:space="preserve"> v) </w:t>
      </w:r>
      <w:r w:rsidRPr="00F879CC">
        <w:rPr>
          <w:rFonts w:asciiTheme="minorHAnsi" w:eastAsia="Times New Roman" w:hAnsiTheme="minorHAnsi" w:cstheme="minorHAnsi"/>
          <w:b/>
          <w:bCs/>
          <w:szCs w:val="24"/>
          <w:lang w:val="pl-PL" w:eastAsia="en-GB"/>
        </w:rPr>
        <w:t>Promowanie dostępu do wody i zrównoważona gospodarka wodna</w:t>
      </w:r>
    </w:p>
    <w:p w14:paraId="5663147F" w14:textId="00BF6CF1" w:rsidR="005753AD" w:rsidRPr="00F879CC" w:rsidRDefault="00B67BCD"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F879CC">
        <w:rPr>
          <w:rFonts w:asciiTheme="minorHAnsi" w:eastAsia="Times New Roman" w:hAnsiTheme="minorHAnsi" w:cstheme="minorHAnsi"/>
          <w:szCs w:val="24"/>
          <w:lang w:val="pl-PL" w:eastAsia="en-GB"/>
        </w:rPr>
        <w:t xml:space="preserve">W ramach tego celu szczegółowego określono dwa cele programu. Cel 2.1 Programu skupia się na zrównoważonej gospodarce </w:t>
      </w:r>
      <w:r w:rsidR="00CC0F52" w:rsidRPr="00F879CC">
        <w:rPr>
          <w:rFonts w:asciiTheme="minorHAnsi" w:eastAsia="Times New Roman" w:hAnsiTheme="minorHAnsi" w:cstheme="minorHAnsi"/>
          <w:szCs w:val="24"/>
          <w:lang w:val="pl-PL" w:eastAsia="en-GB"/>
        </w:rPr>
        <w:t>wodnej, podczas, gdy</w:t>
      </w:r>
      <w:r w:rsidRPr="00F879CC">
        <w:rPr>
          <w:rFonts w:asciiTheme="minorHAnsi" w:eastAsia="Times New Roman" w:hAnsiTheme="minorHAnsi" w:cstheme="minorHAnsi"/>
          <w:szCs w:val="24"/>
          <w:lang w:val="pl-PL" w:eastAsia="en-GB"/>
        </w:rPr>
        <w:t xml:space="preserve"> Cel 2.2 dotyczy niebieskiej gospodarki</w:t>
      </w:r>
      <w:r w:rsidR="005753AD" w:rsidRPr="00F879CC">
        <w:rPr>
          <w:rFonts w:asciiTheme="minorHAnsi" w:eastAsia="Times New Roman" w:hAnsiTheme="minorHAnsi" w:cstheme="minorHAnsi"/>
          <w:szCs w:val="24"/>
          <w:lang w:val="pl-PL" w:eastAsia="en-GB"/>
        </w:rPr>
        <w:t xml:space="preserve">. </w:t>
      </w:r>
    </w:p>
    <w:p w14:paraId="32163E41" w14:textId="4AC2F918" w:rsidR="005753AD" w:rsidRPr="00F879CC" w:rsidRDefault="00B67BCD"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u w:val="single"/>
          <w:lang w:val="pl-PL" w:eastAsia="en-GB"/>
        </w:rPr>
      </w:pPr>
      <w:r w:rsidRPr="006009E1">
        <w:rPr>
          <w:rFonts w:asciiTheme="minorHAnsi" w:eastAsia="Times New Roman" w:hAnsiTheme="minorHAnsi" w:cstheme="minorHAnsi"/>
          <w:szCs w:val="24"/>
          <w:u w:val="single"/>
          <w:lang w:val="pl-PL" w:eastAsia="en-GB"/>
        </w:rPr>
        <w:t xml:space="preserve">Cel </w:t>
      </w:r>
      <w:r w:rsidR="004E0F7E" w:rsidRPr="006009E1">
        <w:rPr>
          <w:rFonts w:asciiTheme="minorHAnsi" w:eastAsia="Times New Roman" w:hAnsiTheme="minorHAnsi" w:cstheme="minorHAnsi"/>
          <w:szCs w:val="24"/>
          <w:u w:val="single"/>
          <w:lang w:val="pl-PL" w:eastAsia="en-GB"/>
        </w:rPr>
        <w:t xml:space="preserve">szczegółowy </w:t>
      </w:r>
      <w:r w:rsidRPr="006009E1">
        <w:rPr>
          <w:rFonts w:asciiTheme="minorHAnsi" w:eastAsia="Times New Roman" w:hAnsiTheme="minorHAnsi" w:cstheme="minorHAnsi"/>
          <w:szCs w:val="24"/>
          <w:u w:val="single"/>
          <w:lang w:val="pl-PL" w:eastAsia="en-GB"/>
        </w:rPr>
        <w:t>2.1 Zrównoważone wody</w:t>
      </w:r>
      <w:r w:rsidR="005753AD" w:rsidRPr="00F879CC">
        <w:rPr>
          <w:rFonts w:asciiTheme="minorHAnsi" w:eastAsia="Times New Roman" w:hAnsiTheme="minorHAnsi" w:cstheme="minorHAnsi"/>
          <w:szCs w:val="24"/>
          <w:u w:val="single"/>
          <w:lang w:val="pl-PL" w:eastAsia="en-GB"/>
        </w:rPr>
        <w:t xml:space="preserve"> </w:t>
      </w:r>
    </w:p>
    <w:p w14:paraId="1A5F0F98" w14:textId="05DBBF02" w:rsidR="005753AD" w:rsidRPr="00F879CC" w:rsidRDefault="00B67BCD"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F879CC">
        <w:rPr>
          <w:rFonts w:asciiTheme="minorHAnsi" w:eastAsia="Times New Roman" w:hAnsiTheme="minorHAnsi" w:cstheme="minorHAnsi"/>
          <w:szCs w:val="24"/>
          <w:lang w:val="pl-PL" w:eastAsia="en-GB"/>
        </w:rPr>
        <w:t>Zrównoważona gospodarka wodna opisuje działania mające na celu poprawę jakości wody oraz zmniejszenie jej zanieczyszczenia. Ponadto, obejmuje praktyki zarządzania wodą oraz inicjatywy mające na celu zwiększenie efektywności wykorzystania wody</w:t>
      </w:r>
      <w:r w:rsidR="005753AD" w:rsidRPr="00F879CC">
        <w:rPr>
          <w:rFonts w:asciiTheme="minorHAnsi" w:eastAsia="Times New Roman" w:hAnsiTheme="minorHAnsi" w:cstheme="minorHAnsi"/>
          <w:szCs w:val="24"/>
          <w:lang w:val="pl-PL" w:eastAsia="en-GB"/>
        </w:rPr>
        <w:t xml:space="preserve">.  </w:t>
      </w:r>
    </w:p>
    <w:p w14:paraId="4BE5F4BD" w14:textId="7D1CE061" w:rsidR="005753AD" w:rsidRPr="00F879CC" w:rsidRDefault="00B67BCD" w:rsidP="003953D3">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F879CC">
        <w:rPr>
          <w:rFonts w:asciiTheme="minorHAnsi" w:eastAsia="Times New Roman" w:hAnsiTheme="minorHAnsi" w:cstheme="minorHAnsi"/>
          <w:iCs/>
          <w:szCs w:val="24"/>
          <w:lang w:val="pl-PL" w:eastAsia="en-GB"/>
        </w:rPr>
        <w:t xml:space="preserve">Woda jest podstawowym zasobem dla RMB i wymaga szczególnej uwagi </w:t>
      </w:r>
      <w:r w:rsidR="00F1357A" w:rsidRPr="00F879CC">
        <w:rPr>
          <w:rFonts w:asciiTheme="minorHAnsi" w:eastAsia="Times New Roman" w:hAnsiTheme="minorHAnsi" w:cstheme="minorHAnsi"/>
          <w:iCs/>
          <w:szCs w:val="24"/>
          <w:lang w:val="pl-PL" w:eastAsia="en-GB"/>
        </w:rPr>
        <w:t>co</w:t>
      </w:r>
      <w:r w:rsidRPr="00F879CC">
        <w:rPr>
          <w:rFonts w:asciiTheme="minorHAnsi" w:eastAsia="Times New Roman" w:hAnsiTheme="minorHAnsi" w:cstheme="minorHAnsi"/>
          <w:iCs/>
          <w:szCs w:val="24"/>
          <w:lang w:val="pl-PL" w:eastAsia="en-GB"/>
        </w:rPr>
        <w:t xml:space="preserve"> stwierdzono również w Bałtyckim Planie Działania Komisji Helsińskiej (HELCOM). W ostatnich latach gospodarka wodna w regionie uległa poprawie; opracowano i wdrożono wiele rozwiązań w różnych sektorach. Jednakże, stan środowiska Morza Bałtyckiego i wód śródlądowych jest nadal zagrożony. Obserwuje się narastające skutki zmian klimatu dla wód, np. coraz częstsze burze, powodzie i susze. Istnieje potrzeba ściślejszej koordynacji gospodarki wodnej w regionie. Aby wykazać wpływ konieczna jest skuteczniejsza realizacja działań w całym regionie</w:t>
      </w:r>
      <w:r w:rsidR="005753AD" w:rsidRPr="00F879CC">
        <w:rPr>
          <w:rFonts w:asciiTheme="minorHAnsi" w:eastAsia="Times New Roman" w:hAnsiTheme="minorHAnsi" w:cstheme="minorHAnsi"/>
          <w:szCs w:val="24"/>
          <w:lang w:val="pl-PL" w:eastAsia="en-GB"/>
        </w:rPr>
        <w:t>.</w:t>
      </w:r>
    </w:p>
    <w:p w14:paraId="415E805D" w14:textId="28612429" w:rsidR="00911841" w:rsidRPr="00F879CC" w:rsidRDefault="00911841"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F879CC">
        <w:rPr>
          <w:rFonts w:asciiTheme="minorHAnsi" w:eastAsia="Times New Roman" w:hAnsiTheme="minorHAnsi" w:cstheme="minorHAnsi"/>
          <w:szCs w:val="24"/>
          <w:lang w:val="pl-PL" w:eastAsia="en-GB"/>
        </w:rPr>
        <w:t xml:space="preserve">Wyzwanie to zostało </w:t>
      </w:r>
      <w:r w:rsidR="00CC0F52" w:rsidRPr="00F879CC">
        <w:rPr>
          <w:rFonts w:asciiTheme="minorHAnsi" w:eastAsia="Times New Roman" w:hAnsiTheme="minorHAnsi" w:cstheme="minorHAnsi"/>
          <w:szCs w:val="24"/>
          <w:lang w:val="pl-PL" w:eastAsia="en-GB"/>
        </w:rPr>
        <w:t>określone, jako</w:t>
      </w:r>
      <w:r w:rsidRPr="00F879CC">
        <w:rPr>
          <w:rFonts w:asciiTheme="minorHAnsi" w:eastAsia="Times New Roman" w:hAnsiTheme="minorHAnsi" w:cstheme="minorHAnsi"/>
          <w:szCs w:val="24"/>
          <w:lang w:val="pl-PL" w:eastAsia="en-GB"/>
        </w:rPr>
        <w:t xml:space="preserve"> bardzo istotne w aktualnych europejskich i panbałtyckich</w:t>
      </w:r>
      <w:r w:rsidR="007E7ECC">
        <w:rPr>
          <w:rFonts w:asciiTheme="minorHAnsi" w:eastAsia="Times New Roman" w:hAnsiTheme="minorHAnsi" w:cstheme="minorHAnsi"/>
          <w:szCs w:val="24"/>
          <w:lang w:val="pl-PL" w:eastAsia="en-GB"/>
        </w:rPr>
        <w:t>,</w:t>
      </w:r>
      <w:r w:rsidRPr="00F879CC">
        <w:rPr>
          <w:rFonts w:asciiTheme="minorHAnsi" w:eastAsia="Times New Roman" w:hAnsiTheme="minorHAnsi" w:cstheme="minorHAnsi"/>
          <w:szCs w:val="24"/>
          <w:lang w:val="pl-PL" w:eastAsia="en-GB"/>
        </w:rPr>
        <w:t xml:space="preserve"> krajowych i regionalnych analizach i strategiach.</w:t>
      </w:r>
    </w:p>
    <w:p w14:paraId="616F3518" w14:textId="57D8EED6" w:rsidR="00911841" w:rsidRPr="00F879CC" w:rsidRDefault="00911841"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F879CC">
        <w:rPr>
          <w:rFonts w:asciiTheme="minorHAnsi" w:eastAsia="Times New Roman" w:hAnsiTheme="minorHAnsi" w:cstheme="minorHAnsi"/>
          <w:szCs w:val="24"/>
          <w:lang w:val="pl-PL" w:eastAsia="en-GB"/>
        </w:rPr>
        <w:t xml:space="preserve">Europejski Zielony Ład wskazuje na potrzebę skuteczniejszego ograniczania negatywnego wpływu na ekosystemy i zwracania większej uwagi na rozwiązania oparte na przyrodzie, w tym na zdrowe i odporne morza </w:t>
      </w:r>
      <w:r w:rsidR="00F1357A" w:rsidRPr="00F879CC">
        <w:rPr>
          <w:rFonts w:asciiTheme="minorHAnsi" w:eastAsia="Times New Roman" w:hAnsiTheme="minorHAnsi" w:cstheme="minorHAnsi"/>
          <w:szCs w:val="24"/>
          <w:lang w:val="pl-PL" w:eastAsia="en-GB"/>
        </w:rPr>
        <w:t>oraz</w:t>
      </w:r>
      <w:r w:rsidRPr="00F879CC">
        <w:rPr>
          <w:rFonts w:asciiTheme="minorHAnsi" w:eastAsia="Times New Roman" w:hAnsiTheme="minorHAnsi" w:cstheme="minorHAnsi"/>
          <w:szCs w:val="24"/>
          <w:lang w:val="pl-PL" w:eastAsia="en-GB"/>
        </w:rPr>
        <w:t xml:space="preserve"> wody śródlądowe.</w:t>
      </w:r>
    </w:p>
    <w:p w14:paraId="6B196322" w14:textId="7D803DB8" w:rsidR="005753AD" w:rsidRPr="00F879CC" w:rsidRDefault="00911841"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F879CC">
        <w:rPr>
          <w:rFonts w:asciiTheme="minorHAnsi" w:eastAsia="Times New Roman" w:hAnsiTheme="minorHAnsi" w:cstheme="minorHAnsi"/>
          <w:szCs w:val="24"/>
          <w:lang w:val="pl-PL" w:eastAsia="en-GB"/>
        </w:rPr>
        <w:t>Europejski Zielony Ład podkreśla cel SUE RMB „</w:t>
      </w:r>
      <w:r w:rsidR="002C70F0">
        <w:rPr>
          <w:rFonts w:asciiTheme="minorHAnsi" w:eastAsia="Times New Roman" w:hAnsiTheme="minorHAnsi" w:cstheme="minorHAnsi"/>
          <w:szCs w:val="24"/>
          <w:lang w:val="pl-PL" w:eastAsia="en-GB"/>
        </w:rPr>
        <w:t>Ochrona morza</w:t>
      </w:r>
      <w:r w:rsidRPr="00F879CC">
        <w:rPr>
          <w:rFonts w:asciiTheme="minorHAnsi" w:eastAsia="Times New Roman" w:hAnsiTheme="minorHAnsi" w:cstheme="minorHAnsi"/>
          <w:szCs w:val="24"/>
          <w:lang w:val="pl-PL" w:eastAsia="en-GB"/>
        </w:rPr>
        <w:t xml:space="preserve">” dotyczący czystych oceanów i wód śródlądowych, jako kluczowy element przyszłości regionu. </w:t>
      </w:r>
      <w:r w:rsidR="00775D57">
        <w:rPr>
          <w:rFonts w:asciiTheme="minorHAnsi" w:eastAsia="Times New Roman" w:hAnsiTheme="minorHAnsi" w:cstheme="minorHAnsi"/>
          <w:szCs w:val="24"/>
          <w:lang w:val="pl-PL" w:eastAsia="en-GB"/>
        </w:rPr>
        <w:t>„</w:t>
      </w:r>
      <w:r w:rsidR="002C70F0">
        <w:rPr>
          <w:rFonts w:asciiTheme="minorHAnsi" w:eastAsia="Times New Roman" w:hAnsiTheme="minorHAnsi" w:cstheme="minorHAnsi"/>
          <w:szCs w:val="24"/>
          <w:lang w:val="pl-PL" w:eastAsia="en-GB"/>
        </w:rPr>
        <w:t>Ochrona morza</w:t>
      </w:r>
      <w:r w:rsidR="00775D57">
        <w:rPr>
          <w:rFonts w:asciiTheme="minorHAnsi" w:eastAsia="Times New Roman" w:hAnsiTheme="minorHAnsi" w:cstheme="minorHAnsi"/>
          <w:szCs w:val="24"/>
          <w:lang w:val="pl-PL" w:eastAsia="en-GB"/>
        </w:rPr>
        <w:t>”</w:t>
      </w:r>
      <w:r w:rsidRPr="00F879CC">
        <w:rPr>
          <w:rFonts w:asciiTheme="minorHAnsi" w:eastAsia="Times New Roman" w:hAnsiTheme="minorHAnsi" w:cstheme="minorHAnsi"/>
          <w:szCs w:val="24"/>
          <w:lang w:val="pl-PL" w:eastAsia="en-GB"/>
        </w:rPr>
        <w:t xml:space="preserve"> wymaga ciągłej i zintensyfikowanej współpracy transnarodowej</w:t>
      </w:r>
      <w:r w:rsidR="005753AD" w:rsidRPr="00F879CC">
        <w:rPr>
          <w:rFonts w:asciiTheme="minorHAnsi" w:eastAsia="Times New Roman" w:hAnsiTheme="minorHAnsi" w:cstheme="minorHAnsi"/>
          <w:szCs w:val="24"/>
          <w:lang w:val="pl-PL" w:eastAsia="en-GB"/>
        </w:rPr>
        <w:t xml:space="preserve">. </w:t>
      </w:r>
    </w:p>
    <w:p w14:paraId="47FD0FDA" w14:textId="4ABD36F7" w:rsidR="005753AD" w:rsidRPr="00F879CC" w:rsidRDefault="00911841"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F879CC">
        <w:rPr>
          <w:rFonts w:asciiTheme="minorHAnsi" w:eastAsia="Times New Roman" w:hAnsiTheme="minorHAnsi" w:cstheme="minorHAnsi"/>
          <w:iCs/>
          <w:szCs w:val="24"/>
          <w:lang w:val="pl-PL" w:eastAsia="en-GB"/>
        </w:rPr>
        <w:t xml:space="preserve">Ponadto, </w:t>
      </w:r>
      <w:r w:rsidR="00775D57">
        <w:rPr>
          <w:rFonts w:asciiTheme="minorHAnsi" w:eastAsia="Times New Roman" w:hAnsiTheme="minorHAnsi" w:cstheme="minorHAnsi"/>
          <w:iCs/>
          <w:szCs w:val="24"/>
          <w:lang w:val="pl-PL" w:eastAsia="en-GB"/>
        </w:rPr>
        <w:t xml:space="preserve">w analizach krajowych i regionalnych </w:t>
      </w:r>
      <w:r w:rsidR="00FE751A">
        <w:rPr>
          <w:rFonts w:asciiTheme="minorHAnsi" w:eastAsia="Times New Roman" w:hAnsiTheme="minorHAnsi" w:cstheme="minorHAnsi"/>
          <w:iCs/>
          <w:szCs w:val="24"/>
          <w:lang w:val="pl-PL" w:eastAsia="en-GB"/>
        </w:rPr>
        <w:t>podkreśl</w:t>
      </w:r>
      <w:r w:rsidR="00A662FD">
        <w:rPr>
          <w:rFonts w:asciiTheme="minorHAnsi" w:eastAsia="Times New Roman" w:hAnsiTheme="minorHAnsi" w:cstheme="minorHAnsi"/>
          <w:iCs/>
          <w:szCs w:val="24"/>
          <w:lang w:val="pl-PL" w:eastAsia="en-GB"/>
        </w:rPr>
        <w:t>a się</w:t>
      </w:r>
      <w:r w:rsidRPr="00F879CC">
        <w:rPr>
          <w:rFonts w:asciiTheme="minorHAnsi" w:eastAsia="Times New Roman" w:hAnsiTheme="minorHAnsi" w:cstheme="minorHAnsi"/>
          <w:iCs/>
          <w:szCs w:val="24"/>
          <w:lang w:val="pl-PL" w:eastAsia="en-GB"/>
        </w:rPr>
        <w:t xml:space="preserve"> pogarszającą się jakością wody i rosnącym zanieczyszczeniem wód (np. pochodzącym z rolnictwa, akwakultury i leśnictwa) w całym regionie Morza Bałtyckiego. Strategie krajowe i regionalne wzywają do wspólnego podejścia RMB </w:t>
      </w:r>
      <w:r w:rsidR="00775D57">
        <w:rPr>
          <w:rFonts w:asciiTheme="minorHAnsi" w:eastAsia="Times New Roman" w:hAnsiTheme="minorHAnsi" w:cstheme="minorHAnsi"/>
          <w:iCs/>
          <w:szCs w:val="24"/>
          <w:lang w:val="pl-PL" w:eastAsia="en-GB"/>
        </w:rPr>
        <w:t>oraz</w:t>
      </w:r>
      <w:r w:rsidRPr="00F879CC">
        <w:rPr>
          <w:rFonts w:asciiTheme="minorHAnsi" w:eastAsia="Times New Roman" w:hAnsiTheme="minorHAnsi" w:cstheme="minorHAnsi"/>
          <w:iCs/>
          <w:szCs w:val="24"/>
          <w:lang w:val="pl-PL" w:eastAsia="en-GB"/>
        </w:rPr>
        <w:t xml:space="preserve"> promują budowanie transnarodowego potencjału władz, przemysłu i </w:t>
      </w:r>
      <w:r w:rsidRPr="00F879CC">
        <w:rPr>
          <w:rFonts w:asciiTheme="minorHAnsi" w:eastAsia="Times New Roman" w:hAnsiTheme="minorHAnsi" w:cstheme="minorHAnsi"/>
          <w:iCs/>
          <w:szCs w:val="24"/>
          <w:lang w:val="pl-PL" w:eastAsia="en-GB"/>
        </w:rPr>
        <w:lastRenderedPageBreak/>
        <w:t>społeczności lokalnych w regionie Morza Bałtyckiego. Celem jest zapobieganie zanieczyszczaniu wód przez zrzuty substancji odżywczych i niebezpiecznych, w tym śmieci morskich. Dowodzi to, że kraje nadbałtyckie już teraz umieściły na wysokiej pozycji w swoich programach politycznych bardziej skoordynowane, transnarodowe podejście do ochrony mórz, wybrzeży i wód śródlądowych</w:t>
      </w:r>
      <w:r w:rsidR="00E247BD" w:rsidRPr="00F879CC">
        <w:rPr>
          <w:rFonts w:asciiTheme="minorHAnsi" w:eastAsia="Times New Roman" w:hAnsiTheme="minorHAnsi" w:cstheme="minorHAnsi"/>
          <w:iCs/>
          <w:szCs w:val="24"/>
          <w:lang w:val="pl-PL" w:eastAsia="en-GB"/>
        </w:rPr>
        <w:t>.</w:t>
      </w:r>
      <w:r w:rsidR="005753AD" w:rsidRPr="00F879CC">
        <w:rPr>
          <w:rFonts w:asciiTheme="minorHAnsi" w:eastAsia="Times New Roman" w:hAnsiTheme="minorHAnsi" w:cstheme="minorHAnsi"/>
          <w:iCs/>
          <w:szCs w:val="24"/>
          <w:lang w:val="pl-PL" w:eastAsia="en-GB"/>
        </w:rPr>
        <w:t xml:space="preserve"> </w:t>
      </w:r>
    </w:p>
    <w:p w14:paraId="00C657FC" w14:textId="14760D44" w:rsidR="009A4CBB" w:rsidRPr="00F879CC" w:rsidRDefault="00B47A27"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iCs/>
          <w:szCs w:val="24"/>
          <w:lang w:val="pl-PL" w:eastAsia="en-GB"/>
        </w:rPr>
      </w:pPr>
      <w:r w:rsidRPr="00F879CC">
        <w:rPr>
          <w:rFonts w:asciiTheme="minorHAnsi" w:eastAsia="Times New Roman" w:hAnsiTheme="minorHAnsi" w:cstheme="minorHAnsi"/>
          <w:iCs/>
          <w:szCs w:val="24"/>
          <w:lang w:val="pl-PL" w:eastAsia="en-GB"/>
        </w:rPr>
        <w:t xml:space="preserve">Zrównoważona gospodarka wodna zawsze </w:t>
      </w:r>
      <w:r w:rsidR="00C857F0">
        <w:rPr>
          <w:rFonts w:asciiTheme="minorHAnsi" w:eastAsia="Times New Roman" w:hAnsiTheme="minorHAnsi" w:cstheme="minorHAnsi"/>
          <w:iCs/>
          <w:szCs w:val="24"/>
          <w:lang w:val="pl-PL" w:eastAsia="en-GB"/>
        </w:rPr>
        <w:t>stanowiła</w:t>
      </w:r>
      <w:r w:rsidRPr="00F879CC">
        <w:rPr>
          <w:rFonts w:asciiTheme="minorHAnsi" w:eastAsia="Times New Roman" w:hAnsiTheme="minorHAnsi" w:cstheme="minorHAnsi"/>
          <w:iCs/>
          <w:szCs w:val="24"/>
          <w:lang w:val="pl-PL" w:eastAsia="en-GB"/>
        </w:rPr>
        <w:t xml:space="preserve"> jed</w:t>
      </w:r>
      <w:r w:rsidR="00C857F0">
        <w:rPr>
          <w:rFonts w:asciiTheme="minorHAnsi" w:eastAsia="Times New Roman" w:hAnsiTheme="minorHAnsi" w:cstheme="minorHAnsi"/>
          <w:iCs/>
          <w:szCs w:val="24"/>
          <w:lang w:val="pl-PL" w:eastAsia="en-GB"/>
        </w:rPr>
        <w:t>no</w:t>
      </w:r>
      <w:r w:rsidRPr="00F879CC">
        <w:rPr>
          <w:rFonts w:asciiTheme="minorHAnsi" w:eastAsia="Times New Roman" w:hAnsiTheme="minorHAnsi" w:cstheme="minorHAnsi"/>
          <w:iCs/>
          <w:szCs w:val="24"/>
          <w:lang w:val="pl-PL" w:eastAsia="en-GB"/>
        </w:rPr>
        <w:t xml:space="preserve"> z głównych </w:t>
      </w:r>
      <w:r w:rsidR="00C857F0">
        <w:rPr>
          <w:rFonts w:asciiTheme="minorHAnsi" w:eastAsia="Times New Roman" w:hAnsiTheme="minorHAnsi" w:cstheme="minorHAnsi"/>
          <w:iCs/>
          <w:szCs w:val="24"/>
          <w:lang w:val="pl-PL" w:eastAsia="en-GB"/>
        </w:rPr>
        <w:t>zagadnień</w:t>
      </w:r>
      <w:r w:rsidRPr="00F879CC">
        <w:rPr>
          <w:rFonts w:asciiTheme="minorHAnsi" w:eastAsia="Times New Roman" w:hAnsiTheme="minorHAnsi" w:cstheme="minorHAnsi"/>
          <w:iCs/>
          <w:szCs w:val="24"/>
          <w:lang w:val="pl-PL" w:eastAsia="en-GB"/>
        </w:rPr>
        <w:t xml:space="preserve"> Interreg Region Morza Bałtyckiego. Temat ten był wielokrotnie odzwierciedlany w projektach realizowanych w latach 2014-2020. Program wspierał władze lokalne i regionalne w budowaniu kompetencji w zakresie zapobiegania zanieczyszczaniu wód. Działania obejmowały opracowanie narzędzi wspomagających podejmowanie decyzji i planów działania w zakresie gospodarki odpadami i wodami opadowymi na obszarach miejskich i wiejskich, środków rolno-środowiskowych dla gospodarstw rolnych, lasów i torfowisk, a także procedur administracyjnych dotyczących reagowania na </w:t>
      </w:r>
      <w:r w:rsidR="00CE4A20">
        <w:rPr>
          <w:rFonts w:asciiTheme="minorHAnsi" w:eastAsia="Times New Roman" w:hAnsiTheme="minorHAnsi" w:cstheme="minorHAnsi"/>
          <w:iCs/>
          <w:szCs w:val="24"/>
          <w:lang w:val="pl-PL" w:eastAsia="en-GB"/>
        </w:rPr>
        <w:t xml:space="preserve">przypadki </w:t>
      </w:r>
      <w:r w:rsidRPr="00F879CC">
        <w:rPr>
          <w:rFonts w:asciiTheme="minorHAnsi" w:eastAsia="Times New Roman" w:hAnsiTheme="minorHAnsi" w:cstheme="minorHAnsi"/>
          <w:iCs/>
          <w:szCs w:val="24"/>
          <w:lang w:val="pl-PL" w:eastAsia="en-GB"/>
        </w:rPr>
        <w:t>wyciek</w:t>
      </w:r>
      <w:r w:rsidR="00CE4A20">
        <w:rPr>
          <w:rFonts w:asciiTheme="minorHAnsi" w:eastAsia="Times New Roman" w:hAnsiTheme="minorHAnsi" w:cstheme="minorHAnsi"/>
          <w:iCs/>
          <w:szCs w:val="24"/>
          <w:lang w:val="pl-PL" w:eastAsia="en-GB"/>
        </w:rPr>
        <w:t>ów</w:t>
      </w:r>
      <w:r w:rsidRPr="00F879CC">
        <w:rPr>
          <w:rFonts w:asciiTheme="minorHAnsi" w:eastAsia="Times New Roman" w:hAnsiTheme="minorHAnsi" w:cstheme="minorHAnsi"/>
          <w:iCs/>
          <w:szCs w:val="24"/>
          <w:lang w:val="pl-PL" w:eastAsia="en-GB"/>
        </w:rPr>
        <w:t xml:space="preserve"> ropy</w:t>
      </w:r>
      <w:r w:rsidR="005753AD" w:rsidRPr="00F879CC">
        <w:rPr>
          <w:rFonts w:asciiTheme="minorHAnsi" w:eastAsia="Times New Roman" w:hAnsiTheme="minorHAnsi" w:cstheme="minorHAnsi"/>
          <w:iCs/>
          <w:szCs w:val="24"/>
          <w:lang w:val="pl-PL" w:eastAsia="en-GB"/>
        </w:rPr>
        <w:t xml:space="preserve">. </w:t>
      </w:r>
      <w:r w:rsidRPr="00F879CC">
        <w:rPr>
          <w:rFonts w:asciiTheme="minorHAnsi" w:eastAsia="Times New Roman" w:hAnsiTheme="minorHAnsi" w:cstheme="minorHAnsi"/>
          <w:iCs/>
          <w:szCs w:val="24"/>
          <w:lang w:val="pl-PL" w:eastAsia="en-GB"/>
        </w:rPr>
        <w:t>Inwestycje pilotażowe pokazały</w:t>
      </w:r>
      <w:r w:rsidR="00CE4A20">
        <w:rPr>
          <w:rFonts w:asciiTheme="minorHAnsi" w:eastAsia="Times New Roman" w:hAnsiTheme="minorHAnsi" w:cstheme="minorHAnsi"/>
          <w:iCs/>
          <w:szCs w:val="24"/>
          <w:lang w:val="pl-PL" w:eastAsia="en-GB"/>
        </w:rPr>
        <w:t>, w</w:t>
      </w:r>
      <w:r w:rsidRPr="00F879CC">
        <w:rPr>
          <w:rFonts w:asciiTheme="minorHAnsi" w:eastAsia="Times New Roman" w:hAnsiTheme="minorHAnsi" w:cstheme="minorHAnsi"/>
          <w:iCs/>
          <w:szCs w:val="24"/>
          <w:lang w:val="pl-PL" w:eastAsia="en-GB"/>
        </w:rPr>
        <w:t xml:space="preserve"> jak</w:t>
      </w:r>
      <w:r w:rsidR="00CE4A20">
        <w:rPr>
          <w:rFonts w:asciiTheme="minorHAnsi" w:eastAsia="Times New Roman" w:hAnsiTheme="minorHAnsi" w:cstheme="minorHAnsi"/>
          <w:iCs/>
          <w:szCs w:val="24"/>
          <w:lang w:val="pl-PL" w:eastAsia="en-GB"/>
        </w:rPr>
        <w:t>i sposób</w:t>
      </w:r>
      <w:r w:rsidRPr="00F879CC">
        <w:rPr>
          <w:rFonts w:asciiTheme="minorHAnsi" w:eastAsia="Times New Roman" w:hAnsiTheme="minorHAnsi" w:cstheme="minorHAnsi"/>
          <w:iCs/>
          <w:szCs w:val="24"/>
          <w:lang w:val="pl-PL" w:eastAsia="en-GB"/>
        </w:rPr>
        <w:t xml:space="preserve"> zastosowanie nowych technologii wspiera ochronę wód. Zaprezentowano nowe sposoby przetwarzania obornika i gnojowicy w gospodarstwach rolnych oraz ulepszania miejskiego i przemysłowego uzdatniania wody w miastach i na obszarach wiejskich. Władze i przedsiębiorstwa </w:t>
      </w:r>
      <w:r w:rsidR="00CE4A20">
        <w:rPr>
          <w:rFonts w:asciiTheme="minorHAnsi" w:eastAsia="Times New Roman" w:hAnsiTheme="minorHAnsi" w:cstheme="minorHAnsi"/>
          <w:iCs/>
          <w:szCs w:val="24"/>
          <w:lang w:val="pl-PL" w:eastAsia="en-GB"/>
        </w:rPr>
        <w:t>nawiązały współpracę</w:t>
      </w:r>
      <w:r w:rsidR="00CE4A20" w:rsidRPr="00F879CC">
        <w:rPr>
          <w:rFonts w:asciiTheme="minorHAnsi" w:eastAsia="Times New Roman" w:hAnsiTheme="minorHAnsi" w:cstheme="minorHAnsi"/>
          <w:iCs/>
          <w:szCs w:val="24"/>
          <w:lang w:val="pl-PL" w:eastAsia="en-GB"/>
        </w:rPr>
        <w:t xml:space="preserve"> </w:t>
      </w:r>
      <w:r w:rsidRPr="00F879CC">
        <w:rPr>
          <w:rFonts w:asciiTheme="minorHAnsi" w:eastAsia="Times New Roman" w:hAnsiTheme="minorHAnsi" w:cstheme="minorHAnsi"/>
          <w:iCs/>
          <w:szCs w:val="24"/>
          <w:lang w:val="pl-PL" w:eastAsia="en-GB"/>
        </w:rPr>
        <w:t>w celu zmniejszenia emisji niebezpiecznych substancji do morza, zarządzania amunicją znajdującą się pod wodą oraz usuwania odpadów morskich. Na obszarach miejskich, małe firmy i gospodarstwa domowe szkolono w zakresie unikania niebezpiecznych substancji w codziennym spożyciu</w:t>
      </w:r>
      <w:r w:rsidR="00FB0E99" w:rsidRPr="00F879CC">
        <w:rPr>
          <w:rFonts w:asciiTheme="minorHAnsi" w:eastAsia="Times New Roman" w:hAnsiTheme="minorHAnsi" w:cstheme="minorHAnsi"/>
          <w:iCs/>
          <w:szCs w:val="24"/>
          <w:lang w:val="pl-PL" w:eastAsia="en-GB"/>
        </w:rPr>
        <w:t>.</w:t>
      </w:r>
      <w:r w:rsidR="005753AD" w:rsidRPr="00F879CC">
        <w:rPr>
          <w:rFonts w:asciiTheme="minorHAnsi" w:eastAsia="Times New Roman" w:hAnsiTheme="minorHAnsi" w:cstheme="minorHAnsi"/>
          <w:iCs/>
          <w:szCs w:val="24"/>
          <w:lang w:val="pl-PL" w:eastAsia="en-GB"/>
        </w:rPr>
        <w:t xml:space="preserve"> </w:t>
      </w:r>
    </w:p>
    <w:p w14:paraId="67C72413" w14:textId="5850DCEC" w:rsidR="005753AD" w:rsidRPr="00F879CC" w:rsidRDefault="005D257E"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iCs/>
          <w:szCs w:val="24"/>
          <w:lang w:val="pl-PL" w:eastAsia="en-GB"/>
        </w:rPr>
      </w:pPr>
      <w:r w:rsidRPr="00F879CC">
        <w:rPr>
          <w:rFonts w:asciiTheme="minorHAnsi" w:eastAsia="Times New Roman" w:hAnsiTheme="minorHAnsi" w:cstheme="minorHAnsi"/>
          <w:iCs/>
          <w:szCs w:val="24"/>
          <w:lang w:val="pl-PL" w:eastAsia="en-GB"/>
        </w:rPr>
        <w:t>Zrównoważona gospodarka wodna nadal zajmuje ważne miejsce w strategiach RMB</w:t>
      </w:r>
      <w:r w:rsidR="00CE4A20">
        <w:rPr>
          <w:rFonts w:asciiTheme="minorHAnsi" w:eastAsia="Times New Roman" w:hAnsiTheme="minorHAnsi" w:cstheme="minorHAnsi"/>
          <w:iCs/>
          <w:szCs w:val="24"/>
          <w:lang w:val="pl-PL" w:eastAsia="en-GB"/>
        </w:rPr>
        <w:t xml:space="preserve">, z uwagi na to, iż </w:t>
      </w:r>
      <w:r w:rsidRPr="00F879CC">
        <w:rPr>
          <w:rFonts w:asciiTheme="minorHAnsi" w:eastAsia="Times New Roman" w:hAnsiTheme="minorHAnsi" w:cstheme="minorHAnsi"/>
          <w:iCs/>
          <w:szCs w:val="24"/>
          <w:lang w:val="pl-PL" w:eastAsia="en-GB"/>
        </w:rPr>
        <w:t xml:space="preserve">zmiany klimatyczne </w:t>
      </w:r>
      <w:r w:rsidR="00CE4A20">
        <w:rPr>
          <w:rFonts w:asciiTheme="minorHAnsi" w:eastAsia="Times New Roman" w:hAnsiTheme="minorHAnsi" w:cstheme="minorHAnsi"/>
          <w:iCs/>
          <w:szCs w:val="24"/>
          <w:lang w:val="pl-PL" w:eastAsia="en-GB"/>
        </w:rPr>
        <w:t>są źródłem nowych wyzwań</w:t>
      </w:r>
      <w:r w:rsidRPr="00F879CC">
        <w:rPr>
          <w:rFonts w:asciiTheme="minorHAnsi" w:eastAsia="Times New Roman" w:hAnsiTheme="minorHAnsi" w:cstheme="minorHAnsi"/>
          <w:iCs/>
          <w:szCs w:val="24"/>
          <w:lang w:val="pl-PL" w:eastAsia="en-GB"/>
        </w:rPr>
        <w:t>. Budowanie zdolności władz publicznych do redukcji emisji substancji odżywczych i niebezpiecznych pozostaje skutecznym środkiem zwalczania zanieczyszczeń. RMB może wykorzystać osiągnięcia ostatnich lat, wzmocnić wdrażanie i skutecznie wspierać pozytywny rozwój poprzez testowanie nowych rozwiązań. Ponadto, należy udostępnić nowe podejścia i instrumenty na poziomie krajowym, regionalnym i lokalnym w całym regionie Morza Bałtyckiego</w:t>
      </w:r>
      <w:r w:rsidR="005753AD" w:rsidRPr="00F879CC">
        <w:rPr>
          <w:rFonts w:asciiTheme="minorHAnsi" w:eastAsia="Times New Roman" w:hAnsiTheme="minorHAnsi" w:cstheme="minorHAnsi"/>
          <w:iCs/>
          <w:szCs w:val="24"/>
          <w:lang w:val="pl-PL" w:eastAsia="en-GB"/>
        </w:rPr>
        <w:t xml:space="preserve">.  </w:t>
      </w:r>
    </w:p>
    <w:p w14:paraId="5DBFD14E" w14:textId="4FA6F6EB" w:rsidR="005753AD" w:rsidRPr="00F879CC" w:rsidRDefault="005D257E"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iCs/>
          <w:szCs w:val="24"/>
          <w:u w:val="single"/>
          <w:lang w:val="pl-PL" w:eastAsia="en-GB"/>
        </w:rPr>
      </w:pPr>
      <w:r w:rsidRPr="006009E1">
        <w:rPr>
          <w:rFonts w:asciiTheme="minorHAnsi" w:eastAsia="Times New Roman" w:hAnsiTheme="minorHAnsi" w:cstheme="minorHAnsi"/>
          <w:iCs/>
          <w:szCs w:val="24"/>
          <w:u w:val="single"/>
          <w:lang w:val="pl-PL" w:eastAsia="en-GB"/>
        </w:rPr>
        <w:t xml:space="preserve">Cel </w:t>
      </w:r>
      <w:r w:rsidR="00DC4C40" w:rsidRPr="006009E1">
        <w:rPr>
          <w:rFonts w:asciiTheme="minorHAnsi" w:eastAsia="Times New Roman" w:hAnsiTheme="minorHAnsi" w:cstheme="minorHAnsi"/>
          <w:iCs/>
          <w:szCs w:val="24"/>
          <w:u w:val="single"/>
          <w:lang w:val="pl-PL" w:eastAsia="en-GB"/>
        </w:rPr>
        <w:t xml:space="preserve">szczegółowy </w:t>
      </w:r>
      <w:r w:rsidRPr="006009E1">
        <w:rPr>
          <w:rFonts w:asciiTheme="minorHAnsi" w:eastAsia="Times New Roman" w:hAnsiTheme="minorHAnsi" w:cstheme="minorHAnsi"/>
          <w:iCs/>
          <w:szCs w:val="24"/>
          <w:u w:val="single"/>
          <w:lang w:val="pl-PL" w:eastAsia="en-GB"/>
        </w:rPr>
        <w:t>2.2 Niebieska gospodarka</w:t>
      </w:r>
      <w:r w:rsidR="005753AD" w:rsidRPr="00F879CC">
        <w:rPr>
          <w:rFonts w:asciiTheme="minorHAnsi" w:eastAsia="Times New Roman" w:hAnsiTheme="minorHAnsi" w:cstheme="minorHAnsi"/>
          <w:iCs/>
          <w:szCs w:val="24"/>
          <w:u w:val="single"/>
          <w:lang w:val="pl-PL" w:eastAsia="en-GB"/>
        </w:rPr>
        <w:t xml:space="preserve"> </w:t>
      </w:r>
    </w:p>
    <w:p w14:paraId="22CD8676" w14:textId="313826B9" w:rsidR="005753AD" w:rsidRPr="00F879CC" w:rsidRDefault="005D257E"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F879CC">
        <w:rPr>
          <w:rFonts w:asciiTheme="minorHAnsi" w:eastAsia="Times New Roman" w:hAnsiTheme="minorHAnsi" w:cstheme="minorHAnsi"/>
          <w:iCs/>
          <w:szCs w:val="24"/>
          <w:lang w:val="pl-PL" w:eastAsia="en-GB"/>
        </w:rPr>
        <w:t xml:space="preserve">Niebieska gospodarka to wspólne podejście do zrównoważonego wzrostu gospodarczego i zdrowego środowiska morskiego. Promując innowacyjne przedsiębiorstwa można efektywniej wykorzystywać zasoby wodne. Niebieska gospodarka ma ogromny potencjał dla ważnych sektorów w regionie Morza Bałtyckiego takich, jak żegluga, biotechnologia, rybołówstwo oraz turystyka przybrzeżna i morska. W tym zakresie, RMB znajduje się w uprzywilejowanej pozycji, tzn. ugruntowane sektory niebieskiej gospodarki </w:t>
      </w:r>
      <w:r w:rsidR="00775D57">
        <w:rPr>
          <w:rFonts w:asciiTheme="minorHAnsi" w:eastAsia="Times New Roman" w:hAnsiTheme="minorHAnsi" w:cstheme="minorHAnsi"/>
          <w:iCs/>
          <w:szCs w:val="24"/>
          <w:lang w:val="pl-PL" w:eastAsia="en-GB"/>
        </w:rPr>
        <w:t>mają</w:t>
      </w:r>
      <w:r w:rsidRPr="00F879CC">
        <w:rPr>
          <w:rFonts w:asciiTheme="minorHAnsi" w:eastAsia="Times New Roman" w:hAnsiTheme="minorHAnsi" w:cstheme="minorHAnsi"/>
          <w:iCs/>
          <w:szCs w:val="24"/>
          <w:lang w:val="pl-PL" w:eastAsia="en-GB"/>
        </w:rPr>
        <w:t xml:space="preserve"> już silną pozycję w RMB. Istnieją już wysoce konkurencyjne i innowacyjne sektory badawcze i biznesowe w połączeniu z silnymi sieciami współpracy. Uzupełniają je inne sektory odnotowujące znaczny postęp. Są to atuty przemawiające za dalszym wzmocnieniem niebieskiej gospodarki w RMB. Jednocześnie, w ramach HELCOM, kraje zgodziły się promować zrównoważoną środowiskowo działalność morską</w:t>
      </w:r>
      <w:r w:rsidR="005753AD" w:rsidRPr="00F879CC">
        <w:rPr>
          <w:rFonts w:asciiTheme="minorHAnsi" w:eastAsia="Times New Roman" w:hAnsiTheme="minorHAnsi" w:cstheme="minorHAnsi"/>
          <w:szCs w:val="24"/>
          <w:lang w:val="pl-PL" w:eastAsia="en-GB"/>
        </w:rPr>
        <w:t>.</w:t>
      </w:r>
      <w:r w:rsidR="0075310F" w:rsidRPr="00F879CC">
        <w:rPr>
          <w:rFonts w:asciiTheme="minorHAnsi" w:eastAsia="Times New Roman" w:hAnsiTheme="minorHAnsi" w:cstheme="minorHAnsi"/>
          <w:szCs w:val="24"/>
          <w:lang w:val="pl-PL" w:eastAsia="en-GB"/>
        </w:rPr>
        <w:t xml:space="preserve"> </w:t>
      </w:r>
    </w:p>
    <w:p w14:paraId="41AC30A3" w14:textId="52324AA4" w:rsidR="005753AD" w:rsidRPr="00F879CC" w:rsidRDefault="002B2CF4"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Pr>
          <w:rFonts w:asciiTheme="minorHAnsi" w:eastAsia="Times New Roman" w:hAnsiTheme="minorHAnsi" w:cstheme="minorHAnsi"/>
          <w:szCs w:val="24"/>
          <w:lang w:val="pl-PL" w:eastAsia="en-GB"/>
        </w:rPr>
        <w:lastRenderedPageBreak/>
        <w:t>W</w:t>
      </w:r>
      <w:r w:rsidR="005D257E" w:rsidRPr="00F879CC">
        <w:rPr>
          <w:rFonts w:asciiTheme="minorHAnsi" w:eastAsia="Times New Roman" w:hAnsiTheme="minorHAnsi" w:cstheme="minorHAnsi"/>
          <w:szCs w:val="24"/>
          <w:lang w:val="pl-PL" w:eastAsia="en-GB"/>
        </w:rPr>
        <w:t xml:space="preserve"> Zielonym Ładzie, Komisja Europejska podkreśliła znaczenie zbudowania zrównoważonej niebieskiej gospodarki w celu </w:t>
      </w:r>
      <w:r w:rsidR="00722554" w:rsidRPr="00F879CC">
        <w:rPr>
          <w:rFonts w:asciiTheme="minorHAnsi" w:eastAsia="Times New Roman" w:hAnsiTheme="minorHAnsi" w:cstheme="minorHAnsi"/>
          <w:szCs w:val="24"/>
          <w:lang w:val="pl-PL" w:eastAsia="en-GB"/>
        </w:rPr>
        <w:t>„</w:t>
      </w:r>
      <w:r w:rsidR="005D257E" w:rsidRPr="00F879CC">
        <w:rPr>
          <w:rFonts w:asciiTheme="minorHAnsi" w:eastAsia="Times New Roman" w:hAnsiTheme="minorHAnsi" w:cstheme="minorHAnsi"/>
          <w:szCs w:val="24"/>
          <w:lang w:val="pl-PL" w:eastAsia="en-GB"/>
        </w:rPr>
        <w:t>zmniejszenia wielorakiego zapotrzebowania na zasoby (...) UE i przeciwdziałania zmianom klimatycznym</w:t>
      </w:r>
      <w:r w:rsidR="00722554" w:rsidRPr="00F879CC">
        <w:rPr>
          <w:rFonts w:asciiTheme="minorHAnsi" w:eastAsia="Times New Roman" w:hAnsiTheme="minorHAnsi" w:cstheme="minorHAnsi"/>
          <w:szCs w:val="24"/>
          <w:lang w:val="pl-PL" w:eastAsia="en-GB"/>
        </w:rPr>
        <w:t>”</w:t>
      </w:r>
      <w:r>
        <w:rPr>
          <w:rFonts w:asciiTheme="minorHAnsi" w:eastAsia="Times New Roman" w:hAnsiTheme="minorHAnsi" w:cstheme="minorHAnsi"/>
          <w:szCs w:val="24"/>
          <w:lang w:val="pl-PL" w:eastAsia="en-GB"/>
        </w:rPr>
        <w:t xml:space="preserve"> w odniesieniu do całego obszaru UE</w:t>
      </w:r>
      <w:r w:rsidR="005D257E" w:rsidRPr="00F879CC">
        <w:rPr>
          <w:rFonts w:asciiTheme="minorHAnsi" w:eastAsia="Times New Roman" w:hAnsiTheme="minorHAnsi" w:cstheme="minorHAnsi"/>
          <w:szCs w:val="24"/>
          <w:lang w:val="pl-PL" w:eastAsia="en-GB"/>
        </w:rPr>
        <w:t>. W dalszej części tekstu zwraca się uwagę na szczególny potencjał zasobów wodnych i morskich. Wcześniej, bo już w 2014 r., tj. przed przyjęciem Zielonego Ładu, UE przyjęła Agendę zrównoważonego i niebieskiego wzrostu dla regionu Morza Bałtyckiego</w:t>
      </w:r>
      <w:r w:rsidR="005753AD" w:rsidRPr="00F879CC">
        <w:rPr>
          <w:rFonts w:asciiTheme="minorHAnsi" w:eastAsia="Times New Roman" w:hAnsiTheme="minorHAnsi" w:cstheme="minorHAnsi"/>
          <w:szCs w:val="24"/>
          <w:lang w:val="pl-PL" w:eastAsia="en-GB"/>
        </w:rPr>
        <w:t xml:space="preserve">. </w:t>
      </w:r>
    </w:p>
    <w:p w14:paraId="05D2B9E8" w14:textId="3A0BF959" w:rsidR="005753AD" w:rsidRPr="00F879CC" w:rsidRDefault="00ED6CF9"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F879CC">
        <w:rPr>
          <w:rFonts w:asciiTheme="minorHAnsi" w:eastAsia="Times New Roman" w:hAnsiTheme="minorHAnsi" w:cstheme="minorHAnsi"/>
          <w:szCs w:val="24"/>
          <w:lang w:val="pl-PL" w:eastAsia="en-GB"/>
        </w:rPr>
        <w:t xml:space="preserve">Cele SUE RMB </w:t>
      </w:r>
      <w:r w:rsidRPr="00B87529">
        <w:rPr>
          <w:rFonts w:asciiTheme="minorHAnsi" w:eastAsia="Times New Roman" w:hAnsiTheme="minorHAnsi" w:cstheme="minorHAnsi"/>
          <w:szCs w:val="24"/>
          <w:lang w:val="pl-PL" w:eastAsia="en-GB"/>
        </w:rPr>
        <w:t>„</w:t>
      </w:r>
      <w:r w:rsidR="00B87529" w:rsidRPr="00B87529">
        <w:rPr>
          <w:rFonts w:asciiTheme="minorHAnsi" w:eastAsia="Times New Roman" w:hAnsiTheme="minorHAnsi" w:cstheme="minorHAnsi"/>
          <w:szCs w:val="24"/>
          <w:lang w:val="pl-PL" w:eastAsia="en-GB"/>
        </w:rPr>
        <w:t>Poprawa jakości ekosystemu Bałtyku</w:t>
      </w:r>
      <w:r w:rsidRPr="00B87529">
        <w:rPr>
          <w:rFonts w:asciiTheme="minorHAnsi" w:eastAsia="Times New Roman" w:hAnsiTheme="minorHAnsi" w:cstheme="minorHAnsi"/>
          <w:szCs w:val="24"/>
          <w:lang w:val="pl-PL" w:eastAsia="en-GB"/>
        </w:rPr>
        <w:t>” i „</w:t>
      </w:r>
      <w:r w:rsidR="00B87529" w:rsidRPr="00B87529">
        <w:rPr>
          <w:rFonts w:asciiTheme="minorHAnsi" w:eastAsia="Times New Roman" w:hAnsiTheme="minorHAnsi" w:cstheme="minorHAnsi"/>
          <w:szCs w:val="24"/>
          <w:lang w:val="pl-PL" w:eastAsia="en-GB"/>
        </w:rPr>
        <w:t>Poprawa spójności regionu</w:t>
      </w:r>
      <w:r w:rsidRPr="00B87529">
        <w:rPr>
          <w:rFonts w:asciiTheme="minorHAnsi" w:eastAsia="Times New Roman" w:hAnsiTheme="minorHAnsi" w:cstheme="minorHAnsi"/>
          <w:szCs w:val="24"/>
          <w:lang w:val="pl-PL" w:eastAsia="en-GB"/>
        </w:rPr>
        <w:t>” zapewniają kilka punktów stycznych z niebieską gospodarką. Obejmują one zrównoważone</w:t>
      </w:r>
      <w:r w:rsidRPr="00F879CC">
        <w:rPr>
          <w:rFonts w:asciiTheme="minorHAnsi" w:eastAsia="Times New Roman" w:hAnsiTheme="minorHAnsi" w:cstheme="minorHAnsi"/>
          <w:szCs w:val="24"/>
          <w:lang w:val="pl-PL" w:eastAsia="en-GB"/>
        </w:rPr>
        <w:t xml:space="preserve"> wykorzystanie zasobów wodnych i morskich, a także czystą żeglugę i wspólne wykorzystanie przestrzeni morskiej. Stała i zintensyfikowana współpraca transnarodowa jest warunkiem wstępnym dla budowania niebieskiej gospodarki, jako konstytucyjnego elementu przyszłości regionu</w:t>
      </w:r>
      <w:r w:rsidR="00C73811" w:rsidRPr="00F879CC">
        <w:rPr>
          <w:rFonts w:asciiTheme="minorHAnsi" w:eastAsia="Times New Roman" w:hAnsiTheme="minorHAnsi" w:cstheme="minorHAnsi"/>
          <w:szCs w:val="24"/>
          <w:lang w:val="pl-PL" w:eastAsia="en-GB"/>
        </w:rPr>
        <w:t>.</w:t>
      </w:r>
    </w:p>
    <w:p w14:paraId="0032A0D9" w14:textId="58A0D01E" w:rsidR="005753AD" w:rsidRPr="00F879CC" w:rsidRDefault="00ED6CF9"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F879CC">
        <w:rPr>
          <w:rFonts w:asciiTheme="minorHAnsi" w:eastAsia="Times New Roman" w:hAnsiTheme="minorHAnsi" w:cstheme="minorHAnsi"/>
          <w:szCs w:val="24"/>
          <w:lang w:val="pl-PL" w:eastAsia="en-GB"/>
        </w:rPr>
        <w:t>Wszystkie kraje RMB promują niebieską gospodarkę jako jedną z głównych sił napędowych zrównoważonego rozwoju. W szczególności, wielokrotnie wspomina się o wzmocnieniu wspólnego bałtyckiego podejścia do planowania przestrzennego obszarów morskich i promowaniu budowania transnarodowego potencjału władz, przemysłu i społeczności lokalnych w regionie Morza Bałtyckiego.  Zgodnie z przyjętymi strategiami, w najbliższych latach, w centrum uwagi znajdzie się zrównoważone wykorzystanie wody, zarządzanie ruchem morskim, a także zapobieganie nielegalnym zrzutom ze statków.</w:t>
      </w:r>
      <w:r w:rsidR="005753AD" w:rsidRPr="00F879CC">
        <w:rPr>
          <w:rFonts w:asciiTheme="minorHAnsi" w:eastAsia="Times New Roman" w:hAnsiTheme="minorHAnsi" w:cstheme="minorHAnsi"/>
          <w:szCs w:val="24"/>
          <w:lang w:val="pl-PL" w:eastAsia="en-GB"/>
        </w:rPr>
        <w:t xml:space="preserve"> </w:t>
      </w:r>
    </w:p>
    <w:p w14:paraId="315154B6" w14:textId="77671AB6" w:rsidR="005753AD" w:rsidRPr="00F879CC" w:rsidRDefault="00ED6CF9"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F879CC">
        <w:rPr>
          <w:rFonts w:asciiTheme="minorHAnsi" w:eastAsia="Times New Roman" w:hAnsiTheme="minorHAnsi" w:cstheme="minorHAnsi"/>
          <w:szCs w:val="24"/>
          <w:lang w:val="pl-PL" w:eastAsia="en-GB"/>
        </w:rPr>
        <w:t xml:space="preserve">Niebieska gospodarka była jednym z tematów poruszanych przez programy w latach 2014–2020. Projekty dotyczyły różnych aspektów, zarówno zrównoważonego niebieskiego wzrostu, jak i morskiego planowania przestrzennego. Program wspierał firmy biotechnologiczne, akwakulturę, rybołówstwo i turystykę w opracowywaniu nowych produktów z zasobów morskich w celu rozwijania łańcuchów wartości w regionie. Program pomógł również władzom regionalnym i krajowym w lepszym planowaniu przestrzennym obszarów morskich oraz w zbadaniu sposobów wspólnego wykorzystania przestrzeni morskiej i obszarów przybrzeżnych przez kilka sektorów. Ponadto, w ramach projektów współpracowano z sektorem żeglugi oraz opracowano rozwiązania, aby uczynić go bardziej zrównoważonym i czystszym. W tym celu opracowano, np. rozwiązania ograniczające przedostawanie się gatunków inwazyjnych do Morza Bałtyckiego. Inne projekty skupiały się na zwiększeniu efektywności energetycznej w terminalach wycieczkowych, redukcji emisji </w:t>
      </w:r>
      <w:r w:rsidR="00A6393C">
        <w:rPr>
          <w:rFonts w:asciiTheme="minorHAnsi" w:eastAsia="Times New Roman" w:hAnsiTheme="minorHAnsi" w:cstheme="minorHAnsi"/>
          <w:szCs w:val="24"/>
          <w:lang w:val="pl-PL" w:eastAsia="en-GB"/>
        </w:rPr>
        <w:t>zanieczyszczeń</w:t>
      </w:r>
      <w:r w:rsidR="00A6393C" w:rsidRPr="00F879CC">
        <w:rPr>
          <w:rFonts w:asciiTheme="minorHAnsi" w:eastAsia="Times New Roman" w:hAnsiTheme="minorHAnsi" w:cstheme="minorHAnsi"/>
          <w:szCs w:val="24"/>
          <w:lang w:val="pl-PL" w:eastAsia="en-GB"/>
        </w:rPr>
        <w:t xml:space="preserve"> </w:t>
      </w:r>
      <w:r w:rsidRPr="00F879CC">
        <w:rPr>
          <w:rFonts w:asciiTheme="minorHAnsi" w:eastAsia="Times New Roman" w:hAnsiTheme="minorHAnsi" w:cstheme="minorHAnsi"/>
          <w:szCs w:val="24"/>
          <w:lang w:val="pl-PL" w:eastAsia="en-GB"/>
        </w:rPr>
        <w:t>powietrza ze statków, optymalizacji ich tras i zmniejszeniu zużycia paliwa</w:t>
      </w:r>
      <w:r w:rsidR="005753AD" w:rsidRPr="00F879CC">
        <w:rPr>
          <w:rFonts w:asciiTheme="minorHAnsi" w:eastAsia="Times New Roman" w:hAnsiTheme="minorHAnsi" w:cstheme="minorHAnsi"/>
          <w:szCs w:val="24"/>
          <w:lang w:val="pl-PL" w:eastAsia="en-GB"/>
        </w:rPr>
        <w:t xml:space="preserve">. </w:t>
      </w:r>
    </w:p>
    <w:p w14:paraId="182BA695" w14:textId="44894C05" w:rsidR="005753AD" w:rsidRPr="00F879CC" w:rsidRDefault="009A785A"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iCs/>
          <w:szCs w:val="24"/>
          <w:lang w:val="pl-PL" w:eastAsia="en-GB"/>
        </w:rPr>
      </w:pPr>
      <w:r w:rsidRPr="00F879CC">
        <w:rPr>
          <w:rFonts w:asciiTheme="minorHAnsi" w:eastAsia="Times New Roman" w:hAnsiTheme="minorHAnsi" w:cstheme="minorHAnsi"/>
          <w:iCs/>
          <w:szCs w:val="24"/>
          <w:lang w:val="pl-PL" w:eastAsia="en-GB"/>
        </w:rPr>
        <w:t>Inwestowanie w niebieską gospodarkę jest dobrym pomysłem biorąc pod uwagę jej znaczenie i przyszły potencjał dla regionu. Analizy i strategie na szczeblu unijnym, krajowym i regionalnym wskazują</w:t>
      </w:r>
      <w:r w:rsidR="00056F14">
        <w:rPr>
          <w:rFonts w:asciiTheme="minorHAnsi" w:eastAsia="Times New Roman" w:hAnsiTheme="minorHAnsi" w:cstheme="minorHAnsi"/>
          <w:iCs/>
          <w:szCs w:val="24"/>
          <w:lang w:val="pl-PL" w:eastAsia="en-GB"/>
        </w:rPr>
        <w:t>,</w:t>
      </w:r>
      <w:r w:rsidRPr="00F879CC">
        <w:rPr>
          <w:rFonts w:asciiTheme="minorHAnsi" w:eastAsia="Times New Roman" w:hAnsiTheme="minorHAnsi" w:cstheme="minorHAnsi"/>
          <w:iCs/>
          <w:szCs w:val="24"/>
          <w:lang w:val="pl-PL" w:eastAsia="en-GB"/>
        </w:rPr>
        <w:t xml:space="preserve"> </w:t>
      </w:r>
      <w:r w:rsidR="00056F14">
        <w:rPr>
          <w:rFonts w:asciiTheme="minorHAnsi" w:eastAsia="Times New Roman" w:hAnsiTheme="minorHAnsi" w:cstheme="minorHAnsi"/>
          <w:iCs/>
          <w:szCs w:val="24"/>
          <w:lang w:val="pl-PL" w:eastAsia="en-GB"/>
        </w:rPr>
        <w:t>w jaki sposób</w:t>
      </w:r>
      <w:r w:rsidRPr="00F879CC">
        <w:rPr>
          <w:rFonts w:asciiTheme="minorHAnsi" w:eastAsia="Times New Roman" w:hAnsiTheme="minorHAnsi" w:cstheme="minorHAnsi"/>
          <w:iCs/>
          <w:szCs w:val="24"/>
          <w:lang w:val="pl-PL" w:eastAsia="en-GB"/>
        </w:rPr>
        <w:t xml:space="preserve"> międzynarodowa koordynacja i współpraca mogą pomóc w efektywnym, wspólnym korzystaniu z morza i wód śródlądowych oraz w otwieraniu nowych możliwości biznesowych. Zrównoważony niebieski wzrost wymaga zintensyfikowanego podejścia międzysektorowego</w:t>
      </w:r>
      <w:r w:rsidR="00056F14">
        <w:rPr>
          <w:rFonts w:asciiTheme="minorHAnsi" w:eastAsia="Times New Roman" w:hAnsiTheme="minorHAnsi" w:cstheme="minorHAnsi"/>
          <w:iCs/>
          <w:szCs w:val="24"/>
          <w:lang w:val="pl-PL" w:eastAsia="en-GB"/>
        </w:rPr>
        <w:t>, jak</w:t>
      </w:r>
      <w:r w:rsidRPr="00F879CC">
        <w:rPr>
          <w:rFonts w:asciiTheme="minorHAnsi" w:eastAsia="Times New Roman" w:hAnsiTheme="minorHAnsi" w:cstheme="minorHAnsi"/>
          <w:iCs/>
          <w:szCs w:val="24"/>
          <w:lang w:val="pl-PL" w:eastAsia="en-GB"/>
        </w:rPr>
        <w:t xml:space="preserve"> i ze strony wielu interesariuszy, aby spowodować uruchomienie inwestycji w nowe produkty i usługi morskie. Ponadto, kraje nadbałtyckie muszą lepiej dostosować planowanie przestrzenne obszarów morskich, zarządzanie ruchem morskim oraz wspólne użytkowanie przestrzeni morskiej i przybrzeżnej</w:t>
      </w:r>
      <w:r w:rsidR="007F5089" w:rsidRPr="00F879CC">
        <w:rPr>
          <w:rFonts w:asciiTheme="minorHAnsi" w:eastAsia="Times New Roman" w:hAnsiTheme="minorHAnsi" w:cstheme="minorHAnsi"/>
          <w:iCs/>
          <w:szCs w:val="24"/>
          <w:lang w:val="pl-PL" w:eastAsia="en-GB"/>
        </w:rPr>
        <w:t>.</w:t>
      </w:r>
    </w:p>
    <w:p w14:paraId="3AB78A95" w14:textId="03217DF5" w:rsidR="005753AD" w:rsidRPr="00F879CC" w:rsidRDefault="009A785A"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iCs/>
          <w:szCs w:val="24"/>
          <w:lang w:val="pl-PL" w:eastAsia="en-GB"/>
        </w:rPr>
      </w:pPr>
      <w:r w:rsidRPr="00F879CC">
        <w:rPr>
          <w:rFonts w:asciiTheme="minorHAnsi" w:eastAsia="Times New Roman" w:hAnsiTheme="minorHAnsi" w:cstheme="minorHAnsi"/>
          <w:iCs/>
          <w:szCs w:val="24"/>
          <w:lang w:val="pl-PL" w:eastAsia="en-GB"/>
        </w:rPr>
        <w:lastRenderedPageBreak/>
        <w:t xml:space="preserve">Opisane wyzwania i potrzeby zostaną uwzględnione w Programie w Priorytecie 2 </w:t>
      </w:r>
      <w:r w:rsidR="00722554" w:rsidRPr="00F879CC">
        <w:rPr>
          <w:rFonts w:asciiTheme="minorHAnsi" w:eastAsia="Times New Roman" w:hAnsiTheme="minorHAnsi" w:cstheme="minorHAnsi"/>
          <w:iCs/>
          <w:szCs w:val="24"/>
          <w:lang w:val="pl-PL" w:eastAsia="en-GB"/>
        </w:rPr>
        <w:t>„</w:t>
      </w:r>
      <w:r w:rsidRPr="007B3555">
        <w:rPr>
          <w:rFonts w:asciiTheme="minorHAnsi" w:eastAsia="Times New Roman" w:hAnsiTheme="minorHAnsi" w:cstheme="minorHAnsi"/>
          <w:iCs/>
          <w:szCs w:val="24"/>
          <w:lang w:val="pl-PL" w:eastAsia="en-GB"/>
        </w:rPr>
        <w:t>Społeczeństwa</w:t>
      </w:r>
      <w:r w:rsidR="00A56C60" w:rsidRPr="007B3555">
        <w:rPr>
          <w:rFonts w:asciiTheme="minorHAnsi" w:eastAsia="Times New Roman" w:hAnsiTheme="minorHAnsi" w:cstheme="minorHAnsi"/>
          <w:iCs/>
          <w:szCs w:val="24"/>
          <w:lang w:val="pl-PL" w:eastAsia="en-GB"/>
        </w:rPr>
        <w:t xml:space="preserve"> rozważnie </w:t>
      </w:r>
      <w:r w:rsidRPr="007B3555">
        <w:rPr>
          <w:rFonts w:asciiTheme="minorHAnsi" w:eastAsia="Times New Roman" w:hAnsiTheme="minorHAnsi" w:cstheme="minorHAnsi"/>
          <w:iCs/>
          <w:szCs w:val="24"/>
          <w:lang w:val="pl-PL" w:eastAsia="en-GB"/>
        </w:rPr>
        <w:t>korzystające z wody</w:t>
      </w:r>
      <w:r w:rsidR="00722554" w:rsidRPr="00F879CC">
        <w:rPr>
          <w:rFonts w:asciiTheme="minorHAnsi" w:eastAsia="Times New Roman" w:hAnsiTheme="minorHAnsi" w:cstheme="minorHAnsi"/>
          <w:iCs/>
          <w:szCs w:val="24"/>
          <w:lang w:val="pl-PL" w:eastAsia="en-GB"/>
        </w:rPr>
        <w:t>”</w:t>
      </w:r>
      <w:r w:rsidRPr="00F879CC">
        <w:rPr>
          <w:rFonts w:asciiTheme="minorHAnsi" w:eastAsia="Times New Roman" w:hAnsiTheme="minorHAnsi" w:cstheme="minorHAnsi"/>
          <w:iCs/>
          <w:szCs w:val="24"/>
          <w:lang w:val="pl-PL" w:eastAsia="en-GB"/>
        </w:rPr>
        <w:t xml:space="preserve"> oraz w celu szczegółowym v) </w:t>
      </w:r>
      <w:r w:rsidR="00EA15C4">
        <w:rPr>
          <w:rFonts w:asciiTheme="minorHAnsi" w:eastAsia="Times New Roman" w:hAnsiTheme="minorHAnsi" w:cstheme="minorHAnsi"/>
          <w:iCs/>
          <w:szCs w:val="24"/>
          <w:lang w:val="pl-PL" w:eastAsia="en-GB"/>
        </w:rPr>
        <w:t>„</w:t>
      </w:r>
      <w:r w:rsidRPr="00F879CC">
        <w:rPr>
          <w:rFonts w:asciiTheme="minorHAnsi" w:eastAsia="Times New Roman" w:hAnsiTheme="minorHAnsi" w:cstheme="minorHAnsi"/>
          <w:iCs/>
          <w:szCs w:val="24"/>
          <w:lang w:val="pl-PL" w:eastAsia="en-GB"/>
        </w:rPr>
        <w:t>Promowanie dostępu do wody i zrównoważona gospodarka wodna</w:t>
      </w:r>
      <w:r w:rsidR="00EA15C4">
        <w:rPr>
          <w:rFonts w:asciiTheme="minorHAnsi" w:eastAsia="Times New Roman" w:hAnsiTheme="minorHAnsi" w:cstheme="minorHAnsi"/>
          <w:iCs/>
          <w:szCs w:val="24"/>
          <w:lang w:val="pl-PL" w:eastAsia="en-GB"/>
        </w:rPr>
        <w:t>”</w:t>
      </w:r>
      <w:r w:rsidRPr="00F879CC">
        <w:rPr>
          <w:rFonts w:asciiTheme="minorHAnsi" w:eastAsia="Times New Roman" w:hAnsiTheme="minorHAnsi" w:cstheme="minorHAnsi"/>
          <w:iCs/>
          <w:szCs w:val="24"/>
          <w:lang w:val="pl-PL" w:eastAsia="en-GB"/>
        </w:rPr>
        <w:t xml:space="preserve">, co przekłada się na Cele 2.1 „Zrównoważone wody” oraz 2.2 „Niebieska gospodarka”, znajdujące się w Programie.  </w:t>
      </w:r>
    </w:p>
    <w:p w14:paraId="3D465590" w14:textId="049A122F" w:rsidR="005753AD" w:rsidRPr="00F879CC" w:rsidRDefault="009A785A"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b/>
          <w:bCs/>
          <w:sz w:val="28"/>
          <w:szCs w:val="28"/>
          <w:u w:val="single"/>
          <w:lang w:val="pl-PL" w:eastAsia="en-GB"/>
        </w:rPr>
      </w:pPr>
      <w:r w:rsidRPr="00F879CC">
        <w:rPr>
          <w:rFonts w:asciiTheme="minorHAnsi" w:eastAsia="Times New Roman" w:hAnsiTheme="minorHAnsi" w:cstheme="minorHAnsi"/>
          <w:b/>
          <w:bCs/>
          <w:iCs/>
          <w:sz w:val="28"/>
          <w:szCs w:val="28"/>
          <w:u w:val="single"/>
          <w:lang w:val="pl-PL" w:eastAsia="en-GB"/>
        </w:rPr>
        <w:t>Priorytet</w:t>
      </w:r>
      <w:r w:rsidR="005753AD" w:rsidRPr="00F879CC">
        <w:rPr>
          <w:rFonts w:asciiTheme="minorHAnsi" w:eastAsia="Times New Roman" w:hAnsiTheme="minorHAnsi" w:cstheme="minorHAnsi"/>
          <w:b/>
          <w:bCs/>
          <w:iCs/>
          <w:sz w:val="28"/>
          <w:szCs w:val="28"/>
          <w:u w:val="single"/>
          <w:lang w:val="pl-PL" w:eastAsia="en-GB"/>
        </w:rPr>
        <w:t xml:space="preserve"> 3: </w:t>
      </w:r>
      <w:r w:rsidRPr="00F879CC">
        <w:rPr>
          <w:rFonts w:asciiTheme="minorHAnsi" w:eastAsia="Times New Roman" w:hAnsiTheme="minorHAnsi" w:cstheme="minorHAnsi"/>
          <w:b/>
          <w:bCs/>
          <w:sz w:val="28"/>
          <w:szCs w:val="28"/>
          <w:u w:val="single"/>
          <w:lang w:val="pl-PL" w:eastAsia="en-GB"/>
        </w:rPr>
        <w:t>Społeczeństwa neutralne dla klimatu</w:t>
      </w:r>
      <w:r w:rsidR="005753AD" w:rsidRPr="00F879CC">
        <w:rPr>
          <w:rFonts w:asciiTheme="minorHAnsi" w:eastAsia="Times New Roman" w:hAnsiTheme="minorHAnsi" w:cstheme="minorHAnsi"/>
          <w:b/>
          <w:bCs/>
          <w:sz w:val="28"/>
          <w:szCs w:val="28"/>
          <w:u w:val="single"/>
          <w:lang w:val="pl-PL" w:eastAsia="en-GB"/>
        </w:rPr>
        <w:t xml:space="preserve"> </w:t>
      </w:r>
    </w:p>
    <w:p w14:paraId="4E4D5765" w14:textId="3D6EC2D2" w:rsidR="005753AD" w:rsidRPr="00F879CC" w:rsidRDefault="009A785A" w:rsidP="005753AD">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Times New Roman" w:hAnsiTheme="minorHAnsi" w:cstheme="minorHAnsi"/>
          <w:b/>
          <w:bCs/>
          <w:iCs/>
          <w:szCs w:val="24"/>
          <w:lang w:val="pl-PL" w:eastAsia="en-GB"/>
        </w:rPr>
      </w:pPr>
      <w:r w:rsidRPr="00F879CC">
        <w:rPr>
          <w:rFonts w:asciiTheme="minorHAnsi" w:eastAsia="Times New Roman" w:hAnsiTheme="minorHAnsi" w:cstheme="minorHAnsi"/>
          <w:b/>
          <w:bCs/>
          <w:iCs/>
          <w:szCs w:val="24"/>
          <w:lang w:val="pl-PL" w:eastAsia="en-GB"/>
        </w:rPr>
        <w:t>Cel szczegółowy iv) Promowanie transformacji w kierunku gospodarki o obiegu zamkniętym i zasobooszczędnej</w:t>
      </w:r>
    </w:p>
    <w:p w14:paraId="081E8E9E" w14:textId="5C3F6AAA" w:rsidR="005753AD" w:rsidRPr="00F879CC" w:rsidRDefault="009A785A" w:rsidP="005753AD">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Times New Roman" w:hAnsiTheme="minorHAnsi" w:cstheme="minorHAnsi"/>
          <w:iCs/>
          <w:szCs w:val="24"/>
          <w:u w:val="single"/>
          <w:lang w:val="pl-PL" w:eastAsia="en-GB"/>
        </w:rPr>
      </w:pPr>
      <w:r w:rsidRPr="006009E1">
        <w:rPr>
          <w:rFonts w:asciiTheme="minorHAnsi" w:eastAsia="Times New Roman" w:hAnsiTheme="minorHAnsi" w:cstheme="minorHAnsi"/>
          <w:iCs/>
          <w:szCs w:val="24"/>
          <w:u w:val="single"/>
          <w:lang w:val="pl-PL" w:eastAsia="en-GB"/>
        </w:rPr>
        <w:t xml:space="preserve">Cel </w:t>
      </w:r>
      <w:r w:rsidR="00DC4C40" w:rsidRPr="006009E1">
        <w:rPr>
          <w:rFonts w:asciiTheme="minorHAnsi" w:eastAsia="Times New Roman" w:hAnsiTheme="minorHAnsi" w:cstheme="minorHAnsi"/>
          <w:iCs/>
          <w:szCs w:val="24"/>
          <w:u w:val="single"/>
          <w:lang w:val="pl-PL" w:eastAsia="en-GB"/>
        </w:rPr>
        <w:t xml:space="preserve">szczegółowy </w:t>
      </w:r>
      <w:r w:rsidRPr="006009E1">
        <w:rPr>
          <w:rFonts w:asciiTheme="minorHAnsi" w:eastAsia="Times New Roman" w:hAnsiTheme="minorHAnsi" w:cstheme="minorHAnsi"/>
          <w:iCs/>
          <w:szCs w:val="24"/>
          <w:u w:val="single"/>
          <w:lang w:val="pl-PL" w:eastAsia="en-GB"/>
        </w:rPr>
        <w:t xml:space="preserve">3.1 </w:t>
      </w:r>
      <w:r w:rsidR="00FD267F">
        <w:rPr>
          <w:rFonts w:asciiTheme="minorHAnsi" w:eastAsia="Times New Roman" w:hAnsiTheme="minorHAnsi" w:cstheme="minorHAnsi"/>
          <w:iCs/>
          <w:szCs w:val="24"/>
          <w:u w:val="single"/>
          <w:lang w:val="pl-PL" w:eastAsia="en-GB"/>
        </w:rPr>
        <w:t>Gospodarka o obiegu zamkniętym</w:t>
      </w:r>
    </w:p>
    <w:p w14:paraId="1751FD78" w14:textId="75ACADA3" w:rsidR="005753AD" w:rsidRPr="00F879CC" w:rsidRDefault="009A785A"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iCs/>
          <w:szCs w:val="24"/>
          <w:lang w:val="pl-PL" w:eastAsia="en-GB"/>
        </w:rPr>
      </w:pPr>
      <w:r w:rsidRPr="00F879CC">
        <w:rPr>
          <w:rFonts w:asciiTheme="minorHAnsi" w:eastAsia="Times New Roman" w:hAnsiTheme="minorHAnsi" w:cstheme="minorHAnsi"/>
          <w:iCs/>
          <w:szCs w:val="24"/>
          <w:lang w:val="pl-PL" w:eastAsia="en-GB"/>
        </w:rPr>
        <w:t>Gospodarka o obiegu zamkniętym opisuje systemowe i całościowe podejście do użycia, recyklingu i ponownego wykorzystania zasobów. Mimo, iż często kojarzona z sektorem odpadów, koncepcja gospodarki o obiegu zamkniętym wykracza daleko poza jego ramy. Obejmuje zintegrowane podejście do wody, energii, transportu i użytkowania gruntów. Gospodarka o obiegu zamkniętym wymaga zwiększenia świadomości nowych modeli biznesowych, zmiany zachowań i zintegrowanego planowania</w:t>
      </w:r>
      <w:r w:rsidR="002B2CF4">
        <w:rPr>
          <w:rFonts w:asciiTheme="minorHAnsi" w:eastAsia="Times New Roman" w:hAnsiTheme="minorHAnsi" w:cstheme="minorHAnsi"/>
          <w:iCs/>
          <w:szCs w:val="24"/>
          <w:lang w:val="pl-PL" w:eastAsia="en-GB"/>
        </w:rPr>
        <w:t>; s</w:t>
      </w:r>
      <w:r w:rsidRPr="00F879CC">
        <w:rPr>
          <w:rFonts w:asciiTheme="minorHAnsi" w:eastAsia="Times New Roman" w:hAnsiTheme="minorHAnsi" w:cstheme="minorHAnsi"/>
          <w:iCs/>
          <w:szCs w:val="24"/>
          <w:lang w:val="pl-PL" w:eastAsia="en-GB"/>
        </w:rPr>
        <w:t>ięga po cyfryzację, aby osiągnąć większą efektywność wykorzystania zasobów w gospodarce. Rozwijająca się gospodarka o obiegu zamkniętym może mieć cenny wpływ na łagodzenie zmiany klimatu</w:t>
      </w:r>
      <w:r w:rsidR="005753AD" w:rsidRPr="00F879CC">
        <w:rPr>
          <w:rFonts w:asciiTheme="minorHAnsi" w:eastAsia="Times New Roman" w:hAnsiTheme="minorHAnsi" w:cstheme="minorHAnsi"/>
          <w:iCs/>
          <w:szCs w:val="24"/>
          <w:lang w:val="pl-PL" w:eastAsia="en-GB"/>
        </w:rPr>
        <w:t xml:space="preserve">. </w:t>
      </w:r>
    </w:p>
    <w:p w14:paraId="21C72921" w14:textId="7C8E346E" w:rsidR="005753AD" w:rsidRPr="00F879CC" w:rsidRDefault="007F09BE"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iCs/>
          <w:szCs w:val="24"/>
          <w:lang w:val="pl-PL" w:eastAsia="en-GB"/>
        </w:rPr>
      </w:pPr>
      <w:r w:rsidRPr="00F879CC">
        <w:rPr>
          <w:rFonts w:asciiTheme="minorHAnsi" w:eastAsia="Times New Roman" w:hAnsiTheme="minorHAnsi" w:cstheme="minorHAnsi"/>
          <w:iCs/>
          <w:szCs w:val="24"/>
          <w:lang w:val="pl-PL" w:eastAsia="en-GB"/>
        </w:rPr>
        <w:t xml:space="preserve">Według OECD, oczekuje się, iż w ciągu najbliższych czterdziestu lat, światowe zużycie materiałów takich, jak biomasa, paliwa kopalne, metale i minerały ulegnie podwojeniu. Jednocześnie, przewiduje się znaczny wzrost produkcji odpadów. Połowa całkowitej emisji gazów cieplarnianych pochodzi z wydobycia i przetwarzania zasobów. W związku z tym, bardziej efektywne wykorzystanie zasobów niesie ze sobą duży potencjał obniżenia emisji. </w:t>
      </w:r>
      <w:r w:rsidR="002B2CF4">
        <w:rPr>
          <w:rFonts w:asciiTheme="minorHAnsi" w:eastAsia="Times New Roman" w:hAnsiTheme="minorHAnsi" w:cstheme="minorHAnsi"/>
          <w:iCs/>
          <w:szCs w:val="24"/>
          <w:lang w:val="pl-PL" w:eastAsia="en-GB"/>
        </w:rPr>
        <w:t>Obecnie</w:t>
      </w:r>
      <w:r w:rsidRPr="00F879CC">
        <w:rPr>
          <w:rFonts w:asciiTheme="minorHAnsi" w:eastAsia="Times New Roman" w:hAnsiTheme="minorHAnsi" w:cstheme="minorHAnsi"/>
          <w:iCs/>
          <w:szCs w:val="24"/>
          <w:lang w:val="pl-PL" w:eastAsia="en-GB"/>
        </w:rPr>
        <w:t>, obieg zamknięty w wykorzystaniu zasobów jest nadal wyjątkiem, a nie regułą</w:t>
      </w:r>
      <w:r w:rsidR="003B5D0B" w:rsidRPr="00F879CC">
        <w:rPr>
          <w:rFonts w:asciiTheme="minorHAnsi" w:eastAsia="Times New Roman" w:hAnsiTheme="minorHAnsi" w:cstheme="minorHAnsi"/>
          <w:iCs/>
          <w:szCs w:val="24"/>
          <w:lang w:val="pl-PL" w:eastAsia="en-GB"/>
        </w:rPr>
        <w:t>.</w:t>
      </w:r>
    </w:p>
    <w:p w14:paraId="70819FD1" w14:textId="48D2619E" w:rsidR="005753AD" w:rsidRPr="00F879CC" w:rsidRDefault="007F09BE"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iCs/>
          <w:szCs w:val="24"/>
          <w:lang w:val="pl-PL" w:eastAsia="en-GB"/>
        </w:rPr>
      </w:pPr>
      <w:r w:rsidRPr="00F879CC">
        <w:rPr>
          <w:rFonts w:asciiTheme="minorHAnsi" w:eastAsia="Times New Roman" w:hAnsiTheme="minorHAnsi" w:cstheme="minorHAnsi"/>
          <w:iCs/>
          <w:szCs w:val="24"/>
          <w:lang w:val="pl-PL" w:eastAsia="en-GB"/>
        </w:rPr>
        <w:t>Komisja Europejska zobowiązała się do silnego wspierania gospodarki o obiegu zamkniętym, jako jednego z kluczowych czynników Europejskiego Zielonego Ładu. W 2020 r., Komisja uruchomiła plan działania dotyczący gospodarki o obiegu zamkniętym. Określa on inicjatywy w całym cyklu życia produktów. Myślenie o obiegu zamkniętym zaczyna się od projektowania produktów, promuje procesy o obiegu zamkniętym i jest ukierunkowane na zrównoważoną konsumpcję. Celem jest jak najdłuższe utrzymanie zasobów wykorzystywanych w gospodarce UE. Ponadto, plan działania wprowadza środki legislacyjne i pozalegislacyjne dotyczące obszarów, w których środki na szczeblu UE przyniosą rzeczywistą wartość dodaną</w:t>
      </w:r>
      <w:r w:rsidR="005753AD" w:rsidRPr="00F879CC">
        <w:rPr>
          <w:rFonts w:asciiTheme="minorHAnsi" w:eastAsia="Times New Roman" w:hAnsiTheme="minorHAnsi" w:cstheme="minorHAnsi"/>
          <w:iCs/>
          <w:szCs w:val="24"/>
          <w:lang w:val="pl-PL" w:eastAsia="en-GB"/>
        </w:rPr>
        <w:t xml:space="preserve">. </w:t>
      </w:r>
    </w:p>
    <w:p w14:paraId="37DD040C" w14:textId="0CDCF704" w:rsidR="005753AD" w:rsidRPr="00F879CC" w:rsidRDefault="00C12C2A"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iCs/>
          <w:szCs w:val="24"/>
          <w:lang w:val="pl-PL" w:eastAsia="en-GB"/>
        </w:rPr>
      </w:pPr>
      <w:r w:rsidRPr="00F879CC">
        <w:rPr>
          <w:rFonts w:asciiTheme="minorHAnsi" w:eastAsia="Times New Roman" w:hAnsiTheme="minorHAnsi" w:cstheme="minorHAnsi"/>
          <w:iCs/>
          <w:szCs w:val="24"/>
          <w:lang w:val="pl-PL" w:eastAsia="en-GB"/>
        </w:rPr>
        <w:t xml:space="preserve">Zaktualizowany plan działania SUE RMB 2020, wyraźnie odnosi się do potrzeby przejścia na gospodarkę o obiegu zamkniętym. W szczególności, plan działania przewiduje </w:t>
      </w:r>
      <w:r w:rsidR="00EA15C4" w:rsidRPr="00F879CC">
        <w:rPr>
          <w:rFonts w:asciiTheme="minorHAnsi" w:eastAsia="Times New Roman" w:hAnsiTheme="minorHAnsi" w:cstheme="minorHAnsi"/>
          <w:iCs/>
          <w:szCs w:val="24"/>
          <w:lang w:val="pl-PL" w:eastAsia="en-GB"/>
        </w:rPr>
        <w:t>„</w:t>
      </w:r>
      <w:r w:rsidRPr="00F879CC">
        <w:rPr>
          <w:rFonts w:asciiTheme="minorHAnsi" w:eastAsia="Times New Roman" w:hAnsiTheme="minorHAnsi" w:cstheme="minorHAnsi"/>
          <w:iCs/>
          <w:szCs w:val="24"/>
          <w:lang w:val="pl-PL" w:eastAsia="en-GB"/>
        </w:rPr>
        <w:t>wzmocnienie wielokrotnego wykorzystania zasobów poprzez podejście przekrojowe i międzysektorowe, aby uwolnić potencjał i przyspieszyć rozwój zrównoważonej (bio) gospodarki o obiegu zamkniętym</w:t>
      </w:r>
      <w:r w:rsidR="00EA15C4" w:rsidRPr="00F879CC">
        <w:rPr>
          <w:rFonts w:asciiTheme="minorHAnsi" w:eastAsia="Times New Roman" w:hAnsiTheme="minorHAnsi" w:cstheme="minorHAnsi"/>
          <w:iCs/>
          <w:szCs w:val="24"/>
          <w:lang w:val="pl-PL" w:eastAsia="en-GB"/>
        </w:rPr>
        <w:t>”</w:t>
      </w:r>
      <w:r w:rsidR="005753AD" w:rsidRPr="00F879CC">
        <w:rPr>
          <w:rFonts w:asciiTheme="minorHAnsi" w:eastAsia="Times New Roman" w:hAnsiTheme="minorHAnsi" w:cstheme="minorHAnsi"/>
          <w:iCs/>
          <w:szCs w:val="24"/>
          <w:lang w:val="pl-PL" w:eastAsia="en-GB"/>
        </w:rPr>
        <w:t xml:space="preserve">.   </w:t>
      </w:r>
    </w:p>
    <w:p w14:paraId="79A688E1" w14:textId="5D176989" w:rsidR="005C0D0F" w:rsidRPr="00F879CC" w:rsidRDefault="00C12C2A"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iCs/>
          <w:szCs w:val="24"/>
          <w:lang w:val="pl-PL" w:eastAsia="en-GB"/>
        </w:rPr>
      </w:pPr>
      <w:r w:rsidRPr="00F879CC">
        <w:rPr>
          <w:rFonts w:asciiTheme="minorHAnsi" w:eastAsia="Times New Roman" w:hAnsiTheme="minorHAnsi" w:cstheme="minorHAnsi"/>
          <w:iCs/>
          <w:szCs w:val="24"/>
          <w:lang w:val="pl-PL" w:eastAsia="en-GB"/>
        </w:rPr>
        <w:t>Zgodnie z poziomem UE, kraje RMB zidentyfikowały potencjał gospodarki o obiegu zamkniętym</w:t>
      </w:r>
      <w:r w:rsidR="002B2CF4">
        <w:rPr>
          <w:rFonts w:asciiTheme="minorHAnsi" w:eastAsia="Times New Roman" w:hAnsiTheme="minorHAnsi" w:cstheme="minorHAnsi"/>
          <w:iCs/>
          <w:szCs w:val="24"/>
          <w:lang w:val="pl-PL" w:eastAsia="en-GB"/>
        </w:rPr>
        <w:t>, zwracając</w:t>
      </w:r>
      <w:r w:rsidRPr="00F879CC">
        <w:rPr>
          <w:rFonts w:asciiTheme="minorHAnsi" w:eastAsia="Times New Roman" w:hAnsiTheme="minorHAnsi" w:cstheme="minorHAnsi"/>
          <w:iCs/>
          <w:szCs w:val="24"/>
          <w:lang w:val="pl-PL" w:eastAsia="en-GB"/>
        </w:rPr>
        <w:t xml:space="preserve"> uwagę nie tylko na korzyści ekonomiczne, ale także na możliwości </w:t>
      </w:r>
      <w:r w:rsidRPr="00F879CC">
        <w:rPr>
          <w:rFonts w:asciiTheme="minorHAnsi" w:eastAsia="Times New Roman" w:hAnsiTheme="minorHAnsi" w:cstheme="minorHAnsi"/>
          <w:iCs/>
          <w:szCs w:val="24"/>
          <w:lang w:val="pl-PL" w:eastAsia="en-GB"/>
        </w:rPr>
        <w:lastRenderedPageBreak/>
        <w:t>przeciwdziałania zmianom klimatycznym. Wiele analiz i strategii krajowych oraz regionalnych wyraża jednoznaczne zobowiązanie do wzmocnienia gospodarki o obiegu zamkniętym</w:t>
      </w:r>
      <w:r w:rsidR="005C0D0F" w:rsidRPr="00F879CC">
        <w:rPr>
          <w:rFonts w:asciiTheme="minorHAnsi" w:eastAsia="Times New Roman" w:hAnsiTheme="minorHAnsi" w:cstheme="minorHAnsi"/>
          <w:iCs/>
          <w:szCs w:val="24"/>
          <w:lang w:val="pl-PL" w:eastAsia="en-GB"/>
        </w:rPr>
        <w:t xml:space="preserve">. </w:t>
      </w:r>
    </w:p>
    <w:p w14:paraId="1CEF1196" w14:textId="6EC13F84" w:rsidR="005753AD" w:rsidRPr="00F879CC" w:rsidRDefault="00C12C2A"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iCs/>
          <w:szCs w:val="24"/>
          <w:lang w:val="pl-PL" w:eastAsia="en-GB"/>
        </w:rPr>
      </w:pPr>
      <w:r w:rsidRPr="00F879CC">
        <w:rPr>
          <w:rFonts w:asciiTheme="minorHAnsi" w:eastAsia="Times New Roman" w:hAnsiTheme="minorHAnsi" w:cstheme="minorHAnsi"/>
          <w:iCs/>
          <w:szCs w:val="24"/>
          <w:lang w:val="pl-PL" w:eastAsia="en-GB"/>
        </w:rPr>
        <w:t xml:space="preserve">Gospodarka o obiegu zamkniętym zyskała na znaczeniu dopiero w ostatnich latach. Mimo to, kilka projektów realizujących różne cele Interreg Region Morza Bałtyckiego 2014-2020 już </w:t>
      </w:r>
      <w:r w:rsidR="002B2CF4">
        <w:rPr>
          <w:rFonts w:asciiTheme="minorHAnsi" w:eastAsia="Times New Roman" w:hAnsiTheme="minorHAnsi" w:cstheme="minorHAnsi"/>
          <w:iCs/>
          <w:szCs w:val="24"/>
          <w:lang w:val="pl-PL" w:eastAsia="en-GB"/>
        </w:rPr>
        <w:t>podjęło ten temat</w:t>
      </w:r>
      <w:r w:rsidRPr="00F879CC">
        <w:rPr>
          <w:rFonts w:asciiTheme="minorHAnsi" w:eastAsia="Times New Roman" w:hAnsiTheme="minorHAnsi" w:cstheme="minorHAnsi"/>
          <w:iCs/>
          <w:szCs w:val="24"/>
          <w:lang w:val="pl-PL" w:eastAsia="en-GB"/>
        </w:rPr>
        <w:t>. Partnerstwa projektowe wspierały regionalnych interesariuszy w promowaniu obiegu zamkniętego. Pomogły one przełożyć krajowe i regionalne strategie inteligentnej specjalizacji na praktyczne podejście dla regionów. Ponadto, w ramach Programu, promowano zamówienia publiczne, jako sposób kreowania popytu na produkty i usługi o obiegu zamkniętym</w:t>
      </w:r>
      <w:r w:rsidR="00056F14">
        <w:rPr>
          <w:rFonts w:asciiTheme="minorHAnsi" w:eastAsia="Times New Roman" w:hAnsiTheme="minorHAnsi" w:cstheme="minorHAnsi"/>
          <w:iCs/>
          <w:szCs w:val="24"/>
          <w:lang w:val="pl-PL" w:eastAsia="en-GB"/>
        </w:rPr>
        <w:t>.</w:t>
      </w:r>
      <w:r w:rsidR="000B7995">
        <w:rPr>
          <w:rFonts w:asciiTheme="minorHAnsi" w:eastAsia="Times New Roman" w:hAnsiTheme="minorHAnsi" w:cstheme="minorHAnsi"/>
          <w:iCs/>
          <w:szCs w:val="24"/>
          <w:lang w:val="pl-PL" w:eastAsia="en-GB"/>
        </w:rPr>
        <w:t xml:space="preserve"> </w:t>
      </w:r>
      <w:r w:rsidR="00056F14">
        <w:rPr>
          <w:rFonts w:asciiTheme="minorHAnsi" w:eastAsia="Times New Roman" w:hAnsiTheme="minorHAnsi" w:cstheme="minorHAnsi"/>
          <w:iCs/>
          <w:szCs w:val="24"/>
          <w:lang w:val="pl-PL" w:eastAsia="en-GB"/>
        </w:rPr>
        <w:t>Przedsiębiorcom zaoferowano także</w:t>
      </w:r>
      <w:r w:rsidRPr="00F879CC">
        <w:rPr>
          <w:rFonts w:asciiTheme="minorHAnsi" w:eastAsia="Times New Roman" w:hAnsiTheme="minorHAnsi" w:cstheme="minorHAnsi"/>
          <w:iCs/>
          <w:szCs w:val="24"/>
          <w:lang w:val="pl-PL" w:eastAsia="en-GB"/>
        </w:rPr>
        <w:t xml:space="preserve"> wsparcie w tworzeniu takich ofert. Równolegle, w niektórych projektach wprowadzono obieg zamknięty w swoich sektorach, </w:t>
      </w:r>
      <w:r w:rsidR="00CC0F52" w:rsidRPr="00F879CC">
        <w:rPr>
          <w:rFonts w:asciiTheme="minorHAnsi" w:eastAsia="Times New Roman" w:hAnsiTheme="minorHAnsi" w:cstheme="minorHAnsi"/>
          <w:iCs/>
          <w:szCs w:val="24"/>
          <w:lang w:val="pl-PL" w:eastAsia="en-GB"/>
        </w:rPr>
        <w:t>np. ponowne</w:t>
      </w:r>
      <w:r w:rsidRPr="00F879CC">
        <w:rPr>
          <w:rFonts w:asciiTheme="minorHAnsi" w:eastAsia="Times New Roman" w:hAnsiTheme="minorHAnsi" w:cstheme="minorHAnsi"/>
          <w:iCs/>
          <w:szCs w:val="24"/>
          <w:lang w:val="pl-PL" w:eastAsia="en-GB"/>
        </w:rPr>
        <w:t xml:space="preserve"> wykorzystanie określonych odpadów lub oferowanie rozwiązań wspierających obieg zamknięty w transporcie. Te pierwsze próby pokazały </w:t>
      </w:r>
      <w:r w:rsidR="00056F14">
        <w:rPr>
          <w:rFonts w:asciiTheme="minorHAnsi" w:eastAsia="Times New Roman" w:hAnsiTheme="minorHAnsi" w:cstheme="minorHAnsi"/>
          <w:iCs/>
          <w:szCs w:val="24"/>
          <w:lang w:val="pl-PL" w:eastAsia="en-GB"/>
        </w:rPr>
        <w:t xml:space="preserve">zarówno </w:t>
      </w:r>
      <w:r w:rsidRPr="00F879CC">
        <w:rPr>
          <w:rFonts w:asciiTheme="minorHAnsi" w:eastAsia="Times New Roman" w:hAnsiTheme="minorHAnsi" w:cstheme="minorHAnsi"/>
          <w:iCs/>
          <w:szCs w:val="24"/>
          <w:lang w:val="pl-PL" w:eastAsia="en-GB"/>
        </w:rPr>
        <w:t xml:space="preserve">możliwości, </w:t>
      </w:r>
      <w:r w:rsidR="00056F14">
        <w:rPr>
          <w:rFonts w:asciiTheme="minorHAnsi" w:eastAsia="Times New Roman" w:hAnsiTheme="minorHAnsi" w:cstheme="minorHAnsi"/>
          <w:iCs/>
          <w:szCs w:val="24"/>
          <w:lang w:val="pl-PL" w:eastAsia="en-GB"/>
        </w:rPr>
        <w:t>jak i</w:t>
      </w:r>
      <w:r w:rsidRPr="00F879CC">
        <w:rPr>
          <w:rFonts w:asciiTheme="minorHAnsi" w:eastAsia="Times New Roman" w:hAnsiTheme="minorHAnsi" w:cstheme="minorHAnsi"/>
          <w:iCs/>
          <w:szCs w:val="24"/>
          <w:lang w:val="pl-PL" w:eastAsia="en-GB"/>
        </w:rPr>
        <w:t xml:space="preserve"> pewne ograniczenia w zakresie obiegu zamkniętego w RMB</w:t>
      </w:r>
      <w:r w:rsidR="005753AD" w:rsidRPr="00F879CC">
        <w:rPr>
          <w:rFonts w:asciiTheme="minorHAnsi" w:eastAsia="Times New Roman" w:hAnsiTheme="minorHAnsi" w:cstheme="minorHAnsi"/>
          <w:iCs/>
          <w:szCs w:val="24"/>
          <w:lang w:val="pl-PL" w:eastAsia="en-GB"/>
        </w:rPr>
        <w:t xml:space="preserve">. </w:t>
      </w:r>
    </w:p>
    <w:p w14:paraId="08448C9D" w14:textId="09AF5F76" w:rsidR="00DF09A5" w:rsidRPr="00F879CC" w:rsidRDefault="00C12C2A"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iCs/>
          <w:szCs w:val="24"/>
          <w:lang w:val="pl-PL" w:eastAsia="en-GB"/>
        </w:rPr>
      </w:pPr>
      <w:r w:rsidRPr="00F879CC">
        <w:rPr>
          <w:rFonts w:asciiTheme="minorHAnsi" w:eastAsia="Times New Roman" w:hAnsiTheme="minorHAnsi" w:cstheme="minorHAnsi"/>
          <w:iCs/>
          <w:szCs w:val="24"/>
          <w:lang w:val="pl-PL" w:eastAsia="en-GB"/>
        </w:rPr>
        <w:t xml:space="preserve">Od ponad dziesięciu lat kraje </w:t>
      </w:r>
      <w:r w:rsidR="00056F14">
        <w:rPr>
          <w:rFonts w:asciiTheme="minorHAnsi" w:eastAsia="Times New Roman" w:hAnsiTheme="minorHAnsi" w:cstheme="minorHAnsi"/>
          <w:iCs/>
          <w:szCs w:val="24"/>
          <w:lang w:val="pl-PL" w:eastAsia="en-GB"/>
        </w:rPr>
        <w:t>regionu</w:t>
      </w:r>
      <w:r w:rsidRPr="00F879CC">
        <w:rPr>
          <w:rFonts w:asciiTheme="minorHAnsi" w:eastAsia="Times New Roman" w:hAnsiTheme="minorHAnsi" w:cstheme="minorHAnsi"/>
          <w:iCs/>
          <w:szCs w:val="24"/>
          <w:lang w:val="pl-PL" w:eastAsia="en-GB"/>
        </w:rPr>
        <w:t xml:space="preserve"> Morza Bałtyckiego powoli przekształcają swoje gospodarki w kierunku ustanowienia modeli biznesowych o bardziej zamkniętym obiegu, napędzanych potrzebą efektywniejszego i bardziej ekologicznego zarządzania zasobami. Niektóre kraje można postrzegać, jako prekursorów gospodarki o obiegu zamkniętym</w:t>
      </w:r>
      <w:r w:rsidR="00FC5A35">
        <w:rPr>
          <w:rFonts w:asciiTheme="minorHAnsi" w:eastAsia="Times New Roman" w:hAnsiTheme="minorHAnsi" w:cstheme="minorHAnsi"/>
          <w:iCs/>
          <w:szCs w:val="24"/>
          <w:lang w:val="pl-PL" w:eastAsia="en-GB"/>
        </w:rPr>
        <w:t>,</w:t>
      </w:r>
      <w:r w:rsidRPr="00F879CC">
        <w:rPr>
          <w:rFonts w:asciiTheme="minorHAnsi" w:eastAsia="Times New Roman" w:hAnsiTheme="minorHAnsi" w:cstheme="minorHAnsi"/>
          <w:iCs/>
          <w:szCs w:val="24"/>
          <w:lang w:val="pl-PL" w:eastAsia="en-GB"/>
        </w:rPr>
        <w:t xml:space="preserve"> </w:t>
      </w:r>
      <w:r w:rsidR="00121E0B">
        <w:rPr>
          <w:rFonts w:asciiTheme="minorHAnsi" w:eastAsia="Times New Roman" w:hAnsiTheme="minorHAnsi" w:cstheme="minorHAnsi"/>
          <w:iCs/>
          <w:szCs w:val="24"/>
          <w:lang w:val="pl-PL" w:eastAsia="en-GB"/>
        </w:rPr>
        <w:t xml:space="preserve">a </w:t>
      </w:r>
      <w:r w:rsidR="00FC5A35">
        <w:rPr>
          <w:rFonts w:asciiTheme="minorHAnsi" w:eastAsia="Times New Roman" w:hAnsiTheme="minorHAnsi" w:cstheme="minorHAnsi"/>
          <w:iCs/>
          <w:szCs w:val="24"/>
          <w:lang w:val="pl-PL" w:eastAsia="en-GB"/>
        </w:rPr>
        <w:t>przed wieloma innymi</w:t>
      </w:r>
      <w:r w:rsidR="00A700F2" w:rsidRPr="00F879CC">
        <w:rPr>
          <w:rFonts w:asciiTheme="minorHAnsi" w:eastAsia="Times New Roman" w:hAnsiTheme="minorHAnsi" w:cstheme="minorHAnsi"/>
          <w:iCs/>
          <w:szCs w:val="24"/>
          <w:lang w:val="pl-PL" w:eastAsia="en-GB"/>
        </w:rPr>
        <w:t xml:space="preserve"> jeszcze dług</w:t>
      </w:r>
      <w:r w:rsidR="00121E0B">
        <w:rPr>
          <w:rFonts w:asciiTheme="minorHAnsi" w:eastAsia="Times New Roman" w:hAnsiTheme="minorHAnsi" w:cstheme="minorHAnsi"/>
          <w:iCs/>
          <w:szCs w:val="24"/>
          <w:lang w:val="pl-PL" w:eastAsia="en-GB"/>
        </w:rPr>
        <w:t>a</w:t>
      </w:r>
      <w:r w:rsidR="00A700F2" w:rsidRPr="00F879CC">
        <w:rPr>
          <w:rFonts w:asciiTheme="minorHAnsi" w:eastAsia="Times New Roman" w:hAnsiTheme="minorHAnsi" w:cstheme="minorHAnsi"/>
          <w:iCs/>
          <w:szCs w:val="24"/>
          <w:lang w:val="pl-PL" w:eastAsia="en-GB"/>
        </w:rPr>
        <w:t xml:space="preserve"> drog</w:t>
      </w:r>
      <w:r w:rsidR="00121E0B">
        <w:rPr>
          <w:rFonts w:asciiTheme="minorHAnsi" w:eastAsia="Times New Roman" w:hAnsiTheme="minorHAnsi" w:cstheme="minorHAnsi"/>
          <w:iCs/>
          <w:szCs w:val="24"/>
          <w:lang w:val="pl-PL" w:eastAsia="en-GB"/>
        </w:rPr>
        <w:t>a</w:t>
      </w:r>
      <w:r w:rsidR="00A700F2" w:rsidRPr="00F879CC">
        <w:rPr>
          <w:rFonts w:asciiTheme="minorHAnsi" w:eastAsia="Times New Roman" w:hAnsiTheme="minorHAnsi" w:cstheme="minorHAnsi"/>
          <w:iCs/>
          <w:szCs w:val="24"/>
          <w:lang w:val="pl-PL" w:eastAsia="en-GB"/>
        </w:rPr>
        <w:t>.</w:t>
      </w:r>
    </w:p>
    <w:p w14:paraId="1A8268E8" w14:textId="6D6A284B" w:rsidR="005753AD" w:rsidRPr="00F879CC" w:rsidRDefault="00C12C2A"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iCs/>
          <w:szCs w:val="24"/>
          <w:lang w:val="pl-PL" w:eastAsia="en-GB"/>
        </w:rPr>
      </w:pPr>
      <w:r w:rsidRPr="00F879CC">
        <w:rPr>
          <w:rFonts w:asciiTheme="minorHAnsi" w:eastAsia="Times New Roman" w:hAnsiTheme="minorHAnsi" w:cstheme="minorHAnsi"/>
          <w:iCs/>
          <w:szCs w:val="24"/>
          <w:lang w:val="pl-PL" w:eastAsia="en-GB"/>
        </w:rPr>
        <w:t xml:space="preserve">Patrząc na potencjał gospodarki o obiegu zamkniętym w regionie Morza </w:t>
      </w:r>
      <w:r w:rsidR="00CC0F52" w:rsidRPr="00F879CC">
        <w:rPr>
          <w:rFonts w:asciiTheme="minorHAnsi" w:eastAsia="Times New Roman" w:hAnsiTheme="minorHAnsi" w:cstheme="minorHAnsi"/>
          <w:iCs/>
          <w:szCs w:val="24"/>
          <w:lang w:val="pl-PL" w:eastAsia="en-GB"/>
        </w:rPr>
        <w:t>Bałtyckiego, jako</w:t>
      </w:r>
      <w:r w:rsidRPr="00F879CC">
        <w:rPr>
          <w:rFonts w:asciiTheme="minorHAnsi" w:eastAsia="Times New Roman" w:hAnsiTheme="minorHAnsi" w:cstheme="minorHAnsi"/>
          <w:iCs/>
          <w:szCs w:val="24"/>
          <w:lang w:val="pl-PL" w:eastAsia="en-GB"/>
        </w:rPr>
        <w:t xml:space="preserve"> środka przeciwdziałania zmianom klimatycznym i tworzenia zorientowanych na przyszłość gospodarczych łańcuchów wartości, współpraca transnarodowa będzie miała kluczowe znaczenie dla postępu</w:t>
      </w:r>
      <w:r w:rsidR="00121E0B">
        <w:rPr>
          <w:rFonts w:asciiTheme="minorHAnsi" w:eastAsia="Times New Roman" w:hAnsiTheme="minorHAnsi" w:cstheme="minorHAnsi"/>
          <w:iCs/>
          <w:szCs w:val="24"/>
          <w:lang w:val="pl-PL" w:eastAsia="en-GB"/>
        </w:rPr>
        <w:t xml:space="preserve"> w tym zakresie</w:t>
      </w:r>
      <w:r w:rsidRPr="00F879CC">
        <w:rPr>
          <w:rFonts w:asciiTheme="minorHAnsi" w:eastAsia="Times New Roman" w:hAnsiTheme="minorHAnsi" w:cstheme="minorHAnsi"/>
          <w:iCs/>
          <w:szCs w:val="24"/>
          <w:lang w:val="pl-PL" w:eastAsia="en-GB"/>
        </w:rPr>
        <w:t xml:space="preserve">. Transfer wiedzy między różnymi krajami, regionami i </w:t>
      </w:r>
      <w:r w:rsidR="00C87C8B" w:rsidRPr="00F879CC">
        <w:rPr>
          <w:rFonts w:asciiTheme="minorHAnsi" w:eastAsia="Times New Roman" w:hAnsiTheme="minorHAnsi" w:cstheme="minorHAnsi"/>
          <w:iCs/>
          <w:szCs w:val="24"/>
          <w:lang w:val="pl-PL" w:eastAsia="en-GB"/>
        </w:rPr>
        <w:t>interesariuszami</w:t>
      </w:r>
      <w:r w:rsidRPr="00F879CC">
        <w:rPr>
          <w:rFonts w:asciiTheme="minorHAnsi" w:eastAsia="Times New Roman" w:hAnsiTheme="minorHAnsi" w:cstheme="minorHAnsi"/>
          <w:iCs/>
          <w:szCs w:val="24"/>
          <w:lang w:val="pl-PL" w:eastAsia="en-GB"/>
        </w:rPr>
        <w:t xml:space="preserve"> ułatwi rozwój. Należy usunąć bariery administracyjne lub prawne, opracować politykę wspierającą podejście oparte na obiegu zamkniętym. Obieg zamknięty powinien stać się również częścią procesów planowania miejskiego i regionalnego. Aby uzyskać wsparcie od odpowiednich grup, ludzie muszą być bardziej świadomi i </w:t>
      </w:r>
      <w:r w:rsidR="006A64B2">
        <w:rPr>
          <w:rFonts w:asciiTheme="minorHAnsi" w:eastAsia="Times New Roman" w:hAnsiTheme="minorHAnsi" w:cstheme="minorHAnsi"/>
          <w:iCs/>
          <w:szCs w:val="24"/>
          <w:lang w:val="pl-PL" w:eastAsia="en-GB"/>
        </w:rPr>
        <w:t>posiadać większą wiedzę w zakresie potencjału i możliwości</w:t>
      </w:r>
      <w:r w:rsidRPr="00F879CC">
        <w:rPr>
          <w:rFonts w:asciiTheme="minorHAnsi" w:eastAsia="Times New Roman" w:hAnsiTheme="minorHAnsi" w:cstheme="minorHAnsi"/>
          <w:iCs/>
          <w:szCs w:val="24"/>
          <w:lang w:val="pl-PL" w:eastAsia="en-GB"/>
        </w:rPr>
        <w:t xml:space="preserve"> gospodarki o obiegu zamkniętym. Dotyczy to nie tylko obywateli, ale także środowiska biznesowego. Zmieniając zachowanie, obie grupy mogą znacząco przyczynić się do przejścia na gospodarkę o obiegu zamkniętym</w:t>
      </w:r>
      <w:r w:rsidR="005753AD" w:rsidRPr="00F879CC">
        <w:rPr>
          <w:rFonts w:asciiTheme="minorHAnsi" w:eastAsia="Times New Roman" w:hAnsiTheme="minorHAnsi" w:cstheme="minorHAnsi"/>
          <w:iCs/>
          <w:szCs w:val="24"/>
          <w:lang w:val="pl-PL" w:eastAsia="en-GB"/>
        </w:rPr>
        <w:t xml:space="preserve">. </w:t>
      </w:r>
    </w:p>
    <w:p w14:paraId="39880142" w14:textId="150C5E0C" w:rsidR="005753AD" w:rsidRPr="00F879CC" w:rsidRDefault="00A700F2"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iCs/>
          <w:szCs w:val="24"/>
          <w:lang w:val="pl-PL" w:eastAsia="en-GB"/>
        </w:rPr>
      </w:pPr>
      <w:r w:rsidRPr="00F879CC">
        <w:rPr>
          <w:rFonts w:asciiTheme="minorHAnsi" w:eastAsia="Times New Roman" w:hAnsiTheme="minorHAnsi" w:cstheme="minorHAnsi"/>
          <w:iCs/>
          <w:szCs w:val="24"/>
          <w:lang w:val="pl-PL" w:eastAsia="en-GB"/>
        </w:rPr>
        <w:t xml:space="preserve">Opisane wyzwania i potrzeby zostaną uwzględnione w Programie w Priorytecie 3 „Społeczeństwa neutralne dla klimatu” oraz w celu szczegółowym vi) </w:t>
      </w:r>
      <w:bookmarkStart w:id="17" w:name="OLE_LINK91"/>
      <w:bookmarkStart w:id="18" w:name="OLE_LINK92"/>
      <w:r w:rsidRPr="00F879CC">
        <w:rPr>
          <w:rFonts w:asciiTheme="minorHAnsi" w:eastAsia="Times New Roman" w:hAnsiTheme="minorHAnsi" w:cstheme="minorHAnsi"/>
          <w:iCs/>
          <w:szCs w:val="24"/>
          <w:lang w:val="pl-PL" w:eastAsia="en-GB"/>
        </w:rPr>
        <w:t>„</w:t>
      </w:r>
      <w:bookmarkEnd w:id="17"/>
      <w:bookmarkEnd w:id="18"/>
      <w:r w:rsidRPr="00F879CC">
        <w:rPr>
          <w:rFonts w:asciiTheme="minorHAnsi" w:eastAsia="Times New Roman" w:hAnsiTheme="minorHAnsi" w:cstheme="minorHAnsi"/>
          <w:iCs/>
          <w:szCs w:val="24"/>
          <w:lang w:val="pl-PL" w:eastAsia="en-GB"/>
        </w:rPr>
        <w:t xml:space="preserve">Promowanie transformacji w kierunku gospodarki o obiegu zamkniętym i zasobooszczędnej”, co przekłada się </w:t>
      </w:r>
      <w:r w:rsidRPr="006009E1">
        <w:rPr>
          <w:rFonts w:asciiTheme="minorHAnsi" w:eastAsia="Times New Roman" w:hAnsiTheme="minorHAnsi" w:cstheme="minorHAnsi"/>
          <w:iCs/>
          <w:szCs w:val="24"/>
          <w:lang w:val="pl-PL" w:eastAsia="en-GB"/>
        </w:rPr>
        <w:t xml:space="preserve">na Cel </w:t>
      </w:r>
      <w:r w:rsidR="009504A6" w:rsidRPr="006009E1">
        <w:rPr>
          <w:rFonts w:asciiTheme="minorHAnsi" w:eastAsia="Times New Roman" w:hAnsiTheme="minorHAnsi" w:cstheme="minorHAnsi"/>
          <w:iCs/>
          <w:szCs w:val="24"/>
          <w:lang w:val="pl-PL" w:eastAsia="en-GB"/>
        </w:rPr>
        <w:t xml:space="preserve">szczegółowy </w:t>
      </w:r>
      <w:r w:rsidRPr="006009E1">
        <w:rPr>
          <w:rFonts w:asciiTheme="minorHAnsi" w:eastAsia="Times New Roman" w:hAnsiTheme="minorHAnsi" w:cstheme="minorHAnsi"/>
          <w:iCs/>
          <w:szCs w:val="24"/>
          <w:lang w:val="pl-PL" w:eastAsia="en-GB"/>
        </w:rPr>
        <w:t>3.1 „Gospodarka o obiegu zamkniętym”</w:t>
      </w:r>
      <w:r w:rsidR="005753AD" w:rsidRPr="006009E1">
        <w:rPr>
          <w:rFonts w:asciiTheme="minorHAnsi" w:eastAsia="Times New Roman" w:hAnsiTheme="minorHAnsi" w:cstheme="minorHAnsi"/>
          <w:iCs/>
          <w:szCs w:val="24"/>
          <w:lang w:val="pl-PL" w:eastAsia="en-GB"/>
        </w:rPr>
        <w:t>.</w:t>
      </w:r>
    </w:p>
    <w:p w14:paraId="31A50829" w14:textId="392D9C10" w:rsidR="005753AD" w:rsidRPr="00F879CC" w:rsidRDefault="00A700F2"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b/>
          <w:bCs/>
          <w:iCs/>
          <w:szCs w:val="24"/>
          <w:lang w:val="pl-PL" w:eastAsia="en-GB"/>
        </w:rPr>
      </w:pPr>
      <w:r w:rsidRPr="00F879CC">
        <w:rPr>
          <w:rFonts w:asciiTheme="minorHAnsi" w:eastAsia="Times New Roman" w:hAnsiTheme="minorHAnsi" w:cstheme="minorHAnsi"/>
          <w:b/>
          <w:bCs/>
          <w:iCs/>
          <w:szCs w:val="24"/>
          <w:lang w:val="pl-PL" w:eastAsia="en-GB"/>
        </w:rPr>
        <w:t>Cel szczegółowy i) Promowanie efektywności energetycznej i redukcja emisji gazów cieplarnianych</w:t>
      </w:r>
    </w:p>
    <w:p w14:paraId="2336D5CD" w14:textId="0111765B" w:rsidR="005753AD" w:rsidRPr="00F879CC" w:rsidRDefault="00A700F2"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iCs/>
          <w:szCs w:val="24"/>
          <w:u w:val="single"/>
          <w:lang w:val="pl-PL" w:eastAsia="en-GB"/>
        </w:rPr>
      </w:pPr>
      <w:r w:rsidRPr="006009E1">
        <w:rPr>
          <w:rFonts w:asciiTheme="minorHAnsi" w:eastAsia="Times New Roman" w:hAnsiTheme="minorHAnsi" w:cstheme="minorHAnsi"/>
          <w:iCs/>
          <w:szCs w:val="24"/>
          <w:u w:val="single"/>
          <w:lang w:val="pl-PL" w:eastAsia="en-GB"/>
        </w:rPr>
        <w:t xml:space="preserve">Cel </w:t>
      </w:r>
      <w:r w:rsidR="009504A6" w:rsidRPr="006009E1">
        <w:rPr>
          <w:rFonts w:asciiTheme="minorHAnsi" w:eastAsia="Times New Roman" w:hAnsiTheme="minorHAnsi" w:cstheme="minorHAnsi"/>
          <w:iCs/>
          <w:szCs w:val="24"/>
          <w:u w:val="single"/>
          <w:lang w:val="pl-PL" w:eastAsia="en-GB"/>
        </w:rPr>
        <w:t xml:space="preserve">szczegółowy </w:t>
      </w:r>
      <w:r w:rsidRPr="006009E1">
        <w:rPr>
          <w:rFonts w:asciiTheme="minorHAnsi" w:eastAsia="Times New Roman" w:hAnsiTheme="minorHAnsi" w:cstheme="minorHAnsi"/>
          <w:iCs/>
          <w:szCs w:val="24"/>
          <w:u w:val="single"/>
          <w:lang w:val="pl-PL" w:eastAsia="en-GB"/>
        </w:rPr>
        <w:t xml:space="preserve">3.2 Transformacja </w:t>
      </w:r>
      <w:r w:rsidR="00CC0F52" w:rsidRPr="006009E1">
        <w:rPr>
          <w:rFonts w:asciiTheme="minorHAnsi" w:eastAsia="Times New Roman" w:hAnsiTheme="minorHAnsi" w:cstheme="minorHAnsi"/>
          <w:iCs/>
          <w:szCs w:val="24"/>
          <w:u w:val="single"/>
          <w:lang w:val="pl-PL" w:eastAsia="en-GB"/>
        </w:rPr>
        <w:t>energetyczna</w:t>
      </w:r>
    </w:p>
    <w:p w14:paraId="09B4E933" w14:textId="69A944FD" w:rsidR="005753AD" w:rsidRPr="00F879CC" w:rsidRDefault="00A700F2"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iCs/>
          <w:szCs w:val="24"/>
          <w:lang w:val="pl-PL" w:eastAsia="en-GB"/>
        </w:rPr>
      </w:pPr>
      <w:r w:rsidRPr="00F879CC">
        <w:rPr>
          <w:rFonts w:asciiTheme="minorHAnsi" w:eastAsia="Times New Roman" w:hAnsiTheme="minorHAnsi" w:cstheme="minorHAnsi"/>
          <w:iCs/>
          <w:szCs w:val="24"/>
          <w:lang w:val="pl-PL" w:eastAsia="en-GB"/>
        </w:rPr>
        <w:t>Tworzenie niskoemisyjnych systemów energetycznych oznacza zmniejszenie zużycia energii i emisji gazów cieplarnianych poprzez zwiększenie efektywności energetycznej i wykorzystanie odnawialnych źródeł energii</w:t>
      </w:r>
      <w:r w:rsidR="005753AD" w:rsidRPr="00F879CC">
        <w:rPr>
          <w:rFonts w:asciiTheme="minorHAnsi" w:eastAsia="Times New Roman" w:hAnsiTheme="minorHAnsi" w:cstheme="minorHAnsi"/>
          <w:iCs/>
          <w:szCs w:val="24"/>
          <w:lang w:val="pl-PL" w:eastAsia="en-GB"/>
        </w:rPr>
        <w:t xml:space="preserve">. </w:t>
      </w:r>
    </w:p>
    <w:p w14:paraId="7C630731" w14:textId="14512FE9" w:rsidR="005753AD" w:rsidRPr="00F879CC" w:rsidRDefault="00A700F2"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iCs/>
          <w:szCs w:val="24"/>
          <w:lang w:val="pl-PL" w:eastAsia="en-GB"/>
        </w:rPr>
      </w:pPr>
      <w:r w:rsidRPr="00F879CC">
        <w:rPr>
          <w:rFonts w:asciiTheme="minorHAnsi" w:eastAsia="Times New Roman" w:hAnsiTheme="minorHAnsi" w:cstheme="minorHAnsi"/>
          <w:iCs/>
          <w:szCs w:val="24"/>
          <w:lang w:val="pl-PL" w:eastAsia="en-GB"/>
        </w:rPr>
        <w:lastRenderedPageBreak/>
        <w:t xml:space="preserve">Przyglądając się poziomowi zużycia energii i wykorzystaniu energii odnawialnej </w:t>
      </w:r>
      <w:r w:rsidR="00AD261E" w:rsidRPr="00F879CC">
        <w:rPr>
          <w:rFonts w:asciiTheme="minorHAnsi" w:eastAsia="Times New Roman" w:hAnsiTheme="minorHAnsi" w:cstheme="minorHAnsi"/>
          <w:iCs/>
          <w:szCs w:val="24"/>
          <w:lang w:val="pl-PL" w:eastAsia="en-GB"/>
        </w:rPr>
        <w:t>oraz</w:t>
      </w:r>
      <w:r w:rsidRPr="00F879CC">
        <w:rPr>
          <w:rFonts w:asciiTheme="minorHAnsi" w:eastAsia="Times New Roman" w:hAnsiTheme="minorHAnsi" w:cstheme="minorHAnsi"/>
          <w:iCs/>
          <w:szCs w:val="24"/>
          <w:lang w:val="pl-PL" w:eastAsia="en-GB"/>
        </w:rPr>
        <w:t xml:space="preserve"> redukcj</w:t>
      </w:r>
      <w:r w:rsidR="00AD261E" w:rsidRPr="00F879CC">
        <w:rPr>
          <w:rFonts w:asciiTheme="minorHAnsi" w:eastAsia="Times New Roman" w:hAnsiTheme="minorHAnsi" w:cstheme="minorHAnsi"/>
          <w:iCs/>
          <w:szCs w:val="24"/>
          <w:lang w:val="pl-PL" w:eastAsia="en-GB"/>
        </w:rPr>
        <w:t>i</w:t>
      </w:r>
      <w:r w:rsidRPr="00F879CC">
        <w:rPr>
          <w:rFonts w:asciiTheme="minorHAnsi" w:eastAsia="Times New Roman" w:hAnsiTheme="minorHAnsi" w:cstheme="minorHAnsi"/>
          <w:iCs/>
          <w:szCs w:val="24"/>
          <w:lang w:val="pl-PL" w:eastAsia="en-GB"/>
        </w:rPr>
        <w:t xml:space="preserve"> emisji gazów cieplarnianych</w:t>
      </w:r>
      <w:r w:rsidR="0043663B">
        <w:rPr>
          <w:rFonts w:asciiTheme="minorHAnsi" w:eastAsia="Times New Roman" w:hAnsiTheme="minorHAnsi" w:cstheme="minorHAnsi"/>
          <w:iCs/>
          <w:szCs w:val="24"/>
          <w:lang w:val="pl-PL" w:eastAsia="en-GB"/>
        </w:rPr>
        <w:t>,</w:t>
      </w:r>
      <w:r w:rsidRPr="00F879CC">
        <w:rPr>
          <w:rFonts w:asciiTheme="minorHAnsi" w:eastAsia="Times New Roman" w:hAnsiTheme="minorHAnsi" w:cstheme="minorHAnsi"/>
          <w:iCs/>
          <w:szCs w:val="24"/>
          <w:lang w:val="pl-PL" w:eastAsia="en-GB"/>
        </w:rPr>
        <w:t xml:space="preserve"> otrzymujemy </w:t>
      </w:r>
      <w:r w:rsidR="009504A6">
        <w:rPr>
          <w:rFonts w:asciiTheme="minorHAnsi" w:eastAsia="Times New Roman" w:hAnsiTheme="minorHAnsi" w:cstheme="minorHAnsi"/>
          <w:iCs/>
          <w:szCs w:val="24"/>
          <w:lang w:val="pl-PL" w:eastAsia="en-GB"/>
        </w:rPr>
        <w:t>niejednorodny</w:t>
      </w:r>
      <w:r w:rsidRPr="00F879CC">
        <w:rPr>
          <w:rFonts w:asciiTheme="minorHAnsi" w:eastAsia="Times New Roman" w:hAnsiTheme="minorHAnsi" w:cstheme="minorHAnsi"/>
          <w:iCs/>
          <w:szCs w:val="24"/>
          <w:lang w:val="pl-PL" w:eastAsia="en-GB"/>
        </w:rPr>
        <w:t xml:space="preserve"> obraz RMB. Od 1990 r., ogólne zużycie energii nieznacznie spadło, przyczyniły się do tego zarówno gospodarstwa domowe</w:t>
      </w:r>
      <w:r w:rsidR="0043663B">
        <w:rPr>
          <w:rFonts w:asciiTheme="minorHAnsi" w:eastAsia="Times New Roman" w:hAnsiTheme="minorHAnsi" w:cstheme="minorHAnsi"/>
          <w:iCs/>
          <w:szCs w:val="24"/>
          <w:lang w:val="pl-PL" w:eastAsia="en-GB"/>
        </w:rPr>
        <w:t>,</w:t>
      </w:r>
      <w:r w:rsidRPr="00F879CC">
        <w:rPr>
          <w:rFonts w:asciiTheme="minorHAnsi" w:eastAsia="Times New Roman" w:hAnsiTheme="minorHAnsi" w:cstheme="minorHAnsi"/>
          <w:iCs/>
          <w:szCs w:val="24"/>
          <w:lang w:val="pl-PL" w:eastAsia="en-GB"/>
        </w:rPr>
        <w:t xml:space="preserve"> jak i sektor przemysłowy. Jednak</w:t>
      </w:r>
      <w:r w:rsidR="009504A6">
        <w:rPr>
          <w:rFonts w:asciiTheme="minorHAnsi" w:eastAsia="Times New Roman" w:hAnsiTheme="minorHAnsi" w:cstheme="minorHAnsi"/>
          <w:iCs/>
          <w:szCs w:val="24"/>
          <w:lang w:val="pl-PL" w:eastAsia="en-GB"/>
        </w:rPr>
        <w:t xml:space="preserve"> </w:t>
      </w:r>
      <w:r w:rsidR="0043663B">
        <w:rPr>
          <w:rFonts w:asciiTheme="minorHAnsi" w:eastAsia="Times New Roman" w:hAnsiTheme="minorHAnsi" w:cstheme="minorHAnsi"/>
          <w:iCs/>
          <w:szCs w:val="24"/>
          <w:lang w:val="pl-PL" w:eastAsia="en-GB"/>
        </w:rPr>
        <w:t>sytuacja</w:t>
      </w:r>
      <w:r w:rsidRPr="00F879CC">
        <w:rPr>
          <w:rFonts w:asciiTheme="minorHAnsi" w:eastAsia="Times New Roman" w:hAnsiTheme="minorHAnsi" w:cstheme="minorHAnsi"/>
          <w:iCs/>
          <w:szCs w:val="24"/>
          <w:lang w:val="pl-PL" w:eastAsia="en-GB"/>
        </w:rPr>
        <w:t xml:space="preserve"> jest mocno zróżnicowan</w:t>
      </w:r>
      <w:r w:rsidR="0043663B">
        <w:rPr>
          <w:rFonts w:asciiTheme="minorHAnsi" w:eastAsia="Times New Roman" w:hAnsiTheme="minorHAnsi" w:cstheme="minorHAnsi"/>
          <w:iCs/>
          <w:szCs w:val="24"/>
          <w:lang w:val="pl-PL" w:eastAsia="en-GB"/>
        </w:rPr>
        <w:t>a</w:t>
      </w:r>
      <w:r w:rsidRPr="00F879CC">
        <w:rPr>
          <w:rFonts w:asciiTheme="minorHAnsi" w:eastAsia="Times New Roman" w:hAnsiTheme="minorHAnsi" w:cstheme="minorHAnsi"/>
          <w:iCs/>
          <w:szCs w:val="24"/>
          <w:lang w:val="pl-PL" w:eastAsia="en-GB"/>
        </w:rPr>
        <w:t xml:space="preserve"> w poszczególnych krajach. Zmniejszył się udział energii kopalnej i istnieje tendencja do zwiększania udziału energii odnawialnej. Niemniej jednak, cele UE w zakresie redukcji emisji gazów cieplarnianych i neutralnych dla klimatu systemów energetycznych nie zostały jeszcze osiągnięte. W obliczu zachodzących zmian klimatycznych potrzeba ograniczenia emisji stała się jeszcze pilniejszym wyzwaniem</w:t>
      </w:r>
      <w:r w:rsidR="002D4CD7" w:rsidRPr="00F879CC">
        <w:rPr>
          <w:rFonts w:asciiTheme="minorHAnsi" w:eastAsia="Times New Roman" w:hAnsiTheme="minorHAnsi" w:cstheme="minorHAnsi"/>
          <w:iCs/>
          <w:szCs w:val="24"/>
          <w:lang w:val="pl-PL" w:eastAsia="en-GB"/>
        </w:rPr>
        <w:t>.</w:t>
      </w:r>
      <w:r w:rsidR="005753AD" w:rsidRPr="00F879CC">
        <w:rPr>
          <w:rFonts w:asciiTheme="minorHAnsi" w:eastAsia="Times New Roman" w:hAnsiTheme="minorHAnsi" w:cstheme="minorHAnsi"/>
          <w:iCs/>
          <w:szCs w:val="24"/>
          <w:lang w:val="pl-PL" w:eastAsia="en-GB"/>
        </w:rPr>
        <w:t xml:space="preserve"> </w:t>
      </w:r>
    </w:p>
    <w:p w14:paraId="7E17CF71" w14:textId="1A1920EF" w:rsidR="005753AD" w:rsidRPr="00F879CC" w:rsidRDefault="00A700F2"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F879CC">
        <w:rPr>
          <w:rFonts w:asciiTheme="minorHAnsi" w:eastAsia="Times New Roman" w:hAnsiTheme="minorHAnsi" w:cstheme="minorHAnsi"/>
          <w:szCs w:val="24"/>
          <w:lang w:val="pl-PL" w:eastAsia="en-GB"/>
        </w:rPr>
        <w:t xml:space="preserve">Aktualne analizy </w:t>
      </w:r>
      <w:r w:rsidR="00AD261E" w:rsidRPr="00F879CC">
        <w:rPr>
          <w:rFonts w:asciiTheme="minorHAnsi" w:eastAsia="Times New Roman" w:hAnsiTheme="minorHAnsi" w:cstheme="minorHAnsi"/>
          <w:szCs w:val="24"/>
          <w:lang w:val="pl-PL" w:eastAsia="en-GB"/>
        </w:rPr>
        <w:t>oraz</w:t>
      </w:r>
      <w:r w:rsidRPr="00F879CC">
        <w:rPr>
          <w:rFonts w:asciiTheme="minorHAnsi" w:eastAsia="Times New Roman" w:hAnsiTheme="minorHAnsi" w:cstheme="minorHAnsi"/>
          <w:szCs w:val="24"/>
          <w:lang w:val="pl-PL" w:eastAsia="en-GB"/>
        </w:rPr>
        <w:t xml:space="preserve"> strategie europejskie i panbałtyckie</w:t>
      </w:r>
      <w:r w:rsidR="00AD261E" w:rsidRPr="00F879CC">
        <w:rPr>
          <w:rFonts w:asciiTheme="minorHAnsi" w:eastAsia="Times New Roman" w:hAnsiTheme="minorHAnsi" w:cstheme="minorHAnsi"/>
          <w:szCs w:val="24"/>
          <w:lang w:val="pl-PL" w:eastAsia="en-GB"/>
        </w:rPr>
        <w:t>,</w:t>
      </w:r>
      <w:r w:rsidRPr="00F879CC">
        <w:rPr>
          <w:rFonts w:asciiTheme="minorHAnsi" w:eastAsia="Times New Roman" w:hAnsiTheme="minorHAnsi" w:cstheme="minorHAnsi"/>
          <w:szCs w:val="24"/>
          <w:lang w:val="pl-PL" w:eastAsia="en-GB"/>
        </w:rPr>
        <w:t xml:space="preserve"> krajowe i regionalne wskazują na duże znaczenie transformacji energetycznej</w:t>
      </w:r>
      <w:r w:rsidR="00347A19" w:rsidRPr="00F879CC">
        <w:rPr>
          <w:rFonts w:asciiTheme="minorHAnsi" w:eastAsia="Times New Roman" w:hAnsiTheme="minorHAnsi" w:cstheme="minorHAnsi"/>
          <w:szCs w:val="24"/>
          <w:lang w:val="pl-PL" w:eastAsia="en-GB"/>
        </w:rPr>
        <w:t>.</w:t>
      </w:r>
    </w:p>
    <w:p w14:paraId="727E30F0" w14:textId="5C083A78" w:rsidR="005753AD" w:rsidRPr="00F879CC" w:rsidRDefault="00A700F2"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iCs/>
          <w:szCs w:val="24"/>
          <w:lang w:val="pl-PL" w:eastAsia="en-GB"/>
        </w:rPr>
      </w:pPr>
      <w:r w:rsidRPr="00F879CC">
        <w:rPr>
          <w:rFonts w:asciiTheme="minorHAnsi" w:eastAsia="Times New Roman" w:hAnsiTheme="minorHAnsi" w:cstheme="minorHAnsi"/>
          <w:iCs/>
          <w:szCs w:val="24"/>
          <w:lang w:val="pl-PL" w:eastAsia="en-GB"/>
        </w:rPr>
        <w:t>Europejski Zielony Ład podkreśla kilka aspektów transformacji systemów energetycznych i kładzie nacisk na cel polegający na większej dekarbonizacji systemów energetycznych w UE. Zielony ład apeluje o przejście na produkcję czystej energii, zwiększoną efektywność energetyczną oraz wdrażanie inteligentnych i innowacyjnych technologii i infrastruktury (np. inteligentne sieci, integracja sektorowa</w:t>
      </w:r>
      <w:r w:rsidR="005753AD" w:rsidRPr="00F879CC">
        <w:rPr>
          <w:rFonts w:asciiTheme="minorHAnsi" w:eastAsia="Times New Roman" w:hAnsiTheme="minorHAnsi" w:cstheme="minorHAnsi"/>
          <w:iCs/>
          <w:szCs w:val="24"/>
          <w:lang w:val="pl-PL" w:eastAsia="en-GB"/>
        </w:rPr>
        <w:t>)</w:t>
      </w:r>
      <w:r w:rsidR="002D4CD7" w:rsidRPr="00F879CC">
        <w:rPr>
          <w:rFonts w:asciiTheme="minorHAnsi" w:eastAsia="Times New Roman" w:hAnsiTheme="minorHAnsi" w:cstheme="minorHAnsi"/>
          <w:iCs/>
          <w:szCs w:val="24"/>
          <w:lang w:val="pl-PL" w:eastAsia="en-GB"/>
        </w:rPr>
        <w:t>.</w:t>
      </w:r>
      <w:r w:rsidR="00BA7922" w:rsidRPr="00F879CC">
        <w:rPr>
          <w:rFonts w:asciiTheme="minorHAnsi" w:eastAsia="Times New Roman" w:hAnsiTheme="minorHAnsi" w:cstheme="minorHAnsi"/>
          <w:iCs/>
          <w:szCs w:val="24"/>
          <w:lang w:val="pl-PL" w:eastAsia="en-GB"/>
        </w:rPr>
        <w:t xml:space="preserve"> </w:t>
      </w:r>
    </w:p>
    <w:p w14:paraId="6CD062FF" w14:textId="05720BF0" w:rsidR="003E166C" w:rsidRPr="00F879CC" w:rsidRDefault="003E166C"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iCs/>
          <w:szCs w:val="24"/>
          <w:lang w:val="pl-PL" w:eastAsia="en-GB"/>
        </w:rPr>
      </w:pPr>
      <w:r w:rsidRPr="00F879CC">
        <w:rPr>
          <w:rFonts w:asciiTheme="minorHAnsi" w:eastAsia="Times New Roman" w:hAnsiTheme="minorHAnsi" w:cstheme="minorHAnsi"/>
          <w:iCs/>
          <w:szCs w:val="24"/>
          <w:lang w:val="pl-PL" w:eastAsia="en-GB"/>
        </w:rPr>
        <w:t xml:space="preserve">SUE RMB porusza również problemy bardziej zrównoważonej produkcji i zużycia energii. Cel </w:t>
      </w:r>
      <w:r w:rsidR="00121E0B">
        <w:rPr>
          <w:rFonts w:asciiTheme="minorHAnsi" w:eastAsia="Times New Roman" w:hAnsiTheme="minorHAnsi" w:cstheme="minorHAnsi"/>
          <w:iCs/>
          <w:szCs w:val="24"/>
          <w:lang w:val="pl-PL" w:eastAsia="en-GB"/>
        </w:rPr>
        <w:t>„</w:t>
      </w:r>
      <w:r w:rsidR="000A22C1">
        <w:rPr>
          <w:rFonts w:asciiTheme="minorHAnsi" w:eastAsia="Times New Roman" w:hAnsiTheme="minorHAnsi" w:cstheme="minorHAnsi"/>
          <w:iCs/>
          <w:szCs w:val="24"/>
          <w:lang w:val="pl-PL" w:eastAsia="en-GB"/>
        </w:rPr>
        <w:t>Poprawa spójności regionu</w:t>
      </w:r>
      <w:r w:rsidR="00121E0B">
        <w:rPr>
          <w:rFonts w:asciiTheme="minorHAnsi" w:eastAsia="Times New Roman" w:hAnsiTheme="minorHAnsi" w:cstheme="minorHAnsi"/>
          <w:iCs/>
          <w:szCs w:val="24"/>
          <w:lang w:val="pl-PL" w:eastAsia="en-GB"/>
        </w:rPr>
        <w:t>”</w:t>
      </w:r>
      <w:r w:rsidRPr="00F879CC">
        <w:rPr>
          <w:rFonts w:asciiTheme="minorHAnsi" w:eastAsia="Times New Roman" w:hAnsiTheme="minorHAnsi" w:cstheme="minorHAnsi"/>
          <w:iCs/>
          <w:szCs w:val="24"/>
          <w:lang w:val="pl-PL" w:eastAsia="en-GB"/>
        </w:rPr>
        <w:t xml:space="preserve"> </w:t>
      </w:r>
      <w:r w:rsidR="00121E0B">
        <w:rPr>
          <w:rFonts w:asciiTheme="minorHAnsi" w:eastAsia="Times New Roman" w:hAnsiTheme="minorHAnsi" w:cstheme="minorHAnsi"/>
          <w:iCs/>
          <w:szCs w:val="24"/>
          <w:lang w:val="pl-PL" w:eastAsia="en-GB"/>
        </w:rPr>
        <w:t>ma za zadanie</w:t>
      </w:r>
      <w:r w:rsidRPr="00F879CC">
        <w:rPr>
          <w:rFonts w:asciiTheme="minorHAnsi" w:eastAsia="Times New Roman" w:hAnsiTheme="minorHAnsi" w:cstheme="minorHAnsi"/>
          <w:iCs/>
          <w:szCs w:val="24"/>
          <w:lang w:val="pl-PL" w:eastAsia="en-GB"/>
        </w:rPr>
        <w:t xml:space="preserve"> osiągnięcie ogólnej redukcji emisji gazów cieplarnianych. Wezwania do działania obejmują bardziej wydajną dystrybucję energii, zwiększone wykorzystanie czystej energii odnawialnej oraz zmniejszone zapotrzebowanie na energię.</w:t>
      </w:r>
    </w:p>
    <w:p w14:paraId="1B92616D" w14:textId="1172CFF1" w:rsidR="005753AD" w:rsidRPr="00F879CC" w:rsidRDefault="003E166C"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iCs/>
          <w:szCs w:val="24"/>
          <w:lang w:val="pl-PL" w:eastAsia="en-GB"/>
        </w:rPr>
      </w:pPr>
      <w:r w:rsidRPr="00F879CC">
        <w:rPr>
          <w:rFonts w:asciiTheme="minorHAnsi" w:eastAsia="Times New Roman" w:hAnsiTheme="minorHAnsi" w:cstheme="minorHAnsi"/>
          <w:iCs/>
          <w:szCs w:val="24"/>
          <w:lang w:val="pl-PL" w:eastAsia="en-GB"/>
        </w:rPr>
        <w:t>Kraje i regiony RMB wzywają do przejścia na zdekarbonizowane systemy energetyczne. Kilka analiz krajowych i regionalnych podkreśla potrzebę wytwarzania i magazynowania energii w sposób nowoczesny i neutralny dla klimatu</w:t>
      </w:r>
      <w:r w:rsidR="00F40460" w:rsidRPr="00F879CC">
        <w:rPr>
          <w:rFonts w:asciiTheme="minorHAnsi" w:eastAsia="Times New Roman" w:hAnsiTheme="minorHAnsi" w:cstheme="minorHAnsi"/>
          <w:iCs/>
          <w:szCs w:val="24"/>
          <w:lang w:val="pl-PL" w:eastAsia="en-GB"/>
        </w:rPr>
        <w:t xml:space="preserve">. </w:t>
      </w:r>
    </w:p>
    <w:p w14:paraId="59B06072" w14:textId="1FDEC875" w:rsidR="005753AD" w:rsidRPr="00F879CC" w:rsidRDefault="003E166C"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iCs/>
          <w:szCs w:val="24"/>
          <w:lang w:val="pl-PL" w:eastAsia="en-GB"/>
        </w:rPr>
      </w:pPr>
      <w:r w:rsidRPr="00F879CC">
        <w:rPr>
          <w:rFonts w:asciiTheme="minorHAnsi" w:eastAsia="Times New Roman" w:hAnsiTheme="minorHAnsi" w:cstheme="minorHAnsi"/>
          <w:iCs/>
          <w:szCs w:val="24"/>
          <w:lang w:val="pl-PL" w:eastAsia="en-GB"/>
        </w:rPr>
        <w:t xml:space="preserve">Interreg Region Morza Bałtyckiego 2014-2020, poruszał przede wszystkim kwestie efektywności energetycznej i produkcji energii odnawialnej. Projekty wspierały władze publiczne, przedsiębiorstwa i społeczności w testowaniu i stosowaniu rozwiązań w zakresie produkcji energii odnawialnej oraz rozpowszechnianiu tych koncepcji na szczeblu lokalnym i regionalnym. Projekty wykorzystywały różne zasoby biologiczne dostępne w regionie, takie jak biomasę, energię wiatrową i termalną. Opracowano </w:t>
      </w:r>
      <w:r w:rsidR="00CC0F52" w:rsidRPr="007B3555">
        <w:rPr>
          <w:rFonts w:asciiTheme="minorHAnsi" w:eastAsia="Times New Roman" w:hAnsiTheme="minorHAnsi" w:cstheme="minorHAnsi"/>
          <w:iCs/>
          <w:szCs w:val="24"/>
          <w:lang w:val="pl-PL" w:eastAsia="en-GB"/>
        </w:rPr>
        <w:t>narzędzi</w:t>
      </w:r>
      <w:r w:rsidR="007B3555" w:rsidRPr="007B3555">
        <w:rPr>
          <w:rFonts w:asciiTheme="minorHAnsi" w:eastAsia="Times New Roman" w:hAnsiTheme="minorHAnsi" w:cstheme="minorHAnsi"/>
          <w:iCs/>
          <w:szCs w:val="24"/>
          <w:lang w:val="pl-PL" w:eastAsia="en-GB"/>
        </w:rPr>
        <w:t>a</w:t>
      </w:r>
      <w:r w:rsidR="00CC0F52" w:rsidRPr="007B3555">
        <w:rPr>
          <w:rFonts w:asciiTheme="minorHAnsi" w:eastAsia="Times New Roman" w:hAnsiTheme="minorHAnsi" w:cstheme="minorHAnsi"/>
          <w:iCs/>
          <w:szCs w:val="24"/>
          <w:lang w:val="pl-PL" w:eastAsia="en-GB"/>
        </w:rPr>
        <w:t xml:space="preserve">, np. </w:t>
      </w:r>
      <w:r w:rsidR="00CF17E8" w:rsidRPr="007B3555">
        <w:rPr>
          <w:rFonts w:asciiTheme="minorHAnsi" w:eastAsia="Times New Roman" w:hAnsiTheme="minorHAnsi" w:cstheme="minorHAnsi"/>
          <w:iCs/>
          <w:szCs w:val="24"/>
          <w:lang w:val="pl-PL" w:eastAsia="en-GB"/>
        </w:rPr>
        <w:t>pomagając</w:t>
      </w:r>
      <w:r w:rsidR="007B3555" w:rsidRPr="007B3555">
        <w:rPr>
          <w:rFonts w:asciiTheme="minorHAnsi" w:eastAsia="Times New Roman" w:hAnsiTheme="minorHAnsi" w:cstheme="minorHAnsi"/>
          <w:iCs/>
          <w:szCs w:val="24"/>
          <w:lang w:val="pl-PL" w:eastAsia="en-GB"/>
        </w:rPr>
        <w:t>e</w:t>
      </w:r>
      <w:r w:rsidRPr="007B3555">
        <w:rPr>
          <w:rFonts w:asciiTheme="minorHAnsi" w:eastAsia="Times New Roman" w:hAnsiTheme="minorHAnsi" w:cstheme="minorHAnsi"/>
          <w:iCs/>
          <w:szCs w:val="24"/>
          <w:lang w:val="pl-PL" w:eastAsia="en-GB"/>
        </w:rPr>
        <w:t xml:space="preserve"> władzom </w:t>
      </w:r>
      <w:r w:rsidR="009234FD" w:rsidRPr="007B3555">
        <w:rPr>
          <w:rFonts w:asciiTheme="minorHAnsi" w:eastAsia="Times New Roman" w:hAnsiTheme="minorHAnsi" w:cstheme="minorHAnsi"/>
          <w:iCs/>
          <w:szCs w:val="24"/>
          <w:lang w:val="pl-PL" w:eastAsia="en-GB"/>
        </w:rPr>
        <w:t xml:space="preserve">w podejmowaniu decyzji </w:t>
      </w:r>
      <w:r w:rsidRPr="007B3555">
        <w:rPr>
          <w:rFonts w:asciiTheme="minorHAnsi" w:eastAsia="Times New Roman" w:hAnsiTheme="minorHAnsi" w:cstheme="minorHAnsi"/>
          <w:iCs/>
          <w:szCs w:val="24"/>
          <w:lang w:val="pl-PL" w:eastAsia="en-GB"/>
        </w:rPr>
        <w:t>o wytwarzani</w:t>
      </w:r>
      <w:r w:rsidR="00CF17E8" w:rsidRPr="007B3555">
        <w:rPr>
          <w:rFonts w:asciiTheme="minorHAnsi" w:eastAsia="Times New Roman" w:hAnsiTheme="minorHAnsi" w:cstheme="minorHAnsi"/>
          <w:iCs/>
          <w:szCs w:val="24"/>
          <w:lang w:val="pl-PL" w:eastAsia="en-GB"/>
        </w:rPr>
        <w:t>u</w:t>
      </w:r>
      <w:r w:rsidRPr="007B3555">
        <w:rPr>
          <w:rFonts w:asciiTheme="minorHAnsi" w:eastAsia="Times New Roman" w:hAnsiTheme="minorHAnsi" w:cstheme="minorHAnsi"/>
          <w:iCs/>
          <w:szCs w:val="24"/>
          <w:lang w:val="pl-PL" w:eastAsia="en-GB"/>
        </w:rPr>
        <w:t xml:space="preserve"> energii ze źródeł </w:t>
      </w:r>
      <w:r w:rsidR="00CF17E8" w:rsidRPr="007B3555">
        <w:rPr>
          <w:rFonts w:asciiTheme="minorHAnsi" w:eastAsia="Times New Roman" w:hAnsiTheme="minorHAnsi" w:cstheme="minorHAnsi"/>
          <w:iCs/>
          <w:szCs w:val="24"/>
          <w:lang w:val="pl-PL" w:eastAsia="en-GB"/>
        </w:rPr>
        <w:t>odnawialnych zgodnie z potencjałem regionów</w:t>
      </w:r>
      <w:r w:rsidRPr="007B3555">
        <w:rPr>
          <w:rFonts w:asciiTheme="minorHAnsi" w:eastAsia="Times New Roman" w:hAnsiTheme="minorHAnsi" w:cstheme="minorHAnsi"/>
          <w:iCs/>
          <w:szCs w:val="24"/>
          <w:lang w:val="pl-PL" w:eastAsia="en-GB"/>
        </w:rPr>
        <w:t xml:space="preserve">, a także </w:t>
      </w:r>
      <w:r w:rsidR="007B3555" w:rsidRPr="007B3555">
        <w:rPr>
          <w:rFonts w:asciiTheme="minorHAnsi" w:eastAsia="Times New Roman" w:hAnsiTheme="minorHAnsi" w:cstheme="minorHAnsi"/>
          <w:iCs/>
          <w:szCs w:val="24"/>
          <w:lang w:val="pl-PL" w:eastAsia="en-GB"/>
        </w:rPr>
        <w:t>analizą wykonalności</w:t>
      </w:r>
      <w:r w:rsidRPr="007B3555">
        <w:rPr>
          <w:rFonts w:asciiTheme="minorHAnsi" w:eastAsia="Times New Roman" w:hAnsiTheme="minorHAnsi" w:cstheme="minorHAnsi"/>
          <w:iCs/>
          <w:szCs w:val="24"/>
          <w:lang w:val="pl-PL" w:eastAsia="en-GB"/>
        </w:rPr>
        <w:t xml:space="preserve"> i opłacalność inwestycji w infrastrukturę techniczną, np. sieci przesyłowe. Ponadto Program wspierał projekty związane z</w:t>
      </w:r>
      <w:r w:rsidRPr="00F879CC">
        <w:rPr>
          <w:rFonts w:asciiTheme="minorHAnsi" w:eastAsia="Times New Roman" w:hAnsiTheme="minorHAnsi" w:cstheme="minorHAnsi"/>
          <w:iCs/>
          <w:szCs w:val="24"/>
          <w:lang w:val="pl-PL" w:eastAsia="en-GB"/>
        </w:rPr>
        <w:t xml:space="preserve"> efektywnością energetyczną w miastach. Przykłady obejmują opracowywanie inteligentnych rozwiązań w zakresie oświetlenia lub zwiększanie efektywności energetycznej w budynkach prywatnych i użyteczności publicznej. Inwestycje pilotażowe pomogły zaprezentować te rozwiązania w praktyce, np. przetestowano instalacje w budynkach w celu monitorowania zużycia energii</w:t>
      </w:r>
      <w:r w:rsidR="0039320A" w:rsidRPr="00F879CC">
        <w:rPr>
          <w:rFonts w:asciiTheme="minorHAnsi" w:eastAsia="Times New Roman" w:hAnsiTheme="minorHAnsi" w:cstheme="minorHAnsi"/>
          <w:iCs/>
          <w:szCs w:val="24"/>
          <w:lang w:val="pl-PL" w:eastAsia="en-GB"/>
        </w:rPr>
        <w:t xml:space="preserve">. </w:t>
      </w:r>
    </w:p>
    <w:p w14:paraId="5E70EB0D" w14:textId="149C6731" w:rsidR="005753AD" w:rsidRPr="00F879CC" w:rsidRDefault="003E166C"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iCs/>
          <w:szCs w:val="24"/>
          <w:lang w:val="pl-PL" w:eastAsia="en-GB"/>
        </w:rPr>
      </w:pPr>
      <w:r w:rsidRPr="00F879CC">
        <w:rPr>
          <w:rFonts w:asciiTheme="minorHAnsi" w:eastAsia="Times New Roman" w:hAnsiTheme="minorHAnsi" w:cstheme="minorHAnsi"/>
          <w:iCs/>
          <w:szCs w:val="24"/>
          <w:lang w:val="pl-PL" w:eastAsia="en-GB"/>
        </w:rPr>
        <w:lastRenderedPageBreak/>
        <w:t>Ten krótki przegląd dowodzi, iż kroki podjęte w kierunku niskoemisyjnych systemów energetycznych przyniosły pozytywne rezultaty i powinny służyć, jako wzór dla innych. Potrzebne są jednak dalsze i wzmocnione działania transnarodowe. Tylko dzięki połączeniu wiedzy i kompetencji ze wszystkich części RMB można osiągnąć pilnie potrzebne redukcje emisji gazów cieplarnianych. Potrzebne są nowe rozwiązania w zakresie produkcji, magazynowania i wykorzystywania energii odnawialnej dla wszystkich sektorów. Należy znaleźć sposoby na wdrożenie większej ilości inicjatyw w zakresie efektywności energetycznej i oszczędzania energii. Niezbędne są zwiększone zdolności władz publicznych będących kluczowymi czynnikami umożliwiającymi dekarbonizację systemów energetycznych poprzez zorientowane na przyszłość polityki oraz przepisy, rozwój, wymianę oraz wprowadzanie dobrych praktyk w tej dziedzinie, jak również mobilizację obywateli i przemysłu</w:t>
      </w:r>
      <w:r w:rsidR="005753AD" w:rsidRPr="00F879CC">
        <w:rPr>
          <w:rFonts w:asciiTheme="minorHAnsi" w:eastAsia="Times New Roman" w:hAnsiTheme="minorHAnsi" w:cstheme="minorHAnsi"/>
          <w:iCs/>
          <w:szCs w:val="24"/>
          <w:lang w:val="pl-PL" w:eastAsia="en-GB"/>
        </w:rPr>
        <w:t xml:space="preserve">. </w:t>
      </w:r>
    </w:p>
    <w:p w14:paraId="7BF4B957" w14:textId="5DFE945B" w:rsidR="005753AD" w:rsidRPr="00F879CC" w:rsidRDefault="003E166C"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iCs/>
          <w:szCs w:val="24"/>
          <w:lang w:val="pl-PL" w:eastAsia="en-GB"/>
        </w:rPr>
      </w:pPr>
      <w:r w:rsidRPr="00F879CC">
        <w:rPr>
          <w:rFonts w:asciiTheme="minorHAnsi" w:eastAsia="Times New Roman" w:hAnsiTheme="minorHAnsi" w:cstheme="minorHAnsi"/>
          <w:iCs/>
          <w:szCs w:val="24"/>
          <w:lang w:val="pl-PL" w:eastAsia="en-GB"/>
        </w:rPr>
        <w:t xml:space="preserve">Opisane wyzwania i potrzeby zostaną uwzględnione w Programie w Priorytecie 3 „Społeczeństwa neutralne dla klimatu” oraz w celu szczegółowym i) </w:t>
      </w:r>
      <w:bookmarkStart w:id="19" w:name="OLE_LINK97"/>
      <w:bookmarkStart w:id="20" w:name="OLE_LINK98"/>
      <w:r w:rsidRPr="00F879CC">
        <w:rPr>
          <w:rFonts w:asciiTheme="minorHAnsi" w:eastAsia="Times New Roman" w:hAnsiTheme="minorHAnsi" w:cstheme="minorHAnsi"/>
          <w:iCs/>
          <w:szCs w:val="24"/>
          <w:lang w:val="pl-PL" w:eastAsia="en-GB"/>
        </w:rPr>
        <w:t>„</w:t>
      </w:r>
      <w:bookmarkEnd w:id="19"/>
      <w:bookmarkEnd w:id="20"/>
      <w:r w:rsidRPr="00F879CC">
        <w:rPr>
          <w:rFonts w:asciiTheme="minorHAnsi" w:eastAsia="Times New Roman" w:hAnsiTheme="minorHAnsi" w:cstheme="minorHAnsi"/>
          <w:iCs/>
          <w:szCs w:val="24"/>
          <w:lang w:val="pl-PL" w:eastAsia="en-GB"/>
        </w:rPr>
        <w:t xml:space="preserve">Promowanie efektywności energetycznej i redukcja emisji gazów cieplarnianych”, co przekłada się </w:t>
      </w:r>
      <w:r w:rsidRPr="006009E1">
        <w:rPr>
          <w:rFonts w:asciiTheme="minorHAnsi" w:eastAsia="Times New Roman" w:hAnsiTheme="minorHAnsi" w:cstheme="minorHAnsi"/>
          <w:iCs/>
          <w:szCs w:val="24"/>
          <w:lang w:val="pl-PL" w:eastAsia="en-GB"/>
        </w:rPr>
        <w:t xml:space="preserve">na Cel </w:t>
      </w:r>
      <w:r w:rsidR="004A6A29" w:rsidRPr="006009E1">
        <w:rPr>
          <w:rFonts w:asciiTheme="minorHAnsi" w:eastAsia="Times New Roman" w:hAnsiTheme="minorHAnsi" w:cstheme="minorHAnsi"/>
          <w:iCs/>
          <w:szCs w:val="24"/>
          <w:lang w:val="pl-PL" w:eastAsia="en-GB"/>
        </w:rPr>
        <w:t xml:space="preserve">szczegółowy </w:t>
      </w:r>
      <w:r w:rsidRPr="006009E1">
        <w:rPr>
          <w:rFonts w:asciiTheme="minorHAnsi" w:eastAsia="Times New Roman" w:hAnsiTheme="minorHAnsi" w:cstheme="minorHAnsi"/>
          <w:iCs/>
          <w:szCs w:val="24"/>
          <w:lang w:val="pl-PL" w:eastAsia="en-GB"/>
        </w:rPr>
        <w:t>3.2 Transformacja energetyczna</w:t>
      </w:r>
      <w:r w:rsidR="005753AD" w:rsidRPr="006009E1">
        <w:rPr>
          <w:rFonts w:asciiTheme="minorHAnsi" w:eastAsia="Times New Roman" w:hAnsiTheme="minorHAnsi" w:cstheme="minorHAnsi"/>
          <w:iCs/>
          <w:szCs w:val="24"/>
          <w:lang w:val="pl-PL" w:eastAsia="en-GB"/>
        </w:rPr>
        <w:t>.</w:t>
      </w:r>
    </w:p>
    <w:p w14:paraId="76774B18" w14:textId="020CABDD" w:rsidR="005753AD" w:rsidRPr="00F879CC" w:rsidRDefault="00FF0E0F"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b/>
          <w:bCs/>
          <w:iCs/>
          <w:szCs w:val="24"/>
          <w:lang w:val="pl-PL" w:eastAsia="en-GB"/>
        </w:rPr>
      </w:pPr>
      <w:r w:rsidRPr="00F879CC">
        <w:rPr>
          <w:rFonts w:asciiTheme="minorHAnsi" w:eastAsia="Times New Roman" w:hAnsiTheme="minorHAnsi" w:cstheme="minorHAnsi"/>
          <w:b/>
          <w:bCs/>
          <w:iCs/>
          <w:szCs w:val="24"/>
          <w:lang w:val="pl-PL" w:eastAsia="en-GB"/>
        </w:rPr>
        <w:t>Cel szczegółowy (viii) promowanie zrównoważonej, multimodalnej mobilności miejskiej, jako elementu transformacji w kierunku gospodarki o zerowej emisji dwutlenku węgla netto</w:t>
      </w:r>
    </w:p>
    <w:p w14:paraId="5988C7BC" w14:textId="22BF74C2" w:rsidR="005753AD" w:rsidRPr="00F879CC" w:rsidRDefault="00FF0E0F" w:rsidP="00DC4C40">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Times New Roman" w:hAnsiTheme="minorHAnsi" w:cstheme="minorHAnsi"/>
          <w:iCs/>
          <w:szCs w:val="24"/>
          <w:u w:val="single"/>
          <w:lang w:val="pl-PL" w:eastAsia="en-GB"/>
        </w:rPr>
      </w:pPr>
      <w:r w:rsidRPr="006009E1">
        <w:rPr>
          <w:rFonts w:asciiTheme="minorHAnsi" w:eastAsia="Times New Roman" w:hAnsiTheme="minorHAnsi" w:cstheme="minorHAnsi"/>
          <w:iCs/>
          <w:szCs w:val="24"/>
          <w:u w:val="single"/>
          <w:lang w:val="pl-PL" w:eastAsia="en-GB"/>
        </w:rPr>
        <w:t xml:space="preserve">Cel </w:t>
      </w:r>
      <w:r w:rsidR="004A6A29" w:rsidRPr="006009E1">
        <w:rPr>
          <w:rFonts w:asciiTheme="minorHAnsi" w:eastAsia="Times New Roman" w:hAnsiTheme="minorHAnsi" w:cstheme="minorHAnsi"/>
          <w:iCs/>
          <w:szCs w:val="24"/>
          <w:u w:val="single"/>
          <w:lang w:val="pl-PL" w:eastAsia="en-GB"/>
        </w:rPr>
        <w:t xml:space="preserve">szczegółowy </w:t>
      </w:r>
      <w:r w:rsidRPr="006009E1">
        <w:rPr>
          <w:rFonts w:asciiTheme="minorHAnsi" w:eastAsia="Times New Roman" w:hAnsiTheme="minorHAnsi" w:cstheme="minorHAnsi"/>
          <w:iCs/>
          <w:szCs w:val="24"/>
          <w:u w:val="single"/>
          <w:lang w:val="pl-PL" w:eastAsia="en-GB"/>
        </w:rPr>
        <w:t>3.3 Inteligentna zielona mobilność</w:t>
      </w:r>
      <w:r w:rsidR="005753AD" w:rsidRPr="00F879CC">
        <w:rPr>
          <w:rFonts w:asciiTheme="minorHAnsi" w:eastAsia="Times New Roman" w:hAnsiTheme="minorHAnsi" w:cstheme="minorHAnsi"/>
          <w:iCs/>
          <w:szCs w:val="24"/>
          <w:u w:val="single"/>
          <w:lang w:val="pl-PL" w:eastAsia="en-GB"/>
        </w:rPr>
        <w:t xml:space="preserve">  </w:t>
      </w:r>
    </w:p>
    <w:p w14:paraId="6F63666A" w14:textId="17A948D8" w:rsidR="005753AD" w:rsidRPr="00F879CC" w:rsidRDefault="00FF0E0F"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iCs/>
          <w:szCs w:val="24"/>
          <w:lang w:val="pl-PL" w:eastAsia="en-GB"/>
        </w:rPr>
      </w:pPr>
      <w:r w:rsidRPr="00F879CC">
        <w:rPr>
          <w:rFonts w:asciiTheme="minorHAnsi" w:eastAsia="Times New Roman" w:hAnsiTheme="minorHAnsi" w:cstheme="minorHAnsi"/>
          <w:iCs/>
          <w:szCs w:val="24"/>
          <w:lang w:val="pl-PL" w:eastAsia="en-GB"/>
        </w:rPr>
        <w:t>„Zielony i inteligentny transport oraz mobilność” to przejście w kierunku zerowej emisji gazów cieplarnianych oraz bardziej zintegrowanych środków i systemów transportu. Aby to osiągnąć należy intensywniej rozwijać i stosować narzędzia cyfrowe. Władze publiczne muszą być znacznie lepiej przygotowane. Ponadto, odpowiednie firmy i obywatele powinni być bardziej świadomi, będąc przecież głównymi użytkownikami innowacyjnych usług transportowych i mobilnych</w:t>
      </w:r>
      <w:r w:rsidR="005753AD" w:rsidRPr="00F879CC">
        <w:rPr>
          <w:rFonts w:asciiTheme="minorHAnsi" w:eastAsia="Times New Roman" w:hAnsiTheme="minorHAnsi" w:cstheme="minorHAnsi"/>
          <w:iCs/>
          <w:szCs w:val="24"/>
          <w:lang w:val="pl-PL" w:eastAsia="en-GB"/>
        </w:rPr>
        <w:t xml:space="preserve">. </w:t>
      </w:r>
    </w:p>
    <w:p w14:paraId="2EC70EF9" w14:textId="6AA2B5EB" w:rsidR="00FF0E0F" w:rsidRPr="00F879CC" w:rsidRDefault="00FF0E0F"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iCs/>
          <w:szCs w:val="24"/>
          <w:lang w:val="pl-PL" w:eastAsia="en-GB"/>
        </w:rPr>
      </w:pPr>
      <w:r w:rsidRPr="00F879CC">
        <w:rPr>
          <w:rFonts w:asciiTheme="minorHAnsi" w:eastAsia="Times New Roman" w:hAnsiTheme="minorHAnsi" w:cstheme="minorHAnsi"/>
          <w:iCs/>
          <w:szCs w:val="24"/>
          <w:lang w:val="pl-PL" w:eastAsia="en-GB"/>
        </w:rPr>
        <w:t xml:space="preserve">Dane statystyczne dotyczące krajów RMB zbierane w ostatnich latach wskazują na rosnące zapotrzebowanie na mobilność. Mobilność towarów i osób stale </w:t>
      </w:r>
      <w:r w:rsidR="00CC0F52" w:rsidRPr="00F879CC">
        <w:rPr>
          <w:rFonts w:asciiTheme="minorHAnsi" w:eastAsia="Times New Roman" w:hAnsiTheme="minorHAnsi" w:cstheme="minorHAnsi"/>
          <w:iCs/>
          <w:szCs w:val="24"/>
          <w:lang w:val="pl-PL" w:eastAsia="en-GB"/>
        </w:rPr>
        <w:t xml:space="preserve">rośnie, </w:t>
      </w:r>
      <w:r w:rsidRPr="00F879CC">
        <w:rPr>
          <w:rFonts w:asciiTheme="minorHAnsi" w:eastAsia="Times New Roman" w:hAnsiTheme="minorHAnsi" w:cstheme="minorHAnsi"/>
          <w:iCs/>
          <w:szCs w:val="24"/>
          <w:lang w:val="pl-PL" w:eastAsia="en-GB"/>
        </w:rPr>
        <w:t xml:space="preserve">istnieje </w:t>
      </w:r>
      <w:r w:rsidR="008C6387">
        <w:rPr>
          <w:rFonts w:asciiTheme="minorHAnsi" w:eastAsia="Times New Roman" w:hAnsiTheme="minorHAnsi" w:cstheme="minorHAnsi"/>
          <w:iCs/>
          <w:szCs w:val="24"/>
          <w:lang w:val="pl-PL" w:eastAsia="en-GB"/>
        </w:rPr>
        <w:t xml:space="preserve">zarazem </w:t>
      </w:r>
      <w:r w:rsidRPr="00F879CC">
        <w:rPr>
          <w:rFonts w:asciiTheme="minorHAnsi" w:eastAsia="Times New Roman" w:hAnsiTheme="minorHAnsi" w:cstheme="minorHAnsi"/>
          <w:iCs/>
          <w:szCs w:val="24"/>
          <w:lang w:val="pl-PL" w:eastAsia="en-GB"/>
        </w:rPr>
        <w:t>powszechnie uznana potrzeba ograniczenia zanieczyszczeń powodowanych przez ruch drogowy.</w:t>
      </w:r>
    </w:p>
    <w:p w14:paraId="66B1F4C8" w14:textId="25962FD0" w:rsidR="00F762D2" w:rsidRPr="00F879CC" w:rsidRDefault="00FF0E0F"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iCs/>
          <w:szCs w:val="24"/>
          <w:lang w:val="pl-PL" w:eastAsia="en-GB"/>
        </w:rPr>
      </w:pPr>
      <w:r w:rsidRPr="00F879CC">
        <w:rPr>
          <w:rFonts w:asciiTheme="minorHAnsi" w:eastAsia="Times New Roman" w:hAnsiTheme="minorHAnsi" w:cstheme="minorHAnsi"/>
          <w:iCs/>
          <w:szCs w:val="24"/>
          <w:lang w:val="pl-PL" w:eastAsia="en-GB"/>
        </w:rPr>
        <w:t>Zielony i inteligentny transport zajmuje czołową pozycję w europejskich, panbałtyckich oraz krajowych i regionalnych analizach i strategiach w całym regionie Morza Bałtyckiego</w:t>
      </w:r>
      <w:r w:rsidR="00F762D2" w:rsidRPr="00F879CC">
        <w:rPr>
          <w:rFonts w:asciiTheme="minorHAnsi" w:eastAsia="Times New Roman" w:hAnsiTheme="minorHAnsi" w:cstheme="minorHAnsi"/>
          <w:iCs/>
          <w:szCs w:val="24"/>
          <w:lang w:val="pl-PL" w:eastAsia="en-GB"/>
        </w:rPr>
        <w:t xml:space="preserve">. </w:t>
      </w:r>
    </w:p>
    <w:p w14:paraId="4708E29C" w14:textId="245BB7F1" w:rsidR="005753AD" w:rsidRPr="00F879CC" w:rsidRDefault="0031186A"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iCs/>
          <w:szCs w:val="24"/>
          <w:lang w:val="pl-PL" w:eastAsia="en-GB"/>
        </w:rPr>
      </w:pPr>
      <w:r w:rsidRPr="00F879CC">
        <w:rPr>
          <w:rFonts w:asciiTheme="minorHAnsi" w:eastAsia="Times New Roman" w:hAnsiTheme="minorHAnsi" w:cstheme="minorHAnsi"/>
          <w:iCs/>
          <w:szCs w:val="24"/>
          <w:lang w:val="pl-PL" w:eastAsia="en-GB"/>
        </w:rPr>
        <w:t>Europejski Zielony Ład oraz „</w:t>
      </w:r>
      <w:r w:rsidR="00FF0E0F" w:rsidRPr="00F879CC">
        <w:rPr>
          <w:rFonts w:asciiTheme="minorHAnsi" w:eastAsia="Times New Roman" w:hAnsiTheme="minorHAnsi" w:cstheme="minorHAnsi"/>
          <w:iCs/>
          <w:szCs w:val="24"/>
          <w:lang w:val="pl-PL" w:eastAsia="en-GB"/>
        </w:rPr>
        <w:t>Strategia zrównoważ</w:t>
      </w:r>
      <w:r w:rsidRPr="00F879CC">
        <w:rPr>
          <w:rFonts w:asciiTheme="minorHAnsi" w:eastAsia="Times New Roman" w:hAnsiTheme="minorHAnsi" w:cstheme="minorHAnsi"/>
          <w:iCs/>
          <w:szCs w:val="24"/>
          <w:lang w:val="pl-PL" w:eastAsia="en-GB"/>
        </w:rPr>
        <w:t>onej i inteligentnej mobilności”</w:t>
      </w:r>
      <w:r w:rsidR="00FF0E0F" w:rsidRPr="00F879CC">
        <w:rPr>
          <w:rFonts w:asciiTheme="minorHAnsi" w:eastAsia="Times New Roman" w:hAnsiTheme="minorHAnsi" w:cstheme="minorHAnsi"/>
          <w:iCs/>
          <w:szCs w:val="24"/>
          <w:lang w:val="pl-PL" w:eastAsia="en-GB"/>
        </w:rPr>
        <w:t xml:space="preserve"> wskazują, iż sektor transportu musi pilnie zredukować emisje gazów cieplarnianych. Jako kluczowy czynnik wymieniany jest zwrot w kierunku systemów multimodalnych. Ponadto, paliwa alternatywne oraz bardziej zintegrowane systemy i usługi transportowe wymagają zaawansowanej infrastruktury, jako warunku wstępnego dla przyciągnięcia większej liczby potencjalnych użytkowników do zielonego transportu i ofert w zakresie mobilności</w:t>
      </w:r>
      <w:r w:rsidR="00F762D2" w:rsidRPr="00F879CC">
        <w:rPr>
          <w:rFonts w:asciiTheme="minorHAnsi" w:eastAsia="Times New Roman" w:hAnsiTheme="minorHAnsi" w:cstheme="minorHAnsi"/>
          <w:iCs/>
          <w:szCs w:val="24"/>
          <w:lang w:val="pl-PL" w:eastAsia="en-GB"/>
        </w:rPr>
        <w:t>.</w:t>
      </w:r>
      <w:r w:rsidR="005753AD" w:rsidRPr="00F879CC">
        <w:rPr>
          <w:rFonts w:asciiTheme="minorHAnsi" w:eastAsia="Times New Roman" w:hAnsiTheme="minorHAnsi" w:cstheme="minorHAnsi"/>
          <w:iCs/>
          <w:szCs w:val="24"/>
          <w:lang w:val="pl-PL" w:eastAsia="en-GB"/>
        </w:rPr>
        <w:t xml:space="preserve"> </w:t>
      </w:r>
    </w:p>
    <w:p w14:paraId="3AEA61D9" w14:textId="6A134C6F" w:rsidR="005753AD" w:rsidRPr="00F879CC" w:rsidRDefault="007C6E47"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iCs/>
          <w:szCs w:val="24"/>
          <w:lang w:val="pl-PL" w:eastAsia="en-GB"/>
        </w:rPr>
      </w:pPr>
      <w:r w:rsidRPr="00F879CC">
        <w:rPr>
          <w:rFonts w:asciiTheme="minorHAnsi" w:eastAsia="Times New Roman" w:hAnsiTheme="minorHAnsi" w:cstheme="minorHAnsi"/>
          <w:iCs/>
          <w:szCs w:val="24"/>
          <w:lang w:val="pl-PL" w:eastAsia="en-GB"/>
        </w:rPr>
        <w:lastRenderedPageBreak/>
        <w:t xml:space="preserve">SUE RMB podkreśla również potrzebę zwiększenia wydajności oraz zminimalizowania wpływu systemów mobilności na środowisko. Jeśli pragniemy uczynić transport i systemy mobilności bardziej zielonymi, to nie wystarczy polegać na działaniach krajowych i regionalnych. Współpraca transgraniczna sama w sobie </w:t>
      </w:r>
      <w:r w:rsidR="007B70C2">
        <w:rPr>
          <w:rFonts w:asciiTheme="minorHAnsi" w:eastAsia="Times New Roman" w:hAnsiTheme="minorHAnsi" w:cstheme="minorHAnsi"/>
          <w:iCs/>
          <w:szCs w:val="24"/>
          <w:lang w:val="pl-PL" w:eastAsia="en-GB"/>
        </w:rPr>
        <w:t xml:space="preserve">nie </w:t>
      </w:r>
      <w:r w:rsidRPr="00F879CC">
        <w:rPr>
          <w:rFonts w:asciiTheme="minorHAnsi" w:eastAsia="Times New Roman" w:hAnsiTheme="minorHAnsi" w:cstheme="minorHAnsi"/>
          <w:iCs/>
          <w:szCs w:val="24"/>
          <w:lang w:val="pl-PL" w:eastAsia="en-GB"/>
        </w:rPr>
        <w:t>jest w stanie rozwiązać problemu negatywnych skutków transportu i mobilności. Zamiast tego, w ramach RMB, wymagana jest szersza współpraca transnarodowa</w:t>
      </w:r>
      <w:r w:rsidR="00D84F4E" w:rsidRPr="00F879CC">
        <w:rPr>
          <w:rFonts w:asciiTheme="minorHAnsi" w:eastAsia="Times New Roman" w:hAnsiTheme="minorHAnsi" w:cstheme="minorHAnsi"/>
          <w:iCs/>
          <w:szCs w:val="24"/>
          <w:lang w:val="pl-PL" w:eastAsia="en-GB"/>
        </w:rPr>
        <w:t>.</w:t>
      </w:r>
      <w:r w:rsidR="005753AD" w:rsidRPr="00F879CC">
        <w:rPr>
          <w:rFonts w:asciiTheme="minorHAnsi" w:eastAsia="Times New Roman" w:hAnsiTheme="minorHAnsi" w:cstheme="minorHAnsi"/>
          <w:iCs/>
          <w:szCs w:val="24"/>
          <w:lang w:val="pl-PL" w:eastAsia="en-GB"/>
        </w:rPr>
        <w:t xml:space="preserve"> </w:t>
      </w:r>
    </w:p>
    <w:p w14:paraId="4CB8A03E" w14:textId="677E207D" w:rsidR="005753AD" w:rsidRPr="00F879CC" w:rsidRDefault="007C6E47"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iCs/>
          <w:szCs w:val="24"/>
          <w:lang w:val="pl-PL" w:eastAsia="en-GB"/>
        </w:rPr>
      </w:pPr>
      <w:r w:rsidRPr="00F879CC">
        <w:rPr>
          <w:rFonts w:asciiTheme="minorHAnsi" w:eastAsia="Times New Roman" w:hAnsiTheme="minorHAnsi" w:cstheme="minorHAnsi"/>
          <w:iCs/>
          <w:szCs w:val="24"/>
          <w:lang w:val="pl-PL" w:eastAsia="en-GB"/>
        </w:rPr>
        <w:t>Zgodnie z Europejskim Zielonym Ładem i według SUE RMB, kraje i regiony podkreślają potrzebę przejścia na bardziej zrównoważone rodzaje transportu pasażerskiego i towarowego. Analizy i strategie krajowe oraz regionalne wskazują, że pomyślna zmiana może zostać zrealizowana tylko dzięki ścisłej współpracy między krajami i regionami. Do zainicjowania i urzeczywistnienia zmian potrzebna jest perspektywa makroregionalna</w:t>
      </w:r>
      <w:r w:rsidR="005753AD" w:rsidRPr="00F879CC">
        <w:rPr>
          <w:rFonts w:asciiTheme="minorHAnsi" w:eastAsia="Times New Roman" w:hAnsiTheme="minorHAnsi" w:cstheme="minorHAnsi"/>
          <w:iCs/>
          <w:szCs w:val="24"/>
          <w:lang w:val="pl-PL" w:eastAsia="en-GB"/>
        </w:rPr>
        <w:t xml:space="preserve">.  </w:t>
      </w:r>
    </w:p>
    <w:p w14:paraId="61E83F44" w14:textId="2646303B" w:rsidR="005753AD" w:rsidRPr="00F879CC" w:rsidRDefault="007C6E47"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iCs/>
          <w:szCs w:val="24"/>
          <w:lang w:val="pl-PL" w:eastAsia="en-GB"/>
        </w:rPr>
      </w:pPr>
      <w:r w:rsidRPr="00F879CC">
        <w:rPr>
          <w:rFonts w:asciiTheme="minorHAnsi" w:eastAsia="Times New Roman" w:hAnsiTheme="minorHAnsi" w:cstheme="minorHAnsi"/>
          <w:iCs/>
          <w:szCs w:val="24"/>
          <w:lang w:val="pl-PL" w:eastAsia="en-GB"/>
        </w:rPr>
        <w:t>Interreg Region Morza Bałtyckiego 2014-2020, zwraca szczególną uwagę na wspieranie wysiłków w zakresie uczynienia systemów mobilności bardziej zielonymi. Zarówno obszary miejskie jak i wiejskie odgrywają kluczową rolę na drodze do społeczeństwa niskoemisyjnego. Jeden z celów szczegółowych dotyczył obszarów miejskich. W tym przypadku projekty pomogły miastom dostosować infrastrukturę do bardziej przyjaznych dla środowiska rozwiązań. Celem było stworzenie multimodalnych systemów transportowych oraz zmiana nawyków obywateli w zakresie transportu. Projekty promowały również rozwiązania w zakresie e-mobilności oraz ułatwiały dostarczanie czystych paliw</w:t>
      </w:r>
      <w:r w:rsidR="00BA66B5" w:rsidRPr="00F879CC">
        <w:rPr>
          <w:rFonts w:asciiTheme="minorHAnsi" w:eastAsia="Times New Roman" w:hAnsiTheme="minorHAnsi" w:cstheme="minorHAnsi"/>
          <w:iCs/>
          <w:szCs w:val="24"/>
          <w:lang w:val="pl-PL" w:eastAsia="en-GB"/>
        </w:rPr>
        <w:t>.</w:t>
      </w:r>
      <w:r w:rsidR="008402BB" w:rsidRPr="00F879CC">
        <w:rPr>
          <w:rFonts w:asciiTheme="minorHAnsi" w:eastAsia="Times New Roman" w:hAnsiTheme="minorHAnsi" w:cstheme="minorHAnsi"/>
          <w:iCs/>
          <w:szCs w:val="24"/>
          <w:lang w:val="pl-PL" w:eastAsia="en-GB"/>
        </w:rPr>
        <w:t xml:space="preserve"> </w:t>
      </w:r>
    </w:p>
    <w:p w14:paraId="25CFFE41" w14:textId="2791FC9F" w:rsidR="005753AD" w:rsidRPr="00F879CC" w:rsidRDefault="007C6E47"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iCs/>
          <w:szCs w:val="24"/>
          <w:lang w:val="pl-PL" w:eastAsia="en-GB"/>
        </w:rPr>
      </w:pPr>
      <w:r w:rsidRPr="00F879CC">
        <w:rPr>
          <w:rFonts w:asciiTheme="minorHAnsi" w:eastAsia="Times New Roman" w:hAnsiTheme="minorHAnsi" w:cstheme="minorHAnsi"/>
          <w:iCs/>
          <w:szCs w:val="24"/>
          <w:lang w:val="pl-PL" w:eastAsia="en-GB"/>
        </w:rPr>
        <w:t>Interreg Region Morza Bałtyckiego 2021-2027 ma dobrą podstawę pozwalającą na budowani</w:t>
      </w:r>
      <w:r w:rsidR="00A50C41" w:rsidRPr="00F879CC">
        <w:rPr>
          <w:rFonts w:asciiTheme="minorHAnsi" w:eastAsia="Times New Roman" w:hAnsiTheme="minorHAnsi" w:cstheme="minorHAnsi"/>
          <w:iCs/>
          <w:szCs w:val="24"/>
          <w:lang w:val="pl-PL" w:eastAsia="en-GB"/>
        </w:rPr>
        <w:t>e</w:t>
      </w:r>
      <w:r w:rsidRPr="00F879CC">
        <w:rPr>
          <w:rFonts w:asciiTheme="minorHAnsi" w:eastAsia="Times New Roman" w:hAnsiTheme="minorHAnsi" w:cstheme="minorHAnsi"/>
          <w:iCs/>
          <w:szCs w:val="24"/>
          <w:lang w:val="pl-PL" w:eastAsia="en-GB"/>
        </w:rPr>
        <w:t xml:space="preserve"> na istniejących wynikach i łączeni</w:t>
      </w:r>
      <w:r w:rsidR="00A50C41" w:rsidRPr="00F879CC">
        <w:rPr>
          <w:rFonts w:asciiTheme="minorHAnsi" w:eastAsia="Times New Roman" w:hAnsiTheme="minorHAnsi" w:cstheme="minorHAnsi"/>
          <w:iCs/>
          <w:szCs w:val="24"/>
          <w:lang w:val="pl-PL" w:eastAsia="en-GB"/>
        </w:rPr>
        <w:t>e</w:t>
      </w:r>
      <w:r w:rsidRPr="00F879CC">
        <w:rPr>
          <w:rFonts w:asciiTheme="minorHAnsi" w:eastAsia="Times New Roman" w:hAnsiTheme="minorHAnsi" w:cstheme="minorHAnsi"/>
          <w:iCs/>
          <w:szCs w:val="24"/>
          <w:lang w:val="pl-PL" w:eastAsia="en-GB"/>
        </w:rPr>
        <w:t xml:space="preserve"> ich z cyfryzacją. Gdy spojrzymy na wymiar makroregionalny, możemy </w:t>
      </w:r>
      <w:r w:rsidR="00C86CC8" w:rsidRPr="00F879CC">
        <w:rPr>
          <w:rFonts w:asciiTheme="minorHAnsi" w:eastAsia="Times New Roman" w:hAnsiTheme="minorHAnsi" w:cstheme="minorHAnsi"/>
          <w:iCs/>
          <w:szCs w:val="24"/>
          <w:lang w:val="pl-PL" w:eastAsia="en-GB"/>
        </w:rPr>
        <w:t>dostrzec</w:t>
      </w:r>
      <w:r w:rsidRPr="00F879CC">
        <w:rPr>
          <w:rFonts w:asciiTheme="minorHAnsi" w:eastAsia="Times New Roman" w:hAnsiTheme="minorHAnsi" w:cstheme="minorHAnsi"/>
          <w:iCs/>
          <w:szCs w:val="24"/>
          <w:lang w:val="pl-PL" w:eastAsia="en-GB"/>
        </w:rPr>
        <w:t>, iż Program ma szansę stać się siłą napędową zielonych i inteligentnych rozwiązań w zakresie mobilności. Sektor publiczny, prywatny i badawczy muszą współpracować, aby tworzyć i rozwijać zieloną mobilność. W porównaniu z poprzednim okresem, Program na lata 2021-2027, będzie skupiał się wyłącznie na wspieraniu zielonego i inteligentnego transportu oraz rozwiązań w zakresie mobilności. Wraz ze strategiami redukcji emisji dwutlenku węgla w transporcie miejskim, pilnie potrzebne są innowacje w zakresie ekologicznej mobilności na obszarach wiejskich, aby pomóc władzom osiągnąć ambitne cele w zakresie redukcji emisji dwutlenku węgla</w:t>
      </w:r>
      <w:r w:rsidR="006F36A2" w:rsidRPr="00F879CC">
        <w:rPr>
          <w:rFonts w:asciiTheme="minorHAnsi" w:eastAsia="Times New Roman" w:hAnsiTheme="minorHAnsi" w:cstheme="minorHAnsi"/>
          <w:iCs/>
          <w:szCs w:val="24"/>
          <w:lang w:val="pl-PL" w:eastAsia="en-GB"/>
        </w:rPr>
        <w:t xml:space="preserve">. </w:t>
      </w:r>
      <w:r w:rsidR="00C86CC8" w:rsidRPr="00F879CC">
        <w:rPr>
          <w:rFonts w:asciiTheme="minorHAnsi" w:eastAsia="Times New Roman" w:hAnsiTheme="minorHAnsi" w:cstheme="minorHAnsi"/>
          <w:iCs/>
          <w:szCs w:val="24"/>
          <w:lang w:val="pl-PL" w:eastAsia="en-GB"/>
        </w:rPr>
        <w:t>Ma to zastosowanie szczególnie w odniesieniu do RMB, gdzie podstawowe obszary określa się, jako wiejskie.  Ponadto, kraje RMB muszą inwestować w innowacyjne technologie. Lista obejmuje paliwa odnawialne i e-mobilność, a także usługi inteligentnych sieci. Ponadto, budowa niezbędnej infrastruktury, w tym terminali i węzłów</w:t>
      </w:r>
      <w:r w:rsidR="00047C02">
        <w:rPr>
          <w:rFonts w:asciiTheme="minorHAnsi" w:eastAsia="Times New Roman" w:hAnsiTheme="minorHAnsi" w:cstheme="minorHAnsi"/>
          <w:iCs/>
          <w:szCs w:val="24"/>
          <w:lang w:val="pl-PL" w:eastAsia="en-GB"/>
        </w:rPr>
        <w:t xml:space="preserve"> komunikacyjnych</w:t>
      </w:r>
      <w:r w:rsidR="00C86CC8" w:rsidRPr="00F879CC">
        <w:rPr>
          <w:rFonts w:asciiTheme="minorHAnsi" w:eastAsia="Times New Roman" w:hAnsiTheme="minorHAnsi" w:cstheme="minorHAnsi"/>
          <w:iCs/>
          <w:szCs w:val="24"/>
          <w:lang w:val="pl-PL" w:eastAsia="en-GB"/>
        </w:rPr>
        <w:t xml:space="preserve"> wymaga finansowania. Na poziomie makroregionalnym należy zharmonizować systemy transgraniczne, leżące wzdłuż korytarzy transportowych, jak i między różnymi rodzajami transportu. Kraje RMB muszą uzgodnić wspólne standardy. Ponadto, władze publiczne staną się ważnymi siłami napędowymi zmian. Muszą </w:t>
      </w:r>
      <w:r w:rsidR="00BD2E54">
        <w:rPr>
          <w:rFonts w:asciiTheme="minorHAnsi" w:eastAsia="Times New Roman" w:hAnsiTheme="minorHAnsi" w:cstheme="minorHAnsi"/>
          <w:iCs/>
          <w:szCs w:val="24"/>
          <w:lang w:val="pl-PL" w:eastAsia="en-GB"/>
        </w:rPr>
        <w:t xml:space="preserve">one </w:t>
      </w:r>
      <w:r w:rsidR="00C86CC8" w:rsidRPr="00F879CC">
        <w:rPr>
          <w:rFonts w:asciiTheme="minorHAnsi" w:eastAsia="Times New Roman" w:hAnsiTheme="minorHAnsi" w:cstheme="minorHAnsi"/>
          <w:iCs/>
          <w:szCs w:val="24"/>
          <w:lang w:val="pl-PL" w:eastAsia="en-GB"/>
        </w:rPr>
        <w:t>mieć możliwość zrozumienia i wsparcia cyfrowych rozwiązań i narzędzi</w:t>
      </w:r>
      <w:r w:rsidR="005753AD" w:rsidRPr="00F879CC">
        <w:rPr>
          <w:rFonts w:asciiTheme="minorHAnsi" w:eastAsia="Times New Roman" w:hAnsiTheme="minorHAnsi" w:cstheme="minorHAnsi"/>
          <w:iCs/>
          <w:szCs w:val="24"/>
          <w:lang w:val="pl-PL" w:eastAsia="en-GB"/>
        </w:rPr>
        <w:t xml:space="preserve">.   </w:t>
      </w:r>
    </w:p>
    <w:p w14:paraId="0980EBA2" w14:textId="09A7A702" w:rsidR="005753AD" w:rsidRPr="00F879CC" w:rsidRDefault="00C86CC8"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iCs/>
          <w:szCs w:val="24"/>
          <w:lang w:val="pl-PL" w:eastAsia="en-GB"/>
        </w:rPr>
      </w:pPr>
      <w:r w:rsidRPr="00F879CC">
        <w:rPr>
          <w:rFonts w:asciiTheme="minorHAnsi" w:eastAsia="Times New Roman" w:hAnsiTheme="minorHAnsi" w:cstheme="minorHAnsi"/>
          <w:iCs/>
          <w:szCs w:val="24"/>
          <w:lang w:val="pl-PL" w:eastAsia="en-GB"/>
        </w:rPr>
        <w:t>Opisane wyzwania i potrzeby zostaną uwzględnione w Programie</w:t>
      </w:r>
      <w:r w:rsidR="00BD2E54">
        <w:rPr>
          <w:rFonts w:asciiTheme="minorHAnsi" w:eastAsia="Times New Roman" w:hAnsiTheme="minorHAnsi" w:cstheme="minorHAnsi"/>
          <w:iCs/>
          <w:szCs w:val="24"/>
          <w:lang w:val="pl-PL" w:eastAsia="en-GB"/>
        </w:rPr>
        <w:t>,</w:t>
      </w:r>
      <w:r w:rsidRPr="00F879CC">
        <w:rPr>
          <w:rFonts w:asciiTheme="minorHAnsi" w:eastAsia="Times New Roman" w:hAnsiTheme="minorHAnsi" w:cstheme="minorHAnsi"/>
          <w:iCs/>
          <w:szCs w:val="24"/>
          <w:lang w:val="pl-PL" w:eastAsia="en-GB"/>
        </w:rPr>
        <w:t xml:space="preserve"> w Priorytecie 3 „Społeczeństwa neutralne dla klimatu” oraz w celu szczegółowym (viii) „</w:t>
      </w:r>
      <w:r w:rsidR="00A6393C">
        <w:rPr>
          <w:rFonts w:asciiTheme="minorHAnsi" w:eastAsia="Times New Roman" w:hAnsiTheme="minorHAnsi" w:cstheme="minorHAnsi"/>
          <w:iCs/>
          <w:szCs w:val="24"/>
          <w:lang w:val="pl-PL" w:eastAsia="en-GB"/>
        </w:rPr>
        <w:t>P</w:t>
      </w:r>
      <w:r w:rsidR="00A6393C" w:rsidRPr="00F879CC">
        <w:rPr>
          <w:rFonts w:asciiTheme="minorHAnsi" w:eastAsia="Times New Roman" w:hAnsiTheme="minorHAnsi" w:cstheme="minorHAnsi"/>
          <w:iCs/>
          <w:szCs w:val="24"/>
          <w:lang w:val="pl-PL" w:eastAsia="en-GB"/>
        </w:rPr>
        <w:t xml:space="preserve">romowanie </w:t>
      </w:r>
      <w:r w:rsidRPr="00F879CC">
        <w:rPr>
          <w:rFonts w:asciiTheme="minorHAnsi" w:eastAsia="Times New Roman" w:hAnsiTheme="minorHAnsi" w:cstheme="minorHAnsi"/>
          <w:iCs/>
          <w:szCs w:val="24"/>
          <w:lang w:val="pl-PL" w:eastAsia="en-GB"/>
        </w:rPr>
        <w:t xml:space="preserve">zrównoważonej, multimodalnej mobilności miejskiej, jako elementu transformacji w </w:t>
      </w:r>
      <w:r w:rsidRPr="00F879CC">
        <w:rPr>
          <w:rFonts w:asciiTheme="minorHAnsi" w:eastAsia="Times New Roman" w:hAnsiTheme="minorHAnsi" w:cstheme="minorHAnsi"/>
          <w:iCs/>
          <w:szCs w:val="24"/>
          <w:lang w:val="pl-PL" w:eastAsia="en-GB"/>
        </w:rPr>
        <w:lastRenderedPageBreak/>
        <w:t xml:space="preserve">kierunku gospodarki o zerowej emisji dwutlenku węgla netto”, co przekłada się </w:t>
      </w:r>
      <w:r w:rsidRPr="006009E1">
        <w:rPr>
          <w:rFonts w:asciiTheme="minorHAnsi" w:eastAsia="Times New Roman" w:hAnsiTheme="minorHAnsi" w:cstheme="minorHAnsi"/>
          <w:iCs/>
          <w:szCs w:val="24"/>
          <w:lang w:val="pl-PL" w:eastAsia="en-GB"/>
        </w:rPr>
        <w:t xml:space="preserve">na Cel </w:t>
      </w:r>
      <w:r w:rsidR="004A6A29" w:rsidRPr="006009E1">
        <w:rPr>
          <w:rFonts w:asciiTheme="minorHAnsi" w:eastAsia="Times New Roman" w:hAnsiTheme="minorHAnsi" w:cstheme="minorHAnsi"/>
          <w:iCs/>
          <w:szCs w:val="24"/>
          <w:lang w:val="pl-PL" w:eastAsia="en-GB"/>
        </w:rPr>
        <w:t xml:space="preserve">szczegółowy </w:t>
      </w:r>
      <w:r w:rsidRPr="006009E1">
        <w:rPr>
          <w:rFonts w:asciiTheme="minorHAnsi" w:eastAsia="Times New Roman" w:hAnsiTheme="minorHAnsi" w:cstheme="minorHAnsi"/>
          <w:iCs/>
          <w:szCs w:val="24"/>
          <w:lang w:val="pl-PL" w:eastAsia="en-GB"/>
        </w:rPr>
        <w:t xml:space="preserve">3.3 </w:t>
      </w:r>
      <w:bookmarkStart w:id="21" w:name="OLE_LINK105"/>
      <w:bookmarkStart w:id="22" w:name="OLE_LINK106"/>
      <w:r w:rsidRPr="006009E1">
        <w:rPr>
          <w:rFonts w:asciiTheme="minorHAnsi" w:eastAsia="Times New Roman" w:hAnsiTheme="minorHAnsi" w:cstheme="minorHAnsi"/>
          <w:iCs/>
          <w:szCs w:val="24"/>
          <w:lang w:val="pl-PL" w:eastAsia="en-GB"/>
        </w:rPr>
        <w:t>„</w:t>
      </w:r>
      <w:bookmarkEnd w:id="21"/>
      <w:bookmarkEnd w:id="22"/>
      <w:r w:rsidRPr="006009E1">
        <w:rPr>
          <w:rFonts w:asciiTheme="minorHAnsi" w:eastAsia="Times New Roman" w:hAnsiTheme="minorHAnsi" w:cstheme="minorHAnsi"/>
          <w:iCs/>
          <w:szCs w:val="24"/>
          <w:lang w:val="pl-PL" w:eastAsia="en-GB"/>
        </w:rPr>
        <w:t>Inteligentn</w:t>
      </w:r>
      <w:r w:rsidR="00A50C41" w:rsidRPr="006009E1">
        <w:rPr>
          <w:rFonts w:asciiTheme="minorHAnsi" w:eastAsia="Times New Roman" w:hAnsiTheme="minorHAnsi" w:cstheme="minorHAnsi"/>
          <w:iCs/>
          <w:szCs w:val="24"/>
          <w:lang w:val="pl-PL" w:eastAsia="en-GB"/>
        </w:rPr>
        <w:t>a</w:t>
      </w:r>
      <w:r w:rsidRPr="006009E1">
        <w:rPr>
          <w:rFonts w:asciiTheme="minorHAnsi" w:eastAsia="Times New Roman" w:hAnsiTheme="minorHAnsi" w:cstheme="minorHAnsi"/>
          <w:iCs/>
          <w:szCs w:val="24"/>
          <w:lang w:val="pl-PL" w:eastAsia="en-GB"/>
        </w:rPr>
        <w:t xml:space="preserve"> zielona mobilność”.</w:t>
      </w:r>
    </w:p>
    <w:p w14:paraId="6CA3C576" w14:textId="3522C573" w:rsidR="005753AD" w:rsidRPr="00F879CC" w:rsidRDefault="0031186A"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b/>
          <w:bCs/>
          <w:iCs/>
          <w:sz w:val="28"/>
          <w:szCs w:val="28"/>
          <w:u w:val="single"/>
          <w:lang w:val="pl-PL" w:eastAsia="en-GB"/>
        </w:rPr>
      </w:pPr>
      <w:r w:rsidRPr="00F879CC">
        <w:rPr>
          <w:rFonts w:asciiTheme="minorHAnsi" w:eastAsia="Times New Roman" w:hAnsiTheme="minorHAnsi" w:cstheme="minorHAnsi"/>
          <w:b/>
          <w:bCs/>
          <w:iCs/>
          <w:sz w:val="28"/>
          <w:szCs w:val="28"/>
          <w:u w:val="single"/>
          <w:lang w:val="pl-PL" w:eastAsia="en-GB"/>
        </w:rPr>
        <w:t>Priorytet</w:t>
      </w:r>
      <w:r w:rsidR="005753AD" w:rsidRPr="00F879CC">
        <w:rPr>
          <w:rFonts w:asciiTheme="minorHAnsi" w:eastAsia="Times New Roman" w:hAnsiTheme="minorHAnsi" w:cstheme="minorHAnsi"/>
          <w:b/>
          <w:bCs/>
          <w:iCs/>
          <w:sz w:val="28"/>
          <w:szCs w:val="28"/>
          <w:u w:val="single"/>
          <w:lang w:val="pl-PL" w:eastAsia="en-GB"/>
        </w:rPr>
        <w:t xml:space="preserve"> 4) </w:t>
      </w:r>
      <w:r w:rsidRPr="00F879CC">
        <w:rPr>
          <w:rFonts w:asciiTheme="minorHAnsi" w:eastAsia="Times New Roman" w:hAnsiTheme="minorHAnsi" w:cstheme="minorHAnsi"/>
          <w:b/>
          <w:bCs/>
          <w:iCs/>
          <w:sz w:val="28"/>
          <w:szCs w:val="28"/>
          <w:u w:val="single"/>
          <w:lang w:val="pl-PL" w:eastAsia="en-GB"/>
        </w:rPr>
        <w:t>Zarządzanie współpracą</w:t>
      </w:r>
      <w:r w:rsidR="005753AD" w:rsidRPr="00F879CC">
        <w:rPr>
          <w:rFonts w:asciiTheme="minorHAnsi" w:eastAsia="Times New Roman" w:hAnsiTheme="minorHAnsi" w:cstheme="minorHAnsi"/>
          <w:b/>
          <w:bCs/>
          <w:iCs/>
          <w:sz w:val="28"/>
          <w:szCs w:val="28"/>
          <w:u w:val="single"/>
          <w:lang w:val="pl-PL" w:eastAsia="en-GB"/>
        </w:rPr>
        <w:t xml:space="preserve"> </w:t>
      </w:r>
    </w:p>
    <w:p w14:paraId="61DB3AD3" w14:textId="662161F6" w:rsidR="005753AD" w:rsidRPr="00F879CC" w:rsidRDefault="0031186A"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b/>
          <w:bCs/>
          <w:iCs/>
          <w:szCs w:val="24"/>
          <w:lang w:val="pl-PL" w:eastAsia="en-GB"/>
        </w:rPr>
      </w:pPr>
      <w:r w:rsidRPr="00F879CC">
        <w:rPr>
          <w:rFonts w:asciiTheme="minorHAnsi" w:eastAsia="Times New Roman" w:hAnsiTheme="minorHAnsi" w:cstheme="minorHAnsi"/>
          <w:b/>
          <w:bCs/>
          <w:iCs/>
          <w:szCs w:val="24"/>
          <w:lang w:val="pl-PL" w:eastAsia="en-GB"/>
        </w:rPr>
        <w:t>Działanie f) inne działania wspierające lepsze zarządzanie współpracą</w:t>
      </w:r>
    </w:p>
    <w:p w14:paraId="326C8D57" w14:textId="048DF24A" w:rsidR="005753AD" w:rsidRPr="00F879CC" w:rsidRDefault="0031186A" w:rsidP="00DC4C40">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Times New Roman" w:hAnsiTheme="minorHAnsi" w:cstheme="minorHAnsi"/>
          <w:iCs/>
          <w:szCs w:val="24"/>
          <w:u w:val="single"/>
          <w:lang w:val="pl-PL" w:eastAsia="en-GB"/>
        </w:rPr>
      </w:pPr>
      <w:r w:rsidRPr="006009E1">
        <w:rPr>
          <w:rFonts w:asciiTheme="minorHAnsi" w:eastAsia="Times New Roman" w:hAnsiTheme="minorHAnsi" w:cstheme="minorHAnsi"/>
          <w:iCs/>
          <w:szCs w:val="24"/>
          <w:u w:val="single"/>
          <w:lang w:val="pl-PL" w:eastAsia="en-GB"/>
        </w:rPr>
        <w:t xml:space="preserve">Cel </w:t>
      </w:r>
      <w:r w:rsidR="004A6A29" w:rsidRPr="006009E1">
        <w:rPr>
          <w:rFonts w:asciiTheme="minorHAnsi" w:eastAsia="Times New Roman" w:hAnsiTheme="minorHAnsi" w:cstheme="minorHAnsi"/>
          <w:iCs/>
          <w:szCs w:val="24"/>
          <w:u w:val="single"/>
          <w:lang w:val="pl-PL" w:eastAsia="en-GB"/>
        </w:rPr>
        <w:t xml:space="preserve">szczegółowy </w:t>
      </w:r>
      <w:r w:rsidRPr="006009E1">
        <w:rPr>
          <w:rFonts w:asciiTheme="minorHAnsi" w:eastAsia="Times New Roman" w:hAnsiTheme="minorHAnsi" w:cstheme="minorHAnsi"/>
          <w:iCs/>
          <w:szCs w:val="24"/>
          <w:u w:val="single"/>
          <w:lang w:val="pl-PL" w:eastAsia="en-GB"/>
        </w:rPr>
        <w:t xml:space="preserve">4.1 </w:t>
      </w:r>
      <w:r w:rsidR="00F42A23">
        <w:rPr>
          <w:rFonts w:asciiTheme="minorHAnsi" w:eastAsia="Times New Roman" w:hAnsiTheme="minorHAnsi" w:cstheme="minorHAnsi"/>
          <w:iCs/>
          <w:szCs w:val="24"/>
          <w:u w:val="single"/>
          <w:lang w:val="pl-PL" w:eastAsia="en-GB"/>
        </w:rPr>
        <w:t>Platformy projektów</w:t>
      </w:r>
    </w:p>
    <w:p w14:paraId="37C207A6" w14:textId="6077437C" w:rsidR="005753AD" w:rsidRPr="00F879CC" w:rsidRDefault="0031186A"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iCs/>
          <w:szCs w:val="24"/>
          <w:lang w:val="pl-PL" w:eastAsia="en-GB"/>
        </w:rPr>
      </w:pPr>
      <w:r w:rsidRPr="00F879CC">
        <w:rPr>
          <w:rFonts w:asciiTheme="minorHAnsi" w:eastAsia="Times New Roman" w:hAnsiTheme="minorHAnsi" w:cstheme="minorHAnsi"/>
          <w:iCs/>
          <w:szCs w:val="24"/>
          <w:lang w:val="pl-PL" w:eastAsia="en-GB"/>
        </w:rPr>
        <w:t>W UE i poza nią, RMB jest uznawany za lidera współpracy transgranicznej. Interreg Region Morza Bałtyckiego obejmujący cały region może poszczycić się wieloma osiągnięciami w kilku obszarach tematycznych. Istnieją również inne źródła finansowania UE w regionie</w:t>
      </w:r>
      <w:r w:rsidR="005D09D8">
        <w:rPr>
          <w:rFonts w:asciiTheme="minorHAnsi" w:eastAsia="Times New Roman" w:hAnsiTheme="minorHAnsi" w:cstheme="minorHAnsi"/>
          <w:iCs/>
          <w:szCs w:val="24"/>
          <w:lang w:val="pl-PL" w:eastAsia="en-GB"/>
        </w:rPr>
        <w:t>:</w:t>
      </w:r>
      <w:r w:rsidRPr="00F879CC">
        <w:rPr>
          <w:rFonts w:asciiTheme="minorHAnsi" w:eastAsia="Times New Roman" w:hAnsiTheme="minorHAnsi" w:cstheme="minorHAnsi"/>
          <w:iCs/>
          <w:szCs w:val="24"/>
          <w:lang w:val="pl-PL" w:eastAsia="en-GB"/>
        </w:rPr>
        <w:t xml:space="preserve"> transgraniczne, jak i międzyregionalne fundusze Interreg na rozwój regionalny, tj. HORIZON i BONUS (przyszły BANOS) na rzecz badań i innowacji, a także LIFE na działania w zakresie środowiska i klimatu. Istnieją programy i inicjatywy wspierające transport i sektor morski. Fundusze specjalne wspierają współpracę między państwami członkowskimi UE a krajami sąsiadującymi w regionie. Projekty finansowane przez UE i kraje partnerskie obejmują cały obszar a nie tylko część należącą do UE. Dają użyteczne wyniki dla swoich interesariuszy takich, jak władze publiczne na poziomie lokalnym, regionalnym i krajowym, wyspecjalizowane agencje, organizacje panbałtyckie, organizacje pozarządowe, przemysł oraz obywatele</w:t>
      </w:r>
      <w:r w:rsidR="005753AD" w:rsidRPr="00F879CC">
        <w:rPr>
          <w:rFonts w:asciiTheme="minorHAnsi" w:eastAsia="Times New Roman" w:hAnsiTheme="minorHAnsi" w:cstheme="minorHAnsi"/>
          <w:iCs/>
          <w:szCs w:val="24"/>
          <w:lang w:val="pl-PL" w:eastAsia="en-GB"/>
        </w:rPr>
        <w:t xml:space="preserve">. </w:t>
      </w:r>
    </w:p>
    <w:p w14:paraId="29AC47C5" w14:textId="31A5E56A" w:rsidR="005753AD" w:rsidRPr="00F879CC" w:rsidRDefault="00D8056E"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iCs/>
          <w:szCs w:val="24"/>
          <w:lang w:val="pl-PL" w:eastAsia="en-GB"/>
        </w:rPr>
      </w:pPr>
      <w:r>
        <w:rPr>
          <w:rFonts w:asciiTheme="minorHAnsi" w:eastAsia="Times New Roman" w:hAnsiTheme="minorHAnsi" w:cstheme="minorHAnsi"/>
          <w:iCs/>
          <w:szCs w:val="24"/>
          <w:lang w:val="pl-PL" w:eastAsia="en-GB"/>
        </w:rPr>
        <w:t>Rozeznanie się</w:t>
      </w:r>
      <w:r w:rsidR="005D09D8">
        <w:rPr>
          <w:rFonts w:asciiTheme="minorHAnsi" w:eastAsia="Times New Roman" w:hAnsiTheme="minorHAnsi" w:cstheme="minorHAnsi"/>
          <w:iCs/>
          <w:szCs w:val="24"/>
          <w:lang w:val="pl-PL" w:eastAsia="en-GB"/>
        </w:rPr>
        <w:t xml:space="preserve"> w licznych, już osiągniętych rezultatach, czy to finansowanych przez Interreg Region</w:t>
      </w:r>
      <w:r>
        <w:rPr>
          <w:rFonts w:asciiTheme="minorHAnsi" w:eastAsia="Times New Roman" w:hAnsiTheme="minorHAnsi" w:cstheme="minorHAnsi"/>
          <w:iCs/>
          <w:szCs w:val="24"/>
          <w:lang w:val="pl-PL" w:eastAsia="en-GB"/>
        </w:rPr>
        <w:t xml:space="preserve"> Morza Bałtyckiego czy też</w:t>
      </w:r>
      <w:r w:rsidR="005D09D8">
        <w:rPr>
          <w:rFonts w:asciiTheme="minorHAnsi" w:eastAsia="Times New Roman" w:hAnsiTheme="minorHAnsi" w:cstheme="minorHAnsi"/>
          <w:iCs/>
          <w:szCs w:val="24"/>
          <w:lang w:val="pl-PL" w:eastAsia="en-GB"/>
        </w:rPr>
        <w:t xml:space="preserve"> inne programy</w:t>
      </w:r>
      <w:r>
        <w:rPr>
          <w:rFonts w:asciiTheme="minorHAnsi" w:eastAsia="Times New Roman" w:hAnsiTheme="minorHAnsi" w:cstheme="minorHAnsi"/>
          <w:iCs/>
          <w:szCs w:val="24"/>
          <w:lang w:val="pl-PL" w:eastAsia="en-GB"/>
        </w:rPr>
        <w:t>, nie jest jednak łatwym zadaniem</w:t>
      </w:r>
      <w:r w:rsidR="005D09D8">
        <w:rPr>
          <w:rFonts w:asciiTheme="minorHAnsi" w:eastAsia="Times New Roman" w:hAnsiTheme="minorHAnsi" w:cstheme="minorHAnsi"/>
          <w:iCs/>
          <w:szCs w:val="24"/>
          <w:lang w:val="pl-PL" w:eastAsia="en-GB"/>
        </w:rPr>
        <w:t xml:space="preserve">. </w:t>
      </w:r>
      <w:r w:rsidR="0031186A" w:rsidRPr="00F879CC">
        <w:rPr>
          <w:rFonts w:asciiTheme="minorHAnsi" w:eastAsia="Times New Roman" w:hAnsiTheme="minorHAnsi" w:cstheme="minorHAnsi"/>
          <w:iCs/>
          <w:szCs w:val="24"/>
          <w:lang w:val="pl-PL" w:eastAsia="en-GB"/>
        </w:rPr>
        <w:t xml:space="preserve"> Dlatego też, władze publiczne i inne grupy docelowe Programu potrzebują pomocy w poszukiwaniu wyników w jednym określonym obszarze tematycznym. Temat mógł zostać poruszony w różnych programach finansowania UE. Istnieje duży potencjał w zakresie identyfikacji komplementarności i tworzenia synergii wyników</w:t>
      </w:r>
      <w:r w:rsidR="005753AD" w:rsidRPr="00F879CC">
        <w:rPr>
          <w:rFonts w:asciiTheme="minorHAnsi" w:eastAsia="Times New Roman" w:hAnsiTheme="minorHAnsi" w:cstheme="minorHAnsi"/>
          <w:iCs/>
          <w:szCs w:val="24"/>
          <w:lang w:val="pl-PL" w:eastAsia="en-GB"/>
        </w:rPr>
        <w:t xml:space="preserve">. </w:t>
      </w:r>
    </w:p>
    <w:p w14:paraId="514A0996" w14:textId="595F746A" w:rsidR="005753AD" w:rsidRPr="00F879CC" w:rsidRDefault="00F5323D"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iCs/>
          <w:szCs w:val="24"/>
          <w:lang w:val="pl-PL" w:eastAsia="en-GB"/>
        </w:rPr>
      </w:pPr>
      <w:r w:rsidRPr="00F879CC">
        <w:rPr>
          <w:rFonts w:asciiTheme="minorHAnsi" w:eastAsia="Times New Roman" w:hAnsiTheme="minorHAnsi" w:cstheme="minorHAnsi"/>
          <w:iCs/>
          <w:szCs w:val="24"/>
          <w:lang w:val="pl-PL" w:eastAsia="en-GB"/>
        </w:rPr>
        <w:t>W latach 2014-2020, Interreg Region Morza Bałtyckiego wprowadził nowy instrument zwany platformami projektów. Koncepcja obejmowała powiązanie projektów Programu z projektami innych programów w jednym obszarze tematycznym oraz powiązanie uzyskanych przez nie wyników. Platformy projektów, w uproszczony sposób, ułatwiły dostęp do nowej wiedzy stworzonej w wielu projektach z różnych źródeł finansowania UE</w:t>
      </w:r>
      <w:r w:rsidR="00824A4B">
        <w:rPr>
          <w:rFonts w:asciiTheme="minorHAnsi" w:eastAsia="Times New Roman" w:hAnsiTheme="minorHAnsi" w:cstheme="minorHAnsi"/>
          <w:iCs/>
          <w:szCs w:val="24"/>
          <w:lang w:val="pl-PL" w:eastAsia="en-GB"/>
        </w:rPr>
        <w:t>; p</w:t>
      </w:r>
      <w:r w:rsidRPr="00F879CC">
        <w:rPr>
          <w:rFonts w:asciiTheme="minorHAnsi" w:eastAsia="Times New Roman" w:hAnsiTheme="minorHAnsi" w:cstheme="minorHAnsi"/>
          <w:iCs/>
          <w:szCs w:val="24"/>
          <w:lang w:val="pl-PL" w:eastAsia="en-GB"/>
        </w:rPr>
        <w:t>omogły użytkownikom końcowym w kierowaniu się w sposób bardziej zorientowany na cele w czasie poszukiwań wyników w określonym obszarze tematycznym. Platformy stworzyły również synergie między funduszami UE</w:t>
      </w:r>
      <w:r w:rsidR="00824A4B">
        <w:rPr>
          <w:rFonts w:asciiTheme="minorHAnsi" w:eastAsia="Times New Roman" w:hAnsiTheme="minorHAnsi" w:cstheme="minorHAnsi"/>
          <w:iCs/>
          <w:szCs w:val="24"/>
          <w:lang w:val="pl-PL" w:eastAsia="en-GB"/>
        </w:rPr>
        <w:t>; p</w:t>
      </w:r>
      <w:r w:rsidRPr="00F879CC">
        <w:rPr>
          <w:rFonts w:asciiTheme="minorHAnsi" w:eastAsia="Times New Roman" w:hAnsiTheme="minorHAnsi" w:cstheme="minorHAnsi"/>
          <w:iCs/>
          <w:szCs w:val="24"/>
          <w:lang w:val="pl-PL" w:eastAsia="en-GB"/>
        </w:rPr>
        <w:t>omogły w zapewnieniu szerszego efektu przez rezultaty projektu</w:t>
      </w:r>
      <w:r w:rsidR="0009418C" w:rsidRPr="00F879CC">
        <w:rPr>
          <w:rFonts w:asciiTheme="minorHAnsi" w:eastAsia="Times New Roman" w:hAnsiTheme="minorHAnsi" w:cstheme="minorHAnsi"/>
          <w:iCs/>
          <w:szCs w:val="24"/>
          <w:lang w:val="pl-PL" w:eastAsia="en-GB"/>
        </w:rPr>
        <w:t>.</w:t>
      </w:r>
      <w:r w:rsidR="005D5811" w:rsidRPr="00F879CC">
        <w:rPr>
          <w:rFonts w:asciiTheme="minorHAnsi" w:eastAsia="Times New Roman" w:hAnsiTheme="minorHAnsi" w:cstheme="minorHAnsi"/>
          <w:iCs/>
          <w:szCs w:val="24"/>
          <w:lang w:val="pl-PL" w:eastAsia="en-GB"/>
        </w:rPr>
        <w:t xml:space="preserve"> </w:t>
      </w:r>
      <w:r w:rsidR="0008342A" w:rsidRPr="00F879CC">
        <w:rPr>
          <w:rFonts w:asciiTheme="minorHAnsi" w:eastAsia="Times New Roman" w:hAnsiTheme="minorHAnsi" w:cstheme="minorHAnsi"/>
          <w:iCs/>
          <w:szCs w:val="24"/>
          <w:lang w:val="pl-PL" w:eastAsia="en-GB"/>
        </w:rPr>
        <w:t xml:space="preserve">W ramach kilku platform tematycznych finansowanych przez Interreg Region Morza Bałtyckiego 2014-2020, współpracę nawiązali zarówno decydenci, jak i praktycy. W sumie, powstało dziewięć platform projektów. Obejmowały </w:t>
      </w:r>
      <w:r w:rsidR="00083276" w:rsidRPr="00F879CC">
        <w:rPr>
          <w:rFonts w:asciiTheme="minorHAnsi" w:eastAsia="Times New Roman" w:hAnsiTheme="minorHAnsi" w:cstheme="minorHAnsi"/>
          <w:iCs/>
          <w:szCs w:val="24"/>
          <w:lang w:val="pl-PL" w:eastAsia="en-GB"/>
        </w:rPr>
        <w:t xml:space="preserve">one </w:t>
      </w:r>
      <w:r w:rsidR="0008342A" w:rsidRPr="00F879CC">
        <w:rPr>
          <w:rFonts w:asciiTheme="minorHAnsi" w:eastAsia="Times New Roman" w:hAnsiTheme="minorHAnsi" w:cstheme="minorHAnsi"/>
          <w:iCs/>
          <w:szCs w:val="24"/>
          <w:lang w:val="pl-PL" w:eastAsia="en-GB"/>
        </w:rPr>
        <w:t>tematy związane z inteligentną specjalizacją, gospodarką odpadami i wodami opadowymi, gospodarką substancjami odżywczymi i wodą w rolnictwie, efektywnością energetyczną, niebieskim wzrostem i morskim planowaniem przestrzennym, interoperacyjnością środków transportu, bezpieczeństwem morskim i czystą żeglugą. Oprócz projektów Interreg RMB, platformy obejmowały partnerów z</w:t>
      </w:r>
      <w:r w:rsidR="00A6393C">
        <w:rPr>
          <w:rFonts w:asciiTheme="minorHAnsi" w:eastAsia="Times New Roman" w:hAnsiTheme="minorHAnsi" w:cstheme="minorHAnsi"/>
          <w:iCs/>
          <w:szCs w:val="24"/>
          <w:lang w:val="pl-PL" w:eastAsia="en-GB"/>
        </w:rPr>
        <w:t xml:space="preserve"> programów</w:t>
      </w:r>
      <w:r w:rsidR="0008342A" w:rsidRPr="00F879CC">
        <w:rPr>
          <w:rFonts w:asciiTheme="minorHAnsi" w:eastAsia="Times New Roman" w:hAnsiTheme="minorHAnsi" w:cstheme="minorHAnsi"/>
          <w:iCs/>
          <w:szCs w:val="24"/>
          <w:lang w:val="pl-PL" w:eastAsia="en-GB"/>
        </w:rPr>
        <w:t xml:space="preserve"> Interreg Centralny</w:t>
      </w:r>
      <w:r w:rsidR="00824629">
        <w:rPr>
          <w:rFonts w:asciiTheme="minorHAnsi" w:eastAsia="Times New Roman" w:hAnsiTheme="minorHAnsi" w:cstheme="minorHAnsi"/>
          <w:iCs/>
          <w:szCs w:val="24"/>
          <w:lang w:val="pl-PL" w:eastAsia="en-GB"/>
        </w:rPr>
        <w:t xml:space="preserve"> Bałtyk, Południowy Bałtyk,</w:t>
      </w:r>
      <w:r w:rsidR="0008342A" w:rsidRPr="00F879CC">
        <w:rPr>
          <w:rFonts w:asciiTheme="minorHAnsi" w:eastAsia="Times New Roman" w:hAnsiTheme="minorHAnsi" w:cstheme="minorHAnsi"/>
          <w:iCs/>
          <w:szCs w:val="24"/>
          <w:lang w:val="pl-PL" w:eastAsia="en-GB"/>
        </w:rPr>
        <w:t xml:space="preserve"> Interreg </w:t>
      </w:r>
      <w:r w:rsidR="0008342A" w:rsidRPr="00F879CC">
        <w:rPr>
          <w:rFonts w:asciiTheme="minorHAnsi" w:eastAsia="Times New Roman" w:hAnsiTheme="minorHAnsi" w:cstheme="minorHAnsi"/>
          <w:iCs/>
          <w:szCs w:val="24"/>
          <w:lang w:val="pl-PL" w:eastAsia="en-GB"/>
        </w:rPr>
        <w:lastRenderedPageBreak/>
        <w:t xml:space="preserve">Europa, BONUS i Horizon 2020. Platformy z powodzeniem współpracowały z koordynatorami </w:t>
      </w:r>
      <w:r w:rsidR="00C748EC">
        <w:rPr>
          <w:rFonts w:asciiTheme="minorHAnsi" w:eastAsia="Times New Roman" w:hAnsiTheme="minorHAnsi" w:cstheme="minorHAnsi"/>
          <w:iCs/>
          <w:szCs w:val="24"/>
          <w:lang w:val="pl-PL" w:eastAsia="en-GB"/>
        </w:rPr>
        <w:t xml:space="preserve">Obszarów Tematycznych </w:t>
      </w:r>
      <w:r w:rsidR="0008342A" w:rsidRPr="00F879CC">
        <w:rPr>
          <w:rFonts w:asciiTheme="minorHAnsi" w:eastAsia="Times New Roman" w:hAnsiTheme="minorHAnsi" w:cstheme="minorHAnsi"/>
          <w:iCs/>
          <w:szCs w:val="24"/>
          <w:lang w:val="pl-PL" w:eastAsia="en-GB"/>
        </w:rPr>
        <w:t xml:space="preserve"> SUE RMB, a także z organizacjami panbałtyckimi takimi, jak HELCOM, </w:t>
      </w:r>
      <w:r w:rsidR="00D4453A" w:rsidRPr="00F879CC">
        <w:rPr>
          <w:rFonts w:asciiTheme="minorHAnsi" w:eastAsia="Times New Roman" w:hAnsiTheme="minorHAnsi" w:cstheme="minorHAnsi"/>
          <w:iCs/>
          <w:szCs w:val="24"/>
          <w:lang w:val="pl-PL" w:eastAsia="en-GB"/>
        </w:rPr>
        <w:t>Komisja Morza</w:t>
      </w:r>
      <w:r w:rsidR="008868DF" w:rsidRPr="00F879CC">
        <w:rPr>
          <w:rFonts w:asciiTheme="minorHAnsi" w:eastAsia="Times New Roman" w:hAnsiTheme="minorHAnsi" w:cstheme="minorHAnsi"/>
          <w:iCs/>
          <w:szCs w:val="24"/>
          <w:lang w:val="pl-PL" w:eastAsia="en-GB"/>
        </w:rPr>
        <w:t xml:space="preserve"> Bałtycki</w:t>
      </w:r>
      <w:r w:rsidR="00D4453A" w:rsidRPr="00F879CC">
        <w:rPr>
          <w:rFonts w:asciiTheme="minorHAnsi" w:eastAsia="Times New Roman" w:hAnsiTheme="minorHAnsi" w:cstheme="minorHAnsi"/>
          <w:iCs/>
          <w:szCs w:val="24"/>
          <w:lang w:val="pl-PL" w:eastAsia="en-GB"/>
        </w:rPr>
        <w:t>ego</w:t>
      </w:r>
      <w:r w:rsidR="008868DF" w:rsidRPr="00F879CC">
        <w:rPr>
          <w:rFonts w:asciiTheme="minorHAnsi" w:eastAsia="Times New Roman" w:hAnsiTheme="minorHAnsi" w:cstheme="minorHAnsi"/>
          <w:iCs/>
          <w:szCs w:val="24"/>
          <w:lang w:val="pl-PL" w:eastAsia="en-GB"/>
        </w:rPr>
        <w:t xml:space="preserve"> przy Konferencji</w:t>
      </w:r>
      <w:r w:rsidR="00D4453A" w:rsidRPr="00F879CC">
        <w:rPr>
          <w:rFonts w:asciiTheme="minorHAnsi" w:eastAsia="Times New Roman" w:hAnsiTheme="minorHAnsi" w:cstheme="minorHAnsi"/>
          <w:iCs/>
          <w:szCs w:val="24"/>
          <w:lang w:val="pl-PL" w:eastAsia="en-GB"/>
        </w:rPr>
        <w:t xml:space="preserve"> Peryferyjnych Regionów Morskich Europy</w:t>
      </w:r>
      <w:r w:rsidR="0008342A" w:rsidRPr="00F879CC">
        <w:rPr>
          <w:rFonts w:asciiTheme="minorHAnsi" w:eastAsia="Times New Roman" w:hAnsiTheme="minorHAnsi" w:cstheme="minorHAnsi"/>
          <w:iCs/>
          <w:szCs w:val="24"/>
          <w:lang w:val="pl-PL" w:eastAsia="en-GB"/>
        </w:rPr>
        <w:t>, Związ</w:t>
      </w:r>
      <w:r w:rsidR="008868DF" w:rsidRPr="00F879CC">
        <w:rPr>
          <w:rFonts w:asciiTheme="minorHAnsi" w:eastAsia="Times New Roman" w:hAnsiTheme="minorHAnsi" w:cstheme="minorHAnsi"/>
          <w:iCs/>
          <w:szCs w:val="24"/>
          <w:lang w:val="pl-PL" w:eastAsia="en-GB"/>
        </w:rPr>
        <w:t>ek</w:t>
      </w:r>
      <w:r w:rsidR="0008342A" w:rsidRPr="00F879CC">
        <w:rPr>
          <w:rFonts w:asciiTheme="minorHAnsi" w:eastAsia="Times New Roman" w:hAnsiTheme="minorHAnsi" w:cstheme="minorHAnsi"/>
          <w:iCs/>
          <w:szCs w:val="24"/>
          <w:lang w:val="pl-PL" w:eastAsia="en-GB"/>
        </w:rPr>
        <w:t xml:space="preserve"> Miast Bałtyckich i Rad</w:t>
      </w:r>
      <w:r w:rsidR="008868DF" w:rsidRPr="00F879CC">
        <w:rPr>
          <w:rFonts w:asciiTheme="minorHAnsi" w:eastAsia="Times New Roman" w:hAnsiTheme="minorHAnsi" w:cstheme="minorHAnsi"/>
          <w:iCs/>
          <w:szCs w:val="24"/>
          <w:lang w:val="pl-PL" w:eastAsia="en-GB"/>
        </w:rPr>
        <w:t>a</w:t>
      </w:r>
      <w:r w:rsidR="0008342A" w:rsidRPr="00F879CC">
        <w:rPr>
          <w:rFonts w:asciiTheme="minorHAnsi" w:eastAsia="Times New Roman" w:hAnsiTheme="minorHAnsi" w:cstheme="minorHAnsi"/>
          <w:iCs/>
          <w:szCs w:val="24"/>
          <w:lang w:val="pl-PL" w:eastAsia="en-GB"/>
        </w:rPr>
        <w:t xml:space="preserve"> Państw Morza Bałtyckiego</w:t>
      </w:r>
      <w:r w:rsidR="005753AD" w:rsidRPr="00F879CC">
        <w:rPr>
          <w:rFonts w:asciiTheme="minorHAnsi" w:eastAsia="Times New Roman" w:hAnsiTheme="minorHAnsi" w:cstheme="minorHAnsi"/>
          <w:iCs/>
          <w:szCs w:val="24"/>
          <w:lang w:val="pl-PL" w:eastAsia="en-GB"/>
        </w:rPr>
        <w:t>.</w:t>
      </w:r>
    </w:p>
    <w:p w14:paraId="205EA21A" w14:textId="4CC1483B" w:rsidR="005753AD" w:rsidRPr="00F879CC" w:rsidRDefault="0008342A"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iCs/>
          <w:szCs w:val="24"/>
          <w:lang w:val="pl-PL" w:eastAsia="en-GB"/>
        </w:rPr>
      </w:pPr>
      <w:r w:rsidRPr="00F879CC">
        <w:rPr>
          <w:rFonts w:asciiTheme="minorHAnsi" w:eastAsia="Times New Roman" w:hAnsiTheme="minorHAnsi" w:cstheme="minorHAnsi"/>
          <w:iCs/>
          <w:szCs w:val="24"/>
          <w:lang w:val="pl-PL" w:eastAsia="en-GB"/>
        </w:rPr>
        <w:t>Program na lata 2021-2027, będzie nadal wspierał władze publiczne i inne organizacje w uzyskiwaniu łatwiejszego dostępu do wielu wyników różnych programów finansowania UE. Przyszłe platformy projektów zostaną zaprojektowane zgodnie z priorytetami tematycznymi programów. Oczekuje się, że weźmie w nim udział więcej projektów z innych programów, w tym projektów finansowanych przez kraje partnerskie. Doprowadzi to do jeszcze silniejszych synergii między różnymi źródłami finansowania UE w regionie. Oczekuje się, że podobnie, jak w przypadku każdego nowego projektu, również platformy będą lepiej odpowiadały na potrzeby organów publicznych i innych grup docelowych programu. Kluczowe znaczenie będzie miało ustanowienie kanałów komunikacji i narzędzi do nauki, aby dotrzeć do tych organizacji. Organizacje powinny mieć możliwość włączania wyników wielu projektów do swojej codziennej pracy. Decydenci polityczni będą przedmiotem skoordynowanych działań.</w:t>
      </w:r>
    </w:p>
    <w:p w14:paraId="0CE816D3" w14:textId="73666DF7" w:rsidR="005753AD" w:rsidRPr="00F879CC" w:rsidRDefault="0008342A"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iCs/>
          <w:szCs w:val="24"/>
          <w:lang w:val="pl-PL" w:eastAsia="en-GB"/>
        </w:rPr>
      </w:pPr>
      <w:r w:rsidRPr="00F879CC">
        <w:rPr>
          <w:rFonts w:asciiTheme="minorHAnsi" w:eastAsia="Times New Roman" w:hAnsiTheme="minorHAnsi" w:cstheme="minorHAnsi"/>
          <w:iCs/>
          <w:szCs w:val="24"/>
          <w:lang w:val="pl-PL" w:eastAsia="en-GB"/>
        </w:rPr>
        <w:t xml:space="preserve">Opisane wyzwania i potrzeby zostaną uwzględnione w Programie, w Priorytecie 4 „Zarządzanie współpracą” w ramach celu szczegółowego Interreg </w:t>
      </w:r>
      <w:bookmarkStart w:id="23" w:name="OLE_LINK111"/>
      <w:bookmarkStart w:id="24" w:name="OLE_LINK112"/>
      <w:r w:rsidR="00650175" w:rsidRPr="00F879CC">
        <w:rPr>
          <w:rFonts w:asciiTheme="minorHAnsi" w:eastAsia="Times New Roman" w:hAnsiTheme="minorHAnsi" w:cstheme="minorHAnsi"/>
          <w:iCs/>
          <w:szCs w:val="24"/>
          <w:lang w:val="pl-PL" w:eastAsia="en-GB"/>
        </w:rPr>
        <w:t>„</w:t>
      </w:r>
      <w:bookmarkEnd w:id="23"/>
      <w:bookmarkEnd w:id="24"/>
      <w:r w:rsidR="00650175" w:rsidRPr="00F879CC">
        <w:rPr>
          <w:rFonts w:asciiTheme="minorHAnsi" w:eastAsia="Times New Roman" w:hAnsiTheme="minorHAnsi" w:cstheme="minorHAnsi"/>
          <w:iCs/>
          <w:szCs w:val="24"/>
          <w:lang w:val="pl-PL" w:eastAsia="en-GB"/>
        </w:rPr>
        <w:t>L</w:t>
      </w:r>
      <w:r w:rsidRPr="00F879CC">
        <w:rPr>
          <w:rFonts w:asciiTheme="minorHAnsi" w:eastAsia="Times New Roman" w:hAnsiTheme="minorHAnsi" w:cstheme="minorHAnsi"/>
          <w:iCs/>
          <w:szCs w:val="24"/>
          <w:lang w:val="pl-PL" w:eastAsia="en-GB"/>
        </w:rPr>
        <w:t>epsze zarządzanie współpracą</w:t>
      </w:r>
      <w:r w:rsidR="00650175" w:rsidRPr="00F879CC">
        <w:rPr>
          <w:rFonts w:asciiTheme="minorHAnsi" w:eastAsia="Times New Roman" w:hAnsiTheme="minorHAnsi" w:cstheme="minorHAnsi"/>
          <w:iCs/>
          <w:szCs w:val="24"/>
          <w:lang w:val="pl-PL" w:eastAsia="en-GB"/>
        </w:rPr>
        <w:t>”</w:t>
      </w:r>
      <w:r w:rsidRPr="00F879CC">
        <w:rPr>
          <w:rFonts w:asciiTheme="minorHAnsi" w:eastAsia="Times New Roman" w:hAnsiTheme="minorHAnsi" w:cstheme="minorHAnsi"/>
          <w:iCs/>
          <w:szCs w:val="24"/>
          <w:lang w:val="pl-PL" w:eastAsia="en-GB"/>
        </w:rPr>
        <w:t xml:space="preserve"> oraz działania f) </w:t>
      </w:r>
      <w:r w:rsidR="00650175" w:rsidRPr="00F879CC">
        <w:rPr>
          <w:rFonts w:asciiTheme="minorHAnsi" w:eastAsia="Times New Roman" w:hAnsiTheme="minorHAnsi" w:cstheme="minorHAnsi"/>
          <w:iCs/>
          <w:szCs w:val="24"/>
          <w:lang w:val="pl-PL" w:eastAsia="en-GB"/>
        </w:rPr>
        <w:t>„I</w:t>
      </w:r>
      <w:r w:rsidRPr="00F879CC">
        <w:rPr>
          <w:rFonts w:asciiTheme="minorHAnsi" w:eastAsia="Times New Roman" w:hAnsiTheme="minorHAnsi" w:cstheme="minorHAnsi"/>
          <w:iCs/>
          <w:szCs w:val="24"/>
          <w:lang w:val="pl-PL" w:eastAsia="en-GB"/>
        </w:rPr>
        <w:t>nne działania wspierające lepsze zarządzanie współpracą</w:t>
      </w:r>
      <w:r w:rsidR="00650175" w:rsidRPr="00F879CC">
        <w:rPr>
          <w:rFonts w:asciiTheme="minorHAnsi" w:eastAsia="Times New Roman" w:hAnsiTheme="minorHAnsi" w:cstheme="minorHAnsi"/>
          <w:iCs/>
          <w:szCs w:val="24"/>
          <w:lang w:val="pl-PL" w:eastAsia="en-GB"/>
        </w:rPr>
        <w:t>”</w:t>
      </w:r>
      <w:r w:rsidRPr="00F879CC">
        <w:rPr>
          <w:rFonts w:asciiTheme="minorHAnsi" w:eastAsia="Times New Roman" w:hAnsiTheme="minorHAnsi" w:cstheme="minorHAnsi"/>
          <w:iCs/>
          <w:szCs w:val="24"/>
          <w:lang w:val="pl-PL" w:eastAsia="en-GB"/>
        </w:rPr>
        <w:t xml:space="preserve">, co przekłada się na </w:t>
      </w:r>
      <w:r w:rsidRPr="006009E1">
        <w:rPr>
          <w:rFonts w:asciiTheme="minorHAnsi" w:eastAsia="Times New Roman" w:hAnsiTheme="minorHAnsi" w:cstheme="minorHAnsi"/>
          <w:iCs/>
          <w:szCs w:val="24"/>
          <w:lang w:val="pl-PL" w:eastAsia="en-GB"/>
        </w:rPr>
        <w:t xml:space="preserve">cel </w:t>
      </w:r>
      <w:r w:rsidR="004A6A29" w:rsidRPr="006009E1">
        <w:rPr>
          <w:rFonts w:asciiTheme="minorHAnsi" w:eastAsia="Times New Roman" w:hAnsiTheme="minorHAnsi" w:cstheme="minorHAnsi"/>
          <w:iCs/>
          <w:szCs w:val="24"/>
          <w:lang w:val="pl-PL" w:eastAsia="en-GB"/>
        </w:rPr>
        <w:t xml:space="preserve">szczegółowy </w:t>
      </w:r>
      <w:r w:rsidRPr="006009E1">
        <w:rPr>
          <w:rFonts w:asciiTheme="minorHAnsi" w:eastAsia="Times New Roman" w:hAnsiTheme="minorHAnsi" w:cstheme="minorHAnsi"/>
          <w:iCs/>
          <w:szCs w:val="24"/>
          <w:lang w:val="pl-PL" w:eastAsia="en-GB"/>
        </w:rPr>
        <w:t xml:space="preserve">4.1 </w:t>
      </w:r>
      <w:r w:rsidR="00650175" w:rsidRPr="006009E1">
        <w:rPr>
          <w:rFonts w:asciiTheme="minorHAnsi" w:eastAsia="Times New Roman" w:hAnsiTheme="minorHAnsi" w:cstheme="minorHAnsi"/>
          <w:iCs/>
          <w:szCs w:val="24"/>
          <w:lang w:val="pl-PL" w:eastAsia="en-GB"/>
        </w:rPr>
        <w:t>„</w:t>
      </w:r>
      <w:r w:rsidRPr="006009E1">
        <w:rPr>
          <w:rFonts w:asciiTheme="minorHAnsi" w:eastAsia="Times New Roman" w:hAnsiTheme="minorHAnsi" w:cstheme="minorHAnsi"/>
          <w:iCs/>
          <w:szCs w:val="24"/>
          <w:lang w:val="pl-PL" w:eastAsia="en-GB"/>
        </w:rPr>
        <w:t>Platformy projektów</w:t>
      </w:r>
      <w:r w:rsidR="00650175" w:rsidRPr="006009E1">
        <w:rPr>
          <w:rFonts w:asciiTheme="minorHAnsi" w:eastAsia="Times New Roman" w:hAnsiTheme="minorHAnsi" w:cstheme="minorHAnsi"/>
          <w:iCs/>
          <w:szCs w:val="24"/>
          <w:lang w:val="pl-PL" w:eastAsia="en-GB"/>
        </w:rPr>
        <w:t>”</w:t>
      </w:r>
      <w:r w:rsidR="005753AD" w:rsidRPr="006009E1">
        <w:rPr>
          <w:rFonts w:asciiTheme="minorHAnsi" w:eastAsia="Times New Roman" w:hAnsiTheme="minorHAnsi" w:cstheme="minorHAnsi"/>
          <w:iCs/>
          <w:szCs w:val="24"/>
          <w:lang w:val="pl-PL" w:eastAsia="en-GB"/>
        </w:rPr>
        <w:t>.</w:t>
      </w:r>
    </w:p>
    <w:p w14:paraId="3EC049FC" w14:textId="210CC992" w:rsidR="005753AD" w:rsidRPr="00F879CC" w:rsidRDefault="00650175"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b/>
          <w:bCs/>
          <w:iCs/>
          <w:szCs w:val="24"/>
          <w:lang w:val="pl-PL" w:eastAsia="en-GB"/>
        </w:rPr>
      </w:pPr>
      <w:r w:rsidRPr="00F879CC">
        <w:rPr>
          <w:rFonts w:asciiTheme="minorHAnsi" w:eastAsia="Times New Roman" w:hAnsiTheme="minorHAnsi" w:cstheme="minorHAnsi"/>
          <w:b/>
          <w:bCs/>
          <w:iCs/>
          <w:szCs w:val="24"/>
          <w:lang w:val="pl-PL" w:eastAsia="en-GB"/>
        </w:rPr>
        <w:t>Działanie d) Wzmocnienie zdolności instytucjonalnych władz publicznych i interesariuszy na rzecz wdrażania strategii makroregionalnych i tych dotyczących basenów morskich, a także innych strategii terytorialnych</w:t>
      </w:r>
      <w:r w:rsidR="005753AD" w:rsidRPr="00F879CC" w:rsidDel="00850706">
        <w:rPr>
          <w:rFonts w:asciiTheme="minorHAnsi" w:eastAsia="Times New Roman" w:hAnsiTheme="minorHAnsi" w:cstheme="minorHAnsi"/>
          <w:b/>
          <w:bCs/>
          <w:iCs/>
          <w:szCs w:val="24"/>
          <w:lang w:val="pl-PL" w:eastAsia="en-GB"/>
        </w:rPr>
        <w:t xml:space="preserve"> </w:t>
      </w:r>
    </w:p>
    <w:p w14:paraId="71E31E43" w14:textId="67F1DDED" w:rsidR="005753AD" w:rsidRPr="00F879CC" w:rsidRDefault="00650175"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iCs/>
          <w:u w:val="single"/>
          <w:lang w:val="pl-PL" w:eastAsia="en-GB"/>
        </w:rPr>
      </w:pPr>
      <w:r w:rsidRPr="006009E1">
        <w:rPr>
          <w:rFonts w:asciiTheme="minorHAnsi" w:eastAsia="Times New Roman" w:hAnsiTheme="minorHAnsi" w:cstheme="minorHAnsi"/>
          <w:iCs/>
          <w:u w:val="single"/>
          <w:lang w:val="pl-PL" w:eastAsia="en-GB"/>
        </w:rPr>
        <w:t xml:space="preserve">Cel </w:t>
      </w:r>
      <w:r w:rsidR="004A6A29" w:rsidRPr="006009E1">
        <w:rPr>
          <w:rFonts w:asciiTheme="minorHAnsi" w:eastAsia="Times New Roman" w:hAnsiTheme="minorHAnsi" w:cstheme="minorHAnsi"/>
          <w:iCs/>
          <w:u w:val="single"/>
          <w:lang w:val="pl-PL" w:eastAsia="en-GB"/>
        </w:rPr>
        <w:t xml:space="preserve">szczegółowy </w:t>
      </w:r>
      <w:r w:rsidRPr="006009E1">
        <w:rPr>
          <w:rFonts w:asciiTheme="minorHAnsi" w:eastAsia="Times New Roman" w:hAnsiTheme="minorHAnsi" w:cstheme="minorHAnsi"/>
          <w:iCs/>
          <w:u w:val="single"/>
          <w:lang w:val="pl-PL" w:eastAsia="en-GB"/>
        </w:rPr>
        <w:t>4.2 Zarządzanie makroregionalne</w:t>
      </w:r>
      <w:r w:rsidR="005753AD" w:rsidRPr="00F879CC">
        <w:rPr>
          <w:rFonts w:asciiTheme="minorHAnsi" w:eastAsia="Times New Roman" w:hAnsiTheme="minorHAnsi" w:cstheme="minorHAnsi"/>
          <w:iCs/>
          <w:u w:val="single"/>
          <w:lang w:val="pl-PL" w:eastAsia="en-GB"/>
        </w:rPr>
        <w:t xml:space="preserve"> </w:t>
      </w:r>
    </w:p>
    <w:p w14:paraId="310CE8C0" w14:textId="1AB20AC2" w:rsidR="005753AD" w:rsidRPr="00F879CC" w:rsidRDefault="00650175"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iCs/>
          <w:szCs w:val="24"/>
          <w:lang w:val="pl-PL" w:eastAsia="en-GB"/>
        </w:rPr>
      </w:pPr>
      <w:r w:rsidRPr="00F879CC">
        <w:rPr>
          <w:rFonts w:asciiTheme="minorHAnsi" w:eastAsia="Times New Roman" w:hAnsiTheme="minorHAnsi" w:cstheme="minorHAnsi"/>
          <w:iCs/>
          <w:szCs w:val="24"/>
          <w:lang w:val="pl-PL" w:eastAsia="en-GB"/>
        </w:rPr>
        <w:t>Strategia UE dla regionu Morza Bałtyckiego (SUE RMB) stanowi wyjątkową platformę współpracy i koordynacji priorytetów ważnych dla krajów tego regionu. SUE RMB skupia się na wyzwaniach i szansach, które są skuteczniej rozwiązywane, gdy praca odbywa się w skoordynowany sposób w krajach regionu. Aby to osiągnąć angażuje ona wiele różnych organizacji w planowanie i realizację działań w całym regionie.</w:t>
      </w:r>
      <w:r w:rsidRPr="00F879CC">
        <w:rPr>
          <w:rFonts w:eastAsia="Times New Roman" w:cs="Times New Roman"/>
          <w:iCs/>
          <w:szCs w:val="24"/>
          <w:lang w:val="pl-PL" w:eastAsia="en-GB"/>
        </w:rPr>
        <w:t xml:space="preserve"> </w:t>
      </w:r>
      <w:r w:rsidRPr="00F879CC">
        <w:rPr>
          <w:rFonts w:asciiTheme="minorHAnsi" w:eastAsia="Times New Roman" w:hAnsiTheme="minorHAnsi" w:cstheme="minorHAnsi"/>
          <w:iCs/>
          <w:szCs w:val="24"/>
          <w:lang w:val="pl-PL" w:eastAsia="en-GB"/>
        </w:rPr>
        <w:t>Ułatwia również pracę nad wspólnymi priorytetami z krajami partnerskimi w regionie. Realizacja Planu Działań SUE RMB wymaga sprawnej koordynacji między instytucjami odpowiedzialnymi za te działania oraz aktywnego zaangażowania innych interesariuszy. Wyzwaniem dla SUE RMB pozostaje mobilizacja różnych źródeł finansowania dla realizacji Strategii</w:t>
      </w:r>
      <w:r w:rsidR="005753AD" w:rsidRPr="00F879CC">
        <w:rPr>
          <w:rFonts w:asciiTheme="minorHAnsi" w:eastAsia="Times New Roman" w:hAnsiTheme="minorHAnsi" w:cstheme="minorHAnsi"/>
          <w:iCs/>
          <w:szCs w:val="24"/>
          <w:lang w:val="pl-PL" w:eastAsia="en-GB"/>
        </w:rPr>
        <w:t xml:space="preserve">. </w:t>
      </w:r>
    </w:p>
    <w:p w14:paraId="5749E3B1" w14:textId="27F40780" w:rsidR="005753AD" w:rsidRPr="00F879CC" w:rsidRDefault="00650175"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iCs/>
          <w:szCs w:val="24"/>
          <w:lang w:val="pl-PL" w:eastAsia="en-GB"/>
        </w:rPr>
      </w:pPr>
      <w:r w:rsidRPr="00F879CC">
        <w:rPr>
          <w:rFonts w:asciiTheme="minorHAnsi" w:eastAsia="Times New Roman" w:hAnsiTheme="minorHAnsi" w:cstheme="minorHAnsi"/>
          <w:iCs/>
          <w:szCs w:val="24"/>
          <w:lang w:val="pl-PL" w:eastAsia="en-GB"/>
        </w:rPr>
        <w:t xml:space="preserve">Dobrze funkcjonująca struktura zarządzania ma kluczowe znaczenie dla realizacji </w:t>
      </w:r>
      <w:r w:rsidR="0053270E">
        <w:rPr>
          <w:rFonts w:asciiTheme="minorHAnsi" w:eastAsia="Times New Roman" w:hAnsiTheme="minorHAnsi" w:cstheme="minorHAnsi"/>
          <w:iCs/>
          <w:szCs w:val="24"/>
          <w:lang w:val="pl-PL" w:eastAsia="en-GB"/>
        </w:rPr>
        <w:t>S</w:t>
      </w:r>
      <w:r w:rsidRPr="00F879CC">
        <w:rPr>
          <w:rFonts w:asciiTheme="minorHAnsi" w:eastAsia="Times New Roman" w:hAnsiTheme="minorHAnsi" w:cstheme="minorHAnsi"/>
          <w:iCs/>
          <w:szCs w:val="24"/>
          <w:lang w:val="pl-PL" w:eastAsia="en-GB"/>
        </w:rPr>
        <w:t xml:space="preserve">trategii. Centralnymi elementami struktury zarządzania SUE RMB są krajowi koordynatorzy (KK) i koordynatorzy </w:t>
      </w:r>
      <w:r w:rsidR="000C5539">
        <w:rPr>
          <w:rFonts w:asciiTheme="minorHAnsi" w:eastAsia="Times New Roman" w:hAnsiTheme="minorHAnsi" w:cstheme="minorHAnsi"/>
          <w:iCs/>
          <w:szCs w:val="24"/>
          <w:lang w:val="pl-PL" w:eastAsia="en-GB"/>
        </w:rPr>
        <w:t>Obszarów Tematycznych</w:t>
      </w:r>
      <w:r w:rsidRPr="00F879CC">
        <w:rPr>
          <w:rFonts w:asciiTheme="minorHAnsi" w:eastAsia="Times New Roman" w:hAnsiTheme="minorHAnsi" w:cstheme="minorHAnsi"/>
          <w:iCs/>
          <w:szCs w:val="24"/>
          <w:lang w:val="pl-PL" w:eastAsia="en-GB"/>
        </w:rPr>
        <w:t xml:space="preserve"> SUE RMB (</w:t>
      </w:r>
      <w:r w:rsidR="00BD2E54">
        <w:rPr>
          <w:rFonts w:asciiTheme="minorHAnsi" w:eastAsia="Times New Roman" w:hAnsiTheme="minorHAnsi" w:cstheme="minorHAnsi"/>
          <w:iCs/>
          <w:szCs w:val="24"/>
          <w:lang w:val="pl-PL" w:eastAsia="en-GB"/>
        </w:rPr>
        <w:t>KOT</w:t>
      </w:r>
      <w:r w:rsidRPr="00F879CC">
        <w:rPr>
          <w:rFonts w:asciiTheme="minorHAnsi" w:eastAsia="Times New Roman" w:hAnsiTheme="minorHAnsi" w:cstheme="minorHAnsi"/>
          <w:iCs/>
          <w:szCs w:val="24"/>
          <w:lang w:val="pl-PL" w:eastAsia="en-GB"/>
        </w:rPr>
        <w:t>) wspierani przez ich grupy sterujące. Grupa KK jest głównym organem decyzyjnym, którego zadaniem jest zapewnienie przywództwa</w:t>
      </w:r>
      <w:r w:rsidR="005733AB" w:rsidRPr="00F879CC">
        <w:rPr>
          <w:rFonts w:asciiTheme="minorHAnsi" w:eastAsia="Times New Roman" w:hAnsiTheme="minorHAnsi" w:cstheme="minorHAnsi"/>
          <w:iCs/>
          <w:szCs w:val="24"/>
          <w:lang w:val="pl-PL" w:eastAsia="en-GB"/>
        </w:rPr>
        <w:t>,</w:t>
      </w:r>
      <w:r w:rsidRPr="00F879CC">
        <w:rPr>
          <w:rFonts w:asciiTheme="minorHAnsi" w:eastAsia="Times New Roman" w:hAnsiTheme="minorHAnsi" w:cstheme="minorHAnsi"/>
          <w:iCs/>
          <w:szCs w:val="24"/>
          <w:lang w:val="pl-PL" w:eastAsia="en-GB"/>
        </w:rPr>
        <w:t xml:space="preserve"> strategicznych wytycznych i koordynacji, a także zapewnienie budowania zdolności komunikacji, monitorowania i oceny SUE RMB. </w:t>
      </w:r>
      <w:r w:rsidR="00BD2E54">
        <w:rPr>
          <w:rFonts w:asciiTheme="minorHAnsi" w:eastAsia="Times New Roman" w:hAnsiTheme="minorHAnsi" w:cstheme="minorHAnsi"/>
          <w:iCs/>
          <w:szCs w:val="24"/>
          <w:lang w:val="pl-PL" w:eastAsia="en-GB"/>
        </w:rPr>
        <w:t>KOT</w:t>
      </w:r>
      <w:r w:rsidRPr="00F879CC">
        <w:rPr>
          <w:rFonts w:asciiTheme="minorHAnsi" w:eastAsia="Times New Roman" w:hAnsiTheme="minorHAnsi" w:cstheme="minorHAnsi"/>
          <w:iCs/>
          <w:szCs w:val="24"/>
          <w:lang w:val="pl-PL" w:eastAsia="en-GB"/>
        </w:rPr>
        <w:t xml:space="preserve"> zarządzają, koordynują i rozwijają swoje </w:t>
      </w:r>
      <w:r w:rsidR="000C5539">
        <w:rPr>
          <w:rFonts w:asciiTheme="minorHAnsi" w:eastAsia="Times New Roman" w:hAnsiTheme="minorHAnsi" w:cstheme="minorHAnsi"/>
          <w:iCs/>
          <w:szCs w:val="24"/>
          <w:lang w:val="pl-PL" w:eastAsia="en-GB"/>
        </w:rPr>
        <w:t>Obszary Tematyczne</w:t>
      </w:r>
      <w:r w:rsidRPr="00F879CC">
        <w:rPr>
          <w:rFonts w:asciiTheme="minorHAnsi" w:eastAsia="Times New Roman" w:hAnsiTheme="minorHAnsi" w:cstheme="minorHAnsi"/>
          <w:iCs/>
          <w:szCs w:val="24"/>
          <w:lang w:val="pl-PL" w:eastAsia="en-GB"/>
        </w:rPr>
        <w:t xml:space="preserve">, monitorują i raportują grupom sterującym o postępach </w:t>
      </w:r>
      <w:r w:rsidR="000C5539">
        <w:rPr>
          <w:rFonts w:asciiTheme="minorHAnsi" w:eastAsia="Times New Roman" w:hAnsiTheme="minorHAnsi" w:cstheme="minorHAnsi"/>
          <w:iCs/>
          <w:szCs w:val="24"/>
          <w:lang w:val="pl-PL" w:eastAsia="en-GB"/>
        </w:rPr>
        <w:lastRenderedPageBreak/>
        <w:t>OT</w:t>
      </w:r>
      <w:r w:rsidRPr="00F879CC">
        <w:rPr>
          <w:rFonts w:asciiTheme="minorHAnsi" w:eastAsia="Times New Roman" w:hAnsiTheme="minorHAnsi" w:cstheme="minorHAnsi"/>
          <w:iCs/>
          <w:szCs w:val="24"/>
          <w:lang w:val="pl-PL" w:eastAsia="en-GB"/>
        </w:rPr>
        <w:t xml:space="preserve"> oraz zapewniają komunikację. Coroczne Fora Strategii były miejscem spotkań wielu uczestników. Rządy, organizacje międzynarodowe, organizacje pozarządowe, wyższe uczelnie, administracja lokalna i regionalna, biznes i media spot</w:t>
      </w:r>
      <w:r w:rsidR="005733AB" w:rsidRPr="00F879CC">
        <w:rPr>
          <w:rFonts w:asciiTheme="minorHAnsi" w:eastAsia="Times New Roman" w:hAnsiTheme="minorHAnsi" w:cstheme="minorHAnsi"/>
          <w:iCs/>
          <w:szCs w:val="24"/>
          <w:lang w:val="pl-PL" w:eastAsia="en-GB"/>
        </w:rPr>
        <w:t>y</w:t>
      </w:r>
      <w:r w:rsidRPr="00F879CC">
        <w:rPr>
          <w:rFonts w:asciiTheme="minorHAnsi" w:eastAsia="Times New Roman" w:hAnsiTheme="minorHAnsi" w:cstheme="minorHAnsi"/>
          <w:iCs/>
          <w:szCs w:val="24"/>
          <w:lang w:val="pl-PL" w:eastAsia="en-GB"/>
        </w:rPr>
        <w:t>kały się w celu omówienia wybranych tematów strategii</w:t>
      </w:r>
      <w:r w:rsidR="006B3876" w:rsidRPr="00F879CC">
        <w:rPr>
          <w:rFonts w:asciiTheme="minorHAnsi" w:eastAsia="Times New Roman" w:hAnsiTheme="minorHAnsi" w:cstheme="minorHAnsi"/>
          <w:iCs/>
          <w:szCs w:val="24"/>
          <w:lang w:val="pl-PL" w:eastAsia="en-GB"/>
        </w:rPr>
        <w:t xml:space="preserve">. </w:t>
      </w:r>
    </w:p>
    <w:p w14:paraId="48B0E441" w14:textId="61A30671" w:rsidR="005753AD" w:rsidRPr="00F879CC" w:rsidRDefault="008D48BC"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iCs/>
          <w:szCs w:val="24"/>
          <w:lang w:val="pl-PL" w:eastAsia="en-GB"/>
        </w:rPr>
      </w:pPr>
      <w:r w:rsidRPr="00F879CC">
        <w:rPr>
          <w:rFonts w:asciiTheme="minorHAnsi" w:eastAsia="Times New Roman" w:hAnsiTheme="minorHAnsi" w:cstheme="minorHAnsi"/>
          <w:iCs/>
          <w:szCs w:val="24"/>
          <w:lang w:val="pl-PL" w:eastAsia="en-GB"/>
        </w:rPr>
        <w:t xml:space="preserve">W ostatnich latach nastąpił postęp w zakresie zarządzania i zdolności administracyjnych SUE RMB. Okazało się jednak, że zarządzanie wymaga dalszej poprawy w celu wzmocnienia jego efektywności. W ramach przeglądu planu działania w 2020 r., uwzględniono wyzwania związane z zarządzaniem. Oprócz </w:t>
      </w:r>
      <w:r w:rsidR="003E3563" w:rsidRPr="00F879CC">
        <w:rPr>
          <w:rFonts w:asciiTheme="minorHAnsi" w:eastAsia="Times New Roman" w:hAnsiTheme="minorHAnsi" w:cstheme="minorHAnsi"/>
          <w:iCs/>
          <w:szCs w:val="24"/>
          <w:lang w:val="pl-PL" w:eastAsia="en-GB"/>
        </w:rPr>
        <w:t xml:space="preserve">wzmocnienia </w:t>
      </w:r>
      <w:r w:rsidRPr="00F879CC">
        <w:rPr>
          <w:rFonts w:asciiTheme="minorHAnsi" w:eastAsia="Times New Roman" w:hAnsiTheme="minorHAnsi" w:cstheme="minorHAnsi"/>
          <w:iCs/>
          <w:szCs w:val="24"/>
          <w:lang w:val="pl-PL" w:eastAsia="en-GB"/>
        </w:rPr>
        <w:t xml:space="preserve">istniejących struktur, zaproponowano utworzenie </w:t>
      </w:r>
      <w:r w:rsidR="00D60FCF" w:rsidRPr="00F879CC">
        <w:rPr>
          <w:rFonts w:asciiTheme="minorHAnsi" w:eastAsia="Times New Roman" w:hAnsiTheme="minorHAnsi" w:cstheme="minorHAnsi"/>
          <w:iCs/>
          <w:szCs w:val="24"/>
          <w:lang w:val="pl-PL" w:eastAsia="en-GB"/>
        </w:rPr>
        <w:t>P</w:t>
      </w:r>
      <w:r w:rsidRPr="00F879CC">
        <w:rPr>
          <w:rFonts w:asciiTheme="minorHAnsi" w:eastAsia="Times New Roman" w:hAnsiTheme="minorHAnsi" w:cstheme="minorHAnsi"/>
          <w:iCs/>
          <w:szCs w:val="24"/>
          <w:lang w:val="pl-PL" w:eastAsia="en-GB"/>
        </w:rPr>
        <w:t xml:space="preserve">unktu </w:t>
      </w:r>
      <w:r w:rsidR="00D60FCF" w:rsidRPr="00F879CC">
        <w:rPr>
          <w:rFonts w:asciiTheme="minorHAnsi" w:eastAsia="Times New Roman" w:hAnsiTheme="minorHAnsi" w:cstheme="minorHAnsi"/>
          <w:iCs/>
          <w:szCs w:val="24"/>
          <w:lang w:val="pl-PL" w:eastAsia="en-GB"/>
        </w:rPr>
        <w:t>S</w:t>
      </w:r>
      <w:r w:rsidRPr="00F879CC">
        <w:rPr>
          <w:rFonts w:asciiTheme="minorHAnsi" w:eastAsia="Times New Roman" w:hAnsiTheme="minorHAnsi" w:cstheme="minorHAnsi"/>
          <w:iCs/>
          <w:szCs w:val="24"/>
          <w:lang w:val="pl-PL" w:eastAsia="en-GB"/>
        </w:rPr>
        <w:t xml:space="preserve">trategicznego Morza Bałtyckiego. Powinien on konsolidować ważne funkcje komunikacyjne </w:t>
      </w:r>
      <w:r w:rsidR="00D60FCF" w:rsidRPr="00F879CC">
        <w:rPr>
          <w:rFonts w:asciiTheme="minorHAnsi" w:eastAsia="Times New Roman" w:hAnsiTheme="minorHAnsi" w:cstheme="minorHAnsi"/>
          <w:iCs/>
          <w:szCs w:val="24"/>
          <w:lang w:val="pl-PL" w:eastAsia="en-GB"/>
        </w:rPr>
        <w:t xml:space="preserve">i </w:t>
      </w:r>
      <w:r w:rsidRPr="00F879CC">
        <w:rPr>
          <w:rFonts w:asciiTheme="minorHAnsi" w:eastAsia="Times New Roman" w:hAnsiTheme="minorHAnsi" w:cstheme="minorHAnsi"/>
          <w:iCs/>
          <w:szCs w:val="24"/>
          <w:lang w:val="pl-PL" w:eastAsia="en-GB"/>
        </w:rPr>
        <w:t>budowanie zdolności oraz zapewniać administracyjne i techniczne wsparcie dla zarządzania, rozwoju i wdrażania SUE RMB</w:t>
      </w:r>
      <w:r w:rsidR="005753AD" w:rsidRPr="00F879CC">
        <w:rPr>
          <w:rFonts w:asciiTheme="minorHAnsi" w:eastAsia="Times New Roman" w:hAnsiTheme="minorHAnsi" w:cstheme="minorHAnsi"/>
          <w:iCs/>
          <w:szCs w:val="24"/>
          <w:lang w:val="pl-PL" w:eastAsia="en-GB"/>
        </w:rPr>
        <w:t xml:space="preserve">. </w:t>
      </w:r>
    </w:p>
    <w:p w14:paraId="45315B1E" w14:textId="3C1D32E4" w:rsidR="005753AD" w:rsidRPr="00F879CC" w:rsidRDefault="008D48BC"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iCs/>
          <w:szCs w:val="24"/>
          <w:lang w:val="pl-PL" w:eastAsia="en-GB"/>
        </w:rPr>
      </w:pPr>
      <w:r w:rsidRPr="00F879CC">
        <w:rPr>
          <w:rFonts w:asciiTheme="minorHAnsi" w:eastAsia="Times New Roman" w:hAnsiTheme="minorHAnsi" w:cstheme="minorHAnsi"/>
          <w:iCs/>
          <w:szCs w:val="24"/>
          <w:lang w:val="pl-PL" w:eastAsia="en-GB"/>
        </w:rPr>
        <w:t xml:space="preserve">Środki na wdrażanie i zarządzanie SUE RMB mają pochodzić z istniejących źródeł finansowania, w szczególności z programów finansowania UE. Oczekuje się, że organizacje przejmujące rolę </w:t>
      </w:r>
      <w:r w:rsidR="00BD2E54">
        <w:rPr>
          <w:rFonts w:asciiTheme="minorHAnsi" w:eastAsia="Times New Roman" w:hAnsiTheme="minorHAnsi" w:cstheme="minorHAnsi"/>
          <w:iCs/>
          <w:szCs w:val="24"/>
          <w:lang w:val="pl-PL" w:eastAsia="en-GB"/>
        </w:rPr>
        <w:t>KOT</w:t>
      </w:r>
      <w:r w:rsidRPr="00F879CC">
        <w:rPr>
          <w:rFonts w:asciiTheme="minorHAnsi" w:eastAsia="Times New Roman" w:hAnsiTheme="minorHAnsi" w:cstheme="minorHAnsi"/>
          <w:iCs/>
          <w:szCs w:val="24"/>
          <w:lang w:val="pl-PL" w:eastAsia="en-GB"/>
        </w:rPr>
        <w:t xml:space="preserve"> przydzielą środki własne na to zadanie uzupełnione o wsparcie finansowe z Interreg Region Morza Bałtyckiego. Dodatkowe fundusze z programu w latach 2014–2020 pomogły </w:t>
      </w:r>
      <w:r w:rsidR="00BD2E54">
        <w:rPr>
          <w:rFonts w:asciiTheme="minorHAnsi" w:eastAsia="Times New Roman" w:hAnsiTheme="minorHAnsi" w:cstheme="minorHAnsi"/>
          <w:iCs/>
          <w:szCs w:val="24"/>
          <w:lang w:val="pl-PL" w:eastAsia="en-GB"/>
        </w:rPr>
        <w:t>KOT</w:t>
      </w:r>
      <w:r w:rsidRPr="00F879CC">
        <w:rPr>
          <w:rFonts w:asciiTheme="minorHAnsi" w:eastAsia="Times New Roman" w:hAnsiTheme="minorHAnsi" w:cstheme="minorHAnsi"/>
          <w:iCs/>
          <w:szCs w:val="24"/>
          <w:lang w:val="pl-PL" w:eastAsia="en-GB"/>
        </w:rPr>
        <w:t xml:space="preserve"> z powodzeniem inicjować i prowadzić dyskusje polityczne, wdrażać podstawowe działania w zakresie tworzenia sieci, np. organizować komitety sterujące, a także spotkania z grupami społeczeństwa obywatelskiego, konferencje, szkolenia i ankiety.  Program wsparł Doroczne Fora Strategii współfinansowaniem w wysokości 85%. Ponadto, w ramach Programu przyznano środki na działania komunikacyjne i budowanie potencjału SUE RMB. W wielu działaniach interesariusze SUE RMB nawiązali współpracę z krajami partnerskimi w celu wypracowania wspólnych priorytetów</w:t>
      </w:r>
      <w:r w:rsidR="005753AD" w:rsidRPr="00F879CC">
        <w:rPr>
          <w:rFonts w:asciiTheme="minorHAnsi" w:eastAsia="Times New Roman" w:hAnsiTheme="minorHAnsi" w:cstheme="minorHAnsi"/>
          <w:iCs/>
          <w:szCs w:val="24"/>
          <w:lang w:val="pl-PL" w:eastAsia="en-GB"/>
        </w:rPr>
        <w:t>.</w:t>
      </w:r>
    </w:p>
    <w:p w14:paraId="11816F02" w14:textId="57D08D1E" w:rsidR="005753AD" w:rsidRPr="00F879CC" w:rsidRDefault="00070DA9"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iCs/>
          <w:szCs w:val="24"/>
          <w:lang w:val="pl-PL" w:eastAsia="en-GB"/>
        </w:rPr>
      </w:pPr>
      <w:r w:rsidRPr="00F879CC">
        <w:rPr>
          <w:rFonts w:asciiTheme="minorHAnsi" w:eastAsia="Times New Roman" w:hAnsiTheme="minorHAnsi" w:cstheme="minorHAnsi"/>
          <w:iCs/>
          <w:szCs w:val="24"/>
          <w:lang w:val="pl-PL" w:eastAsia="en-GB"/>
        </w:rPr>
        <w:t xml:space="preserve">W latach 2021-2027, Interreg Region Morza Bałtyckiego nadal wspiera realizację </w:t>
      </w:r>
      <w:r w:rsidR="0053270E">
        <w:rPr>
          <w:rFonts w:asciiTheme="minorHAnsi" w:eastAsia="Times New Roman" w:hAnsiTheme="minorHAnsi" w:cstheme="minorHAnsi"/>
          <w:iCs/>
          <w:szCs w:val="24"/>
          <w:lang w:val="pl-PL" w:eastAsia="en-GB"/>
        </w:rPr>
        <w:t>S</w:t>
      </w:r>
      <w:r w:rsidRPr="00F879CC">
        <w:rPr>
          <w:rFonts w:asciiTheme="minorHAnsi" w:eastAsia="Times New Roman" w:hAnsiTheme="minorHAnsi" w:cstheme="minorHAnsi"/>
          <w:iCs/>
          <w:szCs w:val="24"/>
          <w:lang w:val="pl-PL" w:eastAsia="en-GB"/>
        </w:rPr>
        <w:t>trategii, w tym zarządzanie nią zgodnie ze zmienionym planem działania. Jednakże, budżet Programu będzie ograniczony, tj. nie może pokrywać wszystkich potrzeb SUE RMB. Dlatego też ważne jest, aby wybrać konkretne elementy zarządzania SUE RMB, które powinny być wspierane funduszami Programu. W ścisłej współpracy z KK, kraje programu zgodziły się skoncentrować finansowanie Programu na następujących elementach zarządzania: podstawowy</w:t>
      </w:r>
      <w:r w:rsidR="00D60FCF" w:rsidRPr="00F879CC">
        <w:rPr>
          <w:rFonts w:asciiTheme="minorHAnsi" w:eastAsia="Times New Roman" w:hAnsiTheme="minorHAnsi" w:cstheme="minorHAnsi"/>
          <w:iCs/>
          <w:szCs w:val="24"/>
          <w:lang w:val="pl-PL" w:eastAsia="en-GB"/>
        </w:rPr>
        <w:t>ch</w:t>
      </w:r>
      <w:r w:rsidRPr="00F879CC">
        <w:rPr>
          <w:rFonts w:asciiTheme="minorHAnsi" w:eastAsia="Times New Roman" w:hAnsiTheme="minorHAnsi" w:cstheme="minorHAnsi"/>
          <w:iCs/>
          <w:szCs w:val="24"/>
          <w:lang w:val="pl-PL" w:eastAsia="en-GB"/>
        </w:rPr>
        <w:t xml:space="preserve"> funkcja</w:t>
      </w:r>
      <w:r w:rsidR="00D60FCF" w:rsidRPr="00F879CC">
        <w:rPr>
          <w:rFonts w:asciiTheme="minorHAnsi" w:eastAsia="Times New Roman" w:hAnsiTheme="minorHAnsi" w:cstheme="minorHAnsi"/>
          <w:iCs/>
          <w:szCs w:val="24"/>
          <w:lang w:val="pl-PL" w:eastAsia="en-GB"/>
        </w:rPr>
        <w:t>ch</w:t>
      </w:r>
      <w:r w:rsidRPr="00F879CC">
        <w:rPr>
          <w:rFonts w:asciiTheme="minorHAnsi" w:eastAsia="Times New Roman" w:hAnsiTheme="minorHAnsi" w:cstheme="minorHAnsi"/>
          <w:iCs/>
          <w:szCs w:val="24"/>
          <w:lang w:val="pl-PL" w:eastAsia="en-GB"/>
        </w:rPr>
        <w:t xml:space="preserve"> Punktu Strategicznego Morza Bałtyckiego, wspieraniem organizacji Forów Strategii oraz finansowaniem </w:t>
      </w:r>
      <w:r w:rsidR="00BD2E54">
        <w:rPr>
          <w:rFonts w:asciiTheme="minorHAnsi" w:eastAsia="Times New Roman" w:hAnsiTheme="minorHAnsi" w:cstheme="minorHAnsi"/>
          <w:iCs/>
          <w:szCs w:val="24"/>
          <w:lang w:val="pl-PL" w:eastAsia="en-GB"/>
        </w:rPr>
        <w:t>KOT</w:t>
      </w:r>
      <w:r w:rsidRPr="00F879CC">
        <w:rPr>
          <w:rFonts w:asciiTheme="minorHAnsi" w:eastAsia="Times New Roman" w:hAnsiTheme="minorHAnsi" w:cstheme="minorHAnsi"/>
          <w:iCs/>
          <w:szCs w:val="24"/>
          <w:lang w:val="pl-PL" w:eastAsia="en-GB"/>
        </w:rPr>
        <w:t xml:space="preserve"> w zakresie ich zadań koordynacyjnych. </w:t>
      </w:r>
      <w:r w:rsidR="00BD2E54">
        <w:rPr>
          <w:rFonts w:asciiTheme="minorHAnsi" w:eastAsia="Times New Roman" w:hAnsiTheme="minorHAnsi" w:cstheme="minorHAnsi"/>
          <w:iCs/>
          <w:szCs w:val="24"/>
          <w:lang w:val="pl-PL" w:eastAsia="en-GB"/>
        </w:rPr>
        <w:t>KOT</w:t>
      </w:r>
      <w:r w:rsidRPr="00F879CC">
        <w:rPr>
          <w:rFonts w:asciiTheme="minorHAnsi" w:eastAsia="Times New Roman" w:hAnsiTheme="minorHAnsi" w:cstheme="minorHAnsi"/>
          <w:iCs/>
          <w:szCs w:val="24"/>
          <w:lang w:val="pl-PL" w:eastAsia="en-GB"/>
        </w:rPr>
        <w:t xml:space="preserve"> otrzymają dalsze wsparcie, aby lepiej angażować interesariuszy i identyfikować źródła finansowania dla transnarodowych procesów rozwojowych i projektów w swojej dziedzinie</w:t>
      </w:r>
      <w:r w:rsidR="005753AD" w:rsidRPr="00F879CC">
        <w:rPr>
          <w:rFonts w:asciiTheme="minorHAnsi" w:eastAsia="Times New Roman" w:hAnsiTheme="minorHAnsi" w:cstheme="minorHAnsi"/>
          <w:iCs/>
          <w:szCs w:val="24"/>
          <w:lang w:val="pl-PL" w:eastAsia="en-GB"/>
        </w:rPr>
        <w:t xml:space="preserve">.  </w:t>
      </w:r>
    </w:p>
    <w:p w14:paraId="2D8C62CA" w14:textId="452F3C20" w:rsidR="005753AD" w:rsidRPr="00F879CC" w:rsidRDefault="00070DA9"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iCs/>
          <w:szCs w:val="24"/>
          <w:lang w:val="pl-PL" w:eastAsia="en-GB"/>
        </w:rPr>
      </w:pPr>
      <w:r w:rsidRPr="00F879CC">
        <w:rPr>
          <w:rFonts w:asciiTheme="minorHAnsi" w:eastAsia="Times New Roman" w:hAnsiTheme="minorHAnsi" w:cstheme="minorHAnsi"/>
          <w:iCs/>
          <w:szCs w:val="24"/>
          <w:lang w:val="pl-PL" w:eastAsia="en-GB"/>
        </w:rPr>
        <w:t>W przyszłości należy zachęcać do współpracy z krajami partnerskimi we wszystkich działaniach związanych z zarządzaniem. Istnieje potrzeba wykorzystania synergii między SUE RMB, a strategiami krajów partnerskich. Jednocześnie, należy mocno ugruntować prace nad wspólnymi priorytetami</w:t>
      </w:r>
      <w:r w:rsidR="005753AD" w:rsidRPr="00F879CC">
        <w:rPr>
          <w:rFonts w:asciiTheme="minorHAnsi" w:eastAsia="Times New Roman" w:hAnsiTheme="minorHAnsi" w:cstheme="minorHAnsi"/>
          <w:iCs/>
          <w:szCs w:val="24"/>
          <w:lang w:val="pl-PL" w:eastAsia="en-GB"/>
        </w:rPr>
        <w:t xml:space="preserve">. </w:t>
      </w:r>
    </w:p>
    <w:p w14:paraId="63714DF5" w14:textId="3F7F7339" w:rsidR="005753AD" w:rsidRPr="00F879CC" w:rsidRDefault="00070DA9"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iCs/>
          <w:szCs w:val="24"/>
          <w:lang w:val="pl-PL" w:eastAsia="en-GB"/>
        </w:rPr>
      </w:pPr>
      <w:r w:rsidRPr="00F879CC">
        <w:rPr>
          <w:rFonts w:asciiTheme="minorHAnsi" w:eastAsia="Times New Roman" w:hAnsiTheme="minorHAnsi" w:cstheme="minorHAnsi"/>
          <w:iCs/>
          <w:szCs w:val="24"/>
          <w:lang w:val="pl-PL" w:eastAsia="en-GB"/>
        </w:rPr>
        <w:t xml:space="preserve">Opisane wyzwania i potrzeby zostaną uwzględnione w Programie, w Priorytecie 4 „Zarządzanie współpracą” w ramach celu szczegółowego Interreg „Lepsze zarządzanie współpracą” oraz </w:t>
      </w:r>
      <w:bookmarkStart w:id="25" w:name="OLE_LINK113"/>
      <w:bookmarkStart w:id="26" w:name="OLE_LINK114"/>
      <w:r w:rsidRPr="00F879CC">
        <w:rPr>
          <w:rFonts w:asciiTheme="minorHAnsi" w:eastAsia="Times New Roman" w:hAnsiTheme="minorHAnsi" w:cstheme="minorHAnsi"/>
          <w:iCs/>
          <w:szCs w:val="24"/>
          <w:lang w:val="pl-PL" w:eastAsia="en-GB"/>
        </w:rPr>
        <w:t xml:space="preserve">Działania d) „zwiększenie zdolności instytucjonalnych władz publicznych i interesariuszy do wdrażania strategii makroregionalnych </w:t>
      </w:r>
      <w:r w:rsidR="00B5203E" w:rsidRPr="00F879CC">
        <w:rPr>
          <w:rFonts w:asciiTheme="minorHAnsi" w:eastAsia="Times New Roman" w:hAnsiTheme="minorHAnsi" w:cstheme="minorHAnsi"/>
          <w:iCs/>
          <w:szCs w:val="24"/>
          <w:lang w:val="pl-PL" w:eastAsia="en-GB"/>
        </w:rPr>
        <w:t>i strategii basenów morskich</w:t>
      </w:r>
      <w:bookmarkEnd w:id="25"/>
      <w:bookmarkEnd w:id="26"/>
      <w:r w:rsidR="00B5203E" w:rsidRPr="00F879CC">
        <w:rPr>
          <w:rFonts w:asciiTheme="minorHAnsi" w:eastAsia="Times New Roman" w:hAnsiTheme="minorHAnsi" w:cstheme="minorHAnsi"/>
          <w:iCs/>
          <w:szCs w:val="24"/>
          <w:lang w:val="pl-PL" w:eastAsia="en-GB"/>
        </w:rPr>
        <w:t xml:space="preserve"> oraz </w:t>
      </w:r>
      <w:r w:rsidR="00B5203E" w:rsidRPr="00F879CC">
        <w:rPr>
          <w:rFonts w:asciiTheme="minorHAnsi" w:eastAsia="Times New Roman" w:hAnsiTheme="minorHAnsi" w:cstheme="minorHAnsi"/>
          <w:iCs/>
          <w:szCs w:val="24"/>
          <w:lang w:val="pl-PL" w:eastAsia="en-GB"/>
        </w:rPr>
        <w:lastRenderedPageBreak/>
        <w:t>innych</w:t>
      </w:r>
      <w:r w:rsidRPr="00F879CC">
        <w:rPr>
          <w:rFonts w:asciiTheme="minorHAnsi" w:eastAsia="Times New Roman" w:hAnsiTheme="minorHAnsi" w:cstheme="minorHAnsi"/>
          <w:iCs/>
          <w:szCs w:val="24"/>
          <w:lang w:val="pl-PL" w:eastAsia="en-GB"/>
        </w:rPr>
        <w:t xml:space="preserve"> strategii terytorialnych</w:t>
      </w:r>
      <w:r w:rsidR="00B5203E" w:rsidRPr="00F879CC">
        <w:rPr>
          <w:rFonts w:asciiTheme="minorHAnsi" w:eastAsia="Times New Roman" w:hAnsiTheme="minorHAnsi" w:cstheme="minorHAnsi"/>
          <w:iCs/>
          <w:szCs w:val="24"/>
          <w:lang w:val="pl-PL" w:eastAsia="en-GB"/>
        </w:rPr>
        <w:t>”</w:t>
      </w:r>
      <w:r w:rsidRPr="00F879CC">
        <w:rPr>
          <w:rFonts w:asciiTheme="minorHAnsi" w:eastAsia="Times New Roman" w:hAnsiTheme="minorHAnsi" w:cstheme="minorHAnsi"/>
          <w:iCs/>
          <w:szCs w:val="24"/>
          <w:lang w:val="pl-PL" w:eastAsia="en-GB"/>
        </w:rPr>
        <w:t>, co przekłada się na Cel</w:t>
      </w:r>
      <w:r w:rsidR="009504A6">
        <w:rPr>
          <w:rFonts w:asciiTheme="minorHAnsi" w:eastAsia="Times New Roman" w:hAnsiTheme="minorHAnsi" w:cstheme="minorHAnsi"/>
          <w:iCs/>
          <w:szCs w:val="24"/>
          <w:lang w:val="pl-PL" w:eastAsia="en-GB"/>
        </w:rPr>
        <w:t xml:space="preserve"> szczegółowy </w:t>
      </w:r>
      <w:r w:rsidRPr="00F879CC">
        <w:rPr>
          <w:rFonts w:asciiTheme="minorHAnsi" w:eastAsia="Times New Roman" w:hAnsiTheme="minorHAnsi" w:cstheme="minorHAnsi"/>
          <w:iCs/>
          <w:szCs w:val="24"/>
          <w:lang w:val="pl-PL" w:eastAsia="en-GB"/>
        </w:rPr>
        <w:t>4</w:t>
      </w:r>
      <w:r w:rsidRPr="00F42A23">
        <w:rPr>
          <w:rFonts w:asciiTheme="minorHAnsi" w:eastAsia="Times New Roman" w:hAnsiTheme="minorHAnsi" w:cstheme="minorHAnsi"/>
          <w:iCs/>
          <w:szCs w:val="24"/>
          <w:lang w:val="pl-PL" w:eastAsia="en-GB"/>
        </w:rPr>
        <w:t>.2 Zarządzanie makroregionalne</w:t>
      </w:r>
      <w:r w:rsidR="00B5203E" w:rsidRPr="00F42A23">
        <w:rPr>
          <w:rFonts w:asciiTheme="minorHAnsi" w:eastAsia="Times New Roman" w:hAnsiTheme="minorHAnsi" w:cstheme="minorHAnsi"/>
          <w:iCs/>
          <w:szCs w:val="24"/>
          <w:lang w:val="pl-PL" w:eastAsia="en-GB"/>
        </w:rPr>
        <w:t>.</w:t>
      </w:r>
      <w:r w:rsidR="00B5203E" w:rsidRPr="00F879CC">
        <w:rPr>
          <w:rFonts w:asciiTheme="minorHAnsi" w:eastAsia="Times New Roman" w:hAnsiTheme="minorHAnsi" w:cstheme="minorHAnsi"/>
          <w:iCs/>
          <w:szCs w:val="24"/>
          <w:lang w:val="pl-PL" w:eastAsia="en-GB"/>
        </w:rPr>
        <w:t xml:space="preserve"> </w:t>
      </w:r>
    </w:p>
    <w:p w14:paraId="0CC8A5DF" w14:textId="7091F043" w:rsidR="005753AD" w:rsidRPr="00F879CC" w:rsidRDefault="005753AD"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b/>
          <w:bCs/>
          <w:iCs/>
          <w:szCs w:val="24"/>
          <w:lang w:val="pl-PL" w:eastAsia="en-GB"/>
        </w:rPr>
      </w:pPr>
      <w:r w:rsidRPr="00F879CC">
        <w:rPr>
          <w:rFonts w:asciiTheme="minorHAnsi" w:eastAsia="Times New Roman" w:hAnsiTheme="minorHAnsi" w:cstheme="minorHAnsi"/>
          <w:b/>
          <w:bCs/>
          <w:iCs/>
          <w:szCs w:val="24"/>
          <w:lang w:val="pl-PL" w:eastAsia="en-GB"/>
        </w:rPr>
        <w:t xml:space="preserve">ii) </w:t>
      </w:r>
      <w:r w:rsidR="00B5203E" w:rsidRPr="00F879CC">
        <w:rPr>
          <w:rFonts w:asciiTheme="minorHAnsi" w:eastAsia="Times New Roman" w:hAnsiTheme="minorHAnsi" w:cstheme="minorHAnsi"/>
          <w:b/>
          <w:bCs/>
          <w:iCs/>
          <w:szCs w:val="24"/>
          <w:lang w:val="pl-PL" w:eastAsia="en-GB"/>
        </w:rPr>
        <w:t>Komplementarność i synergia z innymi programami i instrumentami finansowania</w:t>
      </w:r>
    </w:p>
    <w:p w14:paraId="7A011C76" w14:textId="60AD2798" w:rsidR="002D025E" w:rsidRPr="00F879CC" w:rsidRDefault="00B5203E"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bCs/>
          <w:iCs/>
          <w:szCs w:val="24"/>
          <w:lang w:val="pl-PL" w:eastAsia="en-GB"/>
        </w:rPr>
      </w:pPr>
      <w:r w:rsidRPr="00F879CC">
        <w:rPr>
          <w:rFonts w:asciiTheme="minorHAnsi" w:eastAsia="Times New Roman" w:hAnsiTheme="minorHAnsi" w:cstheme="minorHAnsi"/>
          <w:bCs/>
          <w:iCs/>
          <w:szCs w:val="24"/>
          <w:lang w:val="pl-PL" w:eastAsia="en-GB"/>
        </w:rPr>
        <w:t>Władze programowe zbadały komplementarność i synergię z innymi programami i instrumentami finansowania za pośrednictwem sieci tematycznych i platform współpracy często organizowanych przez Interact. Najsilniejsze powiązania istnieją z władzami programów Interreg w regionie Morza Bałtyckiego oraz z Interreg Europa Środkowa i Region Morza Północnego. Ponadto, władze Programu aktywnie współpracują z morskim programem badawczym BANOS (dawniej BONUS</w:t>
      </w:r>
      <w:r w:rsidR="0005393B" w:rsidRPr="00F879CC">
        <w:rPr>
          <w:rFonts w:asciiTheme="minorHAnsi" w:eastAsia="Times New Roman" w:hAnsiTheme="minorHAnsi" w:cstheme="minorHAnsi"/>
          <w:bCs/>
          <w:iCs/>
          <w:szCs w:val="24"/>
          <w:lang w:val="pl-PL" w:eastAsia="en-GB"/>
        </w:rPr>
        <w:t xml:space="preserve">). </w:t>
      </w:r>
    </w:p>
    <w:p w14:paraId="0F3E3B80" w14:textId="17138EF0" w:rsidR="0005393B" w:rsidRPr="00F879CC" w:rsidRDefault="00B5203E"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bCs/>
          <w:iCs/>
          <w:szCs w:val="24"/>
          <w:lang w:val="pl-PL" w:eastAsia="en-GB"/>
        </w:rPr>
      </w:pPr>
      <w:r w:rsidRPr="00F879CC">
        <w:rPr>
          <w:rFonts w:asciiTheme="minorHAnsi" w:eastAsia="Times New Roman" w:hAnsiTheme="minorHAnsi" w:cstheme="minorHAnsi"/>
          <w:bCs/>
          <w:iCs/>
          <w:szCs w:val="24"/>
          <w:lang w:val="pl-PL" w:eastAsia="en-GB"/>
        </w:rPr>
        <w:t xml:space="preserve">Pod względem tematycznym istnieją podobieństwa między Interreg Region Morza Bałtyckiego, a głównymi programami transgranicznymi </w:t>
      </w:r>
      <w:r w:rsidR="004A6A29">
        <w:rPr>
          <w:rFonts w:asciiTheme="minorHAnsi" w:eastAsia="Times New Roman" w:hAnsiTheme="minorHAnsi" w:cstheme="minorHAnsi"/>
          <w:bCs/>
          <w:iCs/>
          <w:szCs w:val="24"/>
          <w:lang w:val="pl-PL" w:eastAsia="en-GB"/>
        </w:rPr>
        <w:t xml:space="preserve">(CBC) </w:t>
      </w:r>
      <w:r w:rsidRPr="00F879CC">
        <w:rPr>
          <w:rFonts w:asciiTheme="minorHAnsi" w:eastAsia="Times New Roman" w:hAnsiTheme="minorHAnsi" w:cstheme="minorHAnsi"/>
          <w:bCs/>
          <w:iCs/>
          <w:szCs w:val="24"/>
          <w:lang w:val="pl-PL" w:eastAsia="en-GB"/>
        </w:rPr>
        <w:t xml:space="preserve">na tym obszarze (programy Południowy Bałtyk, </w:t>
      </w:r>
      <w:r w:rsidR="0053270E">
        <w:rPr>
          <w:rFonts w:asciiTheme="minorHAnsi" w:eastAsia="Times New Roman" w:hAnsiTheme="minorHAnsi" w:cstheme="minorHAnsi"/>
          <w:bCs/>
          <w:iCs/>
          <w:szCs w:val="24"/>
          <w:lang w:val="pl-PL" w:eastAsia="en-GB"/>
        </w:rPr>
        <w:t>Centralny</w:t>
      </w:r>
      <w:r w:rsidRPr="00F879CC">
        <w:rPr>
          <w:rFonts w:asciiTheme="minorHAnsi" w:eastAsia="Times New Roman" w:hAnsiTheme="minorHAnsi" w:cstheme="minorHAnsi"/>
          <w:bCs/>
          <w:iCs/>
          <w:szCs w:val="24"/>
          <w:lang w:val="pl-PL" w:eastAsia="en-GB"/>
        </w:rPr>
        <w:t xml:space="preserve"> Bałtyk i Öresund-Kattegat-Skagerrak). Wymienione programy w sposób szczególny wspierają zagadnienia Celu </w:t>
      </w:r>
      <w:r w:rsidR="009504A6">
        <w:rPr>
          <w:rFonts w:asciiTheme="minorHAnsi" w:eastAsia="Times New Roman" w:hAnsiTheme="minorHAnsi" w:cstheme="minorHAnsi"/>
          <w:bCs/>
          <w:iCs/>
          <w:szCs w:val="24"/>
          <w:lang w:val="pl-PL" w:eastAsia="en-GB"/>
        </w:rPr>
        <w:t>Polityki</w:t>
      </w:r>
      <w:r w:rsidRPr="00F879CC">
        <w:rPr>
          <w:rFonts w:asciiTheme="minorHAnsi" w:eastAsia="Times New Roman" w:hAnsiTheme="minorHAnsi" w:cstheme="minorHAnsi"/>
          <w:bCs/>
          <w:iCs/>
          <w:szCs w:val="24"/>
          <w:lang w:val="pl-PL" w:eastAsia="en-GB"/>
        </w:rPr>
        <w:t xml:space="preserve"> 2. Doświadczenie pokazuje jednak, iż projekty programów CBC różnią się od </w:t>
      </w:r>
      <w:r w:rsidR="004820E7">
        <w:rPr>
          <w:rFonts w:asciiTheme="minorHAnsi" w:eastAsia="Times New Roman" w:hAnsiTheme="minorHAnsi" w:cstheme="minorHAnsi"/>
          <w:bCs/>
          <w:iCs/>
          <w:szCs w:val="24"/>
          <w:lang w:val="pl-PL" w:eastAsia="en-GB"/>
        </w:rPr>
        <w:t xml:space="preserve">projektów </w:t>
      </w:r>
      <w:r w:rsidRPr="00F879CC">
        <w:rPr>
          <w:rFonts w:asciiTheme="minorHAnsi" w:eastAsia="Times New Roman" w:hAnsiTheme="minorHAnsi" w:cstheme="minorHAnsi"/>
          <w:bCs/>
          <w:iCs/>
          <w:szCs w:val="24"/>
          <w:lang w:val="pl-PL" w:eastAsia="en-GB"/>
        </w:rPr>
        <w:t>transnarodowego</w:t>
      </w:r>
      <w:r w:rsidR="00E66DAD">
        <w:rPr>
          <w:rFonts w:asciiTheme="minorHAnsi" w:eastAsia="Times New Roman" w:hAnsiTheme="minorHAnsi" w:cstheme="minorHAnsi"/>
          <w:bCs/>
          <w:iCs/>
          <w:szCs w:val="24"/>
          <w:lang w:val="pl-PL" w:eastAsia="en-GB"/>
        </w:rPr>
        <w:t xml:space="preserve"> Programu</w:t>
      </w:r>
      <w:r w:rsidR="006067B3">
        <w:rPr>
          <w:rFonts w:asciiTheme="minorHAnsi" w:eastAsia="Times New Roman" w:hAnsiTheme="minorHAnsi" w:cstheme="minorHAnsi"/>
          <w:bCs/>
          <w:iCs/>
          <w:szCs w:val="24"/>
          <w:lang w:val="pl-PL" w:eastAsia="en-GB"/>
        </w:rPr>
        <w:t xml:space="preserve"> </w:t>
      </w:r>
      <w:r w:rsidRPr="00F879CC">
        <w:rPr>
          <w:rFonts w:asciiTheme="minorHAnsi" w:eastAsia="Times New Roman" w:hAnsiTheme="minorHAnsi" w:cstheme="minorHAnsi"/>
          <w:bCs/>
          <w:iCs/>
          <w:szCs w:val="24"/>
          <w:lang w:val="pl-PL" w:eastAsia="en-GB"/>
        </w:rPr>
        <w:t>Interreg Region Morza Bałtyckiego. Projekty programów CBC zwykle dotyczą tematów z lokalnego i regionalnego punktu widzenia, obejmując sąsiadów i ich kulturę w trakcie poszukiwania wspólnych rozwiązań</w:t>
      </w:r>
      <w:r w:rsidR="00216F57" w:rsidRPr="00F879CC">
        <w:rPr>
          <w:rFonts w:asciiTheme="minorHAnsi" w:eastAsia="Times New Roman" w:hAnsiTheme="minorHAnsi" w:cstheme="minorHAnsi"/>
          <w:bCs/>
          <w:iCs/>
          <w:szCs w:val="24"/>
          <w:lang w:val="pl-PL" w:eastAsia="en-GB"/>
        </w:rPr>
        <w:t xml:space="preserve">. </w:t>
      </w:r>
      <w:r w:rsidR="00C87C8B" w:rsidRPr="00F879CC">
        <w:rPr>
          <w:rFonts w:asciiTheme="minorHAnsi" w:eastAsia="Times New Roman" w:hAnsiTheme="minorHAnsi" w:cstheme="minorHAnsi"/>
          <w:bCs/>
          <w:iCs/>
          <w:szCs w:val="24"/>
          <w:lang w:val="pl-PL" w:eastAsia="en-GB"/>
        </w:rPr>
        <w:t xml:space="preserve">Projekty Interreg Region Morza Bałtyckiego dotyczą wspólnych wyzwań, wymiany dobrych praktyk, budowania strategii i przygotowywania rozwiązań na szerszą skalę w regionie Morza Bałtyckiego. Jednakże, realizatorzy projektów o podobnej tematyce będą zachęcani do wykorzystywania synergii. Instytucje zarządzające i wspólne sekretariaty przeanalizują wnioski dotyczące projektów, aby odkryć możliwości w zakresie współpracy i uniknąć podwójnego finansowania. Twórcy projektów Interreg Region Morza Bałtyckiego zostaną poproszeni, już w formularzu wniosku, o wskazanie </w:t>
      </w:r>
      <w:r w:rsidR="00CC0F52" w:rsidRPr="00F879CC">
        <w:rPr>
          <w:rFonts w:asciiTheme="minorHAnsi" w:eastAsia="Times New Roman" w:hAnsiTheme="minorHAnsi" w:cstheme="minorHAnsi"/>
          <w:bCs/>
          <w:iCs/>
          <w:szCs w:val="24"/>
          <w:lang w:val="pl-PL" w:eastAsia="en-GB"/>
        </w:rPr>
        <w:t>projektów, na których</w:t>
      </w:r>
      <w:r w:rsidR="00C87C8B" w:rsidRPr="00F879CC">
        <w:rPr>
          <w:rFonts w:asciiTheme="minorHAnsi" w:eastAsia="Times New Roman" w:hAnsiTheme="minorHAnsi" w:cstheme="minorHAnsi"/>
          <w:bCs/>
          <w:iCs/>
          <w:szCs w:val="24"/>
          <w:lang w:val="pl-PL" w:eastAsia="en-GB"/>
        </w:rPr>
        <w:t xml:space="preserve"> się opierają lub z którymi będą miały synergię. Często projekty programów CBC mogą służyć, jako owocne przypadki pilotażowe w większych projektach Interreg Region Morza Bałtyckiego</w:t>
      </w:r>
      <w:r w:rsidR="00216F57" w:rsidRPr="00F879CC">
        <w:rPr>
          <w:rFonts w:asciiTheme="minorHAnsi" w:eastAsia="Times New Roman" w:hAnsiTheme="minorHAnsi" w:cstheme="minorHAnsi"/>
          <w:bCs/>
          <w:iCs/>
          <w:szCs w:val="24"/>
          <w:lang w:val="pl-PL" w:eastAsia="en-GB"/>
        </w:rPr>
        <w:t xml:space="preserve">.  </w:t>
      </w:r>
    </w:p>
    <w:p w14:paraId="0E53907A" w14:textId="552485D7" w:rsidR="00C92394" w:rsidRPr="00F879CC" w:rsidRDefault="00C87C8B"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bCs/>
          <w:iCs/>
          <w:szCs w:val="24"/>
          <w:lang w:val="pl-PL" w:eastAsia="en-GB"/>
        </w:rPr>
      </w:pPr>
      <w:r w:rsidRPr="00F879CC">
        <w:rPr>
          <w:rFonts w:asciiTheme="minorHAnsi" w:eastAsia="Times New Roman" w:hAnsiTheme="minorHAnsi" w:cstheme="minorHAnsi"/>
          <w:bCs/>
          <w:iCs/>
          <w:szCs w:val="24"/>
          <w:lang w:val="pl-PL" w:eastAsia="en-GB"/>
        </w:rPr>
        <w:t xml:space="preserve">Platformy projektów są centralnym narzędziem Programu wspierającym współpracę między partnerami projektów z różnych programów i tworzącym synergie. Ponadto, Program zachęca do koordynacji w ramach </w:t>
      </w:r>
      <w:r w:rsidR="000C5539">
        <w:rPr>
          <w:rFonts w:asciiTheme="minorHAnsi" w:eastAsia="Times New Roman" w:hAnsiTheme="minorHAnsi" w:cstheme="minorHAnsi"/>
          <w:bCs/>
          <w:iCs/>
          <w:szCs w:val="24"/>
          <w:lang w:val="pl-PL" w:eastAsia="en-GB"/>
        </w:rPr>
        <w:t>Obszarów Tematycznych</w:t>
      </w:r>
      <w:r w:rsidRPr="00F879CC">
        <w:rPr>
          <w:rFonts w:asciiTheme="minorHAnsi" w:eastAsia="Times New Roman" w:hAnsiTheme="minorHAnsi" w:cstheme="minorHAnsi"/>
          <w:bCs/>
          <w:iCs/>
          <w:szCs w:val="24"/>
          <w:lang w:val="pl-PL" w:eastAsia="en-GB"/>
        </w:rPr>
        <w:t xml:space="preserve"> SUE RMB w celu uzyskania synergii między projektami z różnych programów z korzyścią dla całego regionu. W tym przypadku program</w:t>
      </w:r>
      <w:r w:rsidR="0018188E" w:rsidRPr="00F879CC">
        <w:rPr>
          <w:rFonts w:asciiTheme="minorHAnsi" w:eastAsia="Times New Roman" w:hAnsiTheme="minorHAnsi" w:cstheme="minorHAnsi"/>
          <w:bCs/>
          <w:iCs/>
          <w:szCs w:val="24"/>
          <w:lang w:val="pl-PL" w:eastAsia="en-GB"/>
        </w:rPr>
        <w:t>y</w:t>
      </w:r>
      <w:r w:rsidRPr="00F879CC">
        <w:rPr>
          <w:rFonts w:asciiTheme="minorHAnsi" w:eastAsia="Times New Roman" w:hAnsiTheme="minorHAnsi" w:cstheme="minorHAnsi"/>
          <w:bCs/>
          <w:iCs/>
          <w:szCs w:val="24"/>
          <w:lang w:val="pl-PL" w:eastAsia="en-GB"/>
        </w:rPr>
        <w:t xml:space="preserve"> krajow</w:t>
      </w:r>
      <w:r w:rsidR="0018188E" w:rsidRPr="00F879CC">
        <w:rPr>
          <w:rFonts w:asciiTheme="minorHAnsi" w:eastAsia="Times New Roman" w:hAnsiTheme="minorHAnsi" w:cstheme="minorHAnsi"/>
          <w:bCs/>
          <w:iCs/>
          <w:szCs w:val="24"/>
          <w:lang w:val="pl-PL" w:eastAsia="en-GB"/>
        </w:rPr>
        <w:t>e</w:t>
      </w:r>
      <w:r w:rsidRPr="00F879CC">
        <w:rPr>
          <w:rFonts w:asciiTheme="minorHAnsi" w:eastAsia="Times New Roman" w:hAnsiTheme="minorHAnsi" w:cstheme="minorHAnsi"/>
          <w:bCs/>
          <w:iCs/>
          <w:szCs w:val="24"/>
          <w:lang w:val="pl-PL" w:eastAsia="en-GB"/>
        </w:rPr>
        <w:t xml:space="preserve"> i regionaln</w:t>
      </w:r>
      <w:r w:rsidR="0018188E" w:rsidRPr="00F879CC">
        <w:rPr>
          <w:rFonts w:asciiTheme="minorHAnsi" w:eastAsia="Times New Roman" w:hAnsiTheme="minorHAnsi" w:cstheme="minorHAnsi"/>
          <w:bCs/>
          <w:iCs/>
          <w:szCs w:val="24"/>
          <w:lang w:val="pl-PL" w:eastAsia="en-GB"/>
        </w:rPr>
        <w:t>e</w:t>
      </w:r>
      <w:r w:rsidRPr="00F879CC">
        <w:rPr>
          <w:rFonts w:asciiTheme="minorHAnsi" w:eastAsia="Times New Roman" w:hAnsiTheme="minorHAnsi" w:cstheme="minorHAnsi"/>
          <w:bCs/>
          <w:iCs/>
          <w:szCs w:val="24"/>
          <w:lang w:val="pl-PL" w:eastAsia="en-GB"/>
        </w:rPr>
        <w:t xml:space="preserve"> są odpowiednimi źródłami finansowania </w:t>
      </w:r>
      <w:r w:rsidR="00047C02">
        <w:rPr>
          <w:rFonts w:asciiTheme="minorHAnsi" w:eastAsia="Times New Roman" w:hAnsiTheme="minorHAnsi" w:cstheme="minorHAnsi"/>
          <w:bCs/>
          <w:iCs/>
          <w:szCs w:val="24"/>
          <w:lang w:val="pl-PL" w:eastAsia="en-GB"/>
        </w:rPr>
        <w:t>dla rozwijania</w:t>
      </w:r>
      <w:r w:rsidRPr="00F879CC">
        <w:rPr>
          <w:rFonts w:asciiTheme="minorHAnsi" w:eastAsia="Times New Roman" w:hAnsiTheme="minorHAnsi" w:cstheme="minorHAnsi"/>
          <w:bCs/>
          <w:iCs/>
          <w:szCs w:val="24"/>
          <w:lang w:val="pl-PL" w:eastAsia="en-GB"/>
        </w:rPr>
        <w:t xml:space="preserve"> wyników projektów Interreg z dużym potencjałem do dalszego wykorzystania w określonym kraju lub regionie</w:t>
      </w:r>
      <w:r w:rsidR="0005393B" w:rsidRPr="00F879CC">
        <w:rPr>
          <w:rFonts w:asciiTheme="minorHAnsi" w:eastAsia="Times New Roman" w:hAnsiTheme="minorHAnsi" w:cstheme="minorHAnsi"/>
          <w:bCs/>
          <w:iCs/>
          <w:szCs w:val="24"/>
          <w:lang w:val="pl-PL" w:eastAsia="en-GB"/>
        </w:rPr>
        <w:t>.</w:t>
      </w:r>
    </w:p>
    <w:p w14:paraId="504DD8A7" w14:textId="5C091BAE" w:rsidR="005753AD" w:rsidRPr="00F879CC" w:rsidRDefault="005753AD"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b/>
          <w:szCs w:val="24"/>
          <w:lang w:val="pl-PL" w:eastAsia="en-GB"/>
        </w:rPr>
      </w:pPr>
      <w:r w:rsidRPr="00F879CC">
        <w:rPr>
          <w:rFonts w:asciiTheme="minorHAnsi" w:eastAsia="Times New Roman" w:hAnsiTheme="minorHAnsi" w:cstheme="minorHAnsi"/>
          <w:b/>
          <w:szCs w:val="24"/>
          <w:lang w:val="pl-PL" w:eastAsia="en-GB"/>
        </w:rPr>
        <w:t xml:space="preserve">iii) </w:t>
      </w:r>
      <w:r w:rsidR="00C87C8B" w:rsidRPr="00F879CC">
        <w:rPr>
          <w:rFonts w:asciiTheme="minorHAnsi" w:eastAsia="Times New Roman" w:hAnsiTheme="minorHAnsi" w:cstheme="minorHAnsi"/>
          <w:b/>
          <w:szCs w:val="24"/>
          <w:lang w:val="pl-PL" w:eastAsia="en-GB"/>
        </w:rPr>
        <w:t xml:space="preserve">Wnioski wyciągnięte z </w:t>
      </w:r>
      <w:r w:rsidR="004A6A29">
        <w:rPr>
          <w:rFonts w:asciiTheme="minorHAnsi" w:eastAsia="Times New Roman" w:hAnsiTheme="minorHAnsi" w:cstheme="minorHAnsi"/>
          <w:b/>
          <w:szCs w:val="24"/>
          <w:lang w:val="pl-PL" w:eastAsia="en-GB"/>
        </w:rPr>
        <w:t>dotychczasowych</w:t>
      </w:r>
      <w:r w:rsidR="004A6A29" w:rsidRPr="00F879CC">
        <w:rPr>
          <w:rFonts w:asciiTheme="minorHAnsi" w:eastAsia="Times New Roman" w:hAnsiTheme="minorHAnsi" w:cstheme="minorHAnsi"/>
          <w:b/>
          <w:szCs w:val="24"/>
          <w:lang w:val="pl-PL" w:eastAsia="en-GB"/>
        </w:rPr>
        <w:t xml:space="preserve"> </w:t>
      </w:r>
      <w:r w:rsidR="00C87C8B" w:rsidRPr="00F879CC">
        <w:rPr>
          <w:rFonts w:asciiTheme="minorHAnsi" w:eastAsia="Times New Roman" w:hAnsiTheme="minorHAnsi" w:cstheme="minorHAnsi"/>
          <w:b/>
          <w:szCs w:val="24"/>
          <w:lang w:val="pl-PL" w:eastAsia="en-GB"/>
        </w:rPr>
        <w:t>doświadczeń</w:t>
      </w:r>
    </w:p>
    <w:p w14:paraId="557D640C" w14:textId="01F8A5D4" w:rsidR="005753AD" w:rsidRPr="00F879CC" w:rsidRDefault="00C87C8B"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iCs/>
          <w:szCs w:val="24"/>
          <w:lang w:val="pl-PL" w:eastAsia="en-GB"/>
        </w:rPr>
      </w:pPr>
      <w:r w:rsidRPr="00F879CC">
        <w:rPr>
          <w:rFonts w:asciiTheme="minorHAnsi" w:eastAsia="Times New Roman" w:hAnsiTheme="minorHAnsi" w:cstheme="minorHAnsi"/>
          <w:iCs/>
          <w:szCs w:val="24"/>
          <w:lang w:val="pl-PL" w:eastAsia="en-GB"/>
        </w:rPr>
        <w:t xml:space="preserve">Interreg Region Morza Bałtyckiego 2014-2020, był oceniany wewnętrznie i zewnętrznie. W 2018 r., przeprowadzono zewnętrzną ocenę śródokresową dotyczącą skutków, </w:t>
      </w:r>
      <w:r w:rsidR="00070392">
        <w:rPr>
          <w:rFonts w:asciiTheme="minorHAnsi" w:eastAsia="Times New Roman" w:hAnsiTheme="minorHAnsi" w:cstheme="minorHAnsi"/>
          <w:iCs/>
          <w:szCs w:val="24"/>
          <w:lang w:val="pl-PL" w:eastAsia="en-GB"/>
        </w:rPr>
        <w:t xml:space="preserve">efektywności </w:t>
      </w:r>
      <w:r w:rsidRPr="00F879CC">
        <w:rPr>
          <w:rFonts w:asciiTheme="minorHAnsi" w:eastAsia="Times New Roman" w:hAnsiTheme="minorHAnsi" w:cstheme="minorHAnsi"/>
          <w:iCs/>
          <w:szCs w:val="24"/>
          <w:lang w:val="pl-PL" w:eastAsia="en-GB"/>
        </w:rPr>
        <w:t xml:space="preserve">oraz wybranych aspektów realizacji Programu. Wszystkie cele szczegółowe zostały dokładnie przeanalizowane. Dodatkowo, od 2016 r., przeprowadzano corocznie wewnętrzne oceny operacyjne. Ogólnie wyniki ocen potwierdziły skuteczną i </w:t>
      </w:r>
      <w:r w:rsidR="009C1EBA">
        <w:rPr>
          <w:rFonts w:asciiTheme="minorHAnsi" w:eastAsia="Times New Roman" w:hAnsiTheme="minorHAnsi" w:cstheme="minorHAnsi"/>
          <w:iCs/>
          <w:szCs w:val="24"/>
          <w:lang w:val="pl-PL" w:eastAsia="en-GB"/>
        </w:rPr>
        <w:t>efektywną</w:t>
      </w:r>
      <w:r w:rsidRPr="00F879CC">
        <w:rPr>
          <w:rFonts w:asciiTheme="minorHAnsi" w:eastAsia="Times New Roman" w:hAnsiTheme="minorHAnsi" w:cstheme="minorHAnsi"/>
          <w:iCs/>
          <w:szCs w:val="24"/>
          <w:lang w:val="pl-PL" w:eastAsia="en-GB"/>
        </w:rPr>
        <w:t xml:space="preserve"> realizację Interreg </w:t>
      </w:r>
      <w:r w:rsidRPr="00F879CC">
        <w:rPr>
          <w:rFonts w:asciiTheme="minorHAnsi" w:eastAsia="Times New Roman" w:hAnsiTheme="minorHAnsi" w:cstheme="minorHAnsi"/>
          <w:iCs/>
          <w:szCs w:val="24"/>
          <w:lang w:val="pl-PL" w:eastAsia="en-GB"/>
        </w:rPr>
        <w:lastRenderedPageBreak/>
        <w:t>Region Morza Bałtyckiego. Oceniający podkreślili znaczny wkład w osiągnięcie jego szczegółowych celów; podkreślili ponadto, iż cele</w:t>
      </w:r>
      <w:r w:rsidR="00A01360">
        <w:rPr>
          <w:rFonts w:asciiTheme="minorHAnsi" w:eastAsia="Times New Roman" w:hAnsiTheme="minorHAnsi" w:cstheme="minorHAnsi"/>
          <w:iCs/>
          <w:szCs w:val="24"/>
          <w:lang w:val="pl-PL" w:eastAsia="en-GB"/>
        </w:rPr>
        <w:t xml:space="preserve"> szczegółowe</w:t>
      </w:r>
      <w:r w:rsidRPr="00F879CC">
        <w:rPr>
          <w:rFonts w:asciiTheme="minorHAnsi" w:eastAsia="Times New Roman" w:hAnsiTheme="minorHAnsi" w:cstheme="minorHAnsi"/>
          <w:iCs/>
          <w:szCs w:val="24"/>
          <w:lang w:val="pl-PL" w:eastAsia="en-GB"/>
        </w:rPr>
        <w:t xml:space="preserve"> Programu zostały konsekwentnie dostosowane do celów SUE RMB</w:t>
      </w:r>
      <w:r w:rsidR="005753AD" w:rsidRPr="00F879CC">
        <w:rPr>
          <w:rFonts w:asciiTheme="minorHAnsi" w:eastAsia="Times New Roman" w:hAnsiTheme="minorHAnsi" w:cstheme="minorHAnsi"/>
          <w:iCs/>
          <w:szCs w:val="24"/>
          <w:lang w:val="pl-PL" w:eastAsia="en-GB"/>
        </w:rPr>
        <w:t xml:space="preserve">. </w:t>
      </w:r>
    </w:p>
    <w:p w14:paraId="4673F0FB" w14:textId="0380EDF6" w:rsidR="005753AD" w:rsidRPr="00F879CC" w:rsidRDefault="00C87C8B"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F879CC">
        <w:rPr>
          <w:rFonts w:asciiTheme="minorHAnsi" w:eastAsia="Times New Roman" w:hAnsiTheme="minorHAnsi" w:cstheme="minorHAnsi"/>
          <w:iCs/>
          <w:szCs w:val="24"/>
          <w:lang w:val="pl-PL" w:eastAsia="en-GB"/>
        </w:rPr>
        <w:t xml:space="preserve">Wyniki ocen uwzględniono w programowaniu Interreg Region Morza Bałtyckiego na lata 2021-2027.  </w:t>
      </w:r>
      <w:r w:rsidR="00100015" w:rsidRPr="00F879CC">
        <w:rPr>
          <w:rFonts w:asciiTheme="minorHAnsi" w:eastAsia="Times New Roman" w:hAnsiTheme="minorHAnsi" w:cstheme="minorHAnsi"/>
          <w:iCs/>
          <w:szCs w:val="24"/>
          <w:lang w:val="pl-PL" w:eastAsia="en-GB"/>
        </w:rPr>
        <w:t>S</w:t>
      </w:r>
      <w:r w:rsidRPr="00F879CC">
        <w:rPr>
          <w:rFonts w:asciiTheme="minorHAnsi" w:eastAsia="Times New Roman" w:hAnsiTheme="minorHAnsi" w:cstheme="minorHAnsi"/>
          <w:iCs/>
          <w:szCs w:val="24"/>
          <w:lang w:val="pl-PL" w:eastAsia="en-GB"/>
        </w:rPr>
        <w:t>zczególnie skuteczne metody finansowania</w:t>
      </w:r>
      <w:r w:rsidR="00100015" w:rsidRPr="00F879CC">
        <w:rPr>
          <w:rFonts w:asciiTheme="minorHAnsi" w:eastAsia="Times New Roman" w:hAnsiTheme="minorHAnsi" w:cstheme="minorHAnsi"/>
          <w:iCs/>
          <w:szCs w:val="24"/>
          <w:lang w:val="pl-PL" w:eastAsia="en-GB"/>
        </w:rPr>
        <w:t xml:space="preserve"> zostały rozwinięte</w:t>
      </w:r>
      <w:r w:rsidR="00E66DAD">
        <w:rPr>
          <w:rFonts w:asciiTheme="minorHAnsi" w:eastAsia="Times New Roman" w:hAnsiTheme="minorHAnsi" w:cstheme="minorHAnsi"/>
          <w:iCs/>
          <w:szCs w:val="24"/>
          <w:lang w:val="pl-PL" w:eastAsia="en-GB"/>
        </w:rPr>
        <w:t>.</w:t>
      </w:r>
      <w:r w:rsidRPr="00F879CC">
        <w:rPr>
          <w:rFonts w:asciiTheme="minorHAnsi" w:eastAsia="Times New Roman" w:hAnsiTheme="minorHAnsi" w:cstheme="minorHAnsi"/>
          <w:iCs/>
          <w:szCs w:val="24"/>
          <w:lang w:val="pl-PL" w:eastAsia="en-GB"/>
        </w:rPr>
        <w:t xml:space="preserve"> Nowe instrumenty będą opierać się na osiągnięciach okresu 2014-2020</w:t>
      </w:r>
      <w:r w:rsidR="00871EF4" w:rsidRPr="00F879CC">
        <w:rPr>
          <w:rFonts w:asciiTheme="minorHAnsi" w:eastAsia="Times New Roman" w:hAnsiTheme="minorHAnsi" w:cstheme="minorHAnsi"/>
          <w:iCs/>
          <w:szCs w:val="24"/>
          <w:lang w:val="pl-PL" w:eastAsia="en-GB"/>
        </w:rPr>
        <w:t>.</w:t>
      </w:r>
    </w:p>
    <w:p w14:paraId="0EB0FF5D" w14:textId="0EC41A8E" w:rsidR="005753AD" w:rsidRPr="00F879CC" w:rsidRDefault="00B32B6B" w:rsidP="00B32B6B">
      <w:pPr>
        <w:pStyle w:val="Nagwek2"/>
        <w:rPr>
          <w:rFonts w:eastAsia="Times New Roman"/>
          <w:iCs/>
          <w:lang w:val="pl-PL" w:eastAsia="en-GB"/>
        </w:rPr>
      </w:pPr>
      <w:bookmarkStart w:id="27" w:name="_Toc73432977"/>
      <w:r>
        <w:rPr>
          <w:rFonts w:eastAsia="Times New Roman"/>
          <w:lang w:val="pl-PL" w:eastAsia="en-GB"/>
        </w:rPr>
        <w:t>1.</w:t>
      </w:r>
      <w:r w:rsidR="00E23C7B">
        <w:rPr>
          <w:rFonts w:eastAsia="Times New Roman"/>
          <w:lang w:val="pl-PL" w:eastAsia="en-GB"/>
        </w:rPr>
        <w:t>3</w:t>
      </w:r>
      <w:r>
        <w:rPr>
          <w:rFonts w:eastAsia="Times New Roman"/>
          <w:lang w:val="pl-PL" w:eastAsia="en-GB"/>
        </w:rPr>
        <w:t xml:space="preserve"> </w:t>
      </w:r>
      <w:r w:rsidR="00C87C8B" w:rsidRPr="00F879CC">
        <w:rPr>
          <w:rFonts w:eastAsia="Times New Roman"/>
          <w:lang w:val="pl-PL" w:eastAsia="en-GB"/>
        </w:rPr>
        <w:t>Uzasadnienie wyboru celów polityki i celów szczegółowych Interreg, odpowiadających im priorytetów, celów szczegółowych i form wsparcia z uwzględnieniem, w stosownych przypadkach, brakujących ogniw w infrastrukturze transgranicznej</w:t>
      </w:r>
      <w:bookmarkEnd w:id="27"/>
    </w:p>
    <w:p w14:paraId="08CA9627" w14:textId="3AA36657" w:rsidR="00F50542" w:rsidRPr="00F879CC" w:rsidRDefault="005940A8" w:rsidP="00F879CC">
      <w:pPr>
        <w:spacing w:after="200" w:line="276" w:lineRule="auto"/>
        <w:rPr>
          <w:rFonts w:asciiTheme="minorHAnsi" w:eastAsia="Times New Roman" w:hAnsiTheme="minorHAnsi" w:cstheme="minorHAnsi"/>
          <w:szCs w:val="24"/>
          <w:lang w:val="pl-PL" w:eastAsia="en-GB"/>
        </w:rPr>
      </w:pPr>
      <w:r w:rsidRPr="00F879CC">
        <w:rPr>
          <w:rFonts w:asciiTheme="minorHAnsi" w:eastAsia="Times New Roman" w:hAnsiTheme="minorHAnsi" w:cstheme="minorHAnsi"/>
          <w:szCs w:val="24"/>
          <w:lang w:val="pl-PL" w:eastAsia="en-GB"/>
        </w:rPr>
        <w:t>Dotyczy</w:t>
      </w:r>
      <w:r w:rsidR="00C87C8B" w:rsidRPr="00F879CC">
        <w:rPr>
          <w:rFonts w:asciiTheme="minorHAnsi" w:eastAsia="Times New Roman" w:hAnsiTheme="minorHAnsi" w:cstheme="minorHAnsi"/>
          <w:szCs w:val="24"/>
          <w:lang w:val="pl-PL" w:eastAsia="en-GB"/>
        </w:rPr>
        <w:t xml:space="preserve">: </w:t>
      </w:r>
      <w:r w:rsidR="00C05222" w:rsidRPr="00F879CC">
        <w:rPr>
          <w:rFonts w:asciiTheme="minorHAnsi" w:eastAsia="Times New Roman" w:hAnsiTheme="minorHAnsi" w:cstheme="minorHAnsi"/>
          <w:szCs w:val="24"/>
          <w:lang w:val="pl-PL" w:eastAsia="en-GB"/>
        </w:rPr>
        <w:t>a</w:t>
      </w:r>
      <w:r w:rsidR="000F6BF6" w:rsidRPr="00F879CC">
        <w:rPr>
          <w:rFonts w:asciiTheme="minorHAnsi" w:eastAsia="Times New Roman" w:hAnsiTheme="minorHAnsi" w:cstheme="minorHAnsi"/>
          <w:szCs w:val="24"/>
          <w:lang w:val="pl-PL" w:eastAsia="en-GB"/>
        </w:rPr>
        <w:t>rt. 17 ust. 4 lit. c)</w:t>
      </w:r>
    </w:p>
    <w:p w14:paraId="5EEF0572" w14:textId="07913073" w:rsidR="00F50542" w:rsidRPr="00F879CC" w:rsidRDefault="000F6BF6" w:rsidP="00F879CC">
      <w:pPr>
        <w:spacing w:line="276" w:lineRule="auto"/>
        <w:rPr>
          <w:rFonts w:asciiTheme="minorHAnsi" w:eastAsia="Times New Roman" w:hAnsiTheme="minorHAnsi" w:cstheme="minorHAnsi"/>
          <w:szCs w:val="24"/>
          <w:lang w:val="pl-PL" w:eastAsia="en-GB"/>
        </w:rPr>
      </w:pPr>
      <w:r w:rsidRPr="00F879CC">
        <w:rPr>
          <w:rFonts w:asciiTheme="minorHAnsi" w:eastAsia="Times New Roman" w:hAnsiTheme="minorHAnsi" w:cstheme="minorHAnsi"/>
          <w:szCs w:val="24"/>
          <w:lang w:val="pl-PL" w:eastAsia="en-GB"/>
        </w:rPr>
        <w:t>Tabela</w:t>
      </w:r>
      <w:r w:rsidR="00F50542" w:rsidRPr="00F879CC">
        <w:rPr>
          <w:rFonts w:asciiTheme="minorHAnsi" w:eastAsia="Times New Roman" w:hAnsiTheme="minorHAnsi" w:cstheme="minorHAnsi"/>
          <w:szCs w:val="24"/>
          <w:lang w:val="pl-PL" w:eastAsia="en-GB"/>
        </w:rPr>
        <w:t xml:space="preserve"> 1</w:t>
      </w:r>
      <w:r w:rsidR="00F54FDB" w:rsidRPr="00F879CC">
        <w:rPr>
          <w:rFonts w:asciiTheme="minorHAnsi" w:eastAsia="Times New Roman" w:hAnsiTheme="minorHAnsi" w:cstheme="minorHAnsi"/>
          <w:szCs w:val="24"/>
          <w:lang w:val="pl-PL" w:eastAsia="en-GB"/>
        </w:rPr>
        <w:t xml:space="preserve"> </w:t>
      </w:r>
    </w:p>
    <w:p w14:paraId="12B0D7DC" w14:textId="77777777" w:rsidR="00F50542" w:rsidRPr="00F879CC" w:rsidRDefault="00F50542" w:rsidP="00F50542">
      <w:pPr>
        <w:spacing w:line="240" w:lineRule="auto"/>
        <w:jc w:val="center"/>
        <w:rPr>
          <w:rFonts w:asciiTheme="minorHAnsi" w:eastAsia="Times New Roman" w:hAnsiTheme="minorHAnsi" w:cstheme="minorHAnsi"/>
          <w:i/>
          <w:szCs w:val="24"/>
          <w:lang w:val="pl-PL" w:eastAsia="en-GB"/>
        </w:rPr>
      </w:pPr>
    </w:p>
    <w:tbl>
      <w:tblPr>
        <w:tblStyle w:val="Tabela-Siatka"/>
        <w:tblW w:w="5000" w:type="pct"/>
        <w:tblLook w:val="04A0" w:firstRow="1" w:lastRow="0" w:firstColumn="1" w:lastColumn="0" w:noHBand="0" w:noVBand="1"/>
        <w:tblCaption w:val="Tabela prezentująca uzasadnienia wyboru wybranych celów polityki lub celów szczegółowych"/>
      </w:tblPr>
      <w:tblGrid>
        <w:gridCol w:w="1809"/>
        <w:gridCol w:w="1809"/>
        <w:gridCol w:w="1461"/>
        <w:gridCol w:w="4209"/>
      </w:tblGrid>
      <w:tr w:rsidR="005A13B0" w:rsidRPr="000D5BFC" w14:paraId="20A14B3A" w14:textId="77777777" w:rsidTr="00F879CC">
        <w:trPr>
          <w:tblHeader/>
        </w:trPr>
        <w:tc>
          <w:tcPr>
            <w:tcW w:w="831" w:type="pct"/>
          </w:tcPr>
          <w:p w14:paraId="3AEAB425" w14:textId="3BA10E53" w:rsidR="005A13B0" w:rsidRPr="00F879CC" w:rsidRDefault="000F6BF6" w:rsidP="00F879CC">
            <w:pPr>
              <w:spacing w:line="276" w:lineRule="auto"/>
              <w:ind w:left="357"/>
              <w:jc w:val="both"/>
              <w:rPr>
                <w:rFonts w:asciiTheme="minorHAnsi" w:eastAsia="Times New Roman" w:hAnsiTheme="minorHAnsi" w:cstheme="minorHAnsi"/>
                <w:b/>
                <w:iCs/>
                <w:szCs w:val="24"/>
                <w:lang w:val="pl-PL" w:eastAsia="en-GB"/>
              </w:rPr>
            </w:pPr>
            <w:r w:rsidRPr="00F879CC">
              <w:rPr>
                <w:rFonts w:asciiTheme="minorHAnsi" w:eastAsia="Times New Roman" w:hAnsiTheme="minorHAnsi" w:cstheme="minorHAnsi"/>
                <w:b/>
                <w:iCs/>
                <w:szCs w:val="24"/>
                <w:lang w:val="pl-PL" w:eastAsia="en-GB"/>
              </w:rPr>
              <w:t>Wybrany cel polityki lub wybrany cel szczegółowy Interreg</w:t>
            </w:r>
          </w:p>
        </w:tc>
        <w:tc>
          <w:tcPr>
            <w:tcW w:w="824" w:type="pct"/>
          </w:tcPr>
          <w:p w14:paraId="590DB20D" w14:textId="7623CE51" w:rsidR="005A13B0" w:rsidRPr="00F879CC" w:rsidRDefault="000F6BF6" w:rsidP="00F879CC">
            <w:pPr>
              <w:spacing w:line="276" w:lineRule="auto"/>
              <w:ind w:left="357"/>
              <w:jc w:val="both"/>
              <w:rPr>
                <w:rFonts w:asciiTheme="minorHAnsi" w:eastAsia="Times New Roman" w:hAnsiTheme="minorHAnsi" w:cstheme="minorHAnsi"/>
                <w:b/>
                <w:iCs/>
                <w:szCs w:val="24"/>
                <w:lang w:val="pl-PL" w:eastAsia="en-GB"/>
              </w:rPr>
            </w:pPr>
            <w:r w:rsidRPr="00F879CC">
              <w:rPr>
                <w:rFonts w:asciiTheme="minorHAnsi" w:eastAsia="Times New Roman" w:hAnsiTheme="minorHAnsi" w:cstheme="minorHAnsi"/>
                <w:b/>
                <w:iCs/>
                <w:szCs w:val="24"/>
                <w:lang w:val="pl-PL" w:eastAsia="en-GB"/>
              </w:rPr>
              <w:t>Wybrany cel szczegółowy</w:t>
            </w:r>
            <w:r w:rsidR="005A13B0" w:rsidRPr="00F879CC">
              <w:rPr>
                <w:rFonts w:asciiTheme="minorHAnsi" w:eastAsia="Times New Roman" w:hAnsiTheme="minorHAnsi" w:cstheme="minorHAnsi"/>
                <w:b/>
                <w:iCs/>
                <w:szCs w:val="24"/>
                <w:lang w:val="pl-PL" w:eastAsia="en-GB"/>
              </w:rPr>
              <w:t xml:space="preserve"> </w:t>
            </w:r>
          </w:p>
        </w:tc>
        <w:tc>
          <w:tcPr>
            <w:tcW w:w="765" w:type="pct"/>
          </w:tcPr>
          <w:p w14:paraId="7D7488EA" w14:textId="12D93996" w:rsidR="005A13B0" w:rsidRPr="00F879CC" w:rsidRDefault="000F6BF6" w:rsidP="00F879CC">
            <w:pPr>
              <w:spacing w:line="276" w:lineRule="auto"/>
              <w:ind w:left="357"/>
              <w:jc w:val="both"/>
              <w:rPr>
                <w:rFonts w:asciiTheme="minorHAnsi" w:eastAsia="Times New Roman" w:hAnsiTheme="minorHAnsi" w:cstheme="minorHAnsi"/>
                <w:b/>
                <w:iCs/>
                <w:szCs w:val="24"/>
                <w:lang w:val="pl-PL" w:eastAsia="en-GB"/>
              </w:rPr>
            </w:pPr>
            <w:r w:rsidRPr="00F879CC">
              <w:rPr>
                <w:rFonts w:asciiTheme="minorHAnsi" w:eastAsia="Times New Roman" w:hAnsiTheme="minorHAnsi" w:cstheme="minorHAnsi"/>
                <w:b/>
                <w:iCs/>
                <w:szCs w:val="24"/>
                <w:lang w:val="pl-PL" w:eastAsia="en-GB"/>
              </w:rPr>
              <w:t>Priorytet</w:t>
            </w:r>
          </w:p>
        </w:tc>
        <w:tc>
          <w:tcPr>
            <w:tcW w:w="2581" w:type="pct"/>
          </w:tcPr>
          <w:p w14:paraId="7AB5844C" w14:textId="74A542BD" w:rsidR="005A13B0" w:rsidRPr="00F879CC" w:rsidRDefault="000F6BF6" w:rsidP="00F879CC">
            <w:pPr>
              <w:spacing w:line="276" w:lineRule="auto"/>
              <w:ind w:left="357"/>
              <w:jc w:val="both"/>
              <w:rPr>
                <w:rFonts w:asciiTheme="minorHAnsi" w:eastAsia="Times New Roman" w:hAnsiTheme="minorHAnsi" w:cstheme="minorHAnsi"/>
                <w:b/>
                <w:iCs/>
                <w:szCs w:val="24"/>
                <w:lang w:val="pl-PL" w:eastAsia="en-GB"/>
              </w:rPr>
            </w:pPr>
            <w:r w:rsidRPr="00F879CC">
              <w:rPr>
                <w:rFonts w:asciiTheme="minorHAnsi" w:eastAsia="Times New Roman" w:hAnsiTheme="minorHAnsi" w:cstheme="minorHAnsi"/>
                <w:b/>
                <w:iCs/>
                <w:szCs w:val="24"/>
                <w:lang w:val="pl-PL" w:eastAsia="en-GB"/>
              </w:rPr>
              <w:t>Uzasadnienie wyboru</w:t>
            </w:r>
            <w:r w:rsidR="005A13B0" w:rsidRPr="00F879CC">
              <w:rPr>
                <w:rFonts w:asciiTheme="minorHAnsi" w:eastAsia="Times New Roman" w:hAnsiTheme="minorHAnsi" w:cstheme="minorHAnsi"/>
                <w:b/>
                <w:iCs/>
                <w:szCs w:val="24"/>
                <w:lang w:val="pl-PL" w:eastAsia="en-GB"/>
              </w:rPr>
              <w:t xml:space="preserve"> </w:t>
            </w:r>
          </w:p>
        </w:tc>
      </w:tr>
      <w:tr w:rsidR="005A13B0" w:rsidRPr="00367EF1" w14:paraId="21A2C35E" w14:textId="77777777" w:rsidTr="005A13B0">
        <w:tc>
          <w:tcPr>
            <w:tcW w:w="831" w:type="pct"/>
          </w:tcPr>
          <w:p w14:paraId="66CFAE09" w14:textId="5BE908A3" w:rsidR="005A13B0" w:rsidRPr="00F879CC" w:rsidRDefault="000F6BF6" w:rsidP="00F879CC">
            <w:pPr>
              <w:spacing w:line="276" w:lineRule="auto"/>
              <w:ind w:left="357"/>
              <w:jc w:val="both"/>
              <w:rPr>
                <w:rFonts w:asciiTheme="minorHAnsi" w:eastAsia="Times New Roman" w:hAnsiTheme="minorHAnsi" w:cstheme="minorHAnsi"/>
                <w:b/>
                <w:bCs/>
                <w:iCs/>
                <w:szCs w:val="24"/>
                <w:lang w:val="pl-PL" w:eastAsia="en-GB"/>
              </w:rPr>
            </w:pPr>
            <w:r w:rsidRPr="00F879CC">
              <w:rPr>
                <w:rFonts w:asciiTheme="minorHAnsi" w:eastAsia="Times New Roman" w:hAnsiTheme="minorHAnsi" w:cstheme="minorHAnsi"/>
                <w:bCs/>
                <w:iCs/>
                <w:szCs w:val="24"/>
                <w:lang w:val="pl-PL" w:eastAsia="en-GB"/>
              </w:rPr>
              <w:t>CP</w:t>
            </w:r>
            <w:r w:rsidR="005A13B0" w:rsidRPr="00F879CC">
              <w:rPr>
                <w:rFonts w:asciiTheme="minorHAnsi" w:eastAsia="Times New Roman" w:hAnsiTheme="minorHAnsi" w:cstheme="minorHAnsi"/>
                <w:bCs/>
                <w:iCs/>
                <w:szCs w:val="24"/>
                <w:lang w:val="pl-PL" w:eastAsia="en-GB"/>
              </w:rPr>
              <w:t xml:space="preserve"> 1</w:t>
            </w:r>
          </w:p>
        </w:tc>
        <w:tc>
          <w:tcPr>
            <w:tcW w:w="824" w:type="pct"/>
          </w:tcPr>
          <w:p w14:paraId="4854716D" w14:textId="030DB41C" w:rsidR="005A13B0" w:rsidRPr="00F879CC" w:rsidRDefault="005A13B0" w:rsidP="00F879CC">
            <w:pPr>
              <w:spacing w:line="276" w:lineRule="auto"/>
              <w:ind w:left="357"/>
              <w:jc w:val="both"/>
              <w:rPr>
                <w:rFonts w:asciiTheme="minorHAnsi" w:eastAsia="Times New Roman" w:hAnsiTheme="minorHAnsi" w:cstheme="minorHAnsi"/>
                <w:b/>
                <w:szCs w:val="24"/>
                <w:lang w:val="pl-PL" w:eastAsia="en-GB"/>
              </w:rPr>
            </w:pPr>
            <w:r w:rsidRPr="00F879CC">
              <w:rPr>
                <w:rFonts w:asciiTheme="minorHAnsi" w:eastAsia="Times New Roman" w:hAnsiTheme="minorHAnsi" w:cstheme="minorHAnsi"/>
                <w:szCs w:val="24"/>
                <w:lang w:val="pl-PL" w:eastAsia="en-GB"/>
              </w:rPr>
              <w:t>iv)</w:t>
            </w:r>
          </w:p>
        </w:tc>
        <w:tc>
          <w:tcPr>
            <w:tcW w:w="765" w:type="pct"/>
          </w:tcPr>
          <w:p w14:paraId="6A903A7C" w14:textId="422C7422" w:rsidR="005A13B0" w:rsidRPr="00F879CC" w:rsidRDefault="005A13B0" w:rsidP="00F879CC">
            <w:pPr>
              <w:spacing w:line="276" w:lineRule="auto"/>
              <w:ind w:left="357"/>
              <w:jc w:val="both"/>
              <w:rPr>
                <w:rFonts w:asciiTheme="minorHAnsi" w:eastAsia="Times New Roman" w:hAnsiTheme="minorHAnsi" w:cstheme="minorHAnsi"/>
                <w:b/>
                <w:iCs/>
                <w:szCs w:val="24"/>
                <w:lang w:val="pl-PL" w:eastAsia="en-GB"/>
              </w:rPr>
            </w:pPr>
            <w:r w:rsidRPr="00F879CC">
              <w:rPr>
                <w:rFonts w:asciiTheme="minorHAnsi" w:eastAsia="Times New Roman" w:hAnsiTheme="minorHAnsi" w:cstheme="minorHAnsi"/>
                <w:iCs/>
                <w:szCs w:val="24"/>
                <w:lang w:val="pl-PL" w:eastAsia="en-GB"/>
              </w:rPr>
              <w:t>1</w:t>
            </w:r>
          </w:p>
        </w:tc>
        <w:tc>
          <w:tcPr>
            <w:tcW w:w="2581" w:type="pct"/>
          </w:tcPr>
          <w:p w14:paraId="6E5AB899" w14:textId="6889C3E0" w:rsidR="005A13B0" w:rsidRPr="00F879CC" w:rsidRDefault="000F6BF6" w:rsidP="00F879CC">
            <w:pPr>
              <w:spacing w:line="276" w:lineRule="auto"/>
              <w:rPr>
                <w:rFonts w:asciiTheme="minorHAnsi" w:hAnsiTheme="minorHAnsi" w:cstheme="minorHAnsi"/>
                <w:szCs w:val="24"/>
                <w:u w:val="single"/>
                <w:lang w:val="pl-PL" w:eastAsia="en-GB"/>
              </w:rPr>
            </w:pPr>
            <w:r w:rsidRPr="00F879CC">
              <w:rPr>
                <w:rFonts w:asciiTheme="minorHAnsi" w:hAnsiTheme="minorHAnsi" w:cstheme="minorHAnsi"/>
                <w:szCs w:val="24"/>
                <w:u w:val="single"/>
                <w:lang w:val="pl-PL" w:eastAsia="en-GB"/>
              </w:rPr>
              <w:t>Wyzwania w RMB</w:t>
            </w:r>
          </w:p>
          <w:p w14:paraId="2968B7C6" w14:textId="78BD3466" w:rsidR="005A13B0" w:rsidRPr="00F879CC" w:rsidRDefault="000F6BF6" w:rsidP="00E77EBE">
            <w:pPr>
              <w:pStyle w:val="Akapitzlist"/>
              <w:numPr>
                <w:ilvl w:val="0"/>
                <w:numId w:val="11"/>
              </w:numPr>
              <w:rPr>
                <w:rFonts w:eastAsia="Times New Roman" w:cstheme="minorHAnsi"/>
                <w:iCs/>
                <w:sz w:val="24"/>
                <w:szCs w:val="24"/>
                <w:lang w:val="pl-PL" w:eastAsia="en-GB"/>
              </w:rPr>
            </w:pPr>
            <w:r w:rsidRPr="00F879CC">
              <w:rPr>
                <w:rFonts w:eastAsia="Times New Roman" w:cstheme="minorHAnsi"/>
                <w:iCs/>
                <w:sz w:val="24"/>
                <w:szCs w:val="24"/>
                <w:lang w:val="pl-PL" w:eastAsia="en-GB"/>
              </w:rPr>
              <w:t>rosnąca globalizacja istotna dla RMB jak i dla innych regionów oznacza silniejszą zależność od zmian globalnych i transnarodowych;</w:t>
            </w:r>
          </w:p>
          <w:p w14:paraId="315EF9E0" w14:textId="25F8ED52" w:rsidR="005A13B0" w:rsidRPr="00F879CC" w:rsidRDefault="000F6BF6" w:rsidP="00E77EBE">
            <w:pPr>
              <w:pStyle w:val="Akapitzlist"/>
              <w:numPr>
                <w:ilvl w:val="0"/>
                <w:numId w:val="11"/>
              </w:numPr>
              <w:rPr>
                <w:rFonts w:eastAsia="Times New Roman" w:cstheme="minorHAnsi"/>
                <w:iCs/>
                <w:sz w:val="24"/>
                <w:szCs w:val="24"/>
                <w:lang w:val="pl-PL" w:eastAsia="en-GB"/>
              </w:rPr>
            </w:pPr>
            <w:r w:rsidRPr="00F879CC">
              <w:rPr>
                <w:rFonts w:eastAsia="Times New Roman" w:cstheme="minorHAnsi"/>
                <w:iCs/>
                <w:sz w:val="24"/>
                <w:szCs w:val="24"/>
                <w:lang w:val="pl-PL" w:eastAsia="en-GB"/>
              </w:rPr>
              <w:t>coraz częstsze występowanie nieoczekiwanych zakłóceń zewnętrznych takich, jak poważne recesje i kryzysy finansowe, załamania koniunktury w poszczególnych branżach, czy poważne kryzysy zdrowotne.</w:t>
            </w:r>
          </w:p>
          <w:p w14:paraId="23A4E323" w14:textId="2F67E2E0" w:rsidR="005A13B0" w:rsidRPr="00F879CC" w:rsidRDefault="00E13E4D" w:rsidP="00F879CC">
            <w:pPr>
              <w:spacing w:line="276" w:lineRule="auto"/>
              <w:rPr>
                <w:rFonts w:asciiTheme="minorHAnsi" w:hAnsiTheme="minorHAnsi" w:cstheme="minorHAnsi"/>
                <w:szCs w:val="24"/>
                <w:u w:val="single"/>
                <w:lang w:val="pl-PL" w:eastAsia="en-GB"/>
              </w:rPr>
            </w:pPr>
            <w:r w:rsidRPr="00F879CC">
              <w:rPr>
                <w:rFonts w:asciiTheme="minorHAnsi" w:hAnsiTheme="minorHAnsi" w:cstheme="minorHAnsi"/>
                <w:szCs w:val="24"/>
                <w:u w:val="single"/>
                <w:lang w:val="pl-PL" w:eastAsia="en-GB"/>
              </w:rPr>
              <w:t>Możliwości i potrzeby ujęte w celu szczegółowym</w:t>
            </w:r>
            <w:r w:rsidR="005A13B0" w:rsidRPr="00F879CC">
              <w:rPr>
                <w:rFonts w:asciiTheme="minorHAnsi" w:hAnsiTheme="minorHAnsi" w:cstheme="minorHAnsi"/>
                <w:szCs w:val="24"/>
                <w:u w:val="single"/>
                <w:lang w:val="pl-PL" w:eastAsia="en-GB"/>
              </w:rPr>
              <w:t xml:space="preserve">: </w:t>
            </w:r>
          </w:p>
          <w:p w14:paraId="619B3E1C" w14:textId="77777777" w:rsidR="000F6BF6" w:rsidRPr="00F879CC" w:rsidRDefault="000F6BF6" w:rsidP="00E77EBE">
            <w:pPr>
              <w:pStyle w:val="Akapitzlist"/>
              <w:numPr>
                <w:ilvl w:val="0"/>
                <w:numId w:val="11"/>
              </w:numPr>
              <w:rPr>
                <w:rFonts w:eastAsia="Times New Roman" w:cstheme="minorHAnsi"/>
                <w:iCs/>
                <w:sz w:val="24"/>
                <w:szCs w:val="24"/>
                <w:lang w:val="pl-PL" w:eastAsia="en-GB"/>
              </w:rPr>
            </w:pPr>
            <w:r w:rsidRPr="00F879CC">
              <w:rPr>
                <w:rFonts w:eastAsia="Times New Roman" w:cstheme="minorHAnsi"/>
                <w:iCs/>
                <w:sz w:val="24"/>
                <w:szCs w:val="24"/>
                <w:lang w:val="pl-PL" w:eastAsia="en-GB"/>
              </w:rPr>
              <w:t>dalsze wzmocnienie istniejącej bazy wiedzy oraz zwiększenie multidyscyplinarnego transferu wiedzy ponad granicami;</w:t>
            </w:r>
          </w:p>
          <w:p w14:paraId="1BAAA9FE" w14:textId="6D961F92" w:rsidR="000F6BF6" w:rsidRPr="00F879CC" w:rsidRDefault="000F6BF6" w:rsidP="00E77EBE">
            <w:pPr>
              <w:pStyle w:val="Akapitzlist"/>
              <w:numPr>
                <w:ilvl w:val="0"/>
                <w:numId w:val="11"/>
              </w:numPr>
              <w:rPr>
                <w:rFonts w:eastAsia="Times New Roman" w:cstheme="minorHAnsi"/>
                <w:iCs/>
                <w:sz w:val="24"/>
                <w:szCs w:val="24"/>
                <w:lang w:val="pl-PL" w:eastAsia="en-GB"/>
              </w:rPr>
            </w:pPr>
            <w:r w:rsidRPr="00F879CC">
              <w:rPr>
                <w:rFonts w:eastAsia="Times New Roman" w:cstheme="minorHAnsi"/>
                <w:iCs/>
                <w:sz w:val="24"/>
                <w:szCs w:val="24"/>
                <w:lang w:val="pl-PL" w:eastAsia="en-GB"/>
              </w:rPr>
              <w:t xml:space="preserve">opieranie się na istniejących podejściach do inteligentnej </w:t>
            </w:r>
            <w:r w:rsidRPr="00F879CC">
              <w:rPr>
                <w:rFonts w:eastAsia="Times New Roman" w:cstheme="minorHAnsi"/>
                <w:iCs/>
                <w:sz w:val="24"/>
                <w:szCs w:val="24"/>
                <w:lang w:val="pl-PL" w:eastAsia="en-GB"/>
              </w:rPr>
              <w:lastRenderedPageBreak/>
              <w:t xml:space="preserve">specjalizacji, aby osiągnąć wyższy wzrost w makroregionie i utrzymać </w:t>
            </w:r>
            <w:r w:rsidR="00E13E4D" w:rsidRPr="00F879CC">
              <w:rPr>
                <w:rFonts w:eastAsia="Times New Roman" w:cstheme="minorHAnsi"/>
                <w:iCs/>
                <w:sz w:val="24"/>
                <w:szCs w:val="24"/>
                <w:lang w:val="pl-PL" w:eastAsia="en-GB"/>
              </w:rPr>
              <w:t>koniunkturę</w:t>
            </w:r>
            <w:r w:rsidRPr="00F879CC">
              <w:rPr>
                <w:rFonts w:eastAsia="Times New Roman" w:cstheme="minorHAnsi"/>
                <w:iCs/>
                <w:sz w:val="24"/>
                <w:szCs w:val="24"/>
                <w:lang w:val="pl-PL" w:eastAsia="en-GB"/>
              </w:rPr>
              <w:t xml:space="preserve"> w gospodarkach RMB w perspektywie długoterminowej;</w:t>
            </w:r>
          </w:p>
          <w:p w14:paraId="7D482560" w14:textId="77777777" w:rsidR="000F6BF6" w:rsidRPr="00F879CC" w:rsidRDefault="000F6BF6" w:rsidP="00E77EBE">
            <w:pPr>
              <w:pStyle w:val="Akapitzlist"/>
              <w:numPr>
                <w:ilvl w:val="0"/>
                <w:numId w:val="11"/>
              </w:numPr>
              <w:rPr>
                <w:rFonts w:eastAsia="Times New Roman" w:cstheme="minorHAnsi"/>
                <w:iCs/>
                <w:sz w:val="24"/>
                <w:szCs w:val="24"/>
                <w:lang w:val="pl-PL" w:eastAsia="en-GB"/>
              </w:rPr>
            </w:pPr>
            <w:r w:rsidRPr="00F879CC">
              <w:rPr>
                <w:rFonts w:eastAsia="Times New Roman" w:cstheme="minorHAnsi"/>
                <w:iCs/>
                <w:sz w:val="24"/>
                <w:szCs w:val="24"/>
                <w:lang w:val="pl-PL" w:eastAsia="en-GB"/>
              </w:rPr>
              <w:t>skuteczniejsze uwolnienie potencjału cyfryzacji w świadczeniu usług publicznych;</w:t>
            </w:r>
          </w:p>
          <w:p w14:paraId="5D064BFD" w14:textId="55983BB9" w:rsidR="005A13B0" w:rsidRPr="00F879CC" w:rsidRDefault="000F6BF6" w:rsidP="00E77EBE">
            <w:pPr>
              <w:pStyle w:val="Akapitzlist"/>
              <w:numPr>
                <w:ilvl w:val="0"/>
                <w:numId w:val="11"/>
              </w:numPr>
              <w:rPr>
                <w:rFonts w:eastAsia="Times New Roman" w:cstheme="minorHAnsi"/>
                <w:iCs/>
                <w:sz w:val="24"/>
                <w:szCs w:val="24"/>
                <w:lang w:val="pl-PL" w:eastAsia="en-GB"/>
              </w:rPr>
            </w:pPr>
            <w:r w:rsidRPr="00F879CC">
              <w:rPr>
                <w:rFonts w:eastAsia="Times New Roman" w:cstheme="minorHAnsi"/>
                <w:iCs/>
                <w:sz w:val="24"/>
                <w:szCs w:val="24"/>
                <w:lang w:val="pl-PL" w:eastAsia="en-GB"/>
              </w:rPr>
              <w:t>dalszy wzrost innowacyjności w RMB: wzmocnienie odpowiednich warunków ramowych dla opracowywania i przyjmowania innowacyjnych i kreatywnych rozwiązań</w:t>
            </w:r>
            <w:r w:rsidR="00D27161" w:rsidRPr="00F879CC">
              <w:rPr>
                <w:rFonts w:eastAsia="Times New Roman" w:cstheme="minorHAnsi"/>
                <w:iCs/>
                <w:sz w:val="24"/>
                <w:szCs w:val="24"/>
                <w:lang w:val="pl-PL" w:eastAsia="en-GB"/>
              </w:rPr>
              <w:t>;</w:t>
            </w:r>
            <w:r w:rsidR="005A13B0" w:rsidRPr="00F879CC">
              <w:rPr>
                <w:rFonts w:eastAsia="Times New Roman" w:cstheme="minorHAnsi"/>
                <w:iCs/>
                <w:sz w:val="24"/>
                <w:szCs w:val="24"/>
                <w:lang w:val="pl-PL" w:eastAsia="en-GB"/>
              </w:rPr>
              <w:t xml:space="preserve"> </w:t>
            </w:r>
          </w:p>
          <w:p w14:paraId="6C098D9D" w14:textId="77777777" w:rsidR="00D27161" w:rsidRPr="00F879CC" w:rsidRDefault="00D27161" w:rsidP="00E77EBE">
            <w:pPr>
              <w:pStyle w:val="Akapitzlist"/>
              <w:numPr>
                <w:ilvl w:val="0"/>
                <w:numId w:val="11"/>
              </w:numPr>
              <w:rPr>
                <w:rFonts w:eastAsia="Times New Roman" w:cstheme="minorHAnsi"/>
                <w:iCs/>
                <w:sz w:val="24"/>
                <w:szCs w:val="24"/>
                <w:lang w:val="pl-PL" w:eastAsia="en-GB"/>
              </w:rPr>
            </w:pPr>
            <w:r w:rsidRPr="00F879CC">
              <w:rPr>
                <w:rFonts w:eastAsia="Times New Roman" w:cstheme="minorHAnsi"/>
                <w:iCs/>
                <w:sz w:val="24"/>
                <w:szCs w:val="24"/>
                <w:lang w:val="pl-PL" w:eastAsia="en-GB"/>
              </w:rPr>
              <w:t>zwiększenie zdolności adaptacji RMB do nieprzewidzianych wydarzeń: unikanie niepożądanych wpływów zewnętrznych, przetrwanie ich lub szybkie z nich wyjście;</w:t>
            </w:r>
          </w:p>
          <w:p w14:paraId="458AB886" w14:textId="77777777" w:rsidR="00D27161" w:rsidRPr="00F879CC" w:rsidRDefault="00D27161" w:rsidP="00E77EBE">
            <w:pPr>
              <w:pStyle w:val="Akapitzlist"/>
              <w:numPr>
                <w:ilvl w:val="0"/>
                <w:numId w:val="11"/>
              </w:numPr>
              <w:rPr>
                <w:rFonts w:eastAsia="Times New Roman" w:cstheme="minorHAnsi"/>
                <w:iCs/>
                <w:sz w:val="24"/>
                <w:szCs w:val="24"/>
                <w:lang w:val="pl-PL" w:eastAsia="en-GB"/>
              </w:rPr>
            </w:pPr>
            <w:r w:rsidRPr="00F879CC">
              <w:rPr>
                <w:rFonts w:eastAsia="Times New Roman" w:cstheme="minorHAnsi"/>
                <w:iCs/>
                <w:sz w:val="24"/>
                <w:szCs w:val="24"/>
                <w:lang w:val="pl-PL" w:eastAsia="en-GB"/>
              </w:rPr>
              <w:t>zwiększenie możliwości oraz ulepszenie zaplecza do monitorowania potencjalnych słabych punktów;</w:t>
            </w:r>
          </w:p>
          <w:p w14:paraId="75D5BA3A" w14:textId="77777777" w:rsidR="00D27161" w:rsidRPr="00F879CC" w:rsidRDefault="00D27161" w:rsidP="00E77EBE">
            <w:pPr>
              <w:pStyle w:val="Akapitzlist"/>
              <w:numPr>
                <w:ilvl w:val="0"/>
                <w:numId w:val="11"/>
              </w:numPr>
              <w:rPr>
                <w:rFonts w:eastAsia="Times New Roman" w:cstheme="minorHAnsi"/>
                <w:iCs/>
                <w:sz w:val="24"/>
                <w:szCs w:val="24"/>
                <w:lang w:val="pl-PL" w:eastAsia="en-GB"/>
              </w:rPr>
            </w:pPr>
            <w:r w:rsidRPr="00F879CC">
              <w:rPr>
                <w:rFonts w:eastAsia="Times New Roman" w:cstheme="minorHAnsi"/>
                <w:iCs/>
                <w:sz w:val="24"/>
                <w:szCs w:val="24"/>
                <w:lang w:val="pl-PL" w:eastAsia="en-GB"/>
              </w:rPr>
              <w:t>znalezienie właściwej równowagi między zmniejszaniem zależności a podłączeniem do globalnych łańcuchów dostaw i wartości;</w:t>
            </w:r>
          </w:p>
          <w:p w14:paraId="187A29D0" w14:textId="320F10A4" w:rsidR="005A13B0" w:rsidRPr="00F879CC" w:rsidRDefault="00D27161" w:rsidP="00E77EBE">
            <w:pPr>
              <w:pStyle w:val="Akapitzlist"/>
              <w:numPr>
                <w:ilvl w:val="0"/>
                <w:numId w:val="11"/>
              </w:numPr>
              <w:rPr>
                <w:rFonts w:eastAsia="Times New Roman" w:cstheme="minorHAnsi"/>
                <w:b/>
                <w:iCs/>
                <w:sz w:val="24"/>
                <w:szCs w:val="24"/>
                <w:lang w:val="pl-PL" w:eastAsia="en-GB"/>
              </w:rPr>
            </w:pPr>
            <w:r w:rsidRPr="00F879CC">
              <w:rPr>
                <w:rFonts w:eastAsia="Times New Roman" w:cstheme="minorHAnsi"/>
                <w:iCs/>
                <w:sz w:val="24"/>
                <w:szCs w:val="24"/>
                <w:lang w:val="pl-PL" w:eastAsia="en-GB"/>
              </w:rPr>
              <w:t>dalsze wzmacnianie tożsamości regionalnej w RMB w oparciu o różnorodność kulturową i dziedzictwo oraz wspólne wartości europejskie.</w:t>
            </w:r>
          </w:p>
        </w:tc>
      </w:tr>
      <w:tr w:rsidR="005A13B0" w:rsidRPr="00367EF1" w14:paraId="06F36700" w14:textId="77777777" w:rsidTr="005A13B0">
        <w:tc>
          <w:tcPr>
            <w:tcW w:w="831" w:type="pct"/>
          </w:tcPr>
          <w:p w14:paraId="7C2DA677" w14:textId="57B62B00" w:rsidR="005A13B0" w:rsidRPr="00F879CC" w:rsidRDefault="00253ED2" w:rsidP="00F879CC">
            <w:pPr>
              <w:spacing w:line="276" w:lineRule="auto"/>
              <w:ind w:left="357"/>
              <w:jc w:val="both"/>
              <w:rPr>
                <w:rFonts w:asciiTheme="minorHAnsi" w:eastAsia="Times New Roman" w:hAnsiTheme="minorHAnsi" w:cstheme="minorHAnsi"/>
                <w:b/>
                <w:bCs/>
                <w:iCs/>
                <w:szCs w:val="24"/>
                <w:lang w:val="pl-PL" w:eastAsia="en-GB"/>
              </w:rPr>
            </w:pPr>
            <w:r w:rsidRPr="00F879CC">
              <w:rPr>
                <w:rFonts w:asciiTheme="minorHAnsi" w:eastAsia="Times New Roman" w:hAnsiTheme="minorHAnsi" w:cstheme="minorHAnsi"/>
                <w:bCs/>
                <w:iCs/>
                <w:szCs w:val="24"/>
                <w:lang w:val="pl-PL" w:eastAsia="en-GB"/>
              </w:rPr>
              <w:lastRenderedPageBreak/>
              <w:t>CP</w:t>
            </w:r>
            <w:r w:rsidR="005A13B0" w:rsidRPr="00F879CC">
              <w:rPr>
                <w:rFonts w:asciiTheme="minorHAnsi" w:eastAsia="Times New Roman" w:hAnsiTheme="minorHAnsi" w:cstheme="minorHAnsi"/>
                <w:bCs/>
                <w:iCs/>
                <w:szCs w:val="24"/>
                <w:lang w:val="pl-PL" w:eastAsia="en-GB"/>
              </w:rPr>
              <w:t xml:space="preserve"> 1</w:t>
            </w:r>
          </w:p>
        </w:tc>
        <w:tc>
          <w:tcPr>
            <w:tcW w:w="824" w:type="pct"/>
          </w:tcPr>
          <w:p w14:paraId="7E5821B5" w14:textId="7684EF13" w:rsidR="005A13B0" w:rsidRPr="00F879CC" w:rsidRDefault="005A13B0" w:rsidP="00F879CC">
            <w:pPr>
              <w:spacing w:line="276" w:lineRule="auto"/>
              <w:ind w:left="357"/>
              <w:jc w:val="both"/>
              <w:rPr>
                <w:rFonts w:asciiTheme="minorHAnsi" w:eastAsia="Times New Roman" w:hAnsiTheme="minorHAnsi" w:cstheme="minorHAnsi"/>
                <w:b/>
                <w:bCs/>
                <w:iCs/>
                <w:szCs w:val="24"/>
                <w:lang w:val="pl-PL" w:eastAsia="en-GB"/>
              </w:rPr>
            </w:pPr>
            <w:r w:rsidRPr="00F879CC">
              <w:rPr>
                <w:rFonts w:asciiTheme="minorHAnsi" w:eastAsia="Times New Roman" w:hAnsiTheme="minorHAnsi" w:cstheme="minorHAnsi"/>
                <w:bCs/>
                <w:iCs/>
                <w:szCs w:val="24"/>
                <w:lang w:val="pl-PL" w:eastAsia="en-GB"/>
              </w:rPr>
              <w:t>i)</w:t>
            </w:r>
          </w:p>
        </w:tc>
        <w:tc>
          <w:tcPr>
            <w:tcW w:w="765" w:type="pct"/>
          </w:tcPr>
          <w:p w14:paraId="16120DF9" w14:textId="4B857474" w:rsidR="005A13B0" w:rsidRPr="00F879CC" w:rsidRDefault="005A13B0" w:rsidP="00F879CC">
            <w:pPr>
              <w:spacing w:line="276" w:lineRule="auto"/>
              <w:ind w:left="357"/>
              <w:jc w:val="both"/>
              <w:rPr>
                <w:rFonts w:asciiTheme="minorHAnsi" w:eastAsia="Times New Roman" w:hAnsiTheme="minorHAnsi" w:cstheme="minorHAnsi"/>
                <w:b/>
                <w:bCs/>
                <w:iCs/>
                <w:szCs w:val="24"/>
                <w:lang w:val="pl-PL" w:eastAsia="en-GB"/>
              </w:rPr>
            </w:pPr>
            <w:r w:rsidRPr="00F879CC">
              <w:rPr>
                <w:rFonts w:asciiTheme="minorHAnsi" w:eastAsia="Times New Roman" w:hAnsiTheme="minorHAnsi" w:cstheme="minorHAnsi"/>
                <w:bCs/>
                <w:iCs/>
                <w:szCs w:val="24"/>
                <w:lang w:val="pl-PL" w:eastAsia="en-GB"/>
              </w:rPr>
              <w:t>1</w:t>
            </w:r>
          </w:p>
        </w:tc>
        <w:tc>
          <w:tcPr>
            <w:tcW w:w="2581" w:type="pct"/>
          </w:tcPr>
          <w:p w14:paraId="534FEFD8" w14:textId="00A83C7D" w:rsidR="005A13B0" w:rsidRPr="00F879CC" w:rsidRDefault="00D27161" w:rsidP="00F879CC">
            <w:pPr>
              <w:spacing w:line="276" w:lineRule="auto"/>
              <w:rPr>
                <w:rFonts w:asciiTheme="minorHAnsi" w:hAnsiTheme="minorHAnsi" w:cstheme="minorHAnsi"/>
                <w:szCs w:val="24"/>
                <w:u w:val="single"/>
                <w:lang w:val="pl-PL" w:eastAsia="en-GB"/>
              </w:rPr>
            </w:pPr>
            <w:r w:rsidRPr="00F879CC">
              <w:rPr>
                <w:rFonts w:asciiTheme="minorHAnsi" w:hAnsiTheme="minorHAnsi" w:cstheme="minorHAnsi"/>
                <w:szCs w:val="24"/>
                <w:u w:val="single"/>
                <w:lang w:val="pl-PL" w:eastAsia="en-GB"/>
              </w:rPr>
              <w:t>Wyzwania w RMB</w:t>
            </w:r>
            <w:r w:rsidR="005A13B0" w:rsidRPr="00F879CC">
              <w:rPr>
                <w:rFonts w:asciiTheme="minorHAnsi" w:hAnsiTheme="minorHAnsi" w:cstheme="minorHAnsi"/>
                <w:szCs w:val="24"/>
                <w:u w:val="single"/>
                <w:lang w:val="pl-PL" w:eastAsia="en-GB"/>
              </w:rPr>
              <w:t>:</w:t>
            </w:r>
          </w:p>
          <w:p w14:paraId="026F330B" w14:textId="77777777" w:rsidR="00D27161" w:rsidRPr="00F879CC" w:rsidRDefault="00D27161" w:rsidP="00E77EBE">
            <w:pPr>
              <w:pStyle w:val="Akapitzlist"/>
              <w:numPr>
                <w:ilvl w:val="0"/>
                <w:numId w:val="11"/>
              </w:numPr>
              <w:rPr>
                <w:rFonts w:eastAsia="Times New Roman" w:cstheme="minorHAnsi"/>
                <w:iCs/>
                <w:sz w:val="24"/>
                <w:szCs w:val="24"/>
                <w:lang w:val="pl-PL" w:eastAsia="en-GB"/>
              </w:rPr>
            </w:pPr>
            <w:r w:rsidRPr="00F879CC">
              <w:rPr>
                <w:rFonts w:eastAsia="Times New Roman" w:cstheme="minorHAnsi"/>
                <w:iCs/>
                <w:sz w:val="24"/>
                <w:szCs w:val="24"/>
                <w:lang w:val="pl-PL" w:eastAsia="en-GB"/>
              </w:rPr>
              <w:t>sektor publiczny musi dostosować się do szybko zmieniających się wymogów transformacji w społeczeństwach;</w:t>
            </w:r>
          </w:p>
          <w:p w14:paraId="6D8798D4" w14:textId="1CE0B1E5" w:rsidR="005A13B0" w:rsidRPr="00F879CC" w:rsidRDefault="00D27161" w:rsidP="00E77EBE">
            <w:pPr>
              <w:pStyle w:val="Akapitzlist"/>
              <w:numPr>
                <w:ilvl w:val="0"/>
                <w:numId w:val="11"/>
              </w:numPr>
              <w:rPr>
                <w:rFonts w:eastAsia="Times New Roman" w:cstheme="minorHAnsi"/>
                <w:iCs/>
                <w:sz w:val="24"/>
                <w:szCs w:val="24"/>
                <w:lang w:val="pl-PL" w:eastAsia="en-GB"/>
              </w:rPr>
            </w:pPr>
            <w:r w:rsidRPr="00F879CC">
              <w:rPr>
                <w:rFonts w:eastAsia="Times New Roman" w:cstheme="minorHAnsi"/>
                <w:iCs/>
                <w:sz w:val="24"/>
                <w:szCs w:val="24"/>
                <w:lang w:val="pl-PL" w:eastAsia="en-GB"/>
              </w:rPr>
              <w:lastRenderedPageBreak/>
              <w:t>tradycyjne mechanizmy opracowywania rozwiązań w domenie publicznej w niewystarczającym stopniu rozwiązują rosnącą złożoność wyzwań społecznych.</w:t>
            </w:r>
          </w:p>
          <w:p w14:paraId="05FEE9AA" w14:textId="77777777" w:rsidR="005A13B0" w:rsidRPr="00F879CC" w:rsidRDefault="005A13B0" w:rsidP="00F879CC">
            <w:pPr>
              <w:pStyle w:val="Tekstkomentarza"/>
              <w:spacing w:line="276" w:lineRule="auto"/>
              <w:rPr>
                <w:rFonts w:asciiTheme="minorHAnsi" w:eastAsia="Times New Roman" w:hAnsiTheme="minorHAnsi" w:cstheme="minorHAnsi"/>
                <w:sz w:val="24"/>
                <w:szCs w:val="24"/>
                <w:u w:val="single"/>
                <w:lang w:val="pl-PL" w:eastAsia="en-GB"/>
              </w:rPr>
            </w:pPr>
          </w:p>
          <w:p w14:paraId="1F56E0EC" w14:textId="5539DDE2" w:rsidR="005A13B0" w:rsidRPr="00F879CC" w:rsidRDefault="00E13E4D" w:rsidP="00F879CC">
            <w:pPr>
              <w:spacing w:line="276" w:lineRule="auto"/>
              <w:rPr>
                <w:rFonts w:asciiTheme="minorHAnsi" w:hAnsiTheme="minorHAnsi" w:cstheme="minorHAnsi"/>
                <w:szCs w:val="24"/>
                <w:u w:val="single"/>
                <w:lang w:val="pl-PL" w:eastAsia="en-GB"/>
              </w:rPr>
            </w:pPr>
            <w:r w:rsidRPr="00F879CC">
              <w:rPr>
                <w:rFonts w:asciiTheme="minorHAnsi" w:hAnsiTheme="minorHAnsi" w:cstheme="minorHAnsi"/>
                <w:szCs w:val="24"/>
                <w:u w:val="single"/>
                <w:lang w:val="pl-PL" w:eastAsia="en-GB"/>
              </w:rPr>
              <w:t>Możliwości i potrzeby ujęte w celu szczegółowym</w:t>
            </w:r>
            <w:r w:rsidR="005A13B0" w:rsidRPr="00F879CC">
              <w:rPr>
                <w:rFonts w:asciiTheme="minorHAnsi" w:hAnsiTheme="minorHAnsi" w:cstheme="minorHAnsi"/>
                <w:szCs w:val="24"/>
                <w:u w:val="single"/>
                <w:lang w:val="pl-PL" w:eastAsia="en-GB"/>
              </w:rPr>
              <w:t xml:space="preserve">: </w:t>
            </w:r>
          </w:p>
          <w:p w14:paraId="59C50C09" w14:textId="77777777" w:rsidR="00253ED2" w:rsidRPr="00F879CC" w:rsidRDefault="00253ED2" w:rsidP="00E77EBE">
            <w:pPr>
              <w:pStyle w:val="Akapitzlist"/>
              <w:numPr>
                <w:ilvl w:val="0"/>
                <w:numId w:val="11"/>
              </w:numPr>
              <w:rPr>
                <w:rFonts w:eastAsia="Times New Roman" w:cstheme="minorHAnsi"/>
                <w:iCs/>
                <w:sz w:val="24"/>
                <w:szCs w:val="24"/>
                <w:lang w:val="pl-PL" w:eastAsia="en-GB"/>
              </w:rPr>
            </w:pPr>
            <w:r w:rsidRPr="00F879CC">
              <w:rPr>
                <w:rFonts w:eastAsia="Times New Roman" w:cstheme="minorHAnsi"/>
                <w:iCs/>
                <w:sz w:val="24"/>
                <w:szCs w:val="24"/>
                <w:lang w:val="pl-PL" w:eastAsia="en-GB"/>
              </w:rPr>
              <w:t>usprawnienie schematów i procesów organizacyjnych, aby odpowiedzieć na potrzeby społeczeństwa i świadczyć mniej zbiurokratyzowane i bardziej efektywne kosztowo usługi publiczne;</w:t>
            </w:r>
          </w:p>
          <w:p w14:paraId="776BA3F0" w14:textId="55907870" w:rsidR="00253ED2" w:rsidRPr="00F879CC" w:rsidRDefault="00253ED2" w:rsidP="00E77EBE">
            <w:pPr>
              <w:pStyle w:val="Akapitzlist"/>
              <w:numPr>
                <w:ilvl w:val="0"/>
                <w:numId w:val="11"/>
              </w:numPr>
              <w:rPr>
                <w:rFonts w:eastAsia="Times New Roman" w:cstheme="minorHAnsi"/>
                <w:iCs/>
                <w:sz w:val="24"/>
                <w:szCs w:val="24"/>
                <w:lang w:val="pl-PL" w:eastAsia="en-GB"/>
              </w:rPr>
            </w:pPr>
            <w:r w:rsidRPr="00F879CC">
              <w:rPr>
                <w:rFonts w:eastAsia="Times New Roman" w:cstheme="minorHAnsi"/>
                <w:iCs/>
                <w:sz w:val="24"/>
                <w:szCs w:val="24"/>
                <w:lang w:val="pl-PL" w:eastAsia="en-GB"/>
              </w:rPr>
              <w:t>opr</w:t>
            </w:r>
            <w:r w:rsidR="0089505E" w:rsidRPr="00F879CC">
              <w:rPr>
                <w:rFonts w:eastAsia="Times New Roman" w:cstheme="minorHAnsi"/>
                <w:iCs/>
                <w:sz w:val="24"/>
                <w:szCs w:val="24"/>
                <w:lang w:val="pl-PL" w:eastAsia="en-GB"/>
              </w:rPr>
              <w:t>acowanie bardziej systematycznych</w:t>
            </w:r>
            <w:r w:rsidRPr="00F879CC">
              <w:rPr>
                <w:rFonts w:eastAsia="Times New Roman" w:cstheme="minorHAnsi"/>
                <w:iCs/>
                <w:sz w:val="24"/>
                <w:szCs w:val="24"/>
                <w:lang w:val="pl-PL" w:eastAsia="en-GB"/>
              </w:rPr>
              <w:t xml:space="preserve"> re</w:t>
            </w:r>
            <w:r w:rsidR="0089505E" w:rsidRPr="00F879CC">
              <w:rPr>
                <w:rFonts w:eastAsia="Times New Roman" w:cstheme="minorHAnsi"/>
                <w:iCs/>
                <w:sz w:val="24"/>
                <w:szCs w:val="24"/>
                <w:lang w:val="pl-PL" w:eastAsia="en-GB"/>
              </w:rPr>
              <w:t>akcji opinii</w:t>
            </w:r>
            <w:r w:rsidRPr="00F879CC">
              <w:rPr>
                <w:rFonts w:eastAsia="Times New Roman" w:cstheme="minorHAnsi"/>
                <w:iCs/>
                <w:sz w:val="24"/>
                <w:szCs w:val="24"/>
                <w:lang w:val="pl-PL" w:eastAsia="en-GB"/>
              </w:rPr>
              <w:t xml:space="preserve"> publiczne</w:t>
            </w:r>
            <w:r w:rsidR="0089505E" w:rsidRPr="00F879CC">
              <w:rPr>
                <w:rFonts w:eastAsia="Times New Roman" w:cstheme="minorHAnsi"/>
                <w:iCs/>
                <w:sz w:val="24"/>
                <w:szCs w:val="24"/>
                <w:lang w:val="pl-PL" w:eastAsia="en-GB"/>
              </w:rPr>
              <w:t>j wykraczających</w:t>
            </w:r>
            <w:r w:rsidRPr="00F879CC">
              <w:rPr>
                <w:rFonts w:eastAsia="Times New Roman" w:cstheme="minorHAnsi"/>
                <w:iCs/>
                <w:sz w:val="24"/>
                <w:szCs w:val="24"/>
                <w:lang w:val="pl-PL" w:eastAsia="en-GB"/>
              </w:rPr>
              <w:t xml:space="preserve"> poza sektory i granice;</w:t>
            </w:r>
          </w:p>
          <w:p w14:paraId="777D12E3" w14:textId="77777777" w:rsidR="00253ED2" w:rsidRPr="00F879CC" w:rsidRDefault="00253ED2" w:rsidP="00E77EBE">
            <w:pPr>
              <w:pStyle w:val="Akapitzlist"/>
              <w:numPr>
                <w:ilvl w:val="0"/>
                <w:numId w:val="11"/>
              </w:numPr>
              <w:rPr>
                <w:rFonts w:eastAsia="Times New Roman" w:cstheme="minorHAnsi"/>
                <w:iCs/>
                <w:sz w:val="24"/>
                <w:szCs w:val="24"/>
                <w:lang w:val="pl-PL" w:eastAsia="en-GB"/>
              </w:rPr>
            </w:pPr>
            <w:r w:rsidRPr="00F879CC">
              <w:rPr>
                <w:rFonts w:eastAsia="Times New Roman" w:cstheme="minorHAnsi"/>
                <w:iCs/>
                <w:sz w:val="24"/>
                <w:szCs w:val="24"/>
                <w:lang w:val="pl-PL" w:eastAsia="en-GB"/>
              </w:rPr>
              <w:t>uwolnienie potencjału w zakresie innowacyjności świadczenia usług publicznych;</w:t>
            </w:r>
          </w:p>
          <w:p w14:paraId="144A9377" w14:textId="77777777" w:rsidR="00253ED2" w:rsidRPr="00F879CC" w:rsidRDefault="00253ED2" w:rsidP="00E77EBE">
            <w:pPr>
              <w:pStyle w:val="Akapitzlist"/>
              <w:numPr>
                <w:ilvl w:val="0"/>
                <w:numId w:val="11"/>
              </w:numPr>
              <w:rPr>
                <w:rFonts w:eastAsia="Times New Roman" w:cstheme="minorHAnsi"/>
                <w:iCs/>
                <w:sz w:val="24"/>
                <w:szCs w:val="24"/>
                <w:lang w:val="pl-PL" w:eastAsia="en-GB"/>
              </w:rPr>
            </w:pPr>
            <w:r w:rsidRPr="00F879CC">
              <w:rPr>
                <w:rFonts w:eastAsia="Times New Roman" w:cstheme="minorHAnsi"/>
                <w:iCs/>
                <w:sz w:val="24"/>
                <w:szCs w:val="24"/>
                <w:lang w:val="pl-PL" w:eastAsia="en-GB"/>
              </w:rPr>
              <w:t>badanie nowych, zrównoważonych, innowacyjnych i cyfrowych usług;</w:t>
            </w:r>
          </w:p>
          <w:p w14:paraId="3233E037" w14:textId="7B583845" w:rsidR="005A13B0" w:rsidRPr="00F879CC" w:rsidRDefault="00253ED2" w:rsidP="00E77EBE">
            <w:pPr>
              <w:pStyle w:val="Akapitzlist"/>
              <w:numPr>
                <w:ilvl w:val="0"/>
                <w:numId w:val="11"/>
              </w:numPr>
              <w:rPr>
                <w:rFonts w:eastAsia="Times New Roman" w:cstheme="minorHAnsi"/>
                <w:iCs/>
                <w:sz w:val="24"/>
                <w:szCs w:val="24"/>
                <w:lang w:val="pl-PL" w:eastAsia="en-GB"/>
              </w:rPr>
            </w:pPr>
            <w:r w:rsidRPr="00F879CC">
              <w:rPr>
                <w:rFonts w:eastAsia="Times New Roman" w:cstheme="minorHAnsi"/>
                <w:iCs/>
                <w:sz w:val="24"/>
                <w:szCs w:val="24"/>
                <w:lang w:val="pl-PL" w:eastAsia="en-GB"/>
              </w:rPr>
              <w:t xml:space="preserve">uczynienie przykładów bardzo dobrze funkcjonujących instytucji sektora publicznego prekursorami, </w:t>
            </w:r>
            <w:r w:rsidR="00CC0F52" w:rsidRPr="00F879CC">
              <w:rPr>
                <w:rFonts w:eastAsia="Times New Roman" w:cstheme="minorHAnsi"/>
                <w:iCs/>
                <w:sz w:val="24"/>
                <w:szCs w:val="24"/>
                <w:lang w:val="pl-PL" w:eastAsia="en-GB"/>
              </w:rPr>
              <w:t>np. poprzez</w:t>
            </w:r>
            <w:r w:rsidRPr="00F879CC">
              <w:rPr>
                <w:rFonts w:eastAsia="Times New Roman" w:cstheme="minorHAnsi"/>
                <w:iCs/>
                <w:sz w:val="24"/>
                <w:szCs w:val="24"/>
                <w:lang w:val="pl-PL" w:eastAsia="en-GB"/>
              </w:rPr>
              <w:t xml:space="preserve"> opracowanie i stosowanie elastycznych procesów, ekologicznych rozwiązań w zamówieniach publicznych;</w:t>
            </w:r>
          </w:p>
          <w:p w14:paraId="6FFB4A90" w14:textId="2CCCA828" w:rsidR="00253ED2" w:rsidRPr="00F879CC" w:rsidRDefault="00253ED2" w:rsidP="00E77EBE">
            <w:pPr>
              <w:pStyle w:val="Akapitzlist"/>
              <w:numPr>
                <w:ilvl w:val="0"/>
                <w:numId w:val="11"/>
              </w:numPr>
              <w:rPr>
                <w:rFonts w:eastAsia="Times New Roman" w:cstheme="minorHAnsi"/>
                <w:iCs/>
                <w:sz w:val="24"/>
                <w:szCs w:val="24"/>
                <w:lang w:val="pl-PL" w:eastAsia="en-GB"/>
              </w:rPr>
            </w:pPr>
            <w:r w:rsidRPr="00F879CC">
              <w:rPr>
                <w:rFonts w:eastAsia="Times New Roman" w:cstheme="minorHAnsi"/>
                <w:iCs/>
                <w:sz w:val="24"/>
                <w:szCs w:val="24"/>
                <w:lang w:val="pl-PL" w:eastAsia="en-GB"/>
              </w:rPr>
              <w:t xml:space="preserve">dzielenie się pomysłami oraz </w:t>
            </w:r>
            <w:r w:rsidR="00CC0F52" w:rsidRPr="00F879CC">
              <w:rPr>
                <w:rFonts w:eastAsia="Times New Roman" w:cstheme="minorHAnsi"/>
                <w:iCs/>
                <w:sz w:val="24"/>
                <w:szCs w:val="24"/>
                <w:lang w:val="pl-PL" w:eastAsia="en-GB"/>
              </w:rPr>
              <w:t>tworzenie</w:t>
            </w:r>
            <w:r w:rsidRPr="00F879CC">
              <w:rPr>
                <w:rFonts w:eastAsia="Times New Roman" w:cstheme="minorHAnsi"/>
                <w:iCs/>
                <w:sz w:val="24"/>
                <w:szCs w:val="24"/>
                <w:lang w:val="pl-PL" w:eastAsia="en-GB"/>
              </w:rPr>
              <w:t xml:space="preserve"> sieci i platform do wspólnego uczenia się w obrębie całego RMB w celu opracowania lepszych rozwiązań w zakresie </w:t>
            </w:r>
            <w:r w:rsidRPr="00F879CC">
              <w:rPr>
                <w:rFonts w:eastAsia="Times New Roman" w:cstheme="minorHAnsi"/>
                <w:iCs/>
                <w:sz w:val="24"/>
                <w:szCs w:val="24"/>
                <w:lang w:val="pl-PL" w:eastAsia="en-GB"/>
              </w:rPr>
              <w:lastRenderedPageBreak/>
              <w:t>świadczenia usług publicznych w krótszym czasie;</w:t>
            </w:r>
          </w:p>
          <w:p w14:paraId="16686C2D" w14:textId="77777777" w:rsidR="00253ED2" w:rsidRPr="00F879CC" w:rsidRDefault="00253ED2" w:rsidP="00E77EBE">
            <w:pPr>
              <w:pStyle w:val="Akapitzlist"/>
              <w:numPr>
                <w:ilvl w:val="0"/>
                <w:numId w:val="11"/>
              </w:numPr>
              <w:rPr>
                <w:rFonts w:eastAsia="Times New Roman" w:cstheme="minorHAnsi"/>
                <w:iCs/>
                <w:sz w:val="24"/>
                <w:szCs w:val="24"/>
                <w:lang w:val="pl-PL" w:eastAsia="en-GB"/>
              </w:rPr>
            </w:pPr>
            <w:r w:rsidRPr="00F879CC">
              <w:rPr>
                <w:rFonts w:eastAsia="Times New Roman" w:cstheme="minorHAnsi"/>
                <w:iCs/>
                <w:sz w:val="24"/>
                <w:szCs w:val="24"/>
                <w:lang w:val="pl-PL" w:eastAsia="en-GB"/>
              </w:rPr>
              <w:t>silniejsze włączenie perspektywy użytkowników w opracowywanie i tworzenie rozwiązań;</w:t>
            </w:r>
          </w:p>
          <w:p w14:paraId="3F0AC98C" w14:textId="77777777" w:rsidR="00253ED2" w:rsidRPr="00F879CC" w:rsidRDefault="00253ED2" w:rsidP="00E77EBE">
            <w:pPr>
              <w:pStyle w:val="Akapitzlist"/>
              <w:numPr>
                <w:ilvl w:val="0"/>
                <w:numId w:val="11"/>
              </w:numPr>
              <w:rPr>
                <w:rFonts w:eastAsia="Times New Roman" w:cstheme="minorHAnsi"/>
                <w:iCs/>
                <w:sz w:val="24"/>
                <w:szCs w:val="24"/>
                <w:lang w:val="pl-PL" w:eastAsia="en-GB"/>
              </w:rPr>
            </w:pPr>
            <w:r w:rsidRPr="00F879CC">
              <w:rPr>
                <w:rFonts w:eastAsia="Times New Roman" w:cstheme="minorHAnsi"/>
                <w:iCs/>
                <w:sz w:val="24"/>
                <w:szCs w:val="24"/>
                <w:lang w:val="pl-PL" w:eastAsia="en-GB"/>
              </w:rPr>
              <w:t>tworzenie usług opartych na potrzebach odzwierciedlających specyfikę terytorialną;</w:t>
            </w:r>
          </w:p>
          <w:p w14:paraId="49B6DAC4" w14:textId="68BDDA16" w:rsidR="005A13B0" w:rsidRPr="00F879CC" w:rsidRDefault="00253ED2" w:rsidP="00E77EBE">
            <w:pPr>
              <w:pStyle w:val="Akapitzlist"/>
              <w:numPr>
                <w:ilvl w:val="0"/>
                <w:numId w:val="11"/>
              </w:numPr>
              <w:rPr>
                <w:rFonts w:eastAsia="Times New Roman" w:cstheme="minorHAnsi"/>
                <w:b/>
                <w:iCs/>
                <w:sz w:val="24"/>
                <w:szCs w:val="24"/>
                <w:lang w:val="pl-PL" w:eastAsia="en-GB"/>
              </w:rPr>
            </w:pPr>
            <w:r w:rsidRPr="00F879CC">
              <w:rPr>
                <w:rFonts w:eastAsia="Times New Roman" w:cstheme="minorHAnsi"/>
                <w:iCs/>
                <w:sz w:val="24"/>
                <w:szCs w:val="24"/>
                <w:lang w:val="pl-PL" w:eastAsia="en-GB"/>
              </w:rPr>
              <w:t>zwiększenie zaangażowania obywateli w przekształcanie usług publicznych w kierunku samoorganizacji.</w:t>
            </w:r>
          </w:p>
        </w:tc>
      </w:tr>
      <w:tr w:rsidR="005A13B0" w:rsidRPr="00367EF1" w14:paraId="7321BA1F" w14:textId="77777777" w:rsidTr="005A13B0">
        <w:tc>
          <w:tcPr>
            <w:tcW w:w="831" w:type="pct"/>
          </w:tcPr>
          <w:p w14:paraId="42C31DA7" w14:textId="6453637C" w:rsidR="005A13B0" w:rsidRPr="00F879CC" w:rsidRDefault="00253ED2" w:rsidP="00F879CC">
            <w:pPr>
              <w:spacing w:line="276" w:lineRule="auto"/>
              <w:ind w:left="357"/>
              <w:jc w:val="both"/>
              <w:rPr>
                <w:rFonts w:asciiTheme="minorHAnsi" w:eastAsia="Times New Roman" w:hAnsiTheme="minorHAnsi" w:cstheme="minorHAnsi"/>
                <w:b/>
                <w:bCs/>
                <w:iCs/>
                <w:szCs w:val="24"/>
                <w:lang w:val="pl-PL" w:eastAsia="en-GB"/>
              </w:rPr>
            </w:pPr>
            <w:r w:rsidRPr="00F879CC">
              <w:rPr>
                <w:rFonts w:asciiTheme="minorHAnsi" w:eastAsia="Times New Roman" w:hAnsiTheme="minorHAnsi" w:cstheme="minorHAnsi"/>
                <w:bCs/>
                <w:iCs/>
                <w:szCs w:val="24"/>
                <w:lang w:val="pl-PL" w:eastAsia="en-GB"/>
              </w:rPr>
              <w:lastRenderedPageBreak/>
              <w:t>CP</w:t>
            </w:r>
            <w:r w:rsidR="005A13B0" w:rsidRPr="00F879CC">
              <w:rPr>
                <w:rFonts w:asciiTheme="minorHAnsi" w:eastAsia="Times New Roman" w:hAnsiTheme="minorHAnsi" w:cstheme="minorHAnsi"/>
                <w:bCs/>
                <w:iCs/>
                <w:szCs w:val="24"/>
                <w:lang w:val="pl-PL" w:eastAsia="en-GB"/>
              </w:rPr>
              <w:t xml:space="preserve"> 2</w:t>
            </w:r>
          </w:p>
        </w:tc>
        <w:tc>
          <w:tcPr>
            <w:tcW w:w="824" w:type="pct"/>
          </w:tcPr>
          <w:p w14:paraId="5255616A" w14:textId="65EDB352" w:rsidR="005A13B0" w:rsidRPr="00F879CC" w:rsidRDefault="005A13B0" w:rsidP="00F879CC">
            <w:pPr>
              <w:spacing w:line="276" w:lineRule="auto"/>
              <w:ind w:left="357"/>
              <w:jc w:val="both"/>
              <w:rPr>
                <w:rFonts w:asciiTheme="minorHAnsi" w:eastAsia="Times New Roman" w:hAnsiTheme="minorHAnsi" w:cstheme="minorHAnsi"/>
                <w:b/>
                <w:bCs/>
                <w:iCs/>
                <w:szCs w:val="24"/>
                <w:lang w:val="pl-PL" w:eastAsia="en-GB"/>
              </w:rPr>
            </w:pPr>
            <w:r w:rsidRPr="00F879CC">
              <w:rPr>
                <w:rFonts w:asciiTheme="minorHAnsi" w:eastAsia="Times New Roman" w:hAnsiTheme="minorHAnsi" w:cstheme="minorHAnsi"/>
                <w:bCs/>
                <w:iCs/>
                <w:szCs w:val="24"/>
                <w:lang w:val="pl-PL" w:eastAsia="en-GB"/>
              </w:rPr>
              <w:t>v)</w:t>
            </w:r>
          </w:p>
        </w:tc>
        <w:tc>
          <w:tcPr>
            <w:tcW w:w="765" w:type="pct"/>
          </w:tcPr>
          <w:p w14:paraId="3086FFDE" w14:textId="41CDE250" w:rsidR="005A13B0" w:rsidRPr="00F879CC" w:rsidRDefault="005A13B0" w:rsidP="00F879CC">
            <w:pPr>
              <w:spacing w:line="276" w:lineRule="auto"/>
              <w:ind w:left="357"/>
              <w:jc w:val="both"/>
              <w:rPr>
                <w:rFonts w:asciiTheme="minorHAnsi" w:eastAsia="Times New Roman" w:hAnsiTheme="minorHAnsi" w:cstheme="minorHAnsi"/>
                <w:b/>
                <w:bCs/>
                <w:iCs/>
                <w:szCs w:val="24"/>
                <w:lang w:val="pl-PL" w:eastAsia="en-GB"/>
              </w:rPr>
            </w:pPr>
            <w:r w:rsidRPr="00F879CC">
              <w:rPr>
                <w:rFonts w:asciiTheme="minorHAnsi" w:eastAsia="Times New Roman" w:hAnsiTheme="minorHAnsi" w:cstheme="minorHAnsi"/>
                <w:bCs/>
                <w:iCs/>
                <w:szCs w:val="24"/>
                <w:lang w:val="pl-PL" w:eastAsia="en-GB"/>
              </w:rPr>
              <w:t>2</w:t>
            </w:r>
          </w:p>
        </w:tc>
        <w:tc>
          <w:tcPr>
            <w:tcW w:w="2581" w:type="pct"/>
          </w:tcPr>
          <w:p w14:paraId="6C6B14B9" w14:textId="0DC86567" w:rsidR="005A13B0" w:rsidRPr="00F879CC" w:rsidRDefault="0089505E" w:rsidP="00F879CC">
            <w:pPr>
              <w:spacing w:line="276" w:lineRule="auto"/>
              <w:rPr>
                <w:rFonts w:asciiTheme="minorHAnsi" w:hAnsiTheme="minorHAnsi" w:cstheme="minorHAnsi"/>
                <w:szCs w:val="24"/>
                <w:u w:val="single"/>
                <w:lang w:val="pl-PL" w:eastAsia="en-GB"/>
              </w:rPr>
            </w:pPr>
            <w:r w:rsidRPr="00F879CC">
              <w:rPr>
                <w:rFonts w:asciiTheme="minorHAnsi" w:hAnsiTheme="minorHAnsi" w:cstheme="minorHAnsi"/>
                <w:szCs w:val="24"/>
                <w:u w:val="single"/>
                <w:lang w:val="pl-PL" w:eastAsia="en-GB"/>
              </w:rPr>
              <w:t>Wyzwania w</w:t>
            </w:r>
            <w:r w:rsidR="005A13B0" w:rsidRPr="00F879CC">
              <w:rPr>
                <w:rFonts w:asciiTheme="minorHAnsi" w:hAnsiTheme="minorHAnsi" w:cstheme="minorHAnsi"/>
                <w:szCs w:val="24"/>
                <w:u w:val="single"/>
                <w:lang w:val="pl-PL" w:eastAsia="en-GB"/>
              </w:rPr>
              <w:t xml:space="preserve"> </w:t>
            </w:r>
            <w:r w:rsidR="00253ED2" w:rsidRPr="00F879CC">
              <w:rPr>
                <w:rFonts w:asciiTheme="minorHAnsi" w:hAnsiTheme="minorHAnsi" w:cstheme="minorHAnsi"/>
                <w:szCs w:val="24"/>
                <w:u w:val="single"/>
                <w:lang w:val="pl-PL" w:eastAsia="en-GB"/>
              </w:rPr>
              <w:t>RMB</w:t>
            </w:r>
            <w:r w:rsidR="005A13B0" w:rsidRPr="00F879CC">
              <w:rPr>
                <w:rFonts w:asciiTheme="minorHAnsi" w:hAnsiTheme="minorHAnsi" w:cstheme="minorHAnsi"/>
                <w:szCs w:val="24"/>
                <w:u w:val="single"/>
                <w:lang w:val="pl-PL" w:eastAsia="en-GB"/>
              </w:rPr>
              <w:t xml:space="preserve">: </w:t>
            </w:r>
          </w:p>
          <w:p w14:paraId="69DE11E4" w14:textId="77777777" w:rsidR="0089505E" w:rsidRPr="00F879CC" w:rsidRDefault="0089505E" w:rsidP="00E77EBE">
            <w:pPr>
              <w:pStyle w:val="Akapitzlist"/>
              <w:numPr>
                <w:ilvl w:val="0"/>
                <w:numId w:val="11"/>
              </w:numPr>
              <w:rPr>
                <w:rFonts w:eastAsia="Times New Roman" w:cstheme="minorHAnsi"/>
                <w:iCs/>
                <w:sz w:val="24"/>
                <w:szCs w:val="24"/>
                <w:lang w:val="pl-PL" w:eastAsia="en-GB"/>
              </w:rPr>
            </w:pPr>
            <w:r w:rsidRPr="00F879CC">
              <w:rPr>
                <w:rFonts w:eastAsia="Times New Roman" w:cstheme="minorHAnsi"/>
                <w:iCs/>
                <w:sz w:val="24"/>
                <w:szCs w:val="24"/>
                <w:lang w:val="pl-PL" w:eastAsia="en-GB"/>
              </w:rPr>
              <w:t>stan środowiska Morza Bałtyckiego i wód śródlądowych jest nadal zagrożony;</w:t>
            </w:r>
          </w:p>
          <w:p w14:paraId="07613664" w14:textId="77777777" w:rsidR="0089505E" w:rsidRPr="00F879CC" w:rsidRDefault="0089505E" w:rsidP="00E77EBE">
            <w:pPr>
              <w:pStyle w:val="Akapitzlist"/>
              <w:numPr>
                <w:ilvl w:val="0"/>
                <w:numId w:val="11"/>
              </w:numPr>
              <w:rPr>
                <w:rFonts w:eastAsia="Times New Roman" w:cstheme="minorHAnsi"/>
                <w:iCs/>
                <w:sz w:val="24"/>
                <w:szCs w:val="24"/>
                <w:lang w:val="pl-PL" w:eastAsia="en-GB"/>
              </w:rPr>
            </w:pPr>
            <w:r w:rsidRPr="00F879CC">
              <w:rPr>
                <w:rFonts w:eastAsia="Times New Roman" w:cstheme="minorHAnsi"/>
                <w:iCs/>
                <w:sz w:val="24"/>
                <w:szCs w:val="24"/>
                <w:lang w:val="pl-PL" w:eastAsia="en-GB"/>
              </w:rPr>
              <w:t>rosnące negatywne skutki zmian klimatycznych dla wód;</w:t>
            </w:r>
          </w:p>
          <w:p w14:paraId="1CCE7728" w14:textId="6BB8DA3F" w:rsidR="005A13B0" w:rsidRPr="00F879CC" w:rsidRDefault="0089505E" w:rsidP="00E77EBE">
            <w:pPr>
              <w:pStyle w:val="Akapitzlist"/>
              <w:numPr>
                <w:ilvl w:val="0"/>
                <w:numId w:val="11"/>
              </w:numPr>
              <w:rPr>
                <w:rFonts w:eastAsia="Times New Roman" w:cstheme="minorHAnsi"/>
                <w:iCs/>
                <w:sz w:val="24"/>
                <w:szCs w:val="24"/>
                <w:lang w:val="pl-PL" w:eastAsia="en-GB"/>
              </w:rPr>
            </w:pPr>
            <w:r w:rsidRPr="00F879CC">
              <w:rPr>
                <w:rFonts w:eastAsia="Times New Roman" w:cstheme="minorHAnsi"/>
                <w:iCs/>
                <w:sz w:val="24"/>
                <w:szCs w:val="24"/>
                <w:lang w:val="pl-PL" w:eastAsia="en-GB"/>
              </w:rPr>
              <w:t>tworzenie zrównoważonego wzrostu gospodarczego i jednoczesne zapewnienie zdrowego środowiska morskiego.</w:t>
            </w:r>
          </w:p>
          <w:p w14:paraId="37BDFCE5" w14:textId="77777777" w:rsidR="005A13B0" w:rsidRPr="00F879CC" w:rsidRDefault="005A13B0" w:rsidP="00F879CC">
            <w:pPr>
              <w:pStyle w:val="Tekstkomentarza"/>
              <w:spacing w:line="276" w:lineRule="auto"/>
              <w:rPr>
                <w:rFonts w:asciiTheme="minorHAnsi" w:hAnsiTheme="minorHAnsi" w:cstheme="minorHAnsi"/>
                <w:sz w:val="24"/>
                <w:szCs w:val="24"/>
                <w:lang w:val="pl-PL"/>
              </w:rPr>
            </w:pPr>
          </w:p>
          <w:p w14:paraId="0E9B9BFC" w14:textId="465F027B" w:rsidR="005A13B0" w:rsidRPr="00F879CC" w:rsidRDefault="00E13E4D" w:rsidP="00F879CC">
            <w:pPr>
              <w:spacing w:line="276" w:lineRule="auto"/>
              <w:rPr>
                <w:rFonts w:asciiTheme="minorHAnsi" w:hAnsiTheme="minorHAnsi" w:cstheme="minorHAnsi"/>
                <w:szCs w:val="24"/>
                <w:u w:val="single"/>
                <w:lang w:val="pl-PL" w:eastAsia="en-GB"/>
              </w:rPr>
            </w:pPr>
            <w:r w:rsidRPr="00F879CC">
              <w:rPr>
                <w:rFonts w:asciiTheme="minorHAnsi" w:hAnsiTheme="minorHAnsi" w:cstheme="minorHAnsi"/>
                <w:szCs w:val="24"/>
                <w:u w:val="single"/>
                <w:lang w:val="pl-PL" w:eastAsia="en-GB"/>
              </w:rPr>
              <w:t>Możliwości i potrzeby ujęte w celu szczegółowym</w:t>
            </w:r>
            <w:r w:rsidR="005A13B0" w:rsidRPr="00F879CC">
              <w:rPr>
                <w:rFonts w:asciiTheme="minorHAnsi" w:hAnsiTheme="minorHAnsi" w:cstheme="minorHAnsi"/>
                <w:szCs w:val="24"/>
                <w:u w:val="single"/>
                <w:lang w:val="pl-PL" w:eastAsia="en-GB"/>
              </w:rPr>
              <w:t xml:space="preserve">:  </w:t>
            </w:r>
          </w:p>
          <w:p w14:paraId="2CD824A6" w14:textId="77777777" w:rsidR="000A2AA2" w:rsidRPr="00F879CC" w:rsidRDefault="000A2AA2" w:rsidP="00E77EBE">
            <w:pPr>
              <w:pStyle w:val="Akapitzlist"/>
              <w:numPr>
                <w:ilvl w:val="0"/>
                <w:numId w:val="11"/>
              </w:numPr>
              <w:rPr>
                <w:rFonts w:eastAsia="Times New Roman" w:cstheme="minorHAnsi"/>
                <w:iCs/>
                <w:sz w:val="24"/>
                <w:szCs w:val="24"/>
                <w:lang w:val="pl-PL" w:eastAsia="en-GB"/>
              </w:rPr>
            </w:pPr>
            <w:r w:rsidRPr="00F879CC">
              <w:rPr>
                <w:rFonts w:eastAsia="Times New Roman" w:cstheme="minorHAnsi"/>
                <w:iCs/>
                <w:sz w:val="24"/>
                <w:szCs w:val="24"/>
                <w:lang w:val="pl-PL" w:eastAsia="en-GB"/>
              </w:rPr>
              <w:t>poprawa stanu wód w regionie i bardziej zrównoważone gospodarowanie nimi (w tym wody morskie, przybrzeżne, śródlądowe i podziemne);</w:t>
            </w:r>
          </w:p>
          <w:p w14:paraId="7B02C12E" w14:textId="77777777" w:rsidR="000A2AA2" w:rsidRPr="00F879CC" w:rsidRDefault="000A2AA2" w:rsidP="00E77EBE">
            <w:pPr>
              <w:pStyle w:val="Akapitzlist"/>
              <w:numPr>
                <w:ilvl w:val="0"/>
                <w:numId w:val="11"/>
              </w:numPr>
              <w:rPr>
                <w:rFonts w:eastAsia="Times New Roman" w:cstheme="minorHAnsi"/>
                <w:iCs/>
                <w:sz w:val="24"/>
                <w:szCs w:val="24"/>
                <w:lang w:val="pl-PL" w:eastAsia="en-GB"/>
              </w:rPr>
            </w:pPr>
            <w:r w:rsidRPr="00F879CC">
              <w:rPr>
                <w:rFonts w:eastAsia="Times New Roman" w:cstheme="minorHAnsi"/>
                <w:iCs/>
                <w:sz w:val="24"/>
                <w:szCs w:val="24"/>
                <w:lang w:val="pl-PL" w:eastAsia="en-GB"/>
              </w:rPr>
              <w:t xml:space="preserve">dalsze wzmacnianie wdrażania i skuteczne wspieranie ostatnich pozytywnych zmian poprzez testowanie nowych rozwiązań w odniesieniu do pojawiających się </w:t>
            </w:r>
            <w:r w:rsidRPr="00F879CC">
              <w:rPr>
                <w:rFonts w:eastAsia="Times New Roman" w:cstheme="minorHAnsi"/>
                <w:iCs/>
                <w:sz w:val="24"/>
                <w:szCs w:val="24"/>
                <w:lang w:val="pl-PL" w:eastAsia="en-GB"/>
              </w:rPr>
              <w:lastRenderedPageBreak/>
              <w:t>wyzwań w dziedzinie gospodarki wodnej i niebieskiej gospodarki;</w:t>
            </w:r>
          </w:p>
          <w:p w14:paraId="5B30F58F" w14:textId="7E3F29E9" w:rsidR="005A13B0" w:rsidRPr="00F879CC" w:rsidRDefault="000A2AA2" w:rsidP="00E77EBE">
            <w:pPr>
              <w:pStyle w:val="Akapitzlist"/>
              <w:numPr>
                <w:ilvl w:val="0"/>
                <w:numId w:val="11"/>
              </w:numPr>
              <w:rPr>
                <w:rFonts w:eastAsia="Times New Roman" w:cstheme="minorHAnsi"/>
                <w:iCs/>
                <w:sz w:val="24"/>
                <w:szCs w:val="24"/>
                <w:lang w:val="pl-PL" w:eastAsia="en-GB"/>
              </w:rPr>
            </w:pPr>
            <w:r w:rsidRPr="00F879CC">
              <w:rPr>
                <w:rFonts w:eastAsia="Times New Roman" w:cstheme="minorHAnsi"/>
                <w:iCs/>
                <w:sz w:val="24"/>
                <w:szCs w:val="24"/>
                <w:lang w:val="pl-PL" w:eastAsia="en-GB"/>
              </w:rPr>
              <w:t>skuteczne budowanie w oparciu o mocne punkty i nowopowstające sektory niebieskiej gospodarki w RMB poprzez wspieranie wysoce konkurencyjnych i innowacyjnych badań i inicjatyw biznesowych;</w:t>
            </w:r>
          </w:p>
          <w:p w14:paraId="51C5D723" w14:textId="77777777" w:rsidR="000A2AA2" w:rsidRPr="00F879CC" w:rsidRDefault="000A2AA2" w:rsidP="00E77EBE">
            <w:pPr>
              <w:pStyle w:val="Akapitzlist"/>
              <w:numPr>
                <w:ilvl w:val="0"/>
                <w:numId w:val="11"/>
              </w:numPr>
              <w:rPr>
                <w:rFonts w:eastAsia="Times New Roman" w:cstheme="minorHAnsi"/>
                <w:iCs/>
                <w:sz w:val="24"/>
                <w:szCs w:val="24"/>
                <w:lang w:val="pl-PL" w:eastAsia="en-GB"/>
              </w:rPr>
            </w:pPr>
            <w:r w:rsidRPr="00F879CC">
              <w:rPr>
                <w:rFonts w:eastAsia="Times New Roman" w:cstheme="minorHAnsi"/>
                <w:iCs/>
                <w:sz w:val="24"/>
                <w:szCs w:val="24"/>
                <w:lang w:val="pl-PL" w:eastAsia="en-GB"/>
              </w:rPr>
              <w:t>zabezpieczenie zdrowego ekosystemu w morzu i wodach śródlądowych;</w:t>
            </w:r>
          </w:p>
          <w:p w14:paraId="2DDB295D" w14:textId="77777777" w:rsidR="000A2AA2" w:rsidRPr="00F879CC" w:rsidRDefault="000A2AA2" w:rsidP="00E77EBE">
            <w:pPr>
              <w:pStyle w:val="Akapitzlist"/>
              <w:numPr>
                <w:ilvl w:val="0"/>
                <w:numId w:val="11"/>
              </w:numPr>
              <w:rPr>
                <w:rFonts w:eastAsia="Times New Roman" w:cstheme="minorHAnsi"/>
                <w:iCs/>
                <w:sz w:val="24"/>
                <w:szCs w:val="24"/>
                <w:lang w:val="pl-PL" w:eastAsia="en-GB"/>
              </w:rPr>
            </w:pPr>
            <w:r w:rsidRPr="00F879CC">
              <w:rPr>
                <w:rFonts w:eastAsia="Times New Roman" w:cstheme="minorHAnsi"/>
                <w:iCs/>
                <w:sz w:val="24"/>
                <w:szCs w:val="24"/>
                <w:lang w:val="pl-PL" w:eastAsia="en-GB"/>
              </w:rPr>
              <w:t>zapobieganie i ograniczanie zanieczyszczeniu wód;</w:t>
            </w:r>
          </w:p>
          <w:p w14:paraId="4BCEB1D8" w14:textId="77777777" w:rsidR="000A2AA2" w:rsidRPr="00F879CC" w:rsidRDefault="000A2AA2" w:rsidP="00E77EBE">
            <w:pPr>
              <w:pStyle w:val="Akapitzlist"/>
              <w:numPr>
                <w:ilvl w:val="0"/>
                <w:numId w:val="11"/>
              </w:numPr>
              <w:rPr>
                <w:rFonts w:eastAsia="Times New Roman" w:cstheme="minorHAnsi"/>
                <w:iCs/>
                <w:sz w:val="24"/>
                <w:szCs w:val="24"/>
                <w:lang w:val="pl-PL" w:eastAsia="en-GB"/>
              </w:rPr>
            </w:pPr>
            <w:r w:rsidRPr="00F879CC">
              <w:rPr>
                <w:rFonts w:eastAsia="Times New Roman" w:cstheme="minorHAnsi"/>
                <w:iCs/>
                <w:sz w:val="24"/>
                <w:szCs w:val="24"/>
                <w:lang w:val="pl-PL" w:eastAsia="en-GB"/>
              </w:rPr>
              <w:t>zapewnienie zrównoważonego wykorzystania wód słodkich i morskich oraz zasobów morskich;</w:t>
            </w:r>
          </w:p>
          <w:p w14:paraId="53899C3C" w14:textId="77777777" w:rsidR="000A2AA2" w:rsidRPr="00F879CC" w:rsidRDefault="000A2AA2" w:rsidP="00E77EBE">
            <w:pPr>
              <w:pStyle w:val="Akapitzlist"/>
              <w:numPr>
                <w:ilvl w:val="0"/>
                <w:numId w:val="11"/>
              </w:numPr>
              <w:rPr>
                <w:rFonts w:eastAsia="Times New Roman" w:cstheme="minorHAnsi"/>
                <w:iCs/>
                <w:sz w:val="24"/>
                <w:szCs w:val="24"/>
                <w:lang w:val="pl-PL" w:eastAsia="en-GB"/>
              </w:rPr>
            </w:pPr>
            <w:r w:rsidRPr="00F879CC">
              <w:rPr>
                <w:rFonts w:eastAsia="Times New Roman" w:cstheme="minorHAnsi"/>
                <w:iCs/>
                <w:sz w:val="24"/>
                <w:szCs w:val="24"/>
                <w:lang w:val="pl-PL" w:eastAsia="en-GB"/>
              </w:rPr>
              <w:t>dostosowanie praktyk gospodarki wodnej do zmieniających się warunków klimatycznych i korzystanie z dobrych praktyk;</w:t>
            </w:r>
          </w:p>
          <w:p w14:paraId="613B91CC" w14:textId="77777777" w:rsidR="000A2AA2" w:rsidRPr="00F879CC" w:rsidRDefault="000A2AA2" w:rsidP="00E77EBE">
            <w:pPr>
              <w:pStyle w:val="Akapitzlist"/>
              <w:numPr>
                <w:ilvl w:val="0"/>
                <w:numId w:val="11"/>
              </w:numPr>
              <w:rPr>
                <w:rFonts w:eastAsia="Times New Roman" w:cstheme="minorHAnsi"/>
                <w:iCs/>
                <w:sz w:val="24"/>
                <w:szCs w:val="24"/>
                <w:lang w:val="pl-PL" w:eastAsia="en-GB"/>
              </w:rPr>
            </w:pPr>
            <w:r w:rsidRPr="00F879CC">
              <w:rPr>
                <w:rFonts w:eastAsia="Times New Roman" w:cstheme="minorHAnsi"/>
                <w:iCs/>
                <w:sz w:val="24"/>
                <w:szCs w:val="24"/>
                <w:lang w:val="pl-PL" w:eastAsia="en-GB"/>
              </w:rPr>
              <w:t>silniejsza koordynacja zarządzania wodą ponad granicami i sektorami;</w:t>
            </w:r>
          </w:p>
          <w:p w14:paraId="488360B4" w14:textId="6D576C30" w:rsidR="005A13B0" w:rsidRPr="00F879CC" w:rsidRDefault="000A2AA2" w:rsidP="00E77EBE">
            <w:pPr>
              <w:pStyle w:val="Akapitzlist"/>
              <w:numPr>
                <w:ilvl w:val="0"/>
                <w:numId w:val="11"/>
              </w:numPr>
              <w:rPr>
                <w:rFonts w:eastAsia="Times New Roman" w:cstheme="minorHAnsi"/>
                <w:b/>
                <w:iCs/>
                <w:sz w:val="24"/>
                <w:szCs w:val="24"/>
                <w:lang w:val="pl-PL" w:eastAsia="en-GB"/>
              </w:rPr>
            </w:pPr>
            <w:r w:rsidRPr="00F879CC">
              <w:rPr>
                <w:rFonts w:eastAsia="Times New Roman" w:cstheme="minorHAnsi"/>
                <w:iCs/>
                <w:sz w:val="24"/>
                <w:szCs w:val="24"/>
                <w:lang w:val="pl-PL" w:eastAsia="en-GB"/>
              </w:rPr>
              <w:t>skuteczniejsze łagodzenie potencjalnych konfliktów wśród użytkowników przestrzeni morskiej i ułatwianie jej wspólnego użytkowania.</w:t>
            </w:r>
          </w:p>
        </w:tc>
      </w:tr>
      <w:tr w:rsidR="005A13B0" w:rsidRPr="00367EF1" w14:paraId="268FD9CE" w14:textId="77777777" w:rsidTr="005A13B0">
        <w:tc>
          <w:tcPr>
            <w:tcW w:w="831" w:type="pct"/>
          </w:tcPr>
          <w:p w14:paraId="6FEE2434" w14:textId="2CCE05F3" w:rsidR="005A13B0" w:rsidRPr="00F879CC" w:rsidRDefault="00E0114A" w:rsidP="00F879CC">
            <w:pPr>
              <w:spacing w:line="276" w:lineRule="auto"/>
              <w:ind w:left="357"/>
              <w:jc w:val="both"/>
              <w:rPr>
                <w:rFonts w:asciiTheme="minorHAnsi" w:eastAsia="Times New Roman" w:hAnsiTheme="minorHAnsi" w:cstheme="minorHAnsi"/>
                <w:b/>
                <w:bCs/>
                <w:iCs/>
                <w:szCs w:val="24"/>
                <w:lang w:val="pl-PL" w:eastAsia="en-GB"/>
              </w:rPr>
            </w:pPr>
            <w:r w:rsidRPr="00F879CC">
              <w:rPr>
                <w:rFonts w:asciiTheme="minorHAnsi" w:eastAsia="Times New Roman" w:hAnsiTheme="minorHAnsi" w:cstheme="minorHAnsi"/>
                <w:bCs/>
                <w:iCs/>
                <w:szCs w:val="24"/>
                <w:lang w:val="pl-PL" w:eastAsia="en-GB"/>
              </w:rPr>
              <w:lastRenderedPageBreak/>
              <w:t>CP</w:t>
            </w:r>
            <w:r w:rsidR="005A13B0" w:rsidRPr="00F879CC">
              <w:rPr>
                <w:rFonts w:asciiTheme="minorHAnsi" w:eastAsia="Times New Roman" w:hAnsiTheme="minorHAnsi" w:cstheme="minorHAnsi"/>
                <w:bCs/>
                <w:iCs/>
                <w:szCs w:val="24"/>
                <w:lang w:val="pl-PL" w:eastAsia="en-GB"/>
              </w:rPr>
              <w:t xml:space="preserve"> 2</w:t>
            </w:r>
          </w:p>
        </w:tc>
        <w:tc>
          <w:tcPr>
            <w:tcW w:w="824" w:type="pct"/>
          </w:tcPr>
          <w:p w14:paraId="1DEFE34B" w14:textId="6196970A" w:rsidR="005A13B0" w:rsidRPr="00F879CC" w:rsidRDefault="005A13B0" w:rsidP="00F879CC">
            <w:pPr>
              <w:spacing w:line="276" w:lineRule="auto"/>
              <w:ind w:left="357"/>
              <w:jc w:val="both"/>
              <w:rPr>
                <w:rFonts w:asciiTheme="minorHAnsi" w:eastAsia="Times New Roman" w:hAnsiTheme="minorHAnsi" w:cstheme="minorHAnsi"/>
                <w:b/>
                <w:bCs/>
                <w:iCs/>
                <w:szCs w:val="24"/>
                <w:lang w:val="pl-PL" w:eastAsia="en-GB"/>
              </w:rPr>
            </w:pPr>
            <w:r w:rsidRPr="00F879CC">
              <w:rPr>
                <w:rFonts w:asciiTheme="minorHAnsi" w:eastAsia="Times New Roman" w:hAnsiTheme="minorHAnsi" w:cstheme="minorHAnsi"/>
                <w:bCs/>
                <w:iCs/>
                <w:szCs w:val="24"/>
                <w:lang w:val="pl-PL" w:eastAsia="en-GB"/>
              </w:rPr>
              <w:t>vi)</w:t>
            </w:r>
          </w:p>
        </w:tc>
        <w:tc>
          <w:tcPr>
            <w:tcW w:w="765" w:type="pct"/>
          </w:tcPr>
          <w:p w14:paraId="16EF663A" w14:textId="0822E209" w:rsidR="005A13B0" w:rsidRPr="00F879CC" w:rsidRDefault="005A13B0" w:rsidP="00F879CC">
            <w:pPr>
              <w:spacing w:line="276" w:lineRule="auto"/>
              <w:ind w:left="357"/>
              <w:jc w:val="both"/>
              <w:rPr>
                <w:rFonts w:asciiTheme="minorHAnsi" w:eastAsia="Times New Roman" w:hAnsiTheme="minorHAnsi" w:cstheme="minorHAnsi"/>
                <w:b/>
                <w:bCs/>
                <w:iCs/>
                <w:szCs w:val="24"/>
                <w:lang w:val="pl-PL" w:eastAsia="en-GB"/>
              </w:rPr>
            </w:pPr>
            <w:r w:rsidRPr="00F879CC">
              <w:rPr>
                <w:rFonts w:asciiTheme="minorHAnsi" w:eastAsia="Times New Roman" w:hAnsiTheme="minorHAnsi" w:cstheme="minorHAnsi"/>
                <w:bCs/>
                <w:iCs/>
                <w:szCs w:val="24"/>
                <w:lang w:val="pl-PL" w:eastAsia="en-GB"/>
              </w:rPr>
              <w:t>3</w:t>
            </w:r>
          </w:p>
        </w:tc>
        <w:tc>
          <w:tcPr>
            <w:tcW w:w="2581" w:type="pct"/>
          </w:tcPr>
          <w:p w14:paraId="47911BD3" w14:textId="4F6B9518" w:rsidR="005A13B0" w:rsidRPr="00F879CC" w:rsidRDefault="000A2AA2" w:rsidP="00F879CC">
            <w:pPr>
              <w:spacing w:line="276" w:lineRule="auto"/>
              <w:rPr>
                <w:rFonts w:asciiTheme="minorHAnsi" w:hAnsiTheme="minorHAnsi" w:cstheme="minorHAnsi"/>
                <w:szCs w:val="24"/>
                <w:u w:val="single"/>
                <w:lang w:val="pl-PL" w:eastAsia="en-GB"/>
              </w:rPr>
            </w:pPr>
            <w:r w:rsidRPr="00F879CC">
              <w:rPr>
                <w:rFonts w:asciiTheme="minorHAnsi" w:hAnsiTheme="minorHAnsi" w:cstheme="minorHAnsi"/>
                <w:szCs w:val="24"/>
                <w:u w:val="single"/>
                <w:lang w:val="pl-PL" w:eastAsia="en-GB"/>
              </w:rPr>
              <w:t xml:space="preserve">Wyzwania w </w:t>
            </w:r>
            <w:r w:rsidR="00253ED2" w:rsidRPr="00F879CC">
              <w:rPr>
                <w:rFonts w:asciiTheme="minorHAnsi" w:hAnsiTheme="minorHAnsi" w:cstheme="minorHAnsi"/>
                <w:szCs w:val="24"/>
                <w:u w:val="single"/>
                <w:lang w:val="pl-PL" w:eastAsia="en-GB"/>
              </w:rPr>
              <w:t>RMB</w:t>
            </w:r>
            <w:r w:rsidR="005A13B0" w:rsidRPr="00F879CC">
              <w:rPr>
                <w:rFonts w:asciiTheme="minorHAnsi" w:hAnsiTheme="minorHAnsi" w:cstheme="minorHAnsi"/>
                <w:szCs w:val="24"/>
                <w:u w:val="single"/>
                <w:lang w:val="pl-PL" w:eastAsia="en-GB"/>
              </w:rPr>
              <w:t xml:space="preserve">: </w:t>
            </w:r>
          </w:p>
          <w:p w14:paraId="4E63A6D9" w14:textId="77777777" w:rsidR="000A2AA2" w:rsidRPr="00F879CC" w:rsidRDefault="000A2AA2" w:rsidP="00E77EBE">
            <w:pPr>
              <w:pStyle w:val="Akapitzlist"/>
              <w:numPr>
                <w:ilvl w:val="0"/>
                <w:numId w:val="11"/>
              </w:numPr>
              <w:rPr>
                <w:rFonts w:eastAsia="Times New Roman" w:cstheme="minorHAnsi"/>
                <w:iCs/>
                <w:sz w:val="24"/>
                <w:szCs w:val="24"/>
                <w:lang w:val="pl-PL" w:eastAsia="en-GB"/>
              </w:rPr>
            </w:pPr>
            <w:r w:rsidRPr="00F879CC">
              <w:rPr>
                <w:rFonts w:eastAsia="Times New Roman" w:cstheme="minorHAnsi"/>
                <w:iCs/>
                <w:sz w:val="24"/>
                <w:szCs w:val="24"/>
                <w:lang w:val="pl-PL" w:eastAsia="en-GB"/>
              </w:rPr>
              <w:t xml:space="preserve">przewiduje się, iż w ciągu najbliższych czterdziestu lat, globalne zużycie materiałów takich, jak biomasa, paliwa kopalne, metale i minerały ulegnie podwojeniu; </w:t>
            </w:r>
          </w:p>
          <w:p w14:paraId="6004B00B" w14:textId="77777777" w:rsidR="000A2AA2" w:rsidRPr="00F879CC" w:rsidRDefault="000A2AA2" w:rsidP="00E77EBE">
            <w:pPr>
              <w:pStyle w:val="Akapitzlist"/>
              <w:numPr>
                <w:ilvl w:val="0"/>
                <w:numId w:val="11"/>
              </w:numPr>
              <w:rPr>
                <w:rFonts w:eastAsia="Times New Roman" w:cstheme="minorHAnsi"/>
                <w:iCs/>
                <w:sz w:val="24"/>
                <w:szCs w:val="24"/>
                <w:lang w:val="pl-PL" w:eastAsia="en-GB"/>
              </w:rPr>
            </w:pPr>
            <w:r w:rsidRPr="00F879CC">
              <w:rPr>
                <w:rFonts w:eastAsia="Times New Roman" w:cstheme="minorHAnsi"/>
                <w:iCs/>
                <w:sz w:val="24"/>
                <w:szCs w:val="24"/>
                <w:lang w:val="pl-PL" w:eastAsia="en-GB"/>
              </w:rPr>
              <w:t>przewidywany jest także znaczny wzrost wytwarzania odpadów w skali roku;</w:t>
            </w:r>
          </w:p>
          <w:p w14:paraId="2EE26E57" w14:textId="77777777" w:rsidR="000A2AA2" w:rsidRPr="00F879CC" w:rsidRDefault="000A2AA2" w:rsidP="00E77EBE">
            <w:pPr>
              <w:pStyle w:val="Akapitzlist"/>
              <w:numPr>
                <w:ilvl w:val="0"/>
                <w:numId w:val="11"/>
              </w:numPr>
              <w:rPr>
                <w:rFonts w:eastAsia="Times New Roman" w:cstheme="minorHAnsi"/>
                <w:iCs/>
                <w:sz w:val="24"/>
                <w:szCs w:val="24"/>
                <w:lang w:val="pl-PL" w:eastAsia="en-GB"/>
              </w:rPr>
            </w:pPr>
            <w:r w:rsidRPr="00F879CC">
              <w:rPr>
                <w:rFonts w:eastAsia="Times New Roman" w:cstheme="minorHAnsi"/>
                <w:iCs/>
                <w:sz w:val="24"/>
                <w:szCs w:val="24"/>
                <w:lang w:val="pl-PL" w:eastAsia="en-GB"/>
              </w:rPr>
              <w:lastRenderedPageBreak/>
              <w:t>połowa całkowitej emisji gazów cieplarnianych pochodzi z wydobycia i przetwarzania zasobów;</w:t>
            </w:r>
          </w:p>
          <w:p w14:paraId="0290A07E" w14:textId="53591415" w:rsidR="005A13B0" w:rsidRPr="00F879CC" w:rsidRDefault="000A2AA2" w:rsidP="00E77EBE">
            <w:pPr>
              <w:pStyle w:val="Akapitzlist"/>
              <w:numPr>
                <w:ilvl w:val="0"/>
                <w:numId w:val="11"/>
              </w:numPr>
              <w:rPr>
                <w:rFonts w:eastAsia="Times New Roman" w:cstheme="minorHAnsi"/>
                <w:iCs/>
                <w:sz w:val="24"/>
                <w:szCs w:val="24"/>
                <w:lang w:val="pl-PL" w:eastAsia="en-GB"/>
              </w:rPr>
            </w:pPr>
            <w:r w:rsidRPr="00F879CC">
              <w:rPr>
                <w:rFonts w:eastAsia="Times New Roman" w:cstheme="minorHAnsi"/>
                <w:iCs/>
                <w:sz w:val="24"/>
                <w:szCs w:val="24"/>
                <w:lang w:val="pl-PL" w:eastAsia="en-GB"/>
              </w:rPr>
              <w:t>zapewnienie stałego wzrostu regionu Morza Bałtyckiego bez zwiększania presji na środowisko lub społeczności.</w:t>
            </w:r>
            <w:r w:rsidR="005A13B0" w:rsidRPr="00F879CC">
              <w:rPr>
                <w:rFonts w:eastAsia="Times New Roman" w:cstheme="minorHAnsi"/>
                <w:iCs/>
                <w:sz w:val="24"/>
                <w:szCs w:val="24"/>
                <w:lang w:val="pl-PL" w:eastAsia="en-GB"/>
              </w:rPr>
              <w:t xml:space="preserve"> </w:t>
            </w:r>
          </w:p>
          <w:p w14:paraId="0169C4C3" w14:textId="77777777" w:rsidR="005A13B0" w:rsidRPr="00F879CC" w:rsidRDefault="005A13B0" w:rsidP="00F879CC">
            <w:pPr>
              <w:pStyle w:val="Tekstkomentarza"/>
              <w:spacing w:line="276" w:lineRule="auto"/>
              <w:rPr>
                <w:rFonts w:asciiTheme="minorHAnsi" w:hAnsiTheme="minorHAnsi" w:cstheme="minorHAnsi"/>
                <w:sz w:val="24"/>
                <w:szCs w:val="24"/>
                <w:lang w:val="pl-PL"/>
              </w:rPr>
            </w:pPr>
          </w:p>
          <w:p w14:paraId="51AE2F27" w14:textId="149D4D58" w:rsidR="005A13B0" w:rsidRPr="00F879CC" w:rsidRDefault="000A2AA2" w:rsidP="00F879CC">
            <w:pPr>
              <w:spacing w:line="276" w:lineRule="auto"/>
              <w:rPr>
                <w:rFonts w:asciiTheme="minorHAnsi" w:hAnsiTheme="minorHAnsi" w:cstheme="minorHAnsi"/>
                <w:szCs w:val="24"/>
                <w:u w:val="single"/>
                <w:lang w:val="pl-PL" w:eastAsia="en-GB"/>
              </w:rPr>
            </w:pPr>
            <w:r w:rsidRPr="00F879CC">
              <w:rPr>
                <w:rFonts w:asciiTheme="minorHAnsi" w:hAnsiTheme="minorHAnsi" w:cstheme="minorHAnsi"/>
                <w:szCs w:val="24"/>
                <w:u w:val="single"/>
                <w:lang w:val="pl-PL" w:eastAsia="en-GB"/>
              </w:rPr>
              <w:t>Możliwości i potrzeby ujęte w celu szczegółowym</w:t>
            </w:r>
            <w:r w:rsidR="005A13B0" w:rsidRPr="00F879CC">
              <w:rPr>
                <w:rFonts w:asciiTheme="minorHAnsi" w:hAnsiTheme="minorHAnsi" w:cstheme="minorHAnsi"/>
                <w:szCs w:val="24"/>
                <w:u w:val="single"/>
                <w:lang w:val="pl-PL" w:eastAsia="en-GB"/>
              </w:rPr>
              <w:t xml:space="preserve">:  </w:t>
            </w:r>
          </w:p>
          <w:p w14:paraId="7C55BA96" w14:textId="77777777" w:rsidR="000A2AA2" w:rsidRPr="00F879CC" w:rsidRDefault="000A2AA2" w:rsidP="00E77EBE">
            <w:pPr>
              <w:pStyle w:val="Akapitzlist"/>
              <w:numPr>
                <w:ilvl w:val="0"/>
                <w:numId w:val="11"/>
              </w:numPr>
              <w:rPr>
                <w:rFonts w:eastAsia="Times New Roman" w:cstheme="minorHAnsi"/>
                <w:iCs/>
                <w:sz w:val="24"/>
                <w:szCs w:val="24"/>
                <w:lang w:val="pl-PL" w:eastAsia="en-GB"/>
              </w:rPr>
            </w:pPr>
            <w:r w:rsidRPr="00F879CC">
              <w:rPr>
                <w:rFonts w:eastAsia="Times New Roman" w:cstheme="minorHAnsi"/>
                <w:iCs/>
                <w:sz w:val="24"/>
                <w:szCs w:val="24"/>
                <w:lang w:val="pl-PL" w:eastAsia="en-GB"/>
              </w:rPr>
              <w:t>utrzymanie wzrostu gospodarek w RMB nie szkodząc środowisku i nie wywołując dalszych zmian klimatycznych;</w:t>
            </w:r>
          </w:p>
          <w:p w14:paraId="7FE40918" w14:textId="77777777" w:rsidR="000A2AA2" w:rsidRPr="00F879CC" w:rsidRDefault="000A2AA2" w:rsidP="00E77EBE">
            <w:pPr>
              <w:pStyle w:val="Akapitzlist"/>
              <w:numPr>
                <w:ilvl w:val="0"/>
                <w:numId w:val="11"/>
              </w:numPr>
              <w:rPr>
                <w:rFonts w:eastAsia="Times New Roman" w:cstheme="minorHAnsi"/>
                <w:iCs/>
                <w:sz w:val="24"/>
                <w:szCs w:val="24"/>
                <w:lang w:val="pl-PL" w:eastAsia="en-GB"/>
              </w:rPr>
            </w:pPr>
            <w:r w:rsidRPr="00F879CC">
              <w:rPr>
                <w:rFonts w:eastAsia="Times New Roman" w:cstheme="minorHAnsi"/>
                <w:iCs/>
                <w:sz w:val="24"/>
                <w:szCs w:val="24"/>
                <w:lang w:val="pl-PL" w:eastAsia="en-GB"/>
              </w:rPr>
              <w:t>przeniesienie wiedzy z krajów prekursorów w RMB do innych części regionu;</w:t>
            </w:r>
          </w:p>
          <w:p w14:paraId="6A3DE09E" w14:textId="77777777" w:rsidR="000A2AA2" w:rsidRPr="00F879CC" w:rsidRDefault="000A2AA2" w:rsidP="00E77EBE">
            <w:pPr>
              <w:pStyle w:val="Akapitzlist"/>
              <w:numPr>
                <w:ilvl w:val="0"/>
                <w:numId w:val="11"/>
              </w:numPr>
              <w:rPr>
                <w:rFonts w:eastAsia="Times New Roman" w:cstheme="minorHAnsi"/>
                <w:iCs/>
                <w:sz w:val="24"/>
                <w:szCs w:val="24"/>
                <w:lang w:val="pl-PL" w:eastAsia="en-GB"/>
              </w:rPr>
            </w:pPr>
            <w:r w:rsidRPr="00F879CC">
              <w:rPr>
                <w:rFonts w:eastAsia="Times New Roman" w:cstheme="minorHAnsi"/>
                <w:iCs/>
                <w:sz w:val="24"/>
                <w:szCs w:val="24"/>
                <w:lang w:val="pl-PL" w:eastAsia="en-GB"/>
              </w:rPr>
              <w:t>opieranie się na bieżących inicjatywach i osiągnięciach w zakresie transformacji gospodarek w kierunku obiegu zamkniętego, efektywniejsze wykorzystanie zasobów, utrzymywanie produktów i materiałów przez możliwie najdłuższy okres;</w:t>
            </w:r>
          </w:p>
          <w:p w14:paraId="5910C6FF" w14:textId="1E3CCB1C" w:rsidR="005A13B0" w:rsidRPr="00F879CC" w:rsidRDefault="000A2AA2" w:rsidP="00E77EBE">
            <w:pPr>
              <w:pStyle w:val="Akapitzlist"/>
              <w:numPr>
                <w:ilvl w:val="0"/>
                <w:numId w:val="11"/>
              </w:numPr>
              <w:rPr>
                <w:rFonts w:eastAsia="Times New Roman" w:cstheme="minorHAnsi"/>
                <w:iCs/>
                <w:sz w:val="24"/>
                <w:szCs w:val="24"/>
                <w:lang w:val="pl-PL" w:eastAsia="en-GB"/>
              </w:rPr>
            </w:pPr>
            <w:r w:rsidRPr="00F879CC">
              <w:rPr>
                <w:rFonts w:eastAsia="Times New Roman" w:cstheme="minorHAnsi"/>
                <w:iCs/>
                <w:sz w:val="24"/>
                <w:szCs w:val="24"/>
                <w:lang w:val="pl-PL" w:eastAsia="en-GB"/>
              </w:rPr>
              <w:t>budowanie sprzyjającego środowiska i zwiększanie świadomości dotyczącej możliwości w zakresie obiegu zamkniętego, zarówno dla przedsiębiorstw jak i społeczeństwa we wszystkich częściach RMB;</w:t>
            </w:r>
          </w:p>
          <w:p w14:paraId="276F49D7" w14:textId="77777777" w:rsidR="00E13E4D" w:rsidRPr="00F879CC" w:rsidRDefault="00E13E4D" w:rsidP="00E77EBE">
            <w:pPr>
              <w:pStyle w:val="Akapitzlist"/>
              <w:numPr>
                <w:ilvl w:val="0"/>
                <w:numId w:val="11"/>
              </w:numPr>
              <w:rPr>
                <w:rFonts w:eastAsia="Times New Roman" w:cstheme="minorHAnsi"/>
                <w:iCs/>
                <w:sz w:val="24"/>
                <w:szCs w:val="24"/>
                <w:lang w:val="pl-PL" w:eastAsia="en-GB"/>
              </w:rPr>
            </w:pPr>
            <w:r w:rsidRPr="00F879CC">
              <w:rPr>
                <w:rFonts w:eastAsia="Times New Roman" w:cstheme="minorHAnsi"/>
                <w:iCs/>
                <w:sz w:val="24"/>
                <w:szCs w:val="24"/>
                <w:lang w:val="pl-PL" w:eastAsia="en-GB"/>
              </w:rPr>
              <w:t>przedefiniowanie podejść do inteligentnej specjalizacji, aby przyspieszyć przejście w kierunku obiegu zamkniętego;</w:t>
            </w:r>
          </w:p>
          <w:p w14:paraId="73709777" w14:textId="77777777" w:rsidR="00E13E4D" w:rsidRPr="00F879CC" w:rsidRDefault="00E13E4D" w:rsidP="00E77EBE">
            <w:pPr>
              <w:pStyle w:val="Akapitzlist"/>
              <w:numPr>
                <w:ilvl w:val="0"/>
                <w:numId w:val="11"/>
              </w:numPr>
              <w:rPr>
                <w:rFonts w:eastAsia="Times New Roman" w:cstheme="minorHAnsi"/>
                <w:iCs/>
                <w:sz w:val="24"/>
                <w:szCs w:val="24"/>
                <w:lang w:val="pl-PL" w:eastAsia="en-GB"/>
              </w:rPr>
            </w:pPr>
            <w:r w:rsidRPr="00F879CC">
              <w:rPr>
                <w:rFonts w:eastAsia="Times New Roman" w:cstheme="minorHAnsi"/>
                <w:iCs/>
                <w:sz w:val="24"/>
                <w:szCs w:val="24"/>
                <w:lang w:val="pl-PL" w:eastAsia="en-GB"/>
              </w:rPr>
              <w:t xml:space="preserve">ustanowienie systemowego i </w:t>
            </w:r>
            <w:r w:rsidRPr="00F879CC">
              <w:rPr>
                <w:rFonts w:eastAsia="Times New Roman" w:cstheme="minorHAnsi"/>
                <w:iCs/>
                <w:sz w:val="24"/>
                <w:szCs w:val="24"/>
                <w:lang w:val="pl-PL" w:eastAsia="en-GB"/>
              </w:rPr>
              <w:lastRenderedPageBreak/>
              <w:t>całościowego podejścia, obejmującego zróżnicowane sektory;</w:t>
            </w:r>
          </w:p>
          <w:p w14:paraId="323140CD" w14:textId="7526A030" w:rsidR="005A13B0" w:rsidRPr="00F879CC" w:rsidRDefault="00E13E4D" w:rsidP="00E77EBE">
            <w:pPr>
              <w:pStyle w:val="Akapitzlist"/>
              <w:numPr>
                <w:ilvl w:val="0"/>
                <w:numId w:val="11"/>
              </w:numPr>
              <w:rPr>
                <w:rFonts w:eastAsia="Times New Roman" w:cstheme="minorHAnsi"/>
                <w:b/>
                <w:bCs/>
                <w:iCs/>
                <w:sz w:val="24"/>
                <w:szCs w:val="24"/>
                <w:lang w:val="pl-PL" w:eastAsia="en-GB"/>
              </w:rPr>
            </w:pPr>
            <w:r w:rsidRPr="00F879CC">
              <w:rPr>
                <w:rFonts w:eastAsia="Times New Roman" w:cstheme="minorHAnsi"/>
                <w:iCs/>
                <w:sz w:val="24"/>
                <w:szCs w:val="24"/>
                <w:lang w:val="pl-PL" w:eastAsia="en-GB"/>
              </w:rPr>
              <w:t>skuteczne uwolnienie potencjału cyfryzacji, jako sposobu na osiągnięcie gospodarki zasobooszczędnej.</w:t>
            </w:r>
          </w:p>
        </w:tc>
      </w:tr>
      <w:tr w:rsidR="005A13B0" w:rsidRPr="00367EF1" w14:paraId="1DCE91AA" w14:textId="77777777" w:rsidTr="005A13B0">
        <w:tc>
          <w:tcPr>
            <w:tcW w:w="831" w:type="pct"/>
          </w:tcPr>
          <w:p w14:paraId="77A38BCC" w14:textId="0EE7F5A1" w:rsidR="005A13B0" w:rsidRPr="00F879CC" w:rsidRDefault="00E0114A" w:rsidP="00F879CC">
            <w:pPr>
              <w:spacing w:line="276" w:lineRule="auto"/>
              <w:ind w:left="357"/>
              <w:jc w:val="both"/>
              <w:rPr>
                <w:rFonts w:asciiTheme="minorHAnsi" w:eastAsia="Times New Roman" w:hAnsiTheme="minorHAnsi" w:cstheme="minorHAnsi"/>
                <w:b/>
                <w:bCs/>
                <w:iCs/>
                <w:szCs w:val="24"/>
                <w:lang w:val="pl-PL" w:eastAsia="en-GB"/>
              </w:rPr>
            </w:pPr>
            <w:r w:rsidRPr="00F879CC">
              <w:rPr>
                <w:rFonts w:asciiTheme="minorHAnsi" w:eastAsia="Times New Roman" w:hAnsiTheme="minorHAnsi" w:cstheme="minorHAnsi"/>
                <w:bCs/>
                <w:iCs/>
                <w:szCs w:val="24"/>
                <w:lang w:val="pl-PL" w:eastAsia="en-GB"/>
              </w:rPr>
              <w:lastRenderedPageBreak/>
              <w:t>CP</w:t>
            </w:r>
            <w:r w:rsidR="005A13B0" w:rsidRPr="00F879CC">
              <w:rPr>
                <w:rFonts w:asciiTheme="minorHAnsi" w:eastAsia="Times New Roman" w:hAnsiTheme="minorHAnsi" w:cstheme="minorHAnsi"/>
                <w:bCs/>
                <w:iCs/>
                <w:szCs w:val="24"/>
                <w:lang w:val="pl-PL" w:eastAsia="en-GB"/>
              </w:rPr>
              <w:t xml:space="preserve"> 2</w:t>
            </w:r>
          </w:p>
        </w:tc>
        <w:tc>
          <w:tcPr>
            <w:tcW w:w="824" w:type="pct"/>
          </w:tcPr>
          <w:p w14:paraId="58371AC0" w14:textId="0361CA7F" w:rsidR="005A13B0" w:rsidRPr="00F879CC" w:rsidRDefault="005A13B0" w:rsidP="00F879CC">
            <w:pPr>
              <w:spacing w:line="276" w:lineRule="auto"/>
              <w:ind w:left="357"/>
              <w:jc w:val="both"/>
              <w:rPr>
                <w:rFonts w:asciiTheme="minorHAnsi" w:eastAsia="Times New Roman" w:hAnsiTheme="minorHAnsi" w:cstheme="minorHAnsi"/>
                <w:b/>
                <w:bCs/>
                <w:iCs/>
                <w:szCs w:val="24"/>
                <w:lang w:val="pl-PL" w:eastAsia="en-GB"/>
              </w:rPr>
            </w:pPr>
            <w:r w:rsidRPr="00F879CC">
              <w:rPr>
                <w:rFonts w:asciiTheme="minorHAnsi" w:eastAsia="Times New Roman" w:hAnsiTheme="minorHAnsi" w:cstheme="minorHAnsi"/>
                <w:bCs/>
                <w:iCs/>
                <w:szCs w:val="24"/>
                <w:lang w:val="pl-PL" w:eastAsia="en-GB"/>
              </w:rPr>
              <w:t>i)</w:t>
            </w:r>
          </w:p>
        </w:tc>
        <w:tc>
          <w:tcPr>
            <w:tcW w:w="765" w:type="pct"/>
          </w:tcPr>
          <w:p w14:paraId="550A2B83" w14:textId="3A570D38" w:rsidR="005A13B0" w:rsidRPr="00F879CC" w:rsidRDefault="005A13B0" w:rsidP="00F879CC">
            <w:pPr>
              <w:spacing w:line="276" w:lineRule="auto"/>
              <w:ind w:left="357"/>
              <w:jc w:val="both"/>
              <w:rPr>
                <w:rFonts w:asciiTheme="minorHAnsi" w:eastAsia="Times New Roman" w:hAnsiTheme="minorHAnsi" w:cstheme="minorHAnsi"/>
                <w:b/>
                <w:bCs/>
                <w:iCs/>
                <w:szCs w:val="24"/>
                <w:lang w:val="pl-PL" w:eastAsia="en-GB"/>
              </w:rPr>
            </w:pPr>
            <w:r w:rsidRPr="00F879CC">
              <w:rPr>
                <w:rFonts w:asciiTheme="minorHAnsi" w:eastAsia="Times New Roman" w:hAnsiTheme="minorHAnsi" w:cstheme="minorHAnsi"/>
                <w:bCs/>
                <w:iCs/>
                <w:szCs w:val="24"/>
                <w:lang w:val="pl-PL" w:eastAsia="en-GB"/>
              </w:rPr>
              <w:t>3</w:t>
            </w:r>
          </w:p>
        </w:tc>
        <w:tc>
          <w:tcPr>
            <w:tcW w:w="2581" w:type="pct"/>
          </w:tcPr>
          <w:p w14:paraId="5C59959E" w14:textId="74F9CB3A" w:rsidR="005A13B0" w:rsidRPr="00F879CC" w:rsidRDefault="00E13E4D" w:rsidP="00F879CC">
            <w:pPr>
              <w:spacing w:line="276" w:lineRule="auto"/>
              <w:rPr>
                <w:rFonts w:asciiTheme="minorHAnsi" w:hAnsiTheme="minorHAnsi" w:cstheme="minorHAnsi"/>
                <w:szCs w:val="24"/>
                <w:u w:val="single"/>
                <w:lang w:val="pl-PL" w:eastAsia="en-GB"/>
              </w:rPr>
            </w:pPr>
            <w:r w:rsidRPr="00F879CC">
              <w:rPr>
                <w:rFonts w:asciiTheme="minorHAnsi" w:hAnsiTheme="minorHAnsi" w:cstheme="minorHAnsi"/>
                <w:szCs w:val="24"/>
                <w:u w:val="single"/>
                <w:lang w:val="pl-PL" w:eastAsia="en-GB"/>
              </w:rPr>
              <w:t>Wyzwania w</w:t>
            </w:r>
            <w:r w:rsidR="005A13B0" w:rsidRPr="00F879CC">
              <w:rPr>
                <w:rFonts w:asciiTheme="minorHAnsi" w:hAnsiTheme="minorHAnsi" w:cstheme="minorHAnsi"/>
                <w:szCs w:val="24"/>
                <w:u w:val="single"/>
                <w:lang w:val="pl-PL" w:eastAsia="en-GB"/>
              </w:rPr>
              <w:t xml:space="preserve"> </w:t>
            </w:r>
            <w:r w:rsidR="00253ED2" w:rsidRPr="00F879CC">
              <w:rPr>
                <w:rFonts w:asciiTheme="minorHAnsi" w:hAnsiTheme="minorHAnsi" w:cstheme="minorHAnsi"/>
                <w:szCs w:val="24"/>
                <w:u w:val="single"/>
                <w:lang w:val="pl-PL" w:eastAsia="en-GB"/>
              </w:rPr>
              <w:t>RMB</w:t>
            </w:r>
            <w:r w:rsidR="005A13B0" w:rsidRPr="00F879CC">
              <w:rPr>
                <w:rFonts w:asciiTheme="minorHAnsi" w:hAnsiTheme="minorHAnsi" w:cstheme="minorHAnsi"/>
                <w:szCs w:val="24"/>
                <w:u w:val="single"/>
                <w:lang w:val="pl-PL" w:eastAsia="en-GB"/>
              </w:rPr>
              <w:t>:</w:t>
            </w:r>
          </w:p>
          <w:p w14:paraId="59320828" w14:textId="77777777" w:rsidR="00E13E4D" w:rsidRPr="00F879CC" w:rsidRDefault="00E13E4D" w:rsidP="00E77EBE">
            <w:pPr>
              <w:pStyle w:val="Akapitzlist"/>
              <w:numPr>
                <w:ilvl w:val="0"/>
                <w:numId w:val="11"/>
              </w:numPr>
              <w:rPr>
                <w:rFonts w:eastAsia="Times New Roman" w:cstheme="minorHAnsi"/>
                <w:iCs/>
                <w:sz w:val="24"/>
                <w:szCs w:val="24"/>
                <w:lang w:val="pl-PL" w:eastAsia="en-GB"/>
              </w:rPr>
            </w:pPr>
            <w:r w:rsidRPr="00F879CC">
              <w:rPr>
                <w:rFonts w:eastAsia="Times New Roman" w:cstheme="minorHAnsi"/>
                <w:iCs/>
                <w:sz w:val="24"/>
                <w:szCs w:val="24"/>
                <w:lang w:val="pl-PL" w:eastAsia="en-GB"/>
              </w:rPr>
              <w:t>trwające zmiany klimatyczne wymagają dalszej redukcji emisji gazów cieplarnianych;</w:t>
            </w:r>
          </w:p>
          <w:p w14:paraId="6F6FD1C0" w14:textId="77777777" w:rsidR="00E13E4D" w:rsidRPr="00F879CC" w:rsidRDefault="00E13E4D" w:rsidP="00E77EBE">
            <w:pPr>
              <w:pStyle w:val="Akapitzlist"/>
              <w:numPr>
                <w:ilvl w:val="0"/>
                <w:numId w:val="11"/>
              </w:numPr>
              <w:rPr>
                <w:rFonts w:eastAsia="Times New Roman" w:cstheme="minorHAnsi"/>
                <w:iCs/>
                <w:sz w:val="24"/>
                <w:szCs w:val="24"/>
                <w:lang w:val="pl-PL" w:eastAsia="en-GB"/>
              </w:rPr>
            </w:pPr>
            <w:r w:rsidRPr="00F879CC">
              <w:rPr>
                <w:rFonts w:eastAsia="Times New Roman" w:cstheme="minorHAnsi"/>
                <w:iCs/>
                <w:sz w:val="24"/>
                <w:szCs w:val="24"/>
                <w:lang w:val="pl-PL" w:eastAsia="en-GB"/>
              </w:rPr>
              <w:t>cele UE dotyczące zużycia energii, wykorzystania energii odnawialnej i redukcji gazów cieplarnianych nie zostały jeszcze osiągnięte;</w:t>
            </w:r>
          </w:p>
          <w:p w14:paraId="2FCEB02E" w14:textId="77777777" w:rsidR="00E13E4D" w:rsidRPr="00F879CC" w:rsidRDefault="00E13E4D" w:rsidP="00E77EBE">
            <w:pPr>
              <w:pStyle w:val="Akapitzlist"/>
              <w:numPr>
                <w:ilvl w:val="0"/>
                <w:numId w:val="11"/>
              </w:numPr>
              <w:rPr>
                <w:rFonts w:eastAsia="Times New Roman" w:cstheme="minorHAnsi"/>
                <w:iCs/>
                <w:sz w:val="24"/>
                <w:szCs w:val="24"/>
                <w:lang w:val="pl-PL" w:eastAsia="en-GB"/>
              </w:rPr>
            </w:pPr>
            <w:r w:rsidRPr="00F879CC">
              <w:rPr>
                <w:rFonts w:eastAsia="Times New Roman" w:cstheme="minorHAnsi"/>
                <w:iCs/>
                <w:sz w:val="24"/>
                <w:szCs w:val="24"/>
                <w:lang w:val="pl-PL" w:eastAsia="en-GB"/>
              </w:rPr>
              <w:t>nadal znaczne emisje CO</w:t>
            </w:r>
            <w:r w:rsidRPr="00F879CC">
              <w:rPr>
                <w:rFonts w:eastAsia="Times New Roman" w:cstheme="minorHAnsi"/>
                <w:iCs/>
                <w:sz w:val="24"/>
                <w:szCs w:val="24"/>
                <w:vertAlign w:val="superscript"/>
                <w:lang w:val="pl-PL" w:eastAsia="en-GB"/>
              </w:rPr>
              <w:t>2</w:t>
            </w:r>
            <w:r w:rsidRPr="00F879CC">
              <w:rPr>
                <w:rFonts w:eastAsia="Times New Roman" w:cstheme="minorHAnsi"/>
                <w:iCs/>
                <w:sz w:val="24"/>
                <w:szCs w:val="24"/>
                <w:lang w:val="pl-PL" w:eastAsia="en-GB"/>
              </w:rPr>
              <w:t xml:space="preserve"> z różnych sektorów;</w:t>
            </w:r>
          </w:p>
          <w:p w14:paraId="5A8B620C" w14:textId="1AFA7FD5" w:rsidR="005A13B0" w:rsidRPr="00F879CC" w:rsidRDefault="00E13E4D" w:rsidP="00E77EBE">
            <w:pPr>
              <w:pStyle w:val="Akapitzlist"/>
              <w:numPr>
                <w:ilvl w:val="0"/>
                <w:numId w:val="11"/>
              </w:numPr>
              <w:rPr>
                <w:rFonts w:eastAsia="Times New Roman" w:cstheme="minorHAnsi"/>
                <w:iCs/>
                <w:sz w:val="24"/>
                <w:szCs w:val="24"/>
                <w:lang w:val="pl-PL" w:eastAsia="en-GB"/>
              </w:rPr>
            </w:pPr>
            <w:r w:rsidRPr="00F879CC">
              <w:rPr>
                <w:rFonts w:eastAsia="Times New Roman" w:cstheme="minorHAnsi"/>
                <w:iCs/>
                <w:sz w:val="24"/>
                <w:szCs w:val="24"/>
                <w:lang w:val="pl-PL" w:eastAsia="en-GB"/>
              </w:rPr>
              <w:t>znaczne zużycie energii.</w:t>
            </w:r>
          </w:p>
          <w:p w14:paraId="303D3C3A" w14:textId="36F69E7F" w:rsidR="005A13B0" w:rsidRPr="00F879CC" w:rsidRDefault="00E13E4D" w:rsidP="00F879CC">
            <w:pPr>
              <w:spacing w:line="276" w:lineRule="auto"/>
              <w:rPr>
                <w:rFonts w:asciiTheme="minorHAnsi" w:hAnsiTheme="minorHAnsi" w:cstheme="minorHAnsi"/>
                <w:szCs w:val="24"/>
                <w:u w:val="single"/>
                <w:lang w:val="pl-PL" w:eastAsia="en-GB"/>
              </w:rPr>
            </w:pPr>
            <w:bookmarkStart w:id="28" w:name="OLE_LINK119"/>
            <w:bookmarkStart w:id="29" w:name="OLE_LINK120"/>
            <w:r w:rsidRPr="00F879CC">
              <w:rPr>
                <w:rFonts w:asciiTheme="minorHAnsi" w:hAnsiTheme="minorHAnsi" w:cstheme="minorHAnsi"/>
                <w:szCs w:val="24"/>
                <w:u w:val="single"/>
                <w:lang w:val="pl-PL" w:eastAsia="en-GB"/>
              </w:rPr>
              <w:t>Możliwości i potrzeby ujęte w celu szczegółowym</w:t>
            </w:r>
            <w:bookmarkEnd w:id="28"/>
            <w:bookmarkEnd w:id="29"/>
            <w:r w:rsidR="005A13B0" w:rsidRPr="00F879CC">
              <w:rPr>
                <w:rFonts w:asciiTheme="minorHAnsi" w:hAnsiTheme="minorHAnsi" w:cstheme="minorHAnsi"/>
                <w:szCs w:val="24"/>
                <w:u w:val="single"/>
                <w:lang w:val="pl-PL" w:eastAsia="en-GB"/>
              </w:rPr>
              <w:t>:</w:t>
            </w:r>
          </w:p>
          <w:p w14:paraId="0E782A91" w14:textId="77777777" w:rsidR="00E13E4D" w:rsidRPr="00F879CC" w:rsidRDefault="00E13E4D" w:rsidP="00E77EBE">
            <w:pPr>
              <w:pStyle w:val="Akapitzlist"/>
              <w:numPr>
                <w:ilvl w:val="0"/>
                <w:numId w:val="11"/>
              </w:numPr>
              <w:rPr>
                <w:rFonts w:eastAsia="Times New Roman" w:cstheme="minorHAnsi"/>
                <w:iCs/>
                <w:sz w:val="24"/>
                <w:szCs w:val="24"/>
                <w:lang w:val="pl-PL" w:eastAsia="en-GB"/>
              </w:rPr>
            </w:pPr>
            <w:r w:rsidRPr="00F879CC">
              <w:rPr>
                <w:rFonts w:eastAsia="Times New Roman" w:cstheme="minorHAnsi"/>
                <w:iCs/>
                <w:sz w:val="24"/>
                <w:szCs w:val="24"/>
                <w:lang w:val="pl-PL" w:eastAsia="en-GB"/>
              </w:rPr>
              <w:t>wspieranie pozytywnego trendu w kierunku rosnącego udziału energii odnawialnej w RMB;</w:t>
            </w:r>
          </w:p>
          <w:p w14:paraId="3305C38F" w14:textId="77777777" w:rsidR="00E13E4D" w:rsidRPr="00F879CC" w:rsidRDefault="00E13E4D" w:rsidP="00E77EBE">
            <w:pPr>
              <w:pStyle w:val="Akapitzlist"/>
              <w:numPr>
                <w:ilvl w:val="0"/>
                <w:numId w:val="11"/>
              </w:numPr>
              <w:rPr>
                <w:rFonts w:eastAsia="Times New Roman" w:cstheme="minorHAnsi"/>
                <w:iCs/>
                <w:sz w:val="24"/>
                <w:szCs w:val="24"/>
                <w:lang w:val="pl-PL" w:eastAsia="en-GB"/>
              </w:rPr>
            </w:pPr>
            <w:r w:rsidRPr="00F879CC">
              <w:rPr>
                <w:rFonts w:eastAsia="Times New Roman" w:cstheme="minorHAnsi"/>
                <w:iCs/>
                <w:sz w:val="24"/>
                <w:szCs w:val="24"/>
                <w:lang w:val="pl-PL" w:eastAsia="en-GB"/>
              </w:rPr>
              <w:t>wzmocnienie nowoczesnej i neutralnej dla klimatu produkcji i magazynowania energii w RMB;</w:t>
            </w:r>
          </w:p>
          <w:p w14:paraId="7F2C1857" w14:textId="77777777" w:rsidR="00E13E4D" w:rsidRPr="00F879CC" w:rsidRDefault="00E13E4D" w:rsidP="00E77EBE">
            <w:pPr>
              <w:pStyle w:val="Akapitzlist"/>
              <w:numPr>
                <w:ilvl w:val="0"/>
                <w:numId w:val="11"/>
              </w:numPr>
              <w:rPr>
                <w:rFonts w:eastAsia="Times New Roman" w:cstheme="minorHAnsi"/>
                <w:iCs/>
                <w:sz w:val="24"/>
                <w:szCs w:val="24"/>
                <w:lang w:val="pl-PL" w:eastAsia="en-GB"/>
              </w:rPr>
            </w:pPr>
            <w:r w:rsidRPr="00F879CC">
              <w:rPr>
                <w:rFonts w:eastAsia="Times New Roman" w:cstheme="minorHAnsi"/>
                <w:iCs/>
                <w:sz w:val="24"/>
                <w:szCs w:val="24"/>
                <w:lang w:val="pl-PL" w:eastAsia="en-GB"/>
              </w:rPr>
              <w:t>zwiększenie efektywności energetycznej w przemysłowych procesach produkcyjnych oraz w publicznych i prywatnych budynkach;</w:t>
            </w:r>
          </w:p>
          <w:p w14:paraId="59AEC82D" w14:textId="77777777" w:rsidR="00E13E4D" w:rsidRPr="00F879CC" w:rsidRDefault="00E13E4D" w:rsidP="00E77EBE">
            <w:pPr>
              <w:pStyle w:val="Akapitzlist"/>
              <w:numPr>
                <w:ilvl w:val="0"/>
                <w:numId w:val="11"/>
              </w:numPr>
              <w:rPr>
                <w:rFonts w:eastAsia="Times New Roman" w:cstheme="minorHAnsi"/>
                <w:iCs/>
                <w:sz w:val="24"/>
                <w:szCs w:val="24"/>
                <w:lang w:val="pl-PL" w:eastAsia="en-GB"/>
              </w:rPr>
            </w:pPr>
            <w:r w:rsidRPr="00F879CC">
              <w:rPr>
                <w:rFonts w:eastAsia="Times New Roman" w:cstheme="minorHAnsi"/>
                <w:iCs/>
                <w:sz w:val="24"/>
                <w:szCs w:val="24"/>
                <w:lang w:val="pl-PL" w:eastAsia="en-GB"/>
              </w:rPr>
              <w:t>zwiększenie produkcji energii odnawialnej z lokalnie dostępnych zasobów;</w:t>
            </w:r>
          </w:p>
          <w:p w14:paraId="214248E1" w14:textId="77777777" w:rsidR="00E13E4D" w:rsidRPr="00F879CC" w:rsidRDefault="00E13E4D" w:rsidP="00E77EBE">
            <w:pPr>
              <w:pStyle w:val="Akapitzlist"/>
              <w:numPr>
                <w:ilvl w:val="0"/>
                <w:numId w:val="11"/>
              </w:numPr>
              <w:rPr>
                <w:rFonts w:eastAsia="Times New Roman" w:cstheme="minorHAnsi"/>
                <w:iCs/>
                <w:sz w:val="24"/>
                <w:szCs w:val="24"/>
                <w:lang w:val="pl-PL" w:eastAsia="en-GB"/>
              </w:rPr>
            </w:pPr>
            <w:r w:rsidRPr="00F879CC">
              <w:rPr>
                <w:rFonts w:eastAsia="Times New Roman" w:cstheme="minorHAnsi"/>
                <w:iCs/>
                <w:sz w:val="24"/>
                <w:szCs w:val="24"/>
                <w:lang w:val="pl-PL" w:eastAsia="en-GB"/>
              </w:rPr>
              <w:t xml:space="preserve">dostosowanie i aktualizacja zasad oraz przepisów, jak również </w:t>
            </w:r>
            <w:r w:rsidRPr="00F879CC">
              <w:rPr>
                <w:rFonts w:eastAsia="Times New Roman" w:cstheme="minorHAnsi"/>
                <w:iCs/>
                <w:sz w:val="24"/>
                <w:szCs w:val="24"/>
                <w:lang w:val="pl-PL" w:eastAsia="en-GB"/>
              </w:rPr>
              <w:lastRenderedPageBreak/>
              <w:t>koordynacja planów oraz wdrażanie rozwiązań ponad granicami;</w:t>
            </w:r>
          </w:p>
          <w:p w14:paraId="2914CB78" w14:textId="27F45DE1" w:rsidR="005A13B0" w:rsidRPr="00F879CC" w:rsidRDefault="00E13E4D" w:rsidP="00E77EBE">
            <w:pPr>
              <w:pStyle w:val="Akapitzlist"/>
              <w:numPr>
                <w:ilvl w:val="0"/>
                <w:numId w:val="11"/>
              </w:numPr>
              <w:rPr>
                <w:rFonts w:eastAsia="Times New Roman" w:cstheme="minorHAnsi"/>
                <w:b/>
                <w:bCs/>
                <w:iCs/>
                <w:sz w:val="24"/>
                <w:szCs w:val="24"/>
                <w:lang w:val="pl-PL" w:eastAsia="en-GB"/>
              </w:rPr>
            </w:pPr>
            <w:r w:rsidRPr="00F879CC">
              <w:rPr>
                <w:rFonts w:eastAsia="Times New Roman" w:cstheme="minorHAnsi"/>
                <w:iCs/>
                <w:sz w:val="24"/>
                <w:szCs w:val="24"/>
                <w:lang w:val="pl-PL" w:eastAsia="en-GB"/>
              </w:rPr>
              <w:t>mobilizacja przemysłu i obywateli do stosowania rozwiązań energetycznych na rzecz neutralności klimatycznej.</w:t>
            </w:r>
          </w:p>
        </w:tc>
      </w:tr>
      <w:tr w:rsidR="005A13B0" w:rsidRPr="00367EF1" w14:paraId="09C8653E" w14:textId="77777777" w:rsidTr="005A13B0">
        <w:tc>
          <w:tcPr>
            <w:tcW w:w="831" w:type="pct"/>
          </w:tcPr>
          <w:p w14:paraId="18B6DCC9" w14:textId="48CB8F89" w:rsidR="005A13B0" w:rsidRPr="00F879CC" w:rsidRDefault="00E0114A" w:rsidP="00F879CC">
            <w:pPr>
              <w:spacing w:line="276" w:lineRule="auto"/>
              <w:ind w:left="357"/>
              <w:jc w:val="both"/>
              <w:rPr>
                <w:rFonts w:asciiTheme="minorHAnsi" w:eastAsia="Times New Roman" w:hAnsiTheme="minorHAnsi" w:cstheme="minorHAnsi"/>
                <w:b/>
                <w:bCs/>
                <w:iCs/>
                <w:szCs w:val="24"/>
                <w:lang w:val="pl-PL" w:eastAsia="en-GB"/>
              </w:rPr>
            </w:pPr>
            <w:r w:rsidRPr="00F879CC">
              <w:rPr>
                <w:rFonts w:asciiTheme="minorHAnsi" w:eastAsia="Times New Roman" w:hAnsiTheme="minorHAnsi" w:cstheme="minorHAnsi"/>
                <w:bCs/>
                <w:iCs/>
                <w:szCs w:val="24"/>
                <w:lang w:val="pl-PL" w:eastAsia="en-GB"/>
              </w:rPr>
              <w:lastRenderedPageBreak/>
              <w:t>CP</w:t>
            </w:r>
            <w:r w:rsidR="005A13B0" w:rsidRPr="00F879CC">
              <w:rPr>
                <w:rFonts w:asciiTheme="minorHAnsi" w:eastAsia="Times New Roman" w:hAnsiTheme="minorHAnsi" w:cstheme="minorHAnsi"/>
                <w:bCs/>
                <w:iCs/>
                <w:szCs w:val="24"/>
                <w:lang w:val="pl-PL" w:eastAsia="en-GB"/>
              </w:rPr>
              <w:t xml:space="preserve"> 2</w:t>
            </w:r>
          </w:p>
        </w:tc>
        <w:tc>
          <w:tcPr>
            <w:tcW w:w="824" w:type="pct"/>
          </w:tcPr>
          <w:p w14:paraId="3A40BD13" w14:textId="1F0F0A16" w:rsidR="005A13B0" w:rsidRPr="00F879CC" w:rsidRDefault="005A13B0" w:rsidP="00F879CC">
            <w:pPr>
              <w:spacing w:line="276" w:lineRule="auto"/>
              <w:ind w:left="357"/>
              <w:jc w:val="both"/>
              <w:rPr>
                <w:rFonts w:asciiTheme="minorHAnsi" w:eastAsia="Times New Roman" w:hAnsiTheme="minorHAnsi" w:cstheme="minorHAnsi"/>
                <w:b/>
                <w:bCs/>
                <w:iCs/>
                <w:szCs w:val="24"/>
                <w:lang w:val="pl-PL" w:eastAsia="en-GB"/>
              </w:rPr>
            </w:pPr>
            <w:r w:rsidRPr="00F879CC">
              <w:rPr>
                <w:rFonts w:asciiTheme="minorHAnsi" w:eastAsia="Times New Roman" w:hAnsiTheme="minorHAnsi" w:cstheme="minorHAnsi"/>
                <w:bCs/>
                <w:iCs/>
                <w:szCs w:val="24"/>
                <w:lang w:val="pl-PL" w:eastAsia="en-GB"/>
              </w:rPr>
              <w:t>vii</w:t>
            </w:r>
            <w:r w:rsidR="004B702C" w:rsidRPr="00F879CC">
              <w:rPr>
                <w:rFonts w:asciiTheme="minorHAnsi" w:eastAsia="Times New Roman" w:hAnsiTheme="minorHAnsi" w:cstheme="minorHAnsi"/>
                <w:bCs/>
                <w:iCs/>
                <w:szCs w:val="24"/>
                <w:lang w:val="pl-PL" w:eastAsia="en-GB"/>
              </w:rPr>
              <w:t>i</w:t>
            </w:r>
            <w:r w:rsidRPr="00F879CC">
              <w:rPr>
                <w:rFonts w:asciiTheme="minorHAnsi" w:eastAsia="Times New Roman" w:hAnsiTheme="minorHAnsi" w:cstheme="minorHAnsi"/>
                <w:bCs/>
                <w:iCs/>
                <w:szCs w:val="24"/>
                <w:lang w:val="pl-PL" w:eastAsia="en-GB"/>
              </w:rPr>
              <w:t>)</w:t>
            </w:r>
          </w:p>
        </w:tc>
        <w:tc>
          <w:tcPr>
            <w:tcW w:w="765" w:type="pct"/>
          </w:tcPr>
          <w:p w14:paraId="60A24244" w14:textId="622249EF" w:rsidR="005A13B0" w:rsidRPr="00F879CC" w:rsidRDefault="005A13B0" w:rsidP="00F879CC">
            <w:pPr>
              <w:spacing w:line="276" w:lineRule="auto"/>
              <w:ind w:left="357"/>
              <w:jc w:val="both"/>
              <w:rPr>
                <w:rFonts w:asciiTheme="minorHAnsi" w:eastAsia="Times New Roman" w:hAnsiTheme="minorHAnsi" w:cstheme="minorHAnsi"/>
                <w:b/>
                <w:bCs/>
                <w:iCs/>
                <w:szCs w:val="24"/>
                <w:lang w:val="pl-PL" w:eastAsia="en-GB"/>
              </w:rPr>
            </w:pPr>
            <w:r w:rsidRPr="00F879CC">
              <w:rPr>
                <w:rFonts w:asciiTheme="minorHAnsi" w:eastAsia="Times New Roman" w:hAnsiTheme="minorHAnsi" w:cstheme="minorHAnsi"/>
                <w:bCs/>
                <w:iCs/>
                <w:szCs w:val="24"/>
                <w:lang w:val="pl-PL" w:eastAsia="en-GB"/>
              </w:rPr>
              <w:t>3</w:t>
            </w:r>
          </w:p>
        </w:tc>
        <w:tc>
          <w:tcPr>
            <w:tcW w:w="2581" w:type="pct"/>
            <w:tcBorders>
              <w:bottom w:val="single" w:sz="4" w:space="0" w:color="auto"/>
            </w:tcBorders>
          </w:tcPr>
          <w:p w14:paraId="09113C3C" w14:textId="69A8A307" w:rsidR="005A13B0" w:rsidRPr="00F879CC" w:rsidRDefault="00E13E4D" w:rsidP="00F879CC">
            <w:pPr>
              <w:spacing w:line="276" w:lineRule="auto"/>
              <w:rPr>
                <w:rFonts w:asciiTheme="minorHAnsi" w:hAnsiTheme="minorHAnsi" w:cstheme="minorHAnsi"/>
                <w:szCs w:val="24"/>
                <w:u w:val="single"/>
                <w:lang w:val="pl-PL" w:eastAsia="en-GB"/>
              </w:rPr>
            </w:pPr>
            <w:r w:rsidRPr="00F879CC">
              <w:rPr>
                <w:rFonts w:asciiTheme="minorHAnsi" w:hAnsiTheme="minorHAnsi" w:cstheme="minorHAnsi"/>
                <w:szCs w:val="24"/>
                <w:u w:val="single"/>
                <w:lang w:val="pl-PL" w:eastAsia="en-GB"/>
              </w:rPr>
              <w:t>Wyzwania w</w:t>
            </w:r>
            <w:r w:rsidR="005A13B0" w:rsidRPr="00F879CC">
              <w:rPr>
                <w:rFonts w:asciiTheme="minorHAnsi" w:hAnsiTheme="minorHAnsi" w:cstheme="minorHAnsi"/>
                <w:szCs w:val="24"/>
                <w:u w:val="single"/>
                <w:lang w:val="pl-PL" w:eastAsia="en-GB"/>
              </w:rPr>
              <w:t xml:space="preserve"> </w:t>
            </w:r>
            <w:r w:rsidR="00253ED2" w:rsidRPr="00F879CC">
              <w:rPr>
                <w:rFonts w:asciiTheme="minorHAnsi" w:hAnsiTheme="minorHAnsi" w:cstheme="minorHAnsi"/>
                <w:szCs w:val="24"/>
                <w:u w:val="single"/>
                <w:lang w:val="pl-PL" w:eastAsia="en-GB"/>
              </w:rPr>
              <w:t>RMB</w:t>
            </w:r>
            <w:r w:rsidR="005A13B0" w:rsidRPr="00F879CC">
              <w:rPr>
                <w:rFonts w:asciiTheme="minorHAnsi" w:hAnsiTheme="minorHAnsi" w:cstheme="minorHAnsi"/>
                <w:szCs w:val="24"/>
                <w:u w:val="single"/>
                <w:lang w:val="pl-PL" w:eastAsia="en-GB"/>
              </w:rPr>
              <w:t>:</w:t>
            </w:r>
          </w:p>
          <w:p w14:paraId="1956FC3A" w14:textId="77777777" w:rsidR="00E13E4D" w:rsidRPr="00F879CC" w:rsidRDefault="00E13E4D" w:rsidP="00E77EBE">
            <w:pPr>
              <w:pStyle w:val="Akapitzlist"/>
              <w:numPr>
                <w:ilvl w:val="0"/>
                <w:numId w:val="11"/>
              </w:numPr>
              <w:rPr>
                <w:rFonts w:eastAsia="Times New Roman" w:cstheme="minorHAnsi"/>
                <w:iCs/>
                <w:sz w:val="24"/>
                <w:szCs w:val="24"/>
                <w:lang w:val="pl-PL" w:eastAsia="en-GB"/>
              </w:rPr>
            </w:pPr>
            <w:r w:rsidRPr="00F879CC">
              <w:rPr>
                <w:rFonts w:eastAsia="Times New Roman" w:cstheme="minorHAnsi"/>
                <w:iCs/>
                <w:sz w:val="24"/>
                <w:szCs w:val="24"/>
                <w:lang w:val="pl-PL" w:eastAsia="en-GB"/>
              </w:rPr>
              <w:t>stały wzrost mobilności towarów i pasażerów w regionie Morza Bałtyckiego w ostatnich latach;</w:t>
            </w:r>
          </w:p>
          <w:p w14:paraId="3916F052" w14:textId="77777777" w:rsidR="00E13E4D" w:rsidRPr="00F879CC" w:rsidRDefault="00E13E4D" w:rsidP="00E77EBE">
            <w:pPr>
              <w:pStyle w:val="Akapitzlist"/>
              <w:numPr>
                <w:ilvl w:val="0"/>
                <w:numId w:val="11"/>
              </w:numPr>
              <w:rPr>
                <w:rFonts w:eastAsia="Times New Roman" w:cstheme="minorHAnsi"/>
                <w:iCs/>
                <w:sz w:val="24"/>
                <w:szCs w:val="24"/>
                <w:lang w:val="pl-PL" w:eastAsia="en-GB"/>
              </w:rPr>
            </w:pPr>
            <w:r w:rsidRPr="00F879CC">
              <w:rPr>
                <w:rFonts w:eastAsia="Times New Roman" w:cstheme="minorHAnsi"/>
                <w:iCs/>
                <w:sz w:val="24"/>
                <w:szCs w:val="24"/>
                <w:lang w:val="pl-PL" w:eastAsia="en-GB"/>
              </w:rPr>
              <w:t>trwające zmiany klimatyczne wymagające dalszej redukcji emisji gazów cieplarnianych;</w:t>
            </w:r>
          </w:p>
          <w:p w14:paraId="1CC13EAC" w14:textId="7087A953" w:rsidR="005A13B0" w:rsidRPr="00F879CC" w:rsidRDefault="00E13E4D" w:rsidP="00E77EBE">
            <w:pPr>
              <w:pStyle w:val="Akapitzlist"/>
              <w:numPr>
                <w:ilvl w:val="0"/>
                <w:numId w:val="11"/>
              </w:numPr>
              <w:rPr>
                <w:rFonts w:eastAsia="Times New Roman" w:cstheme="minorHAnsi"/>
                <w:iCs/>
                <w:sz w:val="24"/>
                <w:szCs w:val="24"/>
                <w:lang w:val="pl-PL" w:eastAsia="en-GB"/>
              </w:rPr>
            </w:pPr>
            <w:r w:rsidRPr="00F879CC">
              <w:rPr>
                <w:rFonts w:eastAsia="Times New Roman" w:cstheme="minorHAnsi"/>
                <w:iCs/>
                <w:sz w:val="24"/>
                <w:szCs w:val="24"/>
                <w:lang w:val="pl-PL" w:eastAsia="en-GB"/>
              </w:rPr>
              <w:t>zapewnienie mobilności przy jednoczesnym ograniczeniu zanieczyszczenia generowanego przez transport.</w:t>
            </w:r>
          </w:p>
          <w:p w14:paraId="3C8DFC5D" w14:textId="137E1161" w:rsidR="005A13B0" w:rsidRPr="00F879CC" w:rsidRDefault="00E13E4D" w:rsidP="00F879CC">
            <w:pPr>
              <w:spacing w:line="276" w:lineRule="auto"/>
              <w:rPr>
                <w:rFonts w:asciiTheme="minorHAnsi" w:hAnsiTheme="minorHAnsi" w:cstheme="minorHAnsi"/>
                <w:szCs w:val="24"/>
                <w:u w:val="single"/>
                <w:lang w:val="pl-PL" w:eastAsia="en-GB"/>
              </w:rPr>
            </w:pPr>
            <w:bookmarkStart w:id="30" w:name="OLE_LINK121"/>
            <w:bookmarkStart w:id="31" w:name="OLE_LINK122"/>
            <w:r w:rsidRPr="00F879CC">
              <w:rPr>
                <w:rFonts w:asciiTheme="minorHAnsi" w:hAnsiTheme="minorHAnsi" w:cstheme="minorHAnsi"/>
                <w:szCs w:val="24"/>
                <w:u w:val="single"/>
                <w:lang w:val="pl-PL" w:eastAsia="en-GB"/>
              </w:rPr>
              <w:t>Możliwości i potrzeby ujęte w celu szczegółowym</w:t>
            </w:r>
            <w:bookmarkEnd w:id="30"/>
            <w:bookmarkEnd w:id="31"/>
            <w:r w:rsidR="005A13B0" w:rsidRPr="00F879CC">
              <w:rPr>
                <w:rFonts w:asciiTheme="minorHAnsi" w:hAnsiTheme="minorHAnsi" w:cstheme="minorHAnsi"/>
                <w:szCs w:val="24"/>
                <w:u w:val="single"/>
                <w:lang w:val="pl-PL" w:eastAsia="en-GB"/>
              </w:rPr>
              <w:t>:</w:t>
            </w:r>
          </w:p>
          <w:p w14:paraId="4E84E514" w14:textId="42FE29E7" w:rsidR="00E13E4D" w:rsidRPr="00F879CC" w:rsidRDefault="00E13E4D" w:rsidP="00E77EBE">
            <w:pPr>
              <w:pStyle w:val="Akapitzlist"/>
              <w:numPr>
                <w:ilvl w:val="0"/>
                <w:numId w:val="11"/>
              </w:numPr>
              <w:rPr>
                <w:rFonts w:eastAsia="Times New Roman" w:cstheme="minorHAnsi"/>
                <w:iCs/>
                <w:sz w:val="24"/>
                <w:szCs w:val="24"/>
                <w:lang w:val="pl-PL" w:eastAsia="en-GB"/>
              </w:rPr>
            </w:pPr>
            <w:r w:rsidRPr="00F879CC">
              <w:rPr>
                <w:rFonts w:eastAsia="Times New Roman" w:cstheme="minorHAnsi"/>
                <w:iCs/>
                <w:sz w:val="24"/>
                <w:szCs w:val="24"/>
                <w:lang w:val="pl-PL" w:eastAsia="en-GB"/>
              </w:rPr>
              <w:t xml:space="preserve">działania w </w:t>
            </w:r>
            <w:r w:rsidR="000C497B" w:rsidRPr="00F879CC">
              <w:rPr>
                <w:rFonts w:eastAsia="Times New Roman" w:cstheme="minorHAnsi"/>
                <w:iCs/>
                <w:sz w:val="24"/>
                <w:szCs w:val="24"/>
                <w:lang w:val="pl-PL" w:eastAsia="en-GB"/>
              </w:rPr>
              <w:t>oparciu</w:t>
            </w:r>
            <w:r w:rsidRPr="00F879CC">
              <w:rPr>
                <w:rFonts w:eastAsia="Times New Roman" w:cstheme="minorHAnsi"/>
                <w:iCs/>
                <w:sz w:val="24"/>
                <w:szCs w:val="24"/>
                <w:lang w:val="pl-PL" w:eastAsia="en-GB"/>
              </w:rPr>
              <w:t xml:space="preserve"> o bieżące inicjatywy na rzecz transformacji w kierunku społeczeństwa niskoemisyjnego poprzez zmniejszenie emisji gazów cieplarnianych z sektora transportu;</w:t>
            </w:r>
          </w:p>
          <w:p w14:paraId="5B552288" w14:textId="77777777" w:rsidR="00E13E4D" w:rsidRPr="00F879CC" w:rsidRDefault="00E13E4D" w:rsidP="00E77EBE">
            <w:pPr>
              <w:pStyle w:val="Akapitzlist"/>
              <w:numPr>
                <w:ilvl w:val="0"/>
                <w:numId w:val="11"/>
              </w:numPr>
              <w:rPr>
                <w:rFonts w:eastAsia="Times New Roman" w:cstheme="minorHAnsi"/>
                <w:iCs/>
                <w:sz w:val="24"/>
                <w:szCs w:val="24"/>
                <w:lang w:val="pl-PL" w:eastAsia="en-GB"/>
              </w:rPr>
            </w:pPr>
            <w:r w:rsidRPr="00F879CC">
              <w:rPr>
                <w:rFonts w:eastAsia="Times New Roman" w:cstheme="minorHAnsi"/>
                <w:iCs/>
                <w:sz w:val="24"/>
                <w:szCs w:val="24"/>
                <w:lang w:val="pl-PL" w:eastAsia="en-GB"/>
              </w:rPr>
              <w:t>tworzenie efektywnych, multimodalnych systemów transportu;</w:t>
            </w:r>
          </w:p>
          <w:p w14:paraId="6C1A9551" w14:textId="77777777" w:rsidR="00E13E4D" w:rsidRPr="00F879CC" w:rsidRDefault="00E13E4D" w:rsidP="00E77EBE">
            <w:pPr>
              <w:pStyle w:val="Akapitzlist"/>
              <w:numPr>
                <w:ilvl w:val="0"/>
                <w:numId w:val="11"/>
              </w:numPr>
              <w:rPr>
                <w:rFonts w:eastAsia="Times New Roman" w:cstheme="minorHAnsi"/>
                <w:iCs/>
                <w:sz w:val="24"/>
                <w:szCs w:val="24"/>
                <w:lang w:val="pl-PL" w:eastAsia="en-GB"/>
              </w:rPr>
            </w:pPr>
            <w:r w:rsidRPr="00F879CC">
              <w:rPr>
                <w:rFonts w:eastAsia="Times New Roman" w:cstheme="minorHAnsi"/>
                <w:iCs/>
                <w:sz w:val="24"/>
                <w:szCs w:val="24"/>
                <w:lang w:val="pl-PL" w:eastAsia="en-GB"/>
              </w:rPr>
              <w:t>zwiększenie efektywności rozwiązań mobilnych korzystając z rozwiązań cyfrowych;</w:t>
            </w:r>
          </w:p>
          <w:p w14:paraId="7D788B93" w14:textId="77777777" w:rsidR="00E0114A" w:rsidRPr="00F879CC" w:rsidRDefault="00E13E4D" w:rsidP="00E77EBE">
            <w:pPr>
              <w:pStyle w:val="Akapitzlist"/>
              <w:numPr>
                <w:ilvl w:val="0"/>
                <w:numId w:val="11"/>
              </w:numPr>
              <w:rPr>
                <w:rFonts w:eastAsia="Times New Roman" w:cstheme="minorHAnsi"/>
                <w:iCs/>
                <w:sz w:val="24"/>
                <w:szCs w:val="24"/>
                <w:lang w:val="pl-PL" w:eastAsia="en-GB"/>
              </w:rPr>
            </w:pPr>
            <w:r w:rsidRPr="00F879CC">
              <w:rPr>
                <w:rFonts w:eastAsia="Times New Roman" w:cstheme="minorHAnsi"/>
                <w:iCs/>
                <w:sz w:val="24"/>
                <w:szCs w:val="24"/>
                <w:lang w:val="pl-PL" w:eastAsia="en-GB"/>
              </w:rPr>
              <w:t>dalsze wspieranie rozwiązań w zakresie e-mobilności i wdrażania czystych paliw</w:t>
            </w:r>
            <w:r w:rsidR="00E0114A" w:rsidRPr="00F879CC">
              <w:rPr>
                <w:rFonts w:eastAsia="Times New Roman" w:cstheme="minorHAnsi"/>
                <w:iCs/>
                <w:sz w:val="24"/>
                <w:szCs w:val="24"/>
                <w:lang w:val="pl-PL" w:eastAsia="en-GB"/>
              </w:rPr>
              <w:t>;</w:t>
            </w:r>
          </w:p>
          <w:p w14:paraId="6CE5D29C" w14:textId="77777777" w:rsidR="00E0114A" w:rsidRPr="00F879CC" w:rsidRDefault="00E0114A" w:rsidP="00E77EBE">
            <w:pPr>
              <w:pStyle w:val="Akapitzlist"/>
              <w:numPr>
                <w:ilvl w:val="0"/>
                <w:numId w:val="11"/>
              </w:numPr>
              <w:rPr>
                <w:rFonts w:eastAsia="Times New Roman" w:cstheme="minorHAnsi"/>
                <w:iCs/>
                <w:sz w:val="24"/>
                <w:szCs w:val="24"/>
                <w:lang w:val="pl-PL" w:eastAsia="en-GB"/>
              </w:rPr>
            </w:pPr>
            <w:r w:rsidRPr="00F879CC">
              <w:rPr>
                <w:rFonts w:eastAsia="Times New Roman" w:cstheme="minorHAnsi"/>
                <w:iCs/>
                <w:sz w:val="24"/>
                <w:szCs w:val="24"/>
                <w:lang w:val="pl-PL" w:eastAsia="en-GB"/>
              </w:rPr>
              <w:t xml:space="preserve">intensyfikacja wysiłków na rzecz </w:t>
            </w:r>
            <w:r w:rsidRPr="00F879CC">
              <w:rPr>
                <w:rFonts w:eastAsia="Times New Roman" w:cstheme="minorHAnsi"/>
                <w:iCs/>
                <w:sz w:val="24"/>
                <w:szCs w:val="24"/>
                <w:lang w:val="pl-PL" w:eastAsia="en-GB"/>
              </w:rPr>
              <w:lastRenderedPageBreak/>
              <w:t>rozwoju innowacyjnych technologii paliw odnawialnych, a także e-mobilności, usług inteligentnych sieci i potrzebnej infrastruktury;</w:t>
            </w:r>
          </w:p>
          <w:p w14:paraId="47CDA16F" w14:textId="77777777" w:rsidR="00E0114A" w:rsidRPr="00F879CC" w:rsidRDefault="00E0114A" w:rsidP="00E77EBE">
            <w:pPr>
              <w:pStyle w:val="Akapitzlist"/>
              <w:numPr>
                <w:ilvl w:val="0"/>
                <w:numId w:val="11"/>
              </w:numPr>
              <w:rPr>
                <w:rFonts w:eastAsia="Times New Roman" w:cstheme="minorHAnsi"/>
                <w:iCs/>
                <w:sz w:val="24"/>
                <w:szCs w:val="24"/>
                <w:lang w:val="pl-PL" w:eastAsia="en-GB"/>
              </w:rPr>
            </w:pPr>
            <w:r w:rsidRPr="00F879CC">
              <w:rPr>
                <w:rFonts w:eastAsia="Times New Roman" w:cstheme="minorHAnsi"/>
                <w:iCs/>
                <w:sz w:val="24"/>
                <w:szCs w:val="24"/>
                <w:lang w:val="pl-PL" w:eastAsia="en-GB"/>
              </w:rPr>
              <w:t>mobilizacja firm transportowych i obywateli w celu aktywnego korzystania z zielonych i inteligentnych rozwiązań w zakresie mobilności;</w:t>
            </w:r>
          </w:p>
          <w:p w14:paraId="36B6F56B" w14:textId="77777777" w:rsidR="00E0114A" w:rsidRPr="00F879CC" w:rsidRDefault="00E0114A" w:rsidP="00E77EBE">
            <w:pPr>
              <w:pStyle w:val="Akapitzlist"/>
              <w:numPr>
                <w:ilvl w:val="0"/>
                <w:numId w:val="11"/>
              </w:numPr>
              <w:rPr>
                <w:rFonts w:eastAsia="Times New Roman" w:cstheme="minorHAnsi"/>
                <w:iCs/>
                <w:sz w:val="24"/>
                <w:szCs w:val="24"/>
                <w:lang w:val="pl-PL" w:eastAsia="en-GB"/>
              </w:rPr>
            </w:pPr>
            <w:r w:rsidRPr="00F879CC">
              <w:rPr>
                <w:rFonts w:eastAsia="Times New Roman" w:cstheme="minorHAnsi"/>
                <w:iCs/>
                <w:sz w:val="24"/>
                <w:szCs w:val="24"/>
                <w:lang w:val="pl-PL" w:eastAsia="en-GB"/>
              </w:rPr>
              <w:t>ustanowienie ekologicznego i dobrze funkcjonującego systemu mobilności transgranicznej;</w:t>
            </w:r>
          </w:p>
          <w:p w14:paraId="381B48E6" w14:textId="10078252" w:rsidR="005A13B0" w:rsidRPr="00F879CC" w:rsidRDefault="00E0114A" w:rsidP="00E77EBE">
            <w:pPr>
              <w:pStyle w:val="Akapitzlist"/>
              <w:numPr>
                <w:ilvl w:val="0"/>
                <w:numId w:val="11"/>
              </w:numPr>
              <w:rPr>
                <w:rFonts w:eastAsia="Times New Roman" w:cstheme="minorHAnsi"/>
                <w:b/>
                <w:iCs/>
                <w:sz w:val="24"/>
                <w:szCs w:val="24"/>
                <w:lang w:val="pl-PL" w:eastAsia="en-GB"/>
              </w:rPr>
            </w:pPr>
            <w:r w:rsidRPr="00F879CC">
              <w:rPr>
                <w:rFonts w:eastAsia="Times New Roman" w:cstheme="minorHAnsi"/>
                <w:iCs/>
                <w:sz w:val="24"/>
                <w:szCs w:val="24"/>
                <w:lang w:val="pl-PL" w:eastAsia="en-GB"/>
              </w:rPr>
              <w:t>zwiększenie możliwości władz publicznych w zakresie planowania miejskiego i regionalnego w odniesieniu do zielonych i inteligentnych rozwiązań w zakresie mobilności.</w:t>
            </w:r>
            <w:r w:rsidR="005A13B0" w:rsidRPr="00F879CC">
              <w:rPr>
                <w:rFonts w:eastAsia="Times New Roman" w:cstheme="minorHAnsi"/>
                <w:iCs/>
                <w:sz w:val="24"/>
                <w:szCs w:val="24"/>
                <w:lang w:val="pl-PL" w:eastAsia="en-GB"/>
              </w:rPr>
              <w:t xml:space="preserve"> </w:t>
            </w:r>
          </w:p>
        </w:tc>
      </w:tr>
      <w:tr w:rsidR="005A13B0" w:rsidRPr="00367EF1" w14:paraId="51043F83" w14:textId="77777777" w:rsidTr="005A13B0">
        <w:tc>
          <w:tcPr>
            <w:tcW w:w="831" w:type="pct"/>
          </w:tcPr>
          <w:p w14:paraId="67E0AC26" w14:textId="148F7107" w:rsidR="005A13B0" w:rsidRPr="00F879CC" w:rsidRDefault="005A13B0" w:rsidP="00F879CC">
            <w:pPr>
              <w:spacing w:line="276" w:lineRule="auto"/>
              <w:ind w:left="357"/>
              <w:jc w:val="both"/>
              <w:rPr>
                <w:rFonts w:asciiTheme="minorHAnsi" w:eastAsia="Times New Roman" w:hAnsiTheme="minorHAnsi" w:cstheme="minorHAnsi"/>
                <w:b/>
                <w:bCs/>
                <w:iCs/>
                <w:szCs w:val="24"/>
                <w:lang w:val="pl-PL" w:eastAsia="en-GB"/>
              </w:rPr>
            </w:pPr>
            <w:r w:rsidRPr="00F879CC">
              <w:rPr>
                <w:rFonts w:asciiTheme="minorHAnsi" w:eastAsia="Times New Roman" w:hAnsiTheme="minorHAnsi" w:cstheme="minorHAnsi"/>
                <w:bCs/>
                <w:iCs/>
                <w:szCs w:val="24"/>
                <w:lang w:val="pl-PL" w:eastAsia="en-GB"/>
              </w:rPr>
              <w:lastRenderedPageBreak/>
              <w:t>ISO 1</w:t>
            </w:r>
          </w:p>
        </w:tc>
        <w:tc>
          <w:tcPr>
            <w:tcW w:w="824" w:type="pct"/>
          </w:tcPr>
          <w:p w14:paraId="31392996" w14:textId="11CD9D8A" w:rsidR="005A13B0" w:rsidRPr="00F879CC" w:rsidRDefault="002C14A7" w:rsidP="00F879CC">
            <w:pPr>
              <w:spacing w:line="276" w:lineRule="auto"/>
              <w:ind w:left="357"/>
              <w:jc w:val="both"/>
              <w:rPr>
                <w:rFonts w:asciiTheme="minorHAnsi" w:eastAsia="Times New Roman" w:hAnsiTheme="minorHAnsi" w:cstheme="minorHAnsi"/>
                <w:b/>
                <w:bCs/>
                <w:iCs/>
                <w:szCs w:val="24"/>
                <w:lang w:val="pl-PL" w:eastAsia="en-GB"/>
              </w:rPr>
            </w:pPr>
            <w:r w:rsidRPr="00F879CC">
              <w:rPr>
                <w:rFonts w:asciiTheme="minorHAnsi" w:eastAsia="Times New Roman" w:hAnsiTheme="minorHAnsi" w:cstheme="minorHAnsi"/>
                <w:bCs/>
                <w:iCs/>
                <w:szCs w:val="24"/>
                <w:lang w:val="pl-PL" w:eastAsia="en-GB"/>
              </w:rPr>
              <w:t>f</w:t>
            </w:r>
            <w:r w:rsidR="005A13B0" w:rsidRPr="00F879CC">
              <w:rPr>
                <w:rFonts w:asciiTheme="minorHAnsi" w:eastAsia="Times New Roman" w:hAnsiTheme="minorHAnsi" w:cstheme="minorHAnsi"/>
                <w:bCs/>
                <w:iCs/>
                <w:szCs w:val="24"/>
                <w:lang w:val="pl-PL" w:eastAsia="en-GB"/>
              </w:rPr>
              <w:t>)</w:t>
            </w:r>
          </w:p>
        </w:tc>
        <w:tc>
          <w:tcPr>
            <w:tcW w:w="765" w:type="pct"/>
          </w:tcPr>
          <w:p w14:paraId="78FD3C07" w14:textId="41E19D3F" w:rsidR="005A13B0" w:rsidRPr="00F879CC" w:rsidRDefault="005A13B0" w:rsidP="00F879CC">
            <w:pPr>
              <w:spacing w:line="276" w:lineRule="auto"/>
              <w:ind w:left="357"/>
              <w:jc w:val="both"/>
              <w:rPr>
                <w:rFonts w:asciiTheme="minorHAnsi" w:eastAsia="Times New Roman" w:hAnsiTheme="minorHAnsi" w:cstheme="minorHAnsi"/>
                <w:b/>
                <w:bCs/>
                <w:iCs/>
                <w:szCs w:val="24"/>
                <w:lang w:val="pl-PL" w:eastAsia="en-GB"/>
              </w:rPr>
            </w:pPr>
            <w:r w:rsidRPr="00F879CC">
              <w:rPr>
                <w:rFonts w:asciiTheme="minorHAnsi" w:eastAsia="Times New Roman" w:hAnsiTheme="minorHAnsi" w:cstheme="minorHAnsi"/>
                <w:bCs/>
                <w:iCs/>
                <w:szCs w:val="24"/>
                <w:lang w:val="pl-PL" w:eastAsia="en-GB"/>
              </w:rPr>
              <w:t>4</w:t>
            </w:r>
          </w:p>
        </w:tc>
        <w:tc>
          <w:tcPr>
            <w:tcW w:w="2581" w:type="pct"/>
            <w:tcBorders>
              <w:bottom w:val="single" w:sz="4" w:space="0" w:color="auto"/>
            </w:tcBorders>
          </w:tcPr>
          <w:p w14:paraId="2ED22924" w14:textId="42B55C37" w:rsidR="005A13B0" w:rsidRPr="00F879CC" w:rsidRDefault="000C497B" w:rsidP="00F879CC">
            <w:pPr>
              <w:spacing w:line="276" w:lineRule="auto"/>
              <w:rPr>
                <w:rFonts w:asciiTheme="minorHAnsi" w:hAnsiTheme="minorHAnsi" w:cstheme="minorHAnsi"/>
                <w:szCs w:val="24"/>
                <w:u w:val="single"/>
                <w:lang w:val="pl-PL" w:eastAsia="en-GB"/>
              </w:rPr>
            </w:pPr>
            <w:r w:rsidRPr="00F879CC">
              <w:rPr>
                <w:rFonts w:asciiTheme="minorHAnsi" w:hAnsiTheme="minorHAnsi" w:cstheme="minorHAnsi"/>
                <w:szCs w:val="24"/>
                <w:u w:val="single"/>
                <w:lang w:val="pl-PL" w:eastAsia="en-GB"/>
              </w:rPr>
              <w:t>Wyzwania w</w:t>
            </w:r>
            <w:r w:rsidR="005A13B0" w:rsidRPr="00F879CC">
              <w:rPr>
                <w:rFonts w:asciiTheme="minorHAnsi" w:hAnsiTheme="minorHAnsi" w:cstheme="minorHAnsi"/>
                <w:szCs w:val="24"/>
                <w:u w:val="single"/>
                <w:lang w:val="pl-PL" w:eastAsia="en-GB"/>
              </w:rPr>
              <w:t xml:space="preserve"> </w:t>
            </w:r>
            <w:r w:rsidR="00253ED2" w:rsidRPr="00F879CC">
              <w:rPr>
                <w:rFonts w:asciiTheme="minorHAnsi" w:hAnsiTheme="minorHAnsi" w:cstheme="minorHAnsi"/>
                <w:szCs w:val="24"/>
                <w:u w:val="single"/>
                <w:lang w:val="pl-PL" w:eastAsia="en-GB"/>
              </w:rPr>
              <w:t>RMB</w:t>
            </w:r>
            <w:r w:rsidR="005A13B0" w:rsidRPr="00F879CC">
              <w:rPr>
                <w:rFonts w:asciiTheme="minorHAnsi" w:hAnsiTheme="minorHAnsi" w:cstheme="minorHAnsi"/>
                <w:szCs w:val="24"/>
                <w:u w:val="single"/>
                <w:lang w:val="pl-PL" w:eastAsia="en-GB"/>
              </w:rPr>
              <w:t>:</w:t>
            </w:r>
          </w:p>
          <w:p w14:paraId="0D1C54D8" w14:textId="77777777" w:rsidR="000C497B" w:rsidRPr="00F879CC" w:rsidRDefault="000C497B" w:rsidP="00E77EBE">
            <w:pPr>
              <w:pStyle w:val="Akapitzlist"/>
              <w:numPr>
                <w:ilvl w:val="0"/>
                <w:numId w:val="11"/>
              </w:numPr>
              <w:rPr>
                <w:rFonts w:eastAsia="Times New Roman" w:cstheme="minorHAnsi"/>
                <w:iCs/>
                <w:sz w:val="24"/>
                <w:szCs w:val="24"/>
                <w:lang w:val="pl-PL" w:eastAsia="en-GB"/>
              </w:rPr>
            </w:pPr>
            <w:r w:rsidRPr="00F879CC">
              <w:rPr>
                <w:rFonts w:eastAsia="Times New Roman" w:cstheme="minorHAnsi"/>
                <w:iCs/>
                <w:sz w:val="24"/>
                <w:szCs w:val="24"/>
                <w:lang w:val="pl-PL" w:eastAsia="en-GB"/>
              </w:rPr>
              <w:t>trudności w znalezieniu rozwiązań tworzonych przez różne projekty w Interreg Region Morza Bałtyckiego i innych programach i efektywnym ich wykorzystaniu;</w:t>
            </w:r>
          </w:p>
          <w:p w14:paraId="24384EFE" w14:textId="0F6053AC" w:rsidR="005A13B0" w:rsidRPr="00F879CC" w:rsidRDefault="000C497B" w:rsidP="00E77EBE">
            <w:pPr>
              <w:pStyle w:val="Akapitzlist"/>
              <w:numPr>
                <w:ilvl w:val="0"/>
                <w:numId w:val="11"/>
              </w:numPr>
              <w:rPr>
                <w:rFonts w:eastAsia="Times New Roman" w:cstheme="minorHAnsi"/>
                <w:iCs/>
                <w:sz w:val="24"/>
                <w:szCs w:val="24"/>
                <w:lang w:val="pl-PL" w:eastAsia="en-GB"/>
              </w:rPr>
            </w:pPr>
            <w:r w:rsidRPr="00F879CC">
              <w:rPr>
                <w:rFonts w:eastAsia="Times New Roman" w:cstheme="minorHAnsi"/>
                <w:iCs/>
                <w:sz w:val="24"/>
                <w:szCs w:val="24"/>
                <w:lang w:val="pl-PL" w:eastAsia="en-GB"/>
              </w:rPr>
              <w:t>słaba koordynacja wyników wielu projektów z różnych źródeł finansowania UE i krajów partnerskich w regionie Morza Bałtyckiego.</w:t>
            </w:r>
            <w:r w:rsidR="005A13B0" w:rsidRPr="00F879CC">
              <w:rPr>
                <w:rFonts w:eastAsia="Times New Roman" w:cstheme="minorHAnsi"/>
                <w:iCs/>
                <w:sz w:val="24"/>
                <w:szCs w:val="24"/>
                <w:lang w:val="pl-PL" w:eastAsia="en-GB"/>
              </w:rPr>
              <w:t xml:space="preserve"> </w:t>
            </w:r>
          </w:p>
          <w:p w14:paraId="1F3B1914" w14:textId="77777777" w:rsidR="005A13B0" w:rsidRPr="00F879CC" w:rsidRDefault="005A13B0" w:rsidP="00F879CC">
            <w:pPr>
              <w:pStyle w:val="Tekstkomentarza"/>
              <w:spacing w:line="276" w:lineRule="auto"/>
              <w:rPr>
                <w:rFonts w:asciiTheme="minorHAnsi" w:hAnsiTheme="minorHAnsi" w:cstheme="minorHAnsi"/>
                <w:sz w:val="24"/>
                <w:szCs w:val="24"/>
                <w:lang w:val="pl-PL"/>
              </w:rPr>
            </w:pPr>
          </w:p>
          <w:p w14:paraId="393DCD96" w14:textId="72A27DD6" w:rsidR="005A13B0" w:rsidRPr="00F879CC" w:rsidRDefault="000C497B" w:rsidP="00F879CC">
            <w:pPr>
              <w:spacing w:line="276" w:lineRule="auto"/>
              <w:rPr>
                <w:rFonts w:asciiTheme="minorHAnsi" w:hAnsiTheme="minorHAnsi" w:cstheme="minorHAnsi"/>
                <w:szCs w:val="24"/>
                <w:u w:val="single"/>
                <w:lang w:val="pl-PL" w:eastAsia="en-GB"/>
              </w:rPr>
            </w:pPr>
            <w:bookmarkStart w:id="32" w:name="OLE_LINK123"/>
            <w:bookmarkStart w:id="33" w:name="OLE_LINK124"/>
            <w:r w:rsidRPr="00F879CC">
              <w:rPr>
                <w:rFonts w:asciiTheme="minorHAnsi" w:hAnsiTheme="minorHAnsi" w:cstheme="minorHAnsi"/>
                <w:szCs w:val="24"/>
                <w:u w:val="single"/>
                <w:lang w:val="pl-PL" w:eastAsia="en-GB"/>
              </w:rPr>
              <w:t>Możliwości i potrzeby ujęte w celu szczegółowym</w:t>
            </w:r>
            <w:bookmarkEnd w:id="32"/>
            <w:bookmarkEnd w:id="33"/>
            <w:r w:rsidR="005A13B0" w:rsidRPr="00F879CC">
              <w:rPr>
                <w:rFonts w:asciiTheme="minorHAnsi" w:hAnsiTheme="minorHAnsi" w:cstheme="minorHAnsi"/>
                <w:szCs w:val="24"/>
                <w:u w:val="single"/>
                <w:lang w:val="pl-PL" w:eastAsia="en-GB"/>
              </w:rPr>
              <w:t>:</w:t>
            </w:r>
          </w:p>
          <w:p w14:paraId="2E48968D" w14:textId="06AD10C8" w:rsidR="000C497B" w:rsidRPr="00F879CC" w:rsidRDefault="009626AA" w:rsidP="00E77EBE">
            <w:pPr>
              <w:pStyle w:val="Akapitzlist"/>
              <w:numPr>
                <w:ilvl w:val="0"/>
                <w:numId w:val="11"/>
              </w:numPr>
              <w:rPr>
                <w:rFonts w:eastAsia="Times New Roman" w:cstheme="minorHAnsi"/>
                <w:iCs/>
                <w:sz w:val="24"/>
                <w:szCs w:val="24"/>
                <w:lang w:val="pl-PL" w:eastAsia="en-GB"/>
              </w:rPr>
            </w:pPr>
            <w:r w:rsidRPr="00F879CC">
              <w:rPr>
                <w:rFonts w:eastAsia="Times New Roman" w:cstheme="minorHAnsi"/>
                <w:iCs/>
                <w:sz w:val="24"/>
                <w:szCs w:val="24"/>
                <w:lang w:val="pl-PL" w:eastAsia="en-GB"/>
              </w:rPr>
              <w:t>wykorzystanie</w:t>
            </w:r>
            <w:r w:rsidR="000C497B" w:rsidRPr="00F879CC">
              <w:rPr>
                <w:rFonts w:eastAsia="Times New Roman" w:cstheme="minorHAnsi"/>
                <w:iCs/>
                <w:sz w:val="24"/>
                <w:szCs w:val="24"/>
                <w:lang w:val="pl-PL" w:eastAsia="en-GB"/>
              </w:rPr>
              <w:t xml:space="preserve"> pozycji RMB, jako jednego z liderów współpracy transnarodowej w UE i poza nią;</w:t>
            </w:r>
          </w:p>
          <w:p w14:paraId="31C46D86" w14:textId="77777777" w:rsidR="000C497B" w:rsidRPr="00F879CC" w:rsidRDefault="000C497B" w:rsidP="00E77EBE">
            <w:pPr>
              <w:pStyle w:val="Akapitzlist"/>
              <w:numPr>
                <w:ilvl w:val="0"/>
                <w:numId w:val="11"/>
              </w:numPr>
              <w:rPr>
                <w:rFonts w:eastAsia="Times New Roman" w:cstheme="minorHAnsi"/>
                <w:iCs/>
                <w:sz w:val="24"/>
                <w:szCs w:val="24"/>
                <w:lang w:val="pl-PL" w:eastAsia="en-GB"/>
              </w:rPr>
            </w:pPr>
            <w:r w:rsidRPr="00F879CC">
              <w:rPr>
                <w:rFonts w:eastAsia="Times New Roman" w:cstheme="minorHAnsi"/>
                <w:iCs/>
                <w:sz w:val="24"/>
                <w:szCs w:val="24"/>
                <w:lang w:val="pl-PL" w:eastAsia="en-GB"/>
              </w:rPr>
              <w:lastRenderedPageBreak/>
              <w:t>identyfikacja i odkrywanie komplementarności oraz efektywne wykorzystanie synergii między funduszami UE w RMB;</w:t>
            </w:r>
          </w:p>
          <w:p w14:paraId="57AA8066" w14:textId="77777777" w:rsidR="000C497B" w:rsidRPr="00F879CC" w:rsidRDefault="000C497B" w:rsidP="00E77EBE">
            <w:pPr>
              <w:pStyle w:val="Akapitzlist"/>
              <w:numPr>
                <w:ilvl w:val="0"/>
                <w:numId w:val="11"/>
              </w:numPr>
              <w:rPr>
                <w:rFonts w:eastAsia="Times New Roman" w:cstheme="minorHAnsi"/>
                <w:iCs/>
                <w:sz w:val="24"/>
                <w:szCs w:val="24"/>
                <w:lang w:val="pl-PL" w:eastAsia="en-GB"/>
              </w:rPr>
            </w:pPr>
            <w:r w:rsidRPr="00F879CC">
              <w:rPr>
                <w:rFonts w:eastAsia="Times New Roman" w:cstheme="minorHAnsi"/>
                <w:iCs/>
                <w:sz w:val="24"/>
                <w:szCs w:val="24"/>
                <w:lang w:val="pl-PL" w:eastAsia="en-GB"/>
              </w:rPr>
              <w:t>wzmocnienie komunikacji między interesariuszami korzystającymi z różnych funduszy UE;</w:t>
            </w:r>
          </w:p>
          <w:p w14:paraId="430CB746" w14:textId="77777777" w:rsidR="000C497B" w:rsidRPr="00F879CC" w:rsidRDefault="000C497B" w:rsidP="00E77EBE">
            <w:pPr>
              <w:pStyle w:val="Akapitzlist"/>
              <w:numPr>
                <w:ilvl w:val="0"/>
                <w:numId w:val="11"/>
              </w:numPr>
              <w:rPr>
                <w:rFonts w:eastAsia="Times New Roman" w:cstheme="minorHAnsi"/>
                <w:iCs/>
                <w:sz w:val="24"/>
                <w:szCs w:val="24"/>
                <w:lang w:val="pl-PL" w:eastAsia="en-GB"/>
              </w:rPr>
            </w:pPr>
            <w:r w:rsidRPr="00F879CC">
              <w:rPr>
                <w:rFonts w:eastAsia="Times New Roman" w:cstheme="minorHAnsi"/>
                <w:iCs/>
                <w:sz w:val="24"/>
                <w:szCs w:val="24"/>
                <w:lang w:val="pl-PL" w:eastAsia="en-GB"/>
              </w:rPr>
              <w:t>przedstawienie wyników różnych projektów finansowanych przez UE i kraje partnerskie zainteresowanym stronom w RMB w jeszcze bardziej uporządkowany sposób;</w:t>
            </w:r>
          </w:p>
          <w:p w14:paraId="59DFD9AF" w14:textId="77777777" w:rsidR="000C497B" w:rsidRPr="00F879CC" w:rsidRDefault="000C497B" w:rsidP="00E77EBE">
            <w:pPr>
              <w:pStyle w:val="Akapitzlist"/>
              <w:numPr>
                <w:ilvl w:val="0"/>
                <w:numId w:val="11"/>
              </w:numPr>
              <w:rPr>
                <w:rFonts w:eastAsia="Times New Roman" w:cstheme="minorHAnsi"/>
                <w:iCs/>
                <w:sz w:val="24"/>
                <w:szCs w:val="24"/>
                <w:lang w:val="pl-PL" w:eastAsia="en-GB"/>
              </w:rPr>
            </w:pPr>
            <w:r w:rsidRPr="00F879CC">
              <w:rPr>
                <w:rFonts w:eastAsia="Times New Roman" w:cstheme="minorHAnsi"/>
                <w:iCs/>
                <w:sz w:val="24"/>
                <w:szCs w:val="24"/>
                <w:lang w:val="pl-PL" w:eastAsia="en-GB"/>
              </w:rPr>
              <w:t>pomoc władzom publicznym i innym organizacjom w łatwiejszym dostępie do wyników projektów;</w:t>
            </w:r>
          </w:p>
          <w:p w14:paraId="05BA2403" w14:textId="0483893B" w:rsidR="005A13B0" w:rsidRPr="00F879CC" w:rsidRDefault="000C497B" w:rsidP="00E77EBE">
            <w:pPr>
              <w:pStyle w:val="Akapitzlist"/>
              <w:numPr>
                <w:ilvl w:val="0"/>
                <w:numId w:val="11"/>
              </w:numPr>
              <w:rPr>
                <w:rFonts w:eastAsia="Times New Roman" w:cstheme="minorHAnsi"/>
                <w:b/>
                <w:iCs/>
                <w:sz w:val="24"/>
                <w:szCs w:val="24"/>
                <w:lang w:val="pl-PL" w:eastAsia="en-GB"/>
              </w:rPr>
            </w:pPr>
            <w:r w:rsidRPr="00F879CC">
              <w:rPr>
                <w:rFonts w:eastAsia="Times New Roman" w:cstheme="minorHAnsi"/>
                <w:iCs/>
                <w:sz w:val="24"/>
                <w:szCs w:val="24"/>
                <w:lang w:val="pl-PL" w:eastAsia="en-GB"/>
              </w:rPr>
              <w:t>komunikowanie i przekazywanie wyników projektu szerszej grupie docelowej.</w:t>
            </w:r>
          </w:p>
        </w:tc>
      </w:tr>
      <w:tr w:rsidR="005A13B0" w:rsidRPr="00367EF1" w14:paraId="071088ED" w14:textId="77777777" w:rsidTr="005A13B0">
        <w:tc>
          <w:tcPr>
            <w:tcW w:w="831" w:type="pct"/>
          </w:tcPr>
          <w:p w14:paraId="2B0555D0" w14:textId="6DC9B725" w:rsidR="005A13B0" w:rsidRPr="00F879CC" w:rsidRDefault="005A13B0" w:rsidP="00F879CC">
            <w:pPr>
              <w:spacing w:line="276" w:lineRule="auto"/>
              <w:ind w:left="357"/>
              <w:jc w:val="both"/>
              <w:rPr>
                <w:rFonts w:asciiTheme="minorHAnsi" w:eastAsia="Times New Roman" w:hAnsiTheme="minorHAnsi" w:cstheme="minorHAnsi"/>
                <w:b/>
                <w:bCs/>
                <w:iCs/>
                <w:szCs w:val="24"/>
                <w:lang w:val="pl-PL" w:eastAsia="en-GB"/>
              </w:rPr>
            </w:pPr>
            <w:r w:rsidRPr="00F879CC">
              <w:rPr>
                <w:rFonts w:asciiTheme="minorHAnsi" w:eastAsia="Times New Roman" w:hAnsiTheme="minorHAnsi" w:cstheme="minorHAnsi"/>
                <w:bCs/>
                <w:iCs/>
                <w:szCs w:val="24"/>
                <w:lang w:val="pl-PL" w:eastAsia="en-GB"/>
              </w:rPr>
              <w:lastRenderedPageBreak/>
              <w:t>ISO 1</w:t>
            </w:r>
          </w:p>
        </w:tc>
        <w:tc>
          <w:tcPr>
            <w:tcW w:w="824" w:type="pct"/>
          </w:tcPr>
          <w:p w14:paraId="06B9E282" w14:textId="574E19F6" w:rsidR="005A13B0" w:rsidRPr="00F879CC" w:rsidRDefault="002C14A7" w:rsidP="00F879CC">
            <w:pPr>
              <w:spacing w:line="276" w:lineRule="auto"/>
              <w:ind w:left="357"/>
              <w:jc w:val="both"/>
              <w:rPr>
                <w:rFonts w:asciiTheme="minorHAnsi" w:eastAsia="Times New Roman" w:hAnsiTheme="minorHAnsi" w:cstheme="minorHAnsi"/>
                <w:b/>
                <w:bCs/>
                <w:iCs/>
                <w:szCs w:val="24"/>
                <w:lang w:val="pl-PL" w:eastAsia="en-GB"/>
              </w:rPr>
            </w:pPr>
            <w:r w:rsidRPr="00F879CC">
              <w:rPr>
                <w:rFonts w:asciiTheme="minorHAnsi" w:eastAsia="Times New Roman" w:hAnsiTheme="minorHAnsi" w:cstheme="minorHAnsi"/>
                <w:bCs/>
                <w:iCs/>
                <w:szCs w:val="24"/>
                <w:lang w:val="pl-PL" w:eastAsia="en-GB"/>
              </w:rPr>
              <w:t>d</w:t>
            </w:r>
            <w:r w:rsidR="005A13B0" w:rsidRPr="00F879CC">
              <w:rPr>
                <w:rFonts w:asciiTheme="minorHAnsi" w:eastAsia="Times New Roman" w:hAnsiTheme="minorHAnsi" w:cstheme="minorHAnsi"/>
                <w:bCs/>
                <w:iCs/>
                <w:szCs w:val="24"/>
                <w:lang w:val="pl-PL" w:eastAsia="en-GB"/>
              </w:rPr>
              <w:t>)</w:t>
            </w:r>
          </w:p>
        </w:tc>
        <w:tc>
          <w:tcPr>
            <w:tcW w:w="765" w:type="pct"/>
          </w:tcPr>
          <w:p w14:paraId="243355D1" w14:textId="18C95136" w:rsidR="005A13B0" w:rsidRPr="00F879CC" w:rsidRDefault="005A13B0" w:rsidP="00F879CC">
            <w:pPr>
              <w:spacing w:line="276" w:lineRule="auto"/>
              <w:ind w:left="357"/>
              <w:jc w:val="both"/>
              <w:rPr>
                <w:rFonts w:asciiTheme="minorHAnsi" w:eastAsia="Times New Roman" w:hAnsiTheme="minorHAnsi" w:cstheme="minorHAnsi"/>
                <w:b/>
                <w:bCs/>
                <w:iCs/>
                <w:szCs w:val="24"/>
                <w:lang w:val="pl-PL" w:eastAsia="en-GB"/>
              </w:rPr>
            </w:pPr>
            <w:r w:rsidRPr="00F879CC">
              <w:rPr>
                <w:rFonts w:asciiTheme="minorHAnsi" w:eastAsia="Times New Roman" w:hAnsiTheme="minorHAnsi" w:cstheme="minorHAnsi"/>
                <w:bCs/>
                <w:iCs/>
                <w:szCs w:val="24"/>
                <w:lang w:val="pl-PL" w:eastAsia="en-GB"/>
              </w:rPr>
              <w:t>4</w:t>
            </w:r>
          </w:p>
        </w:tc>
        <w:tc>
          <w:tcPr>
            <w:tcW w:w="2581" w:type="pct"/>
            <w:tcBorders>
              <w:top w:val="single" w:sz="4" w:space="0" w:color="auto"/>
            </w:tcBorders>
          </w:tcPr>
          <w:p w14:paraId="1101DB56" w14:textId="01BFA2EC" w:rsidR="005A13B0" w:rsidRPr="00F879CC" w:rsidRDefault="000C497B" w:rsidP="00F879CC">
            <w:pPr>
              <w:spacing w:line="276" w:lineRule="auto"/>
              <w:rPr>
                <w:rFonts w:asciiTheme="minorHAnsi" w:hAnsiTheme="minorHAnsi" w:cstheme="minorHAnsi"/>
                <w:szCs w:val="24"/>
                <w:u w:val="single"/>
                <w:lang w:val="pl-PL" w:eastAsia="en-GB"/>
              </w:rPr>
            </w:pPr>
            <w:r w:rsidRPr="00F879CC">
              <w:rPr>
                <w:rFonts w:asciiTheme="minorHAnsi" w:hAnsiTheme="minorHAnsi" w:cstheme="minorHAnsi"/>
                <w:szCs w:val="24"/>
                <w:u w:val="single"/>
                <w:lang w:val="pl-PL" w:eastAsia="en-GB"/>
              </w:rPr>
              <w:t>Wyzwania w</w:t>
            </w:r>
            <w:r w:rsidR="005A13B0" w:rsidRPr="00F879CC">
              <w:rPr>
                <w:rFonts w:asciiTheme="minorHAnsi" w:hAnsiTheme="minorHAnsi" w:cstheme="minorHAnsi"/>
                <w:szCs w:val="24"/>
                <w:u w:val="single"/>
                <w:lang w:val="pl-PL" w:eastAsia="en-GB"/>
              </w:rPr>
              <w:t xml:space="preserve"> </w:t>
            </w:r>
            <w:r w:rsidR="00253ED2" w:rsidRPr="00F879CC">
              <w:rPr>
                <w:rFonts w:asciiTheme="minorHAnsi" w:hAnsiTheme="minorHAnsi" w:cstheme="minorHAnsi"/>
                <w:szCs w:val="24"/>
                <w:u w:val="single"/>
                <w:lang w:val="pl-PL" w:eastAsia="en-GB"/>
              </w:rPr>
              <w:t>RMB</w:t>
            </w:r>
            <w:r w:rsidR="005A13B0" w:rsidRPr="00F879CC">
              <w:rPr>
                <w:rFonts w:asciiTheme="minorHAnsi" w:hAnsiTheme="minorHAnsi" w:cstheme="minorHAnsi"/>
                <w:szCs w:val="24"/>
                <w:u w:val="single"/>
                <w:lang w:val="pl-PL" w:eastAsia="en-GB"/>
              </w:rPr>
              <w:t>:</w:t>
            </w:r>
          </w:p>
          <w:p w14:paraId="08B33126" w14:textId="77777777" w:rsidR="000C497B" w:rsidRPr="00F879CC" w:rsidRDefault="000C497B" w:rsidP="00E77EBE">
            <w:pPr>
              <w:pStyle w:val="Akapitzlist"/>
              <w:numPr>
                <w:ilvl w:val="0"/>
                <w:numId w:val="11"/>
              </w:numPr>
              <w:rPr>
                <w:rFonts w:eastAsia="Times New Roman" w:cstheme="minorHAnsi"/>
                <w:iCs/>
                <w:sz w:val="24"/>
                <w:szCs w:val="24"/>
                <w:lang w:val="pl-PL" w:eastAsia="en-GB"/>
              </w:rPr>
            </w:pPr>
            <w:r w:rsidRPr="00F879CC">
              <w:rPr>
                <w:rFonts w:eastAsia="Times New Roman" w:cstheme="minorHAnsi"/>
                <w:iCs/>
                <w:sz w:val="24"/>
                <w:szCs w:val="24"/>
                <w:lang w:val="pl-PL" w:eastAsia="en-GB"/>
              </w:rPr>
              <w:t>różne priorytety i kompetencje wielu organizacji zaangażowanych w planowanie i realizację działań SUE RMB w całym regionie;</w:t>
            </w:r>
          </w:p>
          <w:p w14:paraId="5D713799" w14:textId="77777777" w:rsidR="000C497B" w:rsidRPr="00F879CC" w:rsidRDefault="000C497B" w:rsidP="00E77EBE">
            <w:pPr>
              <w:pStyle w:val="Akapitzlist"/>
              <w:numPr>
                <w:ilvl w:val="0"/>
                <w:numId w:val="11"/>
              </w:numPr>
              <w:rPr>
                <w:rFonts w:eastAsia="Times New Roman" w:cstheme="minorHAnsi"/>
                <w:iCs/>
                <w:sz w:val="24"/>
                <w:szCs w:val="24"/>
                <w:lang w:val="pl-PL" w:eastAsia="en-GB"/>
              </w:rPr>
            </w:pPr>
            <w:r w:rsidRPr="00F879CC">
              <w:rPr>
                <w:rFonts w:eastAsia="Times New Roman" w:cstheme="minorHAnsi"/>
                <w:iCs/>
                <w:sz w:val="24"/>
                <w:szCs w:val="24"/>
                <w:lang w:val="pl-PL" w:eastAsia="en-GB"/>
              </w:rPr>
              <w:t>kompleksowa koordynacja między instytucjami odpowiedzialnymi za ułatwienie realizacji planu działania SUE RMB;</w:t>
            </w:r>
          </w:p>
          <w:p w14:paraId="729ED3BA" w14:textId="47138DA4" w:rsidR="005A13B0" w:rsidRPr="00F879CC" w:rsidRDefault="000C497B" w:rsidP="00E77EBE">
            <w:pPr>
              <w:pStyle w:val="Akapitzlist"/>
              <w:numPr>
                <w:ilvl w:val="0"/>
                <w:numId w:val="11"/>
              </w:numPr>
              <w:rPr>
                <w:rFonts w:eastAsia="Times New Roman" w:cstheme="minorHAnsi"/>
                <w:iCs/>
                <w:sz w:val="24"/>
                <w:szCs w:val="24"/>
                <w:lang w:val="pl-PL" w:eastAsia="en-GB"/>
              </w:rPr>
            </w:pPr>
            <w:r w:rsidRPr="00F879CC">
              <w:rPr>
                <w:rFonts w:eastAsia="Times New Roman" w:cstheme="minorHAnsi"/>
                <w:iCs/>
                <w:sz w:val="24"/>
                <w:szCs w:val="24"/>
                <w:lang w:val="pl-PL" w:eastAsia="en-GB"/>
              </w:rPr>
              <w:t>różny poziom zaangażowania regionalnych interesariuszy w realizację SUE RMB.</w:t>
            </w:r>
          </w:p>
          <w:p w14:paraId="522D70F8" w14:textId="77777777" w:rsidR="005A13B0" w:rsidRPr="00F879CC" w:rsidRDefault="005A13B0" w:rsidP="00F879CC">
            <w:pPr>
              <w:pStyle w:val="Tekstkomentarza"/>
              <w:spacing w:line="276" w:lineRule="auto"/>
              <w:rPr>
                <w:rFonts w:asciiTheme="minorHAnsi" w:hAnsiTheme="minorHAnsi" w:cstheme="minorHAnsi"/>
                <w:sz w:val="24"/>
                <w:szCs w:val="24"/>
                <w:lang w:val="pl-PL"/>
              </w:rPr>
            </w:pPr>
          </w:p>
          <w:p w14:paraId="3453B13D" w14:textId="5545CEC3" w:rsidR="005A13B0" w:rsidRPr="00F879CC" w:rsidRDefault="009626AA" w:rsidP="00F879CC">
            <w:pPr>
              <w:spacing w:line="276" w:lineRule="auto"/>
              <w:rPr>
                <w:rFonts w:asciiTheme="minorHAnsi" w:hAnsiTheme="minorHAnsi" w:cstheme="minorHAnsi"/>
                <w:szCs w:val="24"/>
                <w:u w:val="single"/>
                <w:lang w:val="pl-PL" w:eastAsia="en-GB"/>
              </w:rPr>
            </w:pPr>
            <w:r w:rsidRPr="00F879CC">
              <w:rPr>
                <w:rFonts w:asciiTheme="minorHAnsi" w:hAnsiTheme="minorHAnsi" w:cstheme="minorHAnsi"/>
                <w:szCs w:val="24"/>
                <w:u w:val="single"/>
                <w:lang w:val="pl-PL" w:eastAsia="en-GB"/>
              </w:rPr>
              <w:t>Możliwości i potrzeby ujęte w celu szczegółowym</w:t>
            </w:r>
            <w:r w:rsidR="005A13B0" w:rsidRPr="00F879CC">
              <w:rPr>
                <w:rFonts w:asciiTheme="minorHAnsi" w:hAnsiTheme="minorHAnsi" w:cstheme="minorHAnsi"/>
                <w:szCs w:val="24"/>
                <w:u w:val="single"/>
                <w:lang w:val="pl-PL" w:eastAsia="en-GB"/>
              </w:rPr>
              <w:t>:</w:t>
            </w:r>
          </w:p>
          <w:p w14:paraId="1F6AFE23" w14:textId="77777777" w:rsidR="009626AA" w:rsidRPr="00F879CC" w:rsidRDefault="009626AA" w:rsidP="00E77EBE">
            <w:pPr>
              <w:pStyle w:val="Akapitzlist"/>
              <w:numPr>
                <w:ilvl w:val="0"/>
                <w:numId w:val="11"/>
              </w:numPr>
              <w:rPr>
                <w:rFonts w:eastAsia="Times New Roman" w:cstheme="minorHAnsi"/>
                <w:iCs/>
                <w:sz w:val="24"/>
                <w:szCs w:val="24"/>
                <w:lang w:val="pl-PL" w:eastAsia="en-GB"/>
              </w:rPr>
            </w:pPr>
            <w:r w:rsidRPr="00F879CC">
              <w:rPr>
                <w:rFonts w:eastAsia="Times New Roman" w:cstheme="minorHAnsi"/>
                <w:iCs/>
                <w:sz w:val="24"/>
                <w:szCs w:val="24"/>
                <w:lang w:val="pl-PL" w:eastAsia="en-GB"/>
              </w:rPr>
              <w:t xml:space="preserve">wykorzystanie postępów poczynionych w ostatnich latach w </w:t>
            </w:r>
            <w:r w:rsidRPr="00F879CC">
              <w:rPr>
                <w:rFonts w:eastAsia="Times New Roman" w:cstheme="minorHAnsi"/>
                <w:iCs/>
                <w:sz w:val="24"/>
                <w:szCs w:val="24"/>
                <w:lang w:val="pl-PL" w:eastAsia="en-GB"/>
              </w:rPr>
              <w:lastRenderedPageBreak/>
              <w:t>zakresie zarządzania i zdolności administracyjnych SUE RMB;</w:t>
            </w:r>
          </w:p>
          <w:p w14:paraId="66A44141" w14:textId="77777777" w:rsidR="009626AA" w:rsidRPr="00F879CC" w:rsidRDefault="009626AA" w:rsidP="00E77EBE">
            <w:pPr>
              <w:pStyle w:val="Akapitzlist"/>
              <w:numPr>
                <w:ilvl w:val="0"/>
                <w:numId w:val="11"/>
              </w:numPr>
              <w:rPr>
                <w:rFonts w:eastAsia="Times New Roman" w:cstheme="minorHAnsi"/>
                <w:iCs/>
                <w:sz w:val="24"/>
                <w:szCs w:val="24"/>
                <w:lang w:val="pl-PL" w:eastAsia="en-GB"/>
              </w:rPr>
            </w:pPr>
            <w:r w:rsidRPr="00F879CC">
              <w:rPr>
                <w:rFonts w:eastAsia="Times New Roman" w:cstheme="minorHAnsi"/>
                <w:iCs/>
                <w:sz w:val="24"/>
                <w:szCs w:val="24"/>
                <w:lang w:val="pl-PL" w:eastAsia="en-GB"/>
              </w:rPr>
              <w:t>jeszcze skuteczniejsza koordynacja planowania i realizacji SUE RMB;</w:t>
            </w:r>
          </w:p>
          <w:p w14:paraId="466851D3" w14:textId="77777777" w:rsidR="009626AA" w:rsidRPr="00F879CC" w:rsidRDefault="009626AA" w:rsidP="00E77EBE">
            <w:pPr>
              <w:pStyle w:val="Akapitzlist"/>
              <w:numPr>
                <w:ilvl w:val="0"/>
                <w:numId w:val="11"/>
              </w:numPr>
              <w:rPr>
                <w:rFonts w:eastAsia="Times New Roman" w:cstheme="minorHAnsi"/>
                <w:iCs/>
                <w:sz w:val="24"/>
                <w:szCs w:val="24"/>
                <w:lang w:val="pl-PL" w:eastAsia="en-GB"/>
              </w:rPr>
            </w:pPr>
            <w:r w:rsidRPr="00F879CC">
              <w:rPr>
                <w:rFonts w:eastAsia="Times New Roman" w:cstheme="minorHAnsi"/>
                <w:iCs/>
                <w:sz w:val="24"/>
                <w:szCs w:val="24"/>
                <w:lang w:val="pl-PL" w:eastAsia="en-GB"/>
              </w:rPr>
              <w:t>bardziej ukierunkowane informacje dla interesariuszy z regionu i UE na temat postępów i osiągnięć planu działania SUE RMB;</w:t>
            </w:r>
          </w:p>
          <w:p w14:paraId="74D11488" w14:textId="4EBD8517" w:rsidR="005A13B0" w:rsidRPr="00F879CC" w:rsidRDefault="009626AA" w:rsidP="00E77EBE">
            <w:pPr>
              <w:pStyle w:val="Akapitzlist"/>
              <w:numPr>
                <w:ilvl w:val="0"/>
                <w:numId w:val="11"/>
              </w:numPr>
              <w:rPr>
                <w:rFonts w:eastAsia="Times New Roman" w:cstheme="minorHAnsi"/>
                <w:iCs/>
                <w:sz w:val="24"/>
                <w:szCs w:val="24"/>
                <w:lang w:val="pl-PL" w:eastAsia="en-GB"/>
              </w:rPr>
            </w:pPr>
            <w:r w:rsidRPr="00F879CC">
              <w:rPr>
                <w:rFonts w:eastAsia="Times New Roman" w:cstheme="minorHAnsi"/>
                <w:iCs/>
                <w:sz w:val="24"/>
                <w:szCs w:val="24"/>
                <w:lang w:val="pl-PL" w:eastAsia="en-GB"/>
              </w:rPr>
              <w:t>wzmocniona współpraca z krajami partnerskimi w celu zapewnienia synergii między SUE RMB i strategiami krajów partnerskich;</w:t>
            </w:r>
          </w:p>
          <w:p w14:paraId="6364CBF1" w14:textId="4C3CAEE1" w:rsidR="009626AA" w:rsidRPr="00F879CC" w:rsidRDefault="009626AA" w:rsidP="00E77EBE">
            <w:pPr>
              <w:pStyle w:val="Akapitzlist"/>
              <w:numPr>
                <w:ilvl w:val="0"/>
                <w:numId w:val="11"/>
              </w:numPr>
              <w:rPr>
                <w:rFonts w:eastAsia="Times New Roman" w:cstheme="minorHAnsi"/>
                <w:iCs/>
                <w:sz w:val="24"/>
                <w:szCs w:val="24"/>
                <w:lang w:val="pl-PL" w:eastAsia="en-GB"/>
              </w:rPr>
            </w:pPr>
            <w:r w:rsidRPr="00F879CC">
              <w:rPr>
                <w:rFonts w:eastAsia="Times New Roman" w:cstheme="minorHAnsi"/>
                <w:iCs/>
                <w:sz w:val="24"/>
                <w:szCs w:val="24"/>
                <w:lang w:val="pl-PL" w:eastAsia="en-GB"/>
              </w:rPr>
              <w:t>zwiększona pomoc administracyjna, w zakresie komunikacji i budowani</w:t>
            </w:r>
            <w:r w:rsidR="00E77EBE" w:rsidRPr="000D5BFC">
              <w:rPr>
                <w:rFonts w:eastAsia="Times New Roman" w:cstheme="minorHAnsi"/>
                <w:iCs/>
                <w:sz w:val="24"/>
                <w:szCs w:val="24"/>
                <w:lang w:val="pl-PL" w:eastAsia="en-GB"/>
              </w:rPr>
              <w:t>a</w:t>
            </w:r>
            <w:r w:rsidRPr="00F879CC">
              <w:rPr>
                <w:rFonts w:eastAsia="Times New Roman" w:cstheme="minorHAnsi"/>
                <w:iCs/>
                <w:sz w:val="24"/>
                <w:szCs w:val="24"/>
                <w:lang w:val="pl-PL" w:eastAsia="en-GB"/>
              </w:rPr>
              <w:t xml:space="preserve"> zdolności dla odpowiednich interesariuszy;</w:t>
            </w:r>
          </w:p>
          <w:p w14:paraId="2CF0CCCB" w14:textId="77777777" w:rsidR="009626AA" w:rsidRPr="00F879CC" w:rsidRDefault="009626AA" w:rsidP="00E77EBE">
            <w:pPr>
              <w:pStyle w:val="Akapitzlist"/>
              <w:numPr>
                <w:ilvl w:val="0"/>
                <w:numId w:val="11"/>
              </w:numPr>
              <w:rPr>
                <w:rFonts w:eastAsia="Times New Roman" w:cstheme="minorHAnsi"/>
                <w:iCs/>
                <w:sz w:val="24"/>
                <w:szCs w:val="24"/>
                <w:lang w:val="pl-PL" w:eastAsia="en-GB"/>
              </w:rPr>
            </w:pPr>
            <w:r w:rsidRPr="00F879CC">
              <w:rPr>
                <w:rFonts w:eastAsia="Times New Roman" w:cstheme="minorHAnsi"/>
                <w:iCs/>
                <w:sz w:val="24"/>
                <w:szCs w:val="24"/>
                <w:lang w:val="pl-PL" w:eastAsia="en-GB"/>
              </w:rPr>
              <w:t>lepsze wsparcie administracyjne i techniczne dla SUE RMB w zarządzaniu, opracowywaniu i wdrażaniu;</w:t>
            </w:r>
          </w:p>
          <w:p w14:paraId="301DECC2" w14:textId="61516824" w:rsidR="005A13B0" w:rsidRPr="00F879CC" w:rsidRDefault="009626AA" w:rsidP="00E77EBE">
            <w:pPr>
              <w:pStyle w:val="Akapitzlist"/>
              <w:numPr>
                <w:ilvl w:val="0"/>
                <w:numId w:val="11"/>
              </w:numPr>
              <w:rPr>
                <w:rFonts w:eastAsia="Times New Roman" w:cstheme="minorHAnsi"/>
                <w:b/>
                <w:sz w:val="24"/>
                <w:szCs w:val="24"/>
                <w:lang w:val="pl-PL" w:eastAsia="en-GB"/>
              </w:rPr>
            </w:pPr>
            <w:r w:rsidRPr="00F879CC">
              <w:rPr>
                <w:rFonts w:eastAsia="Times New Roman" w:cstheme="minorHAnsi"/>
                <w:iCs/>
                <w:sz w:val="24"/>
                <w:szCs w:val="24"/>
                <w:lang w:val="pl-PL" w:eastAsia="en-GB"/>
              </w:rPr>
              <w:t>większe zaangażowanie polityków, różn</w:t>
            </w:r>
            <w:r w:rsidR="00E77EBE" w:rsidRPr="000D5BFC">
              <w:rPr>
                <w:rFonts w:eastAsia="Times New Roman" w:cstheme="minorHAnsi"/>
                <w:iCs/>
                <w:sz w:val="24"/>
                <w:szCs w:val="24"/>
                <w:lang w:val="pl-PL" w:eastAsia="en-GB"/>
              </w:rPr>
              <w:t>ych</w:t>
            </w:r>
            <w:r w:rsidRPr="00F879CC">
              <w:rPr>
                <w:rFonts w:eastAsia="Times New Roman" w:cstheme="minorHAnsi"/>
                <w:iCs/>
                <w:sz w:val="24"/>
                <w:szCs w:val="24"/>
                <w:lang w:val="pl-PL" w:eastAsia="en-GB"/>
              </w:rPr>
              <w:t xml:space="preserve"> poziom</w:t>
            </w:r>
            <w:r w:rsidR="00E77EBE" w:rsidRPr="000D5BFC">
              <w:rPr>
                <w:rFonts w:eastAsia="Times New Roman" w:cstheme="minorHAnsi"/>
                <w:iCs/>
                <w:sz w:val="24"/>
                <w:szCs w:val="24"/>
                <w:lang w:val="pl-PL" w:eastAsia="en-GB"/>
              </w:rPr>
              <w:t>ów</w:t>
            </w:r>
            <w:r w:rsidRPr="00F879CC">
              <w:rPr>
                <w:rFonts w:eastAsia="Times New Roman" w:cstheme="minorHAnsi"/>
                <w:iCs/>
                <w:sz w:val="24"/>
                <w:szCs w:val="24"/>
                <w:lang w:val="pl-PL" w:eastAsia="en-GB"/>
              </w:rPr>
              <w:t xml:space="preserve"> zarządzania oraz społeczeństw</w:t>
            </w:r>
            <w:r w:rsidR="00E77EBE" w:rsidRPr="000D5BFC">
              <w:rPr>
                <w:rFonts w:eastAsia="Times New Roman" w:cstheme="minorHAnsi"/>
                <w:iCs/>
                <w:sz w:val="24"/>
                <w:szCs w:val="24"/>
                <w:lang w:val="pl-PL" w:eastAsia="en-GB"/>
              </w:rPr>
              <w:t>a</w:t>
            </w:r>
            <w:r w:rsidRPr="00F879CC">
              <w:rPr>
                <w:rFonts w:eastAsia="Times New Roman" w:cstheme="minorHAnsi"/>
                <w:iCs/>
                <w:sz w:val="24"/>
                <w:szCs w:val="24"/>
                <w:lang w:val="pl-PL" w:eastAsia="en-GB"/>
              </w:rPr>
              <w:t xml:space="preserve"> obywatelskie</w:t>
            </w:r>
            <w:r w:rsidR="00E77EBE" w:rsidRPr="000D5BFC">
              <w:rPr>
                <w:rFonts w:eastAsia="Times New Roman" w:cstheme="minorHAnsi"/>
                <w:iCs/>
                <w:sz w:val="24"/>
                <w:szCs w:val="24"/>
                <w:lang w:val="pl-PL" w:eastAsia="en-GB"/>
              </w:rPr>
              <w:t>go</w:t>
            </w:r>
            <w:r w:rsidRPr="00F879CC">
              <w:rPr>
                <w:rFonts w:eastAsia="Times New Roman" w:cstheme="minorHAnsi"/>
                <w:iCs/>
                <w:sz w:val="24"/>
                <w:szCs w:val="24"/>
                <w:lang w:val="pl-PL" w:eastAsia="en-GB"/>
              </w:rPr>
              <w:t>.</w:t>
            </w:r>
          </w:p>
        </w:tc>
      </w:tr>
    </w:tbl>
    <w:p w14:paraId="1D1B3A27" w14:textId="77777777" w:rsidR="004421D3" w:rsidRPr="00F879CC" w:rsidRDefault="004421D3" w:rsidP="004421D3">
      <w:pPr>
        <w:spacing w:before="240" w:after="240" w:line="240" w:lineRule="auto"/>
        <w:ind w:left="360"/>
        <w:jc w:val="both"/>
        <w:rPr>
          <w:rFonts w:asciiTheme="minorHAnsi" w:eastAsia="Times New Roman" w:hAnsiTheme="minorHAnsi" w:cstheme="minorHAnsi"/>
          <w:b/>
          <w:szCs w:val="24"/>
          <w:lang w:val="pl-PL" w:eastAsia="en-GB"/>
        </w:rPr>
      </w:pPr>
    </w:p>
    <w:p w14:paraId="161605ED" w14:textId="77777777" w:rsidR="00A56537" w:rsidRDefault="009626AA" w:rsidP="00A56537">
      <w:pPr>
        <w:pStyle w:val="Nagwek1"/>
        <w:numPr>
          <w:ilvl w:val="0"/>
          <w:numId w:val="5"/>
        </w:numPr>
        <w:rPr>
          <w:rFonts w:eastAsia="Times New Roman"/>
          <w:lang w:val="pl-PL" w:eastAsia="en-GB"/>
        </w:rPr>
      </w:pPr>
      <w:bookmarkStart w:id="34" w:name="_Toc73432978"/>
      <w:r w:rsidRPr="00A56537">
        <w:rPr>
          <w:rFonts w:eastAsia="Times New Roman"/>
          <w:lang w:val="pl-PL" w:eastAsia="en-GB"/>
        </w:rPr>
        <w:t>Priorytety</w:t>
      </w:r>
      <w:bookmarkEnd w:id="34"/>
      <w:r w:rsidR="00F50542" w:rsidRPr="00A56537">
        <w:rPr>
          <w:rFonts w:eastAsia="Times New Roman"/>
          <w:lang w:val="pl-PL" w:eastAsia="en-GB"/>
        </w:rPr>
        <w:t xml:space="preserve"> </w:t>
      </w:r>
    </w:p>
    <w:p w14:paraId="3892A0F1" w14:textId="65EE241C" w:rsidR="00F50542" w:rsidRPr="00A56537" w:rsidRDefault="00F50542" w:rsidP="00361BD5">
      <w:pPr>
        <w:rPr>
          <w:lang w:val="pl-PL" w:eastAsia="en-GB"/>
        </w:rPr>
      </w:pPr>
      <w:r w:rsidRPr="00A56537">
        <w:rPr>
          <w:lang w:val="pl-PL" w:eastAsia="en-GB"/>
        </w:rPr>
        <w:t>[300]</w:t>
      </w:r>
    </w:p>
    <w:p w14:paraId="6C350EEC" w14:textId="117A37F8" w:rsidR="00F50542" w:rsidRPr="00F879CC" w:rsidRDefault="005940A8" w:rsidP="00F879CC">
      <w:pPr>
        <w:spacing w:after="200" w:line="276" w:lineRule="auto"/>
        <w:contextualSpacing/>
        <w:rPr>
          <w:rFonts w:asciiTheme="minorHAnsi" w:eastAsia="Times New Roman" w:hAnsiTheme="minorHAnsi" w:cstheme="minorHAnsi"/>
          <w:szCs w:val="24"/>
          <w:lang w:val="pl-PL" w:eastAsia="en-GB"/>
        </w:rPr>
      </w:pPr>
      <w:bookmarkStart w:id="35" w:name="OLE_LINK125"/>
      <w:bookmarkStart w:id="36" w:name="OLE_LINK126"/>
      <w:bookmarkStart w:id="37" w:name="OLE_LINK130"/>
      <w:bookmarkStart w:id="38" w:name="OLE_LINK131"/>
      <w:r w:rsidRPr="00F879CC">
        <w:rPr>
          <w:rFonts w:asciiTheme="minorHAnsi" w:eastAsia="Times New Roman" w:hAnsiTheme="minorHAnsi" w:cstheme="minorHAnsi"/>
          <w:szCs w:val="24"/>
          <w:lang w:val="pl-PL" w:eastAsia="en-GB"/>
        </w:rPr>
        <w:t>Dotyczy</w:t>
      </w:r>
      <w:r w:rsidR="00F50542" w:rsidRPr="00F879CC">
        <w:rPr>
          <w:rFonts w:asciiTheme="minorHAnsi" w:eastAsia="Times New Roman" w:hAnsiTheme="minorHAnsi" w:cstheme="minorHAnsi"/>
          <w:szCs w:val="24"/>
          <w:lang w:val="pl-PL" w:eastAsia="en-GB"/>
        </w:rPr>
        <w:t xml:space="preserve">: </w:t>
      </w:r>
      <w:r w:rsidR="00C05222" w:rsidRPr="00F879CC">
        <w:rPr>
          <w:rFonts w:asciiTheme="minorHAnsi" w:eastAsia="Times New Roman" w:hAnsiTheme="minorHAnsi" w:cstheme="minorHAnsi"/>
          <w:szCs w:val="24"/>
          <w:lang w:val="pl-PL" w:eastAsia="en-GB"/>
        </w:rPr>
        <w:t>a</w:t>
      </w:r>
      <w:r w:rsidRPr="00F879CC">
        <w:rPr>
          <w:rFonts w:asciiTheme="minorHAnsi" w:eastAsia="Times New Roman" w:hAnsiTheme="minorHAnsi" w:cstheme="minorHAnsi"/>
          <w:szCs w:val="24"/>
          <w:lang w:val="pl-PL" w:eastAsia="en-GB"/>
        </w:rPr>
        <w:t xml:space="preserve">rt. 17 ust. 4 lit. d) </w:t>
      </w:r>
      <w:bookmarkEnd w:id="35"/>
      <w:bookmarkEnd w:id="36"/>
      <w:r w:rsidRPr="00F879CC">
        <w:rPr>
          <w:rFonts w:asciiTheme="minorHAnsi" w:eastAsia="Times New Roman" w:hAnsiTheme="minorHAnsi" w:cstheme="minorHAnsi"/>
          <w:szCs w:val="24"/>
          <w:lang w:val="pl-PL" w:eastAsia="en-GB"/>
        </w:rPr>
        <w:t>i e)</w:t>
      </w:r>
      <w:bookmarkEnd w:id="37"/>
      <w:bookmarkEnd w:id="38"/>
    </w:p>
    <w:p w14:paraId="6204291B" w14:textId="77777777" w:rsidR="000E6D89" w:rsidRDefault="000E6D89" w:rsidP="000E6D89">
      <w:pPr>
        <w:rPr>
          <w:rFonts w:eastAsia="Times New Roman"/>
          <w:lang w:val="pl-PL" w:eastAsia="en-GB"/>
        </w:rPr>
      </w:pPr>
    </w:p>
    <w:p w14:paraId="4A8A579D" w14:textId="54A9C8A0" w:rsidR="00F50542" w:rsidRPr="00F879CC" w:rsidRDefault="00B32B6B" w:rsidP="000E6D89">
      <w:pPr>
        <w:rPr>
          <w:rFonts w:asciiTheme="minorHAnsi" w:eastAsia="Times New Roman" w:hAnsiTheme="minorHAnsi" w:cstheme="minorHAnsi"/>
          <w:b/>
          <w:sz w:val="26"/>
          <w:szCs w:val="26"/>
          <w:lang w:val="pl-PL" w:eastAsia="en-GB"/>
        </w:rPr>
      </w:pPr>
      <w:r>
        <w:rPr>
          <w:rFonts w:eastAsia="Times New Roman"/>
          <w:lang w:val="pl-PL" w:eastAsia="en-GB"/>
        </w:rPr>
        <w:t xml:space="preserve">2.1 </w:t>
      </w:r>
      <w:r w:rsidR="005940A8" w:rsidRPr="00F879CC">
        <w:rPr>
          <w:lang w:val="pl-PL" w:eastAsia="en-GB"/>
        </w:rPr>
        <w:t>Nazwa priorytetu</w:t>
      </w:r>
      <w:r w:rsidR="00F50542" w:rsidRPr="00F879CC">
        <w:rPr>
          <w:lang w:val="pl-PL" w:eastAsia="en-GB"/>
        </w:rPr>
        <w:t xml:space="preserve"> </w:t>
      </w:r>
      <w:r w:rsidR="00F50542" w:rsidRPr="00F879CC">
        <w:rPr>
          <w:rFonts w:asciiTheme="minorHAnsi" w:eastAsia="Times New Roman" w:hAnsiTheme="minorHAnsi" w:cstheme="minorHAnsi"/>
          <w:sz w:val="26"/>
          <w:szCs w:val="26"/>
          <w:lang w:val="pl-PL" w:eastAsia="en-GB"/>
        </w:rPr>
        <w:t>(</w:t>
      </w:r>
      <w:r w:rsidR="005940A8" w:rsidRPr="00F879CC">
        <w:rPr>
          <w:rFonts w:asciiTheme="minorHAnsi" w:eastAsia="Times New Roman" w:hAnsiTheme="minorHAnsi" w:cstheme="minorHAnsi"/>
          <w:sz w:val="26"/>
          <w:szCs w:val="26"/>
          <w:lang w:val="pl-PL" w:eastAsia="en-GB"/>
        </w:rPr>
        <w:t>powtórzona dla każdego priorytetu</w:t>
      </w:r>
      <w:r w:rsidR="00F50542" w:rsidRPr="00F879CC">
        <w:rPr>
          <w:rFonts w:asciiTheme="minorHAnsi" w:eastAsia="Times New Roman" w:hAnsiTheme="minorHAnsi" w:cstheme="minorHAnsi"/>
          <w:sz w:val="26"/>
          <w:szCs w:val="26"/>
          <w:lang w:val="pl-PL" w:eastAsia="en-GB"/>
        </w:rPr>
        <w:t>)</w:t>
      </w:r>
    </w:p>
    <w:p w14:paraId="385000D2" w14:textId="4D30C6CF" w:rsidR="00F50542" w:rsidRPr="00F879CC" w:rsidRDefault="005940A8" w:rsidP="00F879CC">
      <w:pPr>
        <w:spacing w:after="200" w:line="276" w:lineRule="auto"/>
        <w:rPr>
          <w:rFonts w:asciiTheme="minorHAnsi" w:eastAsia="Times New Roman" w:hAnsiTheme="minorHAnsi" w:cstheme="minorHAnsi"/>
          <w:szCs w:val="24"/>
          <w:lang w:val="pl-PL" w:eastAsia="en-GB"/>
        </w:rPr>
      </w:pPr>
      <w:bookmarkStart w:id="39" w:name="OLE_LINK132"/>
      <w:bookmarkStart w:id="40" w:name="OLE_LINK133"/>
      <w:r w:rsidRPr="00F879CC">
        <w:rPr>
          <w:rFonts w:asciiTheme="minorHAnsi" w:eastAsia="Times New Roman" w:hAnsiTheme="minorHAnsi" w:cstheme="minorHAnsi"/>
          <w:szCs w:val="24"/>
          <w:lang w:val="pl-PL" w:eastAsia="en-GB"/>
        </w:rPr>
        <w:t>Dotyczy: Art. 17 ust. 4 lit. d)</w:t>
      </w:r>
      <w:bookmarkEnd w:id="39"/>
      <w:bookmarkEnd w:id="40"/>
    </w:p>
    <w:p w14:paraId="703C4982" w14:textId="50C1CCA7" w:rsidR="00F50542" w:rsidRPr="008A31C9" w:rsidRDefault="0065278D" w:rsidP="008A31C9">
      <w:pPr>
        <w:pStyle w:val="Nagwek2"/>
        <w:rPr>
          <w:rFonts w:eastAsia="Times New Roman"/>
          <w:color w:val="auto"/>
          <w:sz w:val="28"/>
          <w:lang w:val="en-IE" w:eastAsia="en-GB"/>
        </w:rPr>
      </w:pPr>
      <w:bookmarkStart w:id="41" w:name="_Toc73432979"/>
      <w:r w:rsidRPr="008A31C9">
        <w:rPr>
          <w:rFonts w:eastAsia="Times New Roman"/>
          <w:color w:val="auto"/>
          <w:sz w:val="28"/>
          <w:lang w:val="en-IE" w:eastAsia="en-GB"/>
        </w:rPr>
        <w:t xml:space="preserve">1. </w:t>
      </w:r>
      <w:r w:rsidR="005940A8" w:rsidRPr="008A31C9">
        <w:rPr>
          <w:rFonts w:eastAsia="Times New Roman"/>
          <w:color w:val="auto"/>
          <w:sz w:val="28"/>
          <w:lang w:val="pl-PL" w:eastAsia="en-GB"/>
        </w:rPr>
        <w:t>Innowacyjne społeczeństwa</w:t>
      </w:r>
      <w:bookmarkEnd w:id="41"/>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F50542" w:rsidRPr="00A56C60" w14:paraId="5FD0D46E" w14:textId="77777777" w:rsidTr="00EE1A8F">
        <w:tc>
          <w:tcPr>
            <w:tcW w:w="9322" w:type="dxa"/>
          </w:tcPr>
          <w:p w14:paraId="53DCFC88" w14:textId="438A0D7E" w:rsidR="00F50542" w:rsidRPr="00F879CC" w:rsidRDefault="00F50542" w:rsidP="00E53E1B">
            <w:pPr>
              <w:spacing w:line="240" w:lineRule="auto"/>
              <w:rPr>
                <w:rFonts w:asciiTheme="minorHAnsi" w:eastAsia="Calibri" w:hAnsiTheme="minorHAnsi" w:cstheme="minorHAnsi"/>
                <w:szCs w:val="24"/>
                <w:lang w:val="pl-PL" w:eastAsia="en-GB"/>
              </w:rPr>
            </w:pPr>
            <w:r w:rsidRPr="00F42A23">
              <w:rPr>
                <w:rFonts w:asciiTheme="minorHAnsi" w:eastAsia="Calibri" w:hAnsiTheme="minorHAnsi" w:cstheme="minorHAnsi"/>
                <w:szCs w:val="24"/>
                <w:lang w:val="en-IE" w:eastAsia="en-GB"/>
              </w:rPr>
              <w:fldChar w:fldCharType="begin">
                <w:ffData>
                  <w:name w:val="Check1"/>
                  <w:enabled/>
                  <w:calcOnExit w:val="0"/>
                  <w:checkBox>
                    <w:sizeAuto/>
                    <w:default w:val="0"/>
                  </w:checkBox>
                </w:ffData>
              </w:fldChar>
            </w:r>
            <w:r w:rsidRPr="00F42A23">
              <w:rPr>
                <w:rFonts w:asciiTheme="minorHAnsi" w:eastAsia="Calibri" w:hAnsiTheme="minorHAnsi" w:cstheme="minorHAnsi"/>
                <w:szCs w:val="24"/>
                <w:lang w:val="pl-PL" w:eastAsia="en-GB"/>
              </w:rPr>
              <w:instrText xml:space="preserve"> FORMCHECKBOX </w:instrText>
            </w:r>
            <w:r w:rsidR="00C93217">
              <w:rPr>
                <w:rFonts w:asciiTheme="minorHAnsi" w:eastAsia="Calibri" w:hAnsiTheme="minorHAnsi" w:cstheme="minorHAnsi"/>
                <w:szCs w:val="24"/>
                <w:lang w:val="en-IE" w:eastAsia="en-GB"/>
              </w:rPr>
            </w:r>
            <w:r w:rsidR="00C93217">
              <w:rPr>
                <w:rFonts w:asciiTheme="minorHAnsi" w:eastAsia="Calibri" w:hAnsiTheme="minorHAnsi" w:cstheme="minorHAnsi"/>
                <w:szCs w:val="24"/>
                <w:lang w:val="en-IE" w:eastAsia="en-GB"/>
              </w:rPr>
              <w:fldChar w:fldCharType="separate"/>
            </w:r>
            <w:r w:rsidRPr="00F42A23">
              <w:rPr>
                <w:rFonts w:asciiTheme="minorHAnsi" w:eastAsia="Calibri" w:hAnsiTheme="minorHAnsi" w:cstheme="minorHAnsi"/>
                <w:szCs w:val="24"/>
                <w:lang w:val="en-IE" w:eastAsia="en-GB"/>
              </w:rPr>
              <w:fldChar w:fldCharType="end"/>
            </w:r>
            <w:r w:rsidRPr="00F42A23">
              <w:rPr>
                <w:rFonts w:asciiTheme="minorHAnsi" w:eastAsia="Calibri" w:hAnsiTheme="minorHAnsi" w:cstheme="minorHAnsi"/>
                <w:szCs w:val="24"/>
                <w:lang w:val="pl-PL" w:eastAsia="en-GB"/>
              </w:rPr>
              <w:t xml:space="preserve"> </w:t>
            </w:r>
            <w:r w:rsidR="005B0969" w:rsidRPr="00F42A23">
              <w:rPr>
                <w:rFonts w:asciiTheme="minorHAnsi" w:eastAsia="Calibri" w:hAnsiTheme="minorHAnsi" w:cstheme="minorHAnsi"/>
                <w:szCs w:val="24"/>
                <w:lang w:val="pl-PL" w:eastAsia="en-GB"/>
              </w:rPr>
              <w:t>A</w:t>
            </w:r>
            <w:r w:rsidR="005940A8" w:rsidRPr="00F42A23">
              <w:rPr>
                <w:rFonts w:asciiTheme="minorHAnsi" w:eastAsia="Calibri" w:hAnsiTheme="minorHAnsi" w:cstheme="minorHAnsi"/>
                <w:szCs w:val="24"/>
                <w:lang w:val="pl-PL" w:eastAsia="en-GB"/>
              </w:rPr>
              <w:t>rt. 17 ust. 3</w:t>
            </w:r>
          </w:p>
        </w:tc>
      </w:tr>
    </w:tbl>
    <w:p w14:paraId="697276CC" w14:textId="030355E5" w:rsidR="00F50542" w:rsidRPr="00F879CC" w:rsidRDefault="00F50542" w:rsidP="00F879CC">
      <w:pPr>
        <w:spacing w:before="240" w:after="240" w:line="276" w:lineRule="auto"/>
        <w:ind w:left="709" w:hanging="709"/>
        <w:rPr>
          <w:rFonts w:asciiTheme="minorHAnsi" w:eastAsia="Times New Roman" w:hAnsiTheme="minorHAnsi" w:cstheme="minorHAnsi"/>
          <w:iCs/>
          <w:szCs w:val="24"/>
          <w:lang w:val="pl-PL" w:eastAsia="en-GB"/>
        </w:rPr>
      </w:pPr>
      <w:r w:rsidRPr="00F879CC">
        <w:rPr>
          <w:rFonts w:asciiTheme="minorHAnsi" w:eastAsia="Times New Roman" w:hAnsiTheme="minorHAnsi" w:cstheme="minorHAnsi"/>
          <w:b/>
          <w:iCs/>
          <w:szCs w:val="24"/>
          <w:lang w:val="pl-PL" w:eastAsia="en-GB"/>
        </w:rPr>
        <w:lastRenderedPageBreak/>
        <w:t>2.1.1.</w:t>
      </w:r>
      <w:r w:rsidRPr="00F879CC">
        <w:rPr>
          <w:rFonts w:asciiTheme="minorHAnsi" w:eastAsia="Times New Roman" w:hAnsiTheme="minorHAnsi" w:cstheme="minorHAnsi"/>
          <w:b/>
          <w:iCs/>
          <w:szCs w:val="24"/>
          <w:lang w:val="pl-PL" w:eastAsia="en-GB"/>
        </w:rPr>
        <w:tab/>
      </w:r>
      <w:r w:rsidR="005940A8" w:rsidRPr="00F879CC">
        <w:rPr>
          <w:rFonts w:asciiTheme="minorHAnsi" w:eastAsia="Times New Roman" w:hAnsiTheme="minorHAnsi" w:cstheme="minorHAnsi"/>
          <w:b/>
          <w:iCs/>
          <w:szCs w:val="24"/>
          <w:lang w:val="pl-PL" w:eastAsia="en-GB"/>
        </w:rPr>
        <w:t>Cel szczegółowy iv) rozwijanie umiejętności w zakresie inteligentnej specjalizacji, transformacji przemysłowej i przedsiębiorczości.</w:t>
      </w:r>
    </w:p>
    <w:p w14:paraId="67444D18" w14:textId="60D49CBE" w:rsidR="00F50542" w:rsidRPr="00F879CC" w:rsidRDefault="005940A8" w:rsidP="00F879CC">
      <w:pPr>
        <w:spacing w:after="200" w:line="276" w:lineRule="auto"/>
        <w:rPr>
          <w:rFonts w:asciiTheme="minorHAnsi" w:eastAsia="Times New Roman" w:hAnsiTheme="minorHAnsi" w:cstheme="minorHAnsi"/>
          <w:szCs w:val="24"/>
          <w:lang w:val="pl-PL" w:eastAsia="en-GB"/>
        </w:rPr>
      </w:pPr>
      <w:r w:rsidRPr="00F879CC">
        <w:rPr>
          <w:rFonts w:asciiTheme="minorHAnsi" w:eastAsia="Times New Roman" w:hAnsiTheme="minorHAnsi" w:cstheme="minorHAnsi"/>
          <w:szCs w:val="24"/>
          <w:lang w:val="pl-PL" w:eastAsia="en-GB"/>
        </w:rPr>
        <w:t>Do</w:t>
      </w:r>
      <w:r w:rsidR="00C05222" w:rsidRPr="00F879CC">
        <w:rPr>
          <w:rFonts w:asciiTheme="minorHAnsi" w:eastAsia="Times New Roman" w:hAnsiTheme="minorHAnsi" w:cstheme="minorHAnsi"/>
          <w:szCs w:val="24"/>
          <w:lang w:val="pl-PL" w:eastAsia="en-GB"/>
        </w:rPr>
        <w:t>tyczy: a</w:t>
      </w:r>
      <w:r w:rsidRPr="00F879CC">
        <w:rPr>
          <w:rFonts w:asciiTheme="minorHAnsi" w:eastAsia="Times New Roman" w:hAnsiTheme="minorHAnsi" w:cstheme="minorHAnsi"/>
          <w:szCs w:val="24"/>
          <w:lang w:val="pl-PL" w:eastAsia="en-GB"/>
        </w:rPr>
        <w:t>rt. 17 ust. 4 lit. e)</w:t>
      </w:r>
    </w:p>
    <w:p w14:paraId="424E7B85" w14:textId="6B2B43C4" w:rsidR="00F50542" w:rsidRPr="00F879CC" w:rsidRDefault="00F50542" w:rsidP="00ED126B">
      <w:pPr>
        <w:spacing w:before="240" w:after="240" w:line="276" w:lineRule="auto"/>
        <w:ind w:left="709" w:hanging="709"/>
        <w:rPr>
          <w:rFonts w:asciiTheme="minorHAnsi" w:eastAsia="Times New Roman" w:hAnsiTheme="minorHAnsi" w:cstheme="minorHAnsi"/>
          <w:iCs/>
          <w:szCs w:val="24"/>
          <w:lang w:val="pl-PL" w:eastAsia="en-GB"/>
        </w:rPr>
      </w:pPr>
      <w:r w:rsidRPr="00F879CC">
        <w:rPr>
          <w:rFonts w:asciiTheme="minorHAnsi" w:eastAsia="Times New Roman" w:hAnsiTheme="minorHAnsi" w:cstheme="minorHAnsi"/>
          <w:b/>
          <w:iCs/>
          <w:szCs w:val="24"/>
          <w:lang w:val="pl-PL" w:eastAsia="en-GB"/>
        </w:rPr>
        <w:t>2.1.</w:t>
      </w:r>
      <w:r w:rsidR="000E01AC" w:rsidRPr="00F879CC">
        <w:rPr>
          <w:rFonts w:asciiTheme="minorHAnsi" w:eastAsia="Times New Roman" w:hAnsiTheme="minorHAnsi" w:cstheme="minorHAnsi"/>
          <w:b/>
          <w:iCs/>
          <w:szCs w:val="24"/>
          <w:lang w:val="pl-PL" w:eastAsia="en-GB"/>
        </w:rPr>
        <w:t>1.1</w:t>
      </w:r>
      <w:r w:rsidRPr="00F879CC">
        <w:rPr>
          <w:rFonts w:asciiTheme="minorHAnsi" w:eastAsia="Times New Roman" w:hAnsiTheme="minorHAnsi" w:cstheme="minorHAnsi"/>
          <w:b/>
          <w:iCs/>
          <w:szCs w:val="24"/>
          <w:lang w:val="pl-PL" w:eastAsia="en-GB"/>
        </w:rPr>
        <w:tab/>
      </w:r>
      <w:r w:rsidR="006766CC">
        <w:rPr>
          <w:rFonts w:asciiTheme="minorHAnsi" w:eastAsia="Times New Roman" w:hAnsiTheme="minorHAnsi" w:cstheme="minorHAnsi"/>
          <w:b/>
          <w:iCs/>
          <w:szCs w:val="24"/>
          <w:lang w:val="pl-PL" w:eastAsia="en-GB"/>
        </w:rPr>
        <w:t xml:space="preserve"> </w:t>
      </w:r>
      <w:r w:rsidR="005940A8" w:rsidRPr="00F879CC">
        <w:rPr>
          <w:rFonts w:asciiTheme="minorHAnsi" w:eastAsia="Times New Roman" w:hAnsiTheme="minorHAnsi" w:cstheme="minorHAnsi"/>
          <w:b/>
          <w:iCs/>
          <w:szCs w:val="24"/>
          <w:lang w:val="pl-PL" w:eastAsia="en-GB"/>
        </w:rPr>
        <w:t>Powiązane rodzaje działań i ich oczekiwany wkład w realizację tych celów szczegółowych oraz, w stosownych przypadkach, strategii makroregionalnych i basenów morskich</w:t>
      </w:r>
    </w:p>
    <w:p w14:paraId="57E56313" w14:textId="5F2D70D8" w:rsidR="00F50542" w:rsidRPr="00F879CC" w:rsidRDefault="00C05222" w:rsidP="00F879CC">
      <w:pPr>
        <w:spacing w:after="200" w:line="276" w:lineRule="auto"/>
        <w:rPr>
          <w:rFonts w:asciiTheme="minorHAnsi" w:eastAsia="Times New Roman" w:hAnsiTheme="minorHAnsi" w:cstheme="minorHAnsi"/>
          <w:szCs w:val="24"/>
          <w:lang w:val="pl-PL" w:eastAsia="en-GB"/>
        </w:rPr>
      </w:pPr>
      <w:r w:rsidRPr="00F879CC">
        <w:rPr>
          <w:rFonts w:asciiTheme="minorHAnsi" w:eastAsia="Times New Roman" w:hAnsiTheme="minorHAnsi" w:cstheme="minorHAnsi"/>
          <w:szCs w:val="24"/>
          <w:lang w:val="pl-PL" w:eastAsia="en-GB"/>
        </w:rPr>
        <w:t>Dotyczy: art. 17 ust. 4 lit. e) ppkt. (</w:t>
      </w:r>
      <w:r w:rsidR="001D28E2" w:rsidRPr="00F879CC">
        <w:rPr>
          <w:rFonts w:asciiTheme="minorHAnsi" w:eastAsia="Times New Roman" w:hAnsiTheme="minorHAnsi" w:cstheme="minorHAnsi"/>
          <w:szCs w:val="24"/>
          <w:lang w:val="pl-PL" w:eastAsia="en-GB"/>
        </w:rPr>
        <w:t>i)</w:t>
      </w:r>
      <w:r w:rsidR="00F50542" w:rsidRPr="00F879CC">
        <w:rPr>
          <w:rFonts w:asciiTheme="minorHAnsi" w:eastAsia="Times New Roman" w:hAnsiTheme="minorHAnsi" w:cstheme="minorHAnsi"/>
          <w:szCs w:val="24"/>
          <w:lang w:val="pl-PL" w:eastAsia="en-GB"/>
        </w:rPr>
        <w:t xml:space="preserve">, </w:t>
      </w:r>
      <w:r w:rsidR="001D28E2" w:rsidRPr="00F879CC">
        <w:rPr>
          <w:rFonts w:asciiTheme="minorHAnsi" w:eastAsia="Times New Roman" w:hAnsiTheme="minorHAnsi" w:cstheme="minorHAnsi"/>
          <w:szCs w:val="24"/>
          <w:lang w:val="pl-PL" w:eastAsia="en-GB"/>
        </w:rPr>
        <w:t>Art. 17 ust. 9 lit. c)</w:t>
      </w:r>
      <w:r w:rsidRPr="00F879CC">
        <w:rPr>
          <w:rFonts w:asciiTheme="minorHAnsi" w:eastAsia="Times New Roman" w:hAnsiTheme="minorHAnsi" w:cstheme="minorHAnsi"/>
          <w:szCs w:val="24"/>
          <w:lang w:val="pl-PL" w:eastAsia="en-GB"/>
        </w:rPr>
        <w:t xml:space="preserve"> ppkt. (</w:t>
      </w:r>
      <w:r w:rsidR="001D28E2" w:rsidRPr="00F879CC">
        <w:rPr>
          <w:rFonts w:asciiTheme="minorHAnsi" w:eastAsia="Times New Roman" w:hAnsiTheme="minorHAnsi" w:cstheme="minorHAnsi"/>
          <w:szCs w:val="24"/>
          <w:lang w:val="pl-PL" w:eastAsia="en-GB"/>
        </w:rPr>
        <w:t>ii)</w:t>
      </w:r>
    </w:p>
    <w:p w14:paraId="5E0C8BA1" w14:textId="1A7AC8D2" w:rsidR="00FC6A82" w:rsidRPr="00891B4E" w:rsidRDefault="001D28E2" w:rsidP="00035701">
      <w:pPr>
        <w:pStyle w:val="Nagwek3"/>
        <w:rPr>
          <w:color w:val="auto"/>
          <w:sz w:val="28"/>
          <w:lang w:val="pl-PL"/>
        </w:rPr>
      </w:pPr>
      <w:bookmarkStart w:id="42" w:name="_Toc73432980"/>
      <w:r w:rsidRPr="00891B4E">
        <w:rPr>
          <w:color w:val="auto"/>
          <w:sz w:val="28"/>
          <w:lang w:val="pl-PL"/>
        </w:rPr>
        <w:t xml:space="preserve">Cel </w:t>
      </w:r>
      <w:r w:rsidR="00A01360" w:rsidRPr="00891B4E">
        <w:rPr>
          <w:color w:val="auto"/>
          <w:sz w:val="28"/>
          <w:lang w:val="pl-PL"/>
        </w:rPr>
        <w:t xml:space="preserve">szczegółowy </w:t>
      </w:r>
      <w:r w:rsidR="00FC6A82" w:rsidRPr="00891B4E">
        <w:rPr>
          <w:color w:val="auto"/>
          <w:sz w:val="28"/>
          <w:lang w:val="pl-PL"/>
        </w:rPr>
        <w:t xml:space="preserve">1.1 </w:t>
      </w:r>
      <w:r w:rsidRPr="00891B4E">
        <w:rPr>
          <w:color w:val="auto"/>
          <w:sz w:val="28"/>
          <w:lang w:val="pl-PL"/>
        </w:rPr>
        <w:t>Odporne gospodarki i społeczności</w:t>
      </w:r>
      <w:bookmarkEnd w:id="42"/>
    </w:p>
    <w:p w14:paraId="225578F4" w14:textId="4EC1547C" w:rsidR="00FC6A82" w:rsidRPr="00F879CC" w:rsidRDefault="001D28E2"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b/>
          <w:szCs w:val="24"/>
          <w:lang w:val="pl-PL" w:eastAsia="en-GB"/>
        </w:rPr>
      </w:pPr>
      <w:r w:rsidRPr="00F879CC">
        <w:rPr>
          <w:rFonts w:asciiTheme="minorHAnsi" w:eastAsia="Times New Roman" w:hAnsiTheme="minorHAnsi" w:cstheme="minorHAnsi"/>
          <w:b/>
          <w:szCs w:val="24"/>
          <w:lang w:val="pl-PL" w:eastAsia="en-GB"/>
        </w:rPr>
        <w:t>Wprowadzenie do działań</w:t>
      </w:r>
    </w:p>
    <w:p w14:paraId="440DFDD6" w14:textId="75D3AC70" w:rsidR="00FC6A82" w:rsidRPr="00F879CC" w:rsidRDefault="004F0C47"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F879CC">
        <w:rPr>
          <w:rFonts w:asciiTheme="minorHAnsi" w:eastAsia="Times New Roman" w:hAnsiTheme="minorHAnsi" w:cstheme="minorHAnsi"/>
          <w:szCs w:val="24"/>
          <w:lang w:val="pl-PL" w:eastAsia="en-GB"/>
        </w:rPr>
        <w:t xml:space="preserve">Innowacyjne i odporne gospodarki i społeczeństwa są niezbędne dla długoterminowego dobrobytu regionu Morza Bałtyckiego. W tym celu, Program wspiera działania zwiększające </w:t>
      </w:r>
      <w:r w:rsidRPr="00F879CC">
        <w:rPr>
          <w:rFonts w:asciiTheme="minorHAnsi" w:eastAsia="Times New Roman" w:hAnsiTheme="minorHAnsi" w:cstheme="minorHAnsi"/>
          <w:szCs w:val="24"/>
          <w:u w:val="single"/>
          <w:lang w:val="pl-PL" w:eastAsia="en-GB"/>
        </w:rPr>
        <w:t>odporność</w:t>
      </w:r>
      <w:r w:rsidRPr="00F879CC">
        <w:rPr>
          <w:rFonts w:asciiTheme="minorHAnsi" w:eastAsia="Times New Roman" w:hAnsiTheme="minorHAnsi" w:cstheme="minorHAnsi"/>
          <w:szCs w:val="24"/>
          <w:lang w:val="pl-PL" w:eastAsia="en-GB"/>
        </w:rPr>
        <w:t xml:space="preserve"> zarówno </w:t>
      </w:r>
      <w:r w:rsidRPr="00F879CC">
        <w:rPr>
          <w:rFonts w:asciiTheme="minorHAnsi" w:eastAsia="Times New Roman" w:hAnsiTheme="minorHAnsi" w:cstheme="minorHAnsi"/>
          <w:szCs w:val="24"/>
          <w:u w:val="single"/>
          <w:lang w:val="pl-PL" w:eastAsia="en-GB"/>
        </w:rPr>
        <w:t>gospodarek</w:t>
      </w:r>
      <w:r w:rsidRPr="00F879CC">
        <w:rPr>
          <w:rFonts w:asciiTheme="minorHAnsi" w:eastAsia="Times New Roman" w:hAnsiTheme="minorHAnsi" w:cstheme="minorHAnsi"/>
          <w:szCs w:val="24"/>
          <w:lang w:val="pl-PL" w:eastAsia="en-GB"/>
        </w:rPr>
        <w:t xml:space="preserve">, jak </w:t>
      </w:r>
      <w:r w:rsidRPr="00F879CC">
        <w:rPr>
          <w:rFonts w:asciiTheme="minorHAnsi" w:eastAsia="Times New Roman" w:hAnsiTheme="minorHAnsi" w:cstheme="minorHAnsi"/>
          <w:szCs w:val="24"/>
          <w:u w:val="single"/>
          <w:lang w:val="pl-PL" w:eastAsia="en-GB"/>
        </w:rPr>
        <w:t>i społeczeństw</w:t>
      </w:r>
      <w:r w:rsidRPr="00F879CC">
        <w:rPr>
          <w:rFonts w:asciiTheme="minorHAnsi" w:eastAsia="Times New Roman" w:hAnsiTheme="minorHAnsi" w:cstheme="minorHAnsi"/>
          <w:szCs w:val="24"/>
          <w:lang w:val="pl-PL" w:eastAsia="en-GB"/>
        </w:rPr>
        <w:t>.</w:t>
      </w:r>
      <w:r w:rsidR="00FC6A82" w:rsidRPr="00F879CC">
        <w:rPr>
          <w:rFonts w:asciiTheme="minorHAnsi" w:eastAsia="Times New Roman" w:hAnsiTheme="minorHAnsi" w:cstheme="minorHAnsi"/>
          <w:szCs w:val="24"/>
          <w:lang w:val="pl-PL" w:eastAsia="en-GB"/>
        </w:rPr>
        <w:t xml:space="preserve"> </w:t>
      </w:r>
      <w:r w:rsidR="001D28E2" w:rsidRPr="00F879CC">
        <w:rPr>
          <w:rFonts w:asciiTheme="minorHAnsi" w:eastAsia="Times New Roman" w:hAnsiTheme="minorHAnsi" w:cstheme="minorHAnsi"/>
          <w:szCs w:val="24"/>
          <w:lang w:val="pl-PL" w:eastAsia="en-GB"/>
        </w:rPr>
        <w:t xml:space="preserve">Odporność określa zdolność reagowania na </w:t>
      </w:r>
      <w:r w:rsidR="001D28E2" w:rsidRPr="00F879CC">
        <w:rPr>
          <w:rFonts w:asciiTheme="minorHAnsi" w:eastAsia="Times New Roman" w:hAnsiTheme="minorHAnsi" w:cstheme="minorHAnsi"/>
          <w:szCs w:val="24"/>
          <w:u w:val="single"/>
          <w:lang w:val="pl-PL" w:eastAsia="en-GB"/>
        </w:rPr>
        <w:t>zewnętrzne zakłócenia</w:t>
      </w:r>
      <w:r w:rsidR="001D28E2" w:rsidRPr="00F879CC">
        <w:rPr>
          <w:rFonts w:asciiTheme="minorHAnsi" w:eastAsia="Times New Roman" w:hAnsiTheme="minorHAnsi" w:cstheme="minorHAnsi"/>
          <w:szCs w:val="24"/>
          <w:lang w:val="pl-PL" w:eastAsia="en-GB"/>
        </w:rPr>
        <w:t xml:space="preserve"> takie</w:t>
      </w:r>
      <w:r w:rsidR="000B7995">
        <w:rPr>
          <w:rFonts w:asciiTheme="minorHAnsi" w:eastAsia="Times New Roman" w:hAnsiTheme="minorHAnsi" w:cstheme="minorHAnsi"/>
          <w:szCs w:val="24"/>
          <w:lang w:val="pl-PL" w:eastAsia="en-GB"/>
        </w:rPr>
        <w:t>,</w:t>
      </w:r>
      <w:r w:rsidR="001D28E2" w:rsidRPr="00F879CC">
        <w:rPr>
          <w:rFonts w:asciiTheme="minorHAnsi" w:eastAsia="Times New Roman" w:hAnsiTheme="minorHAnsi" w:cstheme="minorHAnsi"/>
          <w:szCs w:val="24"/>
          <w:lang w:val="pl-PL" w:eastAsia="en-GB"/>
        </w:rPr>
        <w:t xml:space="preserve"> jak poważne recesje i kryzysy finansowe, pogorszenie koniunktury w poszczególnych branżach lub poważne kryzysy natury zdrowotnej</w:t>
      </w:r>
      <w:r w:rsidR="00FC6A82" w:rsidRPr="00F879CC">
        <w:rPr>
          <w:rFonts w:asciiTheme="minorHAnsi" w:eastAsia="Times New Roman" w:hAnsiTheme="minorHAnsi" w:cstheme="minorHAnsi"/>
          <w:szCs w:val="24"/>
          <w:lang w:val="pl-PL" w:eastAsia="en-GB"/>
        </w:rPr>
        <w:t xml:space="preserve">. </w:t>
      </w:r>
      <w:r w:rsidR="001D28E2" w:rsidRPr="00F879CC">
        <w:rPr>
          <w:rFonts w:asciiTheme="minorHAnsi" w:eastAsia="Times New Roman" w:hAnsiTheme="minorHAnsi" w:cstheme="minorHAnsi"/>
          <w:iCs/>
          <w:szCs w:val="24"/>
          <w:lang w:val="pl-PL" w:eastAsia="en-GB"/>
        </w:rPr>
        <w:t xml:space="preserve">Odporność odnosi się również do społeczeństwa charakteryzującego się silną spójnością społeczną i wspólnym systemem wartości. Nieoczekiwane wstrząsy mogą mieć bardzo silne i długotrwałe skutki. Dla gospodarek i społeczeństw regionu ważne jest, aby były w stanie </w:t>
      </w:r>
      <w:r w:rsidR="001D28E2" w:rsidRPr="00F879CC">
        <w:rPr>
          <w:rFonts w:asciiTheme="minorHAnsi" w:eastAsia="Times New Roman" w:hAnsiTheme="minorHAnsi" w:cstheme="minorHAnsi"/>
          <w:iCs/>
          <w:szCs w:val="24"/>
          <w:u w:val="single"/>
          <w:lang w:val="pl-PL" w:eastAsia="en-GB"/>
        </w:rPr>
        <w:t>uniknąć niepożądanych skutków zewnętrznych</w:t>
      </w:r>
      <w:r w:rsidR="006766CC">
        <w:rPr>
          <w:rFonts w:asciiTheme="minorHAnsi" w:eastAsia="Times New Roman" w:hAnsiTheme="minorHAnsi" w:cstheme="minorHAnsi"/>
          <w:iCs/>
          <w:szCs w:val="24"/>
          <w:u w:val="single"/>
          <w:lang w:val="pl-PL" w:eastAsia="en-GB"/>
        </w:rPr>
        <w:t>,</w:t>
      </w:r>
      <w:r w:rsidR="001D28E2" w:rsidRPr="00F879CC">
        <w:rPr>
          <w:rFonts w:asciiTheme="minorHAnsi" w:eastAsia="Times New Roman" w:hAnsiTheme="minorHAnsi" w:cstheme="minorHAnsi"/>
          <w:iCs/>
          <w:szCs w:val="24"/>
          <w:u w:val="single"/>
          <w:lang w:val="pl-PL" w:eastAsia="en-GB"/>
        </w:rPr>
        <w:t xml:space="preserve"> stawić im czoła lub szybko się z nich otrząsnąć</w:t>
      </w:r>
      <w:r w:rsidR="001D28E2" w:rsidRPr="00F879CC">
        <w:rPr>
          <w:rFonts w:asciiTheme="minorHAnsi" w:eastAsia="Times New Roman" w:hAnsiTheme="minorHAnsi" w:cstheme="minorHAnsi"/>
          <w:iCs/>
          <w:szCs w:val="24"/>
          <w:lang w:val="pl-PL" w:eastAsia="en-GB"/>
        </w:rPr>
        <w:t xml:space="preserve">. Oznacza to również możliwość </w:t>
      </w:r>
      <w:r w:rsidR="001D28E2" w:rsidRPr="00F879CC">
        <w:rPr>
          <w:rFonts w:asciiTheme="minorHAnsi" w:eastAsia="Times New Roman" w:hAnsiTheme="minorHAnsi" w:cstheme="minorHAnsi"/>
          <w:iCs/>
          <w:szCs w:val="24"/>
          <w:u w:val="single"/>
          <w:lang w:val="pl-PL" w:eastAsia="en-GB"/>
        </w:rPr>
        <w:t>wykrywania i monitorowania potencjalnych luk w zabezpieczeniach</w:t>
      </w:r>
      <w:r w:rsidR="00FC6A82" w:rsidRPr="00F879CC">
        <w:rPr>
          <w:rFonts w:asciiTheme="minorHAnsi" w:eastAsia="Times New Roman" w:hAnsiTheme="minorHAnsi" w:cstheme="minorHAnsi"/>
          <w:szCs w:val="24"/>
          <w:lang w:val="pl-PL" w:eastAsia="en-GB"/>
        </w:rPr>
        <w:t xml:space="preserve">. </w:t>
      </w:r>
      <w:r w:rsidRPr="00F879CC">
        <w:rPr>
          <w:rFonts w:asciiTheme="minorHAnsi" w:eastAsia="Times New Roman" w:hAnsiTheme="minorHAnsi" w:cstheme="minorHAnsi"/>
          <w:szCs w:val="24"/>
          <w:lang w:val="pl-PL" w:eastAsia="en-GB"/>
        </w:rPr>
        <w:t>Budowanie odporności RMB jest rozumiane, jako część europejskich wysiłków na rzecz osiągnięcia wyższego poziomu samowystarczalności w krytycznych sektorach oraz wzmocnienie tożsamości opartej na wspólnych europejskich wartościach, kulturze i dziedzictwie</w:t>
      </w:r>
      <w:r w:rsidR="00FC6A82" w:rsidRPr="00F879CC">
        <w:rPr>
          <w:rFonts w:asciiTheme="minorHAnsi" w:eastAsia="Times New Roman" w:hAnsiTheme="minorHAnsi" w:cstheme="minorHAnsi"/>
          <w:szCs w:val="24"/>
          <w:lang w:val="pl-PL" w:eastAsia="en-GB"/>
        </w:rPr>
        <w:t>.</w:t>
      </w:r>
    </w:p>
    <w:p w14:paraId="67CFC25F" w14:textId="0FAB5904" w:rsidR="00FC6A82" w:rsidRPr="00F879CC" w:rsidRDefault="004F0C47"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F879CC">
        <w:rPr>
          <w:rFonts w:asciiTheme="minorHAnsi" w:eastAsia="Times New Roman" w:hAnsiTheme="minorHAnsi" w:cstheme="minorHAnsi"/>
          <w:szCs w:val="24"/>
          <w:lang w:val="pl-PL" w:eastAsia="en-GB"/>
        </w:rPr>
        <w:t xml:space="preserve">Z uwagi na to, iż region Morza Bałtyckiego coraz częściej musi radzić sobie ze wzajemnie powiązanymi wyzwaniami, Program zachęca do </w:t>
      </w:r>
      <w:r w:rsidRPr="00F879CC">
        <w:rPr>
          <w:rFonts w:asciiTheme="minorHAnsi" w:eastAsia="Times New Roman" w:hAnsiTheme="minorHAnsi" w:cstheme="minorHAnsi"/>
          <w:szCs w:val="24"/>
          <w:u w:val="single"/>
          <w:lang w:val="pl-PL" w:eastAsia="en-GB"/>
        </w:rPr>
        <w:t>eksperymentowania, nieszablonowego myślenia i pracy w różnych sektorach w celu znalezienia odpowiednich rozwiązań</w:t>
      </w:r>
      <w:r w:rsidR="00FC6A82" w:rsidRPr="00F879CC">
        <w:rPr>
          <w:rFonts w:asciiTheme="minorHAnsi" w:eastAsia="Times New Roman" w:hAnsiTheme="minorHAnsi" w:cstheme="minorHAnsi"/>
          <w:szCs w:val="24"/>
          <w:lang w:val="pl-PL" w:eastAsia="en-GB"/>
        </w:rPr>
        <w:t xml:space="preserve">. </w:t>
      </w:r>
      <w:r w:rsidRPr="00F879CC">
        <w:rPr>
          <w:rFonts w:asciiTheme="minorHAnsi" w:eastAsia="Times New Roman" w:hAnsiTheme="minorHAnsi" w:cstheme="minorHAnsi"/>
          <w:szCs w:val="24"/>
          <w:lang w:val="pl-PL" w:eastAsia="en-GB"/>
        </w:rPr>
        <w:t xml:space="preserve">Rozwiązania wypracowane w ramach tego celu muszą przyczyniać się do </w:t>
      </w:r>
      <w:r w:rsidRPr="00F879CC">
        <w:rPr>
          <w:rFonts w:asciiTheme="minorHAnsi" w:eastAsia="Times New Roman" w:hAnsiTheme="minorHAnsi" w:cstheme="minorHAnsi"/>
          <w:szCs w:val="24"/>
          <w:u w:val="single"/>
          <w:lang w:val="pl-PL" w:eastAsia="en-GB"/>
        </w:rPr>
        <w:t>wzrostu innowacyjności regionu</w:t>
      </w:r>
      <w:r w:rsidR="00FC6A82" w:rsidRPr="00F879CC">
        <w:rPr>
          <w:rFonts w:asciiTheme="minorHAnsi" w:eastAsia="Times New Roman" w:hAnsiTheme="minorHAnsi" w:cstheme="minorHAnsi"/>
          <w:szCs w:val="24"/>
          <w:lang w:val="pl-PL" w:eastAsia="en-GB"/>
        </w:rPr>
        <w:t xml:space="preserve">. </w:t>
      </w:r>
      <w:r w:rsidRPr="00F879CC">
        <w:rPr>
          <w:rFonts w:asciiTheme="minorHAnsi" w:eastAsia="Times New Roman" w:hAnsiTheme="minorHAnsi" w:cstheme="minorHAnsi"/>
          <w:szCs w:val="24"/>
          <w:lang w:val="pl-PL" w:eastAsia="en-GB"/>
        </w:rPr>
        <w:t xml:space="preserve">W stosownych przypadkach, działania powinny uwzględniać </w:t>
      </w:r>
      <w:r w:rsidRPr="00F879CC">
        <w:rPr>
          <w:rFonts w:asciiTheme="minorHAnsi" w:eastAsia="Times New Roman" w:hAnsiTheme="minorHAnsi" w:cstheme="minorHAnsi"/>
          <w:szCs w:val="24"/>
          <w:u w:val="single"/>
          <w:lang w:val="pl-PL" w:eastAsia="en-GB"/>
        </w:rPr>
        <w:t>nierównomierny rozwój terytorialny</w:t>
      </w:r>
      <w:r w:rsidRPr="00F879CC">
        <w:rPr>
          <w:rFonts w:asciiTheme="minorHAnsi" w:eastAsia="Times New Roman" w:hAnsiTheme="minorHAnsi" w:cstheme="minorHAnsi"/>
          <w:szCs w:val="24"/>
          <w:lang w:val="pl-PL" w:eastAsia="en-GB"/>
        </w:rPr>
        <w:t xml:space="preserve">, np. różne skutki zakłócenia na obszarach miejskich i wiejskich. Tam gdzie to właściwe, działania powinny uwolnić potencjał </w:t>
      </w:r>
      <w:r w:rsidRPr="00F879CC">
        <w:rPr>
          <w:rFonts w:asciiTheme="minorHAnsi" w:eastAsia="Times New Roman" w:hAnsiTheme="minorHAnsi" w:cstheme="minorHAnsi"/>
          <w:szCs w:val="24"/>
          <w:u w:val="single"/>
          <w:lang w:val="pl-PL" w:eastAsia="en-GB"/>
        </w:rPr>
        <w:t xml:space="preserve">cyfryzacji </w:t>
      </w:r>
      <w:r w:rsidRPr="00F879CC">
        <w:rPr>
          <w:rFonts w:asciiTheme="minorHAnsi" w:eastAsia="Times New Roman" w:hAnsiTheme="minorHAnsi" w:cstheme="minorHAnsi"/>
          <w:szCs w:val="24"/>
          <w:lang w:val="pl-PL" w:eastAsia="en-GB"/>
        </w:rPr>
        <w:t>w celu zwiększenia zdolności adaptacyjnych regionu</w:t>
      </w:r>
      <w:r w:rsidR="00FC6A82" w:rsidRPr="00F879CC">
        <w:rPr>
          <w:rFonts w:asciiTheme="minorHAnsi" w:eastAsia="Times New Roman" w:hAnsiTheme="minorHAnsi" w:cstheme="minorHAnsi"/>
          <w:szCs w:val="24"/>
          <w:lang w:val="pl-PL" w:eastAsia="en-GB"/>
        </w:rPr>
        <w:t>.</w:t>
      </w:r>
    </w:p>
    <w:p w14:paraId="2860A93B" w14:textId="214589A9" w:rsidR="00FC6A82" w:rsidRPr="00F879CC" w:rsidRDefault="00A21D6C"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F879CC">
        <w:rPr>
          <w:rFonts w:asciiTheme="minorHAnsi" w:eastAsia="Times New Roman" w:hAnsiTheme="minorHAnsi" w:cstheme="minorHAnsi"/>
          <w:szCs w:val="24"/>
          <w:lang w:val="pl-PL" w:eastAsia="en-GB"/>
        </w:rPr>
        <w:t xml:space="preserve">Ponadto, Program zwraca szczególną uwagę na dostosowania </w:t>
      </w:r>
      <w:r w:rsidRPr="00F879CC">
        <w:rPr>
          <w:rFonts w:asciiTheme="minorHAnsi" w:eastAsia="Times New Roman" w:hAnsiTheme="minorHAnsi" w:cstheme="minorHAnsi"/>
          <w:szCs w:val="24"/>
          <w:u w:val="single"/>
          <w:lang w:val="pl-PL" w:eastAsia="en-GB"/>
        </w:rPr>
        <w:t>ekosystemów innowacji w celu wspierania budowania odporności</w:t>
      </w:r>
      <w:r w:rsidRPr="00F879CC">
        <w:rPr>
          <w:rFonts w:asciiTheme="minorHAnsi" w:eastAsia="Times New Roman" w:hAnsiTheme="minorHAnsi" w:cstheme="minorHAnsi"/>
          <w:szCs w:val="24"/>
          <w:lang w:val="pl-PL" w:eastAsia="en-GB"/>
        </w:rPr>
        <w:t xml:space="preserve">. Ekosystem rozumiany jest, jako zdolność wielu połączonych ze sobą interesariuszy do efektywnej współpracy przy wykorzystaniu dostępnych zasobów, np. finansowych i ludzkich. Obowiązujące polityki i przepisy, a także sprzyjająca innowacjom kultura to kolejne ważne elementy ekosystemu. Poza tym, rozwiązania opracowane w ramach projektów powinny dostosowywać </w:t>
      </w:r>
      <w:r w:rsidRPr="00F879CC">
        <w:rPr>
          <w:rFonts w:asciiTheme="minorHAnsi" w:eastAsia="Times New Roman" w:hAnsiTheme="minorHAnsi" w:cstheme="minorHAnsi"/>
          <w:szCs w:val="24"/>
          <w:u w:val="single"/>
          <w:lang w:val="pl-PL" w:eastAsia="en-GB"/>
        </w:rPr>
        <w:t>podejścia inteligentnej specjalizacji</w:t>
      </w:r>
      <w:r w:rsidRPr="00F879CC">
        <w:rPr>
          <w:rFonts w:asciiTheme="minorHAnsi" w:eastAsia="Times New Roman" w:hAnsiTheme="minorHAnsi" w:cstheme="minorHAnsi"/>
          <w:szCs w:val="24"/>
          <w:lang w:val="pl-PL" w:eastAsia="en-GB"/>
        </w:rPr>
        <w:t xml:space="preserve"> do wzmacniania odporności regionów w skali makro; oznacza to </w:t>
      </w:r>
      <w:r w:rsidRPr="00F879CC">
        <w:rPr>
          <w:rFonts w:asciiTheme="minorHAnsi" w:eastAsia="Times New Roman" w:hAnsiTheme="minorHAnsi" w:cstheme="minorHAnsi"/>
          <w:szCs w:val="24"/>
          <w:lang w:val="pl-PL" w:eastAsia="en-GB"/>
        </w:rPr>
        <w:lastRenderedPageBreak/>
        <w:t>znalezienie właściwej równowagi między zmniejszaniem zależności, a podłączeniem do globalnych łańcuchów dostaw i wartości</w:t>
      </w:r>
      <w:r w:rsidR="00FC6A82" w:rsidRPr="00F879CC">
        <w:rPr>
          <w:rFonts w:asciiTheme="minorHAnsi" w:eastAsia="Times New Roman" w:hAnsiTheme="minorHAnsi" w:cstheme="minorHAnsi"/>
          <w:szCs w:val="24"/>
          <w:lang w:val="pl-PL" w:eastAsia="en-GB"/>
        </w:rPr>
        <w:t xml:space="preserve">. </w:t>
      </w:r>
    </w:p>
    <w:p w14:paraId="1F48F36F" w14:textId="6477BF7F" w:rsidR="00FC6A82" w:rsidRPr="00F879CC" w:rsidRDefault="00A21D6C"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b/>
          <w:szCs w:val="24"/>
          <w:lang w:val="pl-PL" w:eastAsia="en-GB"/>
        </w:rPr>
      </w:pPr>
      <w:bookmarkStart w:id="43" w:name="OLE_LINK151"/>
      <w:bookmarkStart w:id="44" w:name="OLE_LINK152"/>
      <w:r w:rsidRPr="00F879CC">
        <w:rPr>
          <w:rFonts w:asciiTheme="minorHAnsi" w:eastAsia="Times New Roman" w:hAnsiTheme="minorHAnsi" w:cstheme="minorHAnsi"/>
          <w:b/>
          <w:szCs w:val="24"/>
          <w:lang w:val="pl-PL" w:eastAsia="en-GB"/>
        </w:rPr>
        <w:t xml:space="preserve">Przykłady działań (lista nie jest </w:t>
      </w:r>
      <w:bookmarkEnd w:id="43"/>
      <w:bookmarkEnd w:id="44"/>
      <w:r w:rsidR="00DC4C40">
        <w:rPr>
          <w:rFonts w:asciiTheme="minorHAnsi" w:eastAsia="Times New Roman" w:hAnsiTheme="minorHAnsi" w:cstheme="minorHAnsi"/>
          <w:b/>
          <w:szCs w:val="24"/>
          <w:lang w:val="pl-PL" w:eastAsia="en-GB"/>
        </w:rPr>
        <w:t>zamknięta</w:t>
      </w:r>
      <w:r w:rsidRPr="00F879CC">
        <w:rPr>
          <w:rFonts w:asciiTheme="minorHAnsi" w:eastAsia="Times New Roman" w:hAnsiTheme="minorHAnsi" w:cstheme="minorHAnsi"/>
          <w:b/>
          <w:szCs w:val="24"/>
          <w:lang w:val="pl-PL" w:eastAsia="en-GB"/>
        </w:rPr>
        <w:t>)</w:t>
      </w:r>
      <w:r w:rsidR="00FC6A82" w:rsidRPr="00F879CC">
        <w:rPr>
          <w:rFonts w:asciiTheme="minorHAnsi" w:eastAsia="Times New Roman" w:hAnsiTheme="minorHAnsi" w:cstheme="minorHAnsi"/>
          <w:b/>
          <w:szCs w:val="24"/>
          <w:lang w:val="pl-PL" w:eastAsia="en-GB"/>
        </w:rPr>
        <w:t>:</w:t>
      </w:r>
    </w:p>
    <w:p w14:paraId="3F8D004E" w14:textId="247BD7C0" w:rsidR="00A21D6C" w:rsidRPr="00000498" w:rsidRDefault="00A21D6C" w:rsidP="00000498">
      <w:pPr>
        <w:pStyle w:val="Akapitzlist"/>
        <w:numPr>
          <w:ilvl w:val="0"/>
          <w:numId w:val="32"/>
        </w:numPr>
        <w:pBdr>
          <w:top w:val="single" w:sz="4" w:space="1" w:color="auto"/>
          <w:left w:val="single" w:sz="4" w:space="4" w:color="auto"/>
          <w:bottom w:val="single" w:sz="4" w:space="1" w:color="auto"/>
          <w:right w:val="single" w:sz="4" w:space="4" w:color="auto"/>
        </w:pBdr>
        <w:ind w:left="431" w:hanging="431"/>
        <w:rPr>
          <w:sz w:val="24"/>
          <w:szCs w:val="24"/>
          <w:lang w:val="pl-PL" w:eastAsia="en-GB"/>
        </w:rPr>
      </w:pPr>
      <w:r w:rsidRPr="00000498">
        <w:rPr>
          <w:sz w:val="24"/>
          <w:szCs w:val="24"/>
          <w:lang w:val="pl-PL" w:eastAsia="en-GB"/>
        </w:rPr>
        <w:t>opracowanie modeli zmniejszają</w:t>
      </w:r>
      <w:r w:rsidR="0081316D" w:rsidRPr="00000498">
        <w:rPr>
          <w:sz w:val="24"/>
          <w:szCs w:val="24"/>
          <w:lang w:val="pl-PL" w:eastAsia="en-GB"/>
        </w:rPr>
        <w:t>cych</w:t>
      </w:r>
      <w:r w:rsidRPr="00000498">
        <w:rPr>
          <w:sz w:val="24"/>
          <w:szCs w:val="24"/>
          <w:lang w:val="pl-PL" w:eastAsia="en-GB"/>
        </w:rPr>
        <w:t xml:space="preserve"> zależność RMB od globalnych łańcuchów dostaw i zwiększają</w:t>
      </w:r>
      <w:r w:rsidR="0081316D" w:rsidRPr="00000498">
        <w:rPr>
          <w:sz w:val="24"/>
          <w:szCs w:val="24"/>
          <w:lang w:val="pl-PL" w:eastAsia="en-GB"/>
        </w:rPr>
        <w:t>cych</w:t>
      </w:r>
      <w:r w:rsidRPr="00000498">
        <w:rPr>
          <w:sz w:val="24"/>
          <w:szCs w:val="24"/>
          <w:lang w:val="pl-PL" w:eastAsia="en-GB"/>
        </w:rPr>
        <w:t xml:space="preserve"> zdolność do produkcji towarów krytycznych w regionie;</w:t>
      </w:r>
    </w:p>
    <w:p w14:paraId="5CF9B4C9" w14:textId="3E10B4F8" w:rsidR="00A21D6C" w:rsidRPr="00000498" w:rsidRDefault="00A21D6C" w:rsidP="00000498">
      <w:pPr>
        <w:pStyle w:val="Akapitzlist"/>
        <w:numPr>
          <w:ilvl w:val="0"/>
          <w:numId w:val="32"/>
        </w:numPr>
        <w:pBdr>
          <w:top w:val="single" w:sz="4" w:space="1" w:color="auto"/>
          <w:left w:val="single" w:sz="4" w:space="4" w:color="auto"/>
          <w:bottom w:val="single" w:sz="4" w:space="1" w:color="auto"/>
          <w:right w:val="single" w:sz="4" w:space="4" w:color="auto"/>
        </w:pBdr>
        <w:ind w:left="431" w:hanging="431"/>
        <w:rPr>
          <w:sz w:val="24"/>
          <w:szCs w:val="24"/>
          <w:lang w:val="pl-PL" w:eastAsia="en-GB"/>
        </w:rPr>
      </w:pPr>
      <w:r w:rsidRPr="00000498">
        <w:rPr>
          <w:sz w:val="24"/>
          <w:szCs w:val="24"/>
          <w:lang w:val="pl-PL" w:eastAsia="en-GB"/>
        </w:rPr>
        <w:t xml:space="preserve">przeprojektowanie podejść do inteligentnej specjalizacji i ponowne zdefiniowanie powiązań z globalnymi łańcuchami wartości w celu wzmocnienia odporności Morza </w:t>
      </w:r>
      <w:r w:rsidR="00CC0F52" w:rsidRPr="00000498">
        <w:rPr>
          <w:sz w:val="24"/>
          <w:szCs w:val="24"/>
          <w:lang w:val="pl-PL" w:eastAsia="en-GB"/>
        </w:rPr>
        <w:t>Bałtyckiego, jako</w:t>
      </w:r>
      <w:r w:rsidRPr="00000498">
        <w:rPr>
          <w:sz w:val="24"/>
          <w:szCs w:val="24"/>
          <w:lang w:val="pl-PL" w:eastAsia="en-GB"/>
        </w:rPr>
        <w:t xml:space="preserve"> makroregionu;</w:t>
      </w:r>
    </w:p>
    <w:p w14:paraId="72997176" w14:textId="21FB6E3B" w:rsidR="00A21D6C" w:rsidRPr="00000498" w:rsidRDefault="00A21D6C" w:rsidP="00000498">
      <w:pPr>
        <w:pStyle w:val="Akapitzlist"/>
        <w:numPr>
          <w:ilvl w:val="0"/>
          <w:numId w:val="32"/>
        </w:numPr>
        <w:pBdr>
          <w:top w:val="single" w:sz="4" w:space="1" w:color="auto"/>
          <w:left w:val="single" w:sz="4" w:space="4" w:color="auto"/>
          <w:bottom w:val="single" w:sz="4" w:space="1" w:color="auto"/>
          <w:right w:val="single" w:sz="4" w:space="4" w:color="auto"/>
        </w:pBdr>
        <w:ind w:left="431" w:hanging="431"/>
        <w:rPr>
          <w:sz w:val="24"/>
          <w:szCs w:val="24"/>
          <w:lang w:val="pl-PL" w:eastAsia="en-GB"/>
        </w:rPr>
      </w:pPr>
      <w:r w:rsidRPr="00000498">
        <w:rPr>
          <w:sz w:val="24"/>
          <w:szCs w:val="24"/>
          <w:lang w:val="pl-PL" w:eastAsia="en-GB"/>
        </w:rPr>
        <w:t xml:space="preserve">opracowanie i przetestowanie mechanizmów, które w skoordynowany sposób stawią czoła wyzwaniom gospodarczym i społecznym w makroregionie RMB, </w:t>
      </w:r>
      <w:r w:rsidR="00CC0F52" w:rsidRPr="00000498">
        <w:rPr>
          <w:sz w:val="24"/>
          <w:szCs w:val="24"/>
          <w:lang w:val="pl-PL" w:eastAsia="en-GB"/>
        </w:rPr>
        <w:t>np. pilotowanie</w:t>
      </w:r>
      <w:r w:rsidRPr="00000498">
        <w:rPr>
          <w:sz w:val="24"/>
          <w:szCs w:val="24"/>
          <w:lang w:val="pl-PL" w:eastAsia="en-GB"/>
        </w:rPr>
        <w:t xml:space="preserve"> inteligentnych rozwiązań w dziedzinie ochrony zdrowia;</w:t>
      </w:r>
    </w:p>
    <w:p w14:paraId="048E7544" w14:textId="45C082A2" w:rsidR="00FC6A82" w:rsidRPr="00000498" w:rsidRDefault="00A21D6C" w:rsidP="00000498">
      <w:pPr>
        <w:pStyle w:val="Akapitzlist"/>
        <w:numPr>
          <w:ilvl w:val="0"/>
          <w:numId w:val="32"/>
        </w:numPr>
        <w:pBdr>
          <w:top w:val="single" w:sz="4" w:space="1" w:color="auto"/>
          <w:left w:val="single" w:sz="4" w:space="4" w:color="auto"/>
          <w:bottom w:val="single" w:sz="4" w:space="1" w:color="auto"/>
          <w:right w:val="single" w:sz="4" w:space="4" w:color="auto"/>
        </w:pBdr>
        <w:ind w:left="431" w:hanging="431"/>
        <w:rPr>
          <w:sz w:val="24"/>
          <w:szCs w:val="24"/>
          <w:lang w:val="pl-PL" w:eastAsia="en-GB"/>
        </w:rPr>
      </w:pPr>
      <w:r w:rsidRPr="00000498">
        <w:rPr>
          <w:sz w:val="24"/>
          <w:szCs w:val="24"/>
          <w:lang w:val="pl-PL" w:eastAsia="en-GB"/>
        </w:rPr>
        <w:t>badanie potencjału zrównoważonych wzorców konsumpcji opartych na lokalnych usługach i towarach oraz wzmocnienie wspólnej tożsamości RMB, jako źródła tych towarów i usług</w:t>
      </w:r>
      <w:r w:rsidR="00FC6A82" w:rsidRPr="00000498">
        <w:rPr>
          <w:sz w:val="24"/>
          <w:szCs w:val="24"/>
          <w:lang w:val="pl-PL" w:eastAsia="en-GB"/>
        </w:rPr>
        <w:t>;</w:t>
      </w:r>
    </w:p>
    <w:p w14:paraId="5C5F6F55" w14:textId="05605959" w:rsidR="0022754C" w:rsidRPr="00000498" w:rsidRDefault="0022754C" w:rsidP="00000498">
      <w:pPr>
        <w:pStyle w:val="Akapitzlist"/>
        <w:numPr>
          <w:ilvl w:val="0"/>
          <w:numId w:val="32"/>
        </w:numPr>
        <w:pBdr>
          <w:top w:val="single" w:sz="4" w:space="1" w:color="auto"/>
          <w:left w:val="single" w:sz="4" w:space="4" w:color="auto"/>
          <w:bottom w:val="single" w:sz="4" w:space="1" w:color="auto"/>
          <w:right w:val="single" w:sz="4" w:space="4" w:color="auto"/>
        </w:pBdr>
        <w:ind w:left="431" w:hanging="431"/>
        <w:rPr>
          <w:sz w:val="24"/>
          <w:szCs w:val="24"/>
          <w:lang w:val="pl-PL" w:eastAsia="en-GB"/>
        </w:rPr>
      </w:pPr>
      <w:r w:rsidRPr="00000498">
        <w:rPr>
          <w:sz w:val="24"/>
          <w:szCs w:val="24"/>
          <w:lang w:val="pl-PL" w:eastAsia="en-GB"/>
        </w:rPr>
        <w:t>poszukiwanie rozwiązań (np. cyfrowych) umożliwiających, sektorom usług i produkcji w RMB, rozbudowę i redukcję potencjału w odpowiedzi na nagłe wahania popytu, minimalizując negatywny wpływ na dobrostan ludzi;</w:t>
      </w:r>
    </w:p>
    <w:p w14:paraId="543F0118" w14:textId="5C504C4D" w:rsidR="0022754C" w:rsidRPr="00000498" w:rsidRDefault="0022754C" w:rsidP="00000498">
      <w:pPr>
        <w:pStyle w:val="Akapitzlist"/>
        <w:numPr>
          <w:ilvl w:val="0"/>
          <w:numId w:val="32"/>
        </w:numPr>
        <w:pBdr>
          <w:top w:val="single" w:sz="4" w:space="1" w:color="auto"/>
          <w:left w:val="single" w:sz="4" w:space="4" w:color="auto"/>
          <w:bottom w:val="single" w:sz="4" w:space="1" w:color="auto"/>
          <w:right w:val="single" w:sz="4" w:space="4" w:color="auto"/>
        </w:pBdr>
        <w:ind w:left="431" w:hanging="431"/>
        <w:rPr>
          <w:sz w:val="24"/>
          <w:szCs w:val="24"/>
          <w:lang w:val="pl-PL" w:eastAsia="en-GB"/>
        </w:rPr>
      </w:pPr>
      <w:r w:rsidRPr="00000498">
        <w:rPr>
          <w:sz w:val="24"/>
          <w:szCs w:val="24"/>
          <w:lang w:val="pl-PL" w:eastAsia="en-GB"/>
        </w:rPr>
        <w:t>poszukiwanie rozwiązań, które pomogą firmom odzyskać siły po nieoczekiwanych zakłóceniach zewnętrznych, np. opracowywanie nowych lub dostosowywanie istniejących programów wsparcia biznesowego, wdrażanie działań na rzecz dywersyfikacji bazy przemysłowej, opracowywanie narzędzi zarządzania ryzykiem dla całych sektorów (np. branż kreatywnych) oraz strategii reagowania na ryzyko;</w:t>
      </w:r>
    </w:p>
    <w:p w14:paraId="1019E12B" w14:textId="0F8BFCD1" w:rsidR="0022754C" w:rsidRPr="00000498" w:rsidRDefault="0022754C" w:rsidP="00000498">
      <w:pPr>
        <w:pStyle w:val="Akapitzlist"/>
        <w:numPr>
          <w:ilvl w:val="0"/>
          <w:numId w:val="32"/>
        </w:numPr>
        <w:pBdr>
          <w:top w:val="single" w:sz="4" w:space="1" w:color="auto"/>
          <w:left w:val="single" w:sz="4" w:space="4" w:color="auto"/>
          <w:bottom w:val="single" w:sz="4" w:space="1" w:color="auto"/>
          <w:right w:val="single" w:sz="4" w:space="4" w:color="auto"/>
        </w:pBdr>
        <w:ind w:left="431" w:hanging="431"/>
        <w:rPr>
          <w:sz w:val="24"/>
          <w:szCs w:val="24"/>
          <w:lang w:val="pl-PL" w:eastAsia="en-GB"/>
        </w:rPr>
      </w:pPr>
      <w:r w:rsidRPr="00000498">
        <w:rPr>
          <w:sz w:val="24"/>
          <w:szCs w:val="24"/>
          <w:lang w:val="pl-PL" w:eastAsia="en-GB"/>
        </w:rPr>
        <w:t>działania pilotażowe wzmacniające odporność społeczną poprzez zmiany kulturowe, zmiany zachowań oraz mobilizację kreatywności, np. promowanie inteligentnych rozwiązań roboczych, testowanie mechanizmów wspierających słabsze grupy społeczne;</w:t>
      </w:r>
    </w:p>
    <w:p w14:paraId="4BDFF43B" w14:textId="086EA569" w:rsidR="0022754C" w:rsidRPr="00000498" w:rsidRDefault="0022754C" w:rsidP="00000498">
      <w:pPr>
        <w:pStyle w:val="Akapitzlist"/>
        <w:numPr>
          <w:ilvl w:val="0"/>
          <w:numId w:val="32"/>
        </w:numPr>
        <w:pBdr>
          <w:top w:val="single" w:sz="4" w:space="1" w:color="auto"/>
          <w:left w:val="single" w:sz="4" w:space="4" w:color="auto"/>
          <w:bottom w:val="single" w:sz="4" w:space="1" w:color="auto"/>
          <w:right w:val="single" w:sz="4" w:space="4" w:color="auto"/>
        </w:pBdr>
        <w:ind w:left="431" w:hanging="431"/>
        <w:rPr>
          <w:sz w:val="24"/>
          <w:szCs w:val="24"/>
          <w:lang w:val="pl-PL" w:eastAsia="en-GB"/>
        </w:rPr>
      </w:pPr>
      <w:r w:rsidRPr="00000498">
        <w:rPr>
          <w:sz w:val="24"/>
          <w:szCs w:val="24"/>
          <w:lang w:val="pl-PL" w:eastAsia="en-GB"/>
        </w:rPr>
        <w:t>działania pilotażowe wzmacniające spójność i tożsamość regionalną poprzez wykorzystanie kultury, jako środka integracji i innowacji społecznych;</w:t>
      </w:r>
    </w:p>
    <w:p w14:paraId="774B5BF0" w14:textId="17CC6B90" w:rsidR="00FC6A82" w:rsidRPr="00000498" w:rsidRDefault="0022754C" w:rsidP="00000498">
      <w:pPr>
        <w:pStyle w:val="Akapitzlist"/>
        <w:numPr>
          <w:ilvl w:val="0"/>
          <w:numId w:val="32"/>
        </w:numPr>
        <w:pBdr>
          <w:top w:val="single" w:sz="4" w:space="1" w:color="auto"/>
          <w:left w:val="single" w:sz="4" w:space="4" w:color="auto"/>
          <w:bottom w:val="single" w:sz="4" w:space="1" w:color="auto"/>
          <w:right w:val="single" w:sz="4" w:space="4" w:color="auto"/>
        </w:pBdr>
        <w:ind w:left="431" w:hanging="431"/>
        <w:rPr>
          <w:sz w:val="24"/>
          <w:szCs w:val="24"/>
          <w:lang w:val="pl-PL" w:eastAsia="en-GB"/>
        </w:rPr>
      </w:pPr>
      <w:r w:rsidRPr="00000498">
        <w:rPr>
          <w:sz w:val="24"/>
          <w:szCs w:val="24"/>
          <w:lang w:val="pl-PL" w:eastAsia="en-GB"/>
        </w:rPr>
        <w:t>działania pilotażowe rozwiązujące określone wyzwanie w budowaniu odporności, dzięki lepszym powiązaniom między badaniami a regionalnymi systemami innowacji</w:t>
      </w:r>
      <w:r w:rsidR="00FC6A82" w:rsidRPr="00000498">
        <w:rPr>
          <w:sz w:val="24"/>
          <w:szCs w:val="24"/>
          <w:lang w:val="pl-PL" w:eastAsia="en-GB"/>
        </w:rPr>
        <w:t>.</w:t>
      </w:r>
    </w:p>
    <w:p w14:paraId="2112F36F" w14:textId="2A3C24C7" w:rsidR="00FC6A82" w:rsidRPr="00F879CC" w:rsidRDefault="0022754C"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b/>
          <w:szCs w:val="24"/>
          <w:lang w:val="pl-PL" w:eastAsia="en-GB"/>
        </w:rPr>
      </w:pPr>
      <w:r w:rsidRPr="00F879CC">
        <w:rPr>
          <w:rFonts w:asciiTheme="minorHAnsi" w:eastAsia="Times New Roman" w:hAnsiTheme="minorHAnsi" w:cstheme="minorHAnsi"/>
          <w:b/>
          <w:szCs w:val="24"/>
          <w:lang w:val="pl-PL" w:eastAsia="en-GB"/>
        </w:rPr>
        <w:t>Wkład do wybranego celu</w:t>
      </w:r>
    </w:p>
    <w:p w14:paraId="6F11BCDE" w14:textId="713A144F" w:rsidR="00FC6A82" w:rsidRPr="00F879CC" w:rsidRDefault="0022754C"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F879CC">
        <w:rPr>
          <w:rFonts w:asciiTheme="minorHAnsi" w:eastAsia="Times New Roman" w:hAnsiTheme="minorHAnsi" w:cstheme="minorHAnsi"/>
          <w:szCs w:val="24"/>
          <w:lang w:val="pl-PL" w:eastAsia="en-GB"/>
        </w:rPr>
        <w:t xml:space="preserve">Te przykładowe działania przyczyniają się do realizacji celu szczegółowego; </w:t>
      </w:r>
      <w:r w:rsidR="000B7995">
        <w:rPr>
          <w:rFonts w:asciiTheme="minorHAnsi" w:eastAsia="Times New Roman" w:hAnsiTheme="minorHAnsi" w:cstheme="minorHAnsi"/>
          <w:szCs w:val="24"/>
          <w:lang w:val="pl-PL" w:eastAsia="en-GB"/>
        </w:rPr>
        <w:t xml:space="preserve">dzięki nim </w:t>
      </w:r>
      <w:r w:rsidRPr="00F879CC">
        <w:rPr>
          <w:rFonts w:asciiTheme="minorHAnsi" w:eastAsia="Times New Roman" w:hAnsiTheme="minorHAnsi" w:cstheme="minorHAnsi"/>
          <w:szCs w:val="24"/>
          <w:lang w:val="pl-PL" w:eastAsia="en-GB"/>
        </w:rPr>
        <w:t>bada</w:t>
      </w:r>
      <w:r w:rsidR="000B7995">
        <w:rPr>
          <w:rFonts w:asciiTheme="minorHAnsi" w:eastAsia="Times New Roman" w:hAnsiTheme="minorHAnsi" w:cstheme="minorHAnsi"/>
          <w:szCs w:val="24"/>
          <w:lang w:val="pl-PL" w:eastAsia="en-GB"/>
        </w:rPr>
        <w:t>ne są</w:t>
      </w:r>
      <w:r w:rsidRPr="00F879CC">
        <w:rPr>
          <w:rFonts w:asciiTheme="minorHAnsi" w:eastAsia="Times New Roman" w:hAnsiTheme="minorHAnsi" w:cstheme="minorHAnsi"/>
          <w:szCs w:val="24"/>
          <w:lang w:val="pl-PL" w:eastAsia="en-GB"/>
        </w:rPr>
        <w:t xml:space="preserve"> i praktycznie stos</w:t>
      </w:r>
      <w:r w:rsidR="000B7995">
        <w:rPr>
          <w:rFonts w:asciiTheme="minorHAnsi" w:eastAsia="Times New Roman" w:hAnsiTheme="minorHAnsi" w:cstheme="minorHAnsi"/>
          <w:szCs w:val="24"/>
          <w:lang w:val="pl-PL" w:eastAsia="en-GB"/>
        </w:rPr>
        <w:t>owane</w:t>
      </w:r>
      <w:r w:rsidRPr="00F879CC">
        <w:rPr>
          <w:rFonts w:asciiTheme="minorHAnsi" w:eastAsia="Times New Roman" w:hAnsiTheme="minorHAnsi" w:cstheme="minorHAnsi"/>
          <w:szCs w:val="24"/>
          <w:lang w:val="pl-PL" w:eastAsia="en-GB"/>
        </w:rPr>
        <w:t xml:space="preserve"> całościowe podejścia mające na celu zwiększenie odporności i innowacyjności gospodarek oraz społeczeństw regionu Morza Bałtyckiego. Działania uznają kluczową rolę odgrywaną przez przedsiębiorstwa i społeczności w procesach budowania odporności, zwracając uwagę na nierównomierny rozwój terytorialny i nierówny wpływ na różne grupy społeczne. Ponadto, działania skupiają się na dostosowaniu podejść inteligentnej specjalizacji do szybko zmieniających się okoliczności zewnętrznych</w:t>
      </w:r>
      <w:r w:rsidR="00FC6A82" w:rsidRPr="00F879CC">
        <w:rPr>
          <w:rFonts w:asciiTheme="minorHAnsi" w:eastAsia="Times New Roman" w:hAnsiTheme="minorHAnsi" w:cstheme="minorHAnsi"/>
          <w:szCs w:val="24"/>
          <w:lang w:val="pl-PL" w:eastAsia="en-GB"/>
        </w:rPr>
        <w:t xml:space="preserve">. </w:t>
      </w:r>
    </w:p>
    <w:p w14:paraId="16877ECC" w14:textId="6E376683" w:rsidR="00FC6A82" w:rsidRPr="00F879CC" w:rsidRDefault="0022754C"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b/>
          <w:szCs w:val="24"/>
          <w:lang w:val="pl-PL" w:eastAsia="en-GB"/>
        </w:rPr>
      </w:pPr>
      <w:bookmarkStart w:id="45" w:name="OLE_LINK153"/>
      <w:bookmarkStart w:id="46" w:name="OLE_LINK154"/>
      <w:r w:rsidRPr="00F879CC">
        <w:rPr>
          <w:rFonts w:asciiTheme="minorHAnsi" w:eastAsia="Times New Roman" w:hAnsiTheme="minorHAnsi" w:cstheme="minorHAnsi"/>
          <w:b/>
          <w:szCs w:val="24"/>
          <w:lang w:val="pl-PL" w:eastAsia="en-GB"/>
        </w:rPr>
        <w:t>Wkład w Strategię UE dla regionu Morza Bałtyckiego</w:t>
      </w:r>
    </w:p>
    <w:p w14:paraId="67180C2F" w14:textId="11BAD597" w:rsidR="00FC6A82" w:rsidRPr="00F879CC" w:rsidRDefault="00C330F2"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F879CC">
        <w:rPr>
          <w:rFonts w:asciiTheme="minorHAnsi" w:eastAsia="Times New Roman" w:hAnsiTheme="minorHAnsi" w:cstheme="minorHAnsi"/>
          <w:szCs w:val="24"/>
          <w:lang w:val="pl-PL" w:eastAsia="en-GB"/>
        </w:rPr>
        <w:lastRenderedPageBreak/>
        <w:t>Rodzaje działań wspieranych w ramach Programu przyczyniają się do realizacji celów SUE RMB, jakim</w:t>
      </w:r>
      <w:r w:rsidR="006868FF" w:rsidRPr="00441989">
        <w:rPr>
          <w:rFonts w:asciiTheme="minorHAnsi" w:eastAsia="Times New Roman" w:hAnsiTheme="minorHAnsi" w:cstheme="minorHAnsi"/>
          <w:szCs w:val="24"/>
          <w:lang w:val="pl-PL" w:eastAsia="en-GB"/>
        </w:rPr>
        <w:t>i</w:t>
      </w:r>
      <w:r w:rsidRPr="00F879CC">
        <w:rPr>
          <w:rFonts w:asciiTheme="minorHAnsi" w:eastAsia="Times New Roman" w:hAnsiTheme="minorHAnsi" w:cstheme="minorHAnsi"/>
          <w:szCs w:val="24"/>
          <w:lang w:val="pl-PL" w:eastAsia="en-GB"/>
        </w:rPr>
        <w:t xml:space="preserve"> </w:t>
      </w:r>
      <w:r w:rsidR="006868FF" w:rsidRPr="00441989">
        <w:rPr>
          <w:rFonts w:asciiTheme="minorHAnsi" w:eastAsia="Times New Roman" w:hAnsiTheme="minorHAnsi" w:cstheme="minorHAnsi"/>
          <w:szCs w:val="24"/>
          <w:lang w:val="pl-PL" w:eastAsia="en-GB"/>
        </w:rPr>
        <w:t xml:space="preserve">są </w:t>
      </w:r>
      <w:r w:rsidRPr="00F879CC">
        <w:rPr>
          <w:rFonts w:asciiTheme="minorHAnsi" w:eastAsia="Times New Roman" w:hAnsiTheme="minorHAnsi" w:cstheme="minorHAnsi"/>
          <w:szCs w:val="24"/>
          <w:lang w:val="pl-PL" w:eastAsia="en-GB"/>
        </w:rPr>
        <w:t xml:space="preserve">zwiększenie dobrobytu i </w:t>
      </w:r>
      <w:r w:rsidR="006B4C23">
        <w:rPr>
          <w:rFonts w:asciiTheme="minorHAnsi" w:eastAsia="Times New Roman" w:hAnsiTheme="minorHAnsi" w:cstheme="minorHAnsi"/>
          <w:szCs w:val="24"/>
          <w:lang w:val="pl-PL" w:eastAsia="en-GB"/>
        </w:rPr>
        <w:t>łączenie</w:t>
      </w:r>
      <w:r w:rsidRPr="00F879CC">
        <w:rPr>
          <w:rFonts w:asciiTheme="minorHAnsi" w:eastAsia="Times New Roman" w:hAnsiTheme="minorHAnsi" w:cstheme="minorHAnsi"/>
          <w:szCs w:val="24"/>
          <w:lang w:val="pl-PL" w:eastAsia="en-GB"/>
        </w:rPr>
        <w:t xml:space="preserve"> regionu. W szczególności, wspierają </w:t>
      </w:r>
      <w:r w:rsidR="000C5539">
        <w:rPr>
          <w:rFonts w:asciiTheme="minorHAnsi" w:eastAsia="Times New Roman" w:hAnsiTheme="minorHAnsi" w:cstheme="minorHAnsi"/>
          <w:szCs w:val="24"/>
          <w:lang w:val="pl-PL" w:eastAsia="en-GB"/>
        </w:rPr>
        <w:t xml:space="preserve">Obszar Tematyczny </w:t>
      </w:r>
      <w:r w:rsidRPr="00F879CC">
        <w:rPr>
          <w:rFonts w:asciiTheme="minorHAnsi" w:eastAsia="Times New Roman" w:hAnsiTheme="minorHAnsi" w:cstheme="minorHAnsi"/>
          <w:szCs w:val="24"/>
          <w:lang w:val="pl-PL" w:eastAsia="en-GB"/>
        </w:rPr>
        <w:t>(</w:t>
      </w:r>
      <w:r w:rsidR="000C5539">
        <w:rPr>
          <w:rFonts w:asciiTheme="minorHAnsi" w:eastAsia="Times New Roman" w:hAnsiTheme="minorHAnsi" w:cstheme="minorHAnsi"/>
          <w:szCs w:val="24"/>
          <w:lang w:val="pl-PL" w:eastAsia="en-GB"/>
        </w:rPr>
        <w:t>OT</w:t>
      </w:r>
      <w:r w:rsidRPr="00F879CC">
        <w:rPr>
          <w:rFonts w:asciiTheme="minorHAnsi" w:eastAsia="Times New Roman" w:hAnsiTheme="minorHAnsi" w:cstheme="minorHAnsi"/>
          <w:szCs w:val="24"/>
          <w:lang w:val="pl-PL" w:eastAsia="en-GB"/>
        </w:rPr>
        <w:t>)</w:t>
      </w:r>
      <w:r w:rsidR="00631692" w:rsidRPr="00F879CC">
        <w:rPr>
          <w:rFonts w:asciiTheme="minorHAnsi" w:eastAsia="Times New Roman" w:hAnsiTheme="minorHAnsi" w:cstheme="minorHAnsi"/>
          <w:szCs w:val="24"/>
          <w:lang w:val="pl-PL" w:eastAsia="en-GB"/>
        </w:rPr>
        <w:t xml:space="preserve"> </w:t>
      </w:r>
      <w:r w:rsidRPr="00F879CC">
        <w:rPr>
          <w:rFonts w:asciiTheme="minorHAnsi" w:eastAsia="Times New Roman" w:hAnsiTheme="minorHAnsi" w:cstheme="minorHAnsi"/>
          <w:szCs w:val="24"/>
          <w:lang w:val="pl-PL" w:eastAsia="en-GB"/>
        </w:rPr>
        <w:t xml:space="preserve">Innowacje promując nowe podejścia do inteligentnej specjalizacji, myślenia ekosystemowego i cyfryzacji. Ponadto, działania mają na celu przekształcenie wyzwań w szanse na zrównoważony wzrost w regionie Morza Bałtyckiego. Zgodnie z oczekiwaniami </w:t>
      </w:r>
      <w:r w:rsidR="000C5539">
        <w:rPr>
          <w:rFonts w:asciiTheme="minorHAnsi" w:eastAsia="Times New Roman" w:hAnsiTheme="minorHAnsi" w:cstheme="minorHAnsi"/>
          <w:szCs w:val="24"/>
          <w:lang w:val="pl-PL" w:eastAsia="en-GB"/>
        </w:rPr>
        <w:t>OT</w:t>
      </w:r>
      <w:r w:rsidR="0081316D">
        <w:rPr>
          <w:rFonts w:asciiTheme="minorHAnsi" w:eastAsia="Times New Roman" w:hAnsiTheme="minorHAnsi" w:cstheme="minorHAnsi"/>
          <w:szCs w:val="24"/>
          <w:lang w:val="pl-PL" w:eastAsia="en-GB"/>
        </w:rPr>
        <w:t xml:space="preserve"> </w:t>
      </w:r>
      <w:r w:rsidRPr="00F879CC">
        <w:rPr>
          <w:rFonts w:asciiTheme="minorHAnsi" w:eastAsia="Times New Roman" w:hAnsiTheme="minorHAnsi" w:cstheme="minorHAnsi"/>
          <w:szCs w:val="24"/>
          <w:lang w:val="pl-PL" w:eastAsia="en-GB"/>
        </w:rPr>
        <w:t xml:space="preserve">Innowacje, odpowiadają na potrzebę skoordynowanych makroregionalnych </w:t>
      </w:r>
      <w:r w:rsidR="00441989" w:rsidRPr="00441989">
        <w:rPr>
          <w:rFonts w:asciiTheme="minorHAnsi" w:eastAsia="Times New Roman" w:hAnsiTheme="minorHAnsi" w:cstheme="minorHAnsi"/>
          <w:szCs w:val="24"/>
          <w:lang w:val="pl-PL" w:eastAsia="en-GB"/>
        </w:rPr>
        <w:t>reakcji</w:t>
      </w:r>
      <w:r w:rsidR="0081316D">
        <w:rPr>
          <w:rFonts w:asciiTheme="minorHAnsi" w:eastAsia="Times New Roman" w:hAnsiTheme="minorHAnsi" w:cstheme="minorHAnsi"/>
          <w:szCs w:val="24"/>
          <w:lang w:val="pl-PL" w:eastAsia="en-GB"/>
        </w:rPr>
        <w:t xml:space="preserve"> </w:t>
      </w:r>
      <w:r w:rsidRPr="00F879CC">
        <w:rPr>
          <w:rFonts w:asciiTheme="minorHAnsi" w:eastAsia="Times New Roman" w:hAnsiTheme="minorHAnsi" w:cstheme="minorHAnsi"/>
          <w:szCs w:val="24"/>
          <w:lang w:val="pl-PL" w:eastAsia="en-GB"/>
        </w:rPr>
        <w:t xml:space="preserve">wychodzących poza konkretny kryzys i tworzących długoterminową wizję polityki innowacyjności w regionie. Poprzez integrację podejścia terytorialnego w świadczeniu usług, cel ten bezpośrednio przyczynia się do </w:t>
      </w:r>
      <w:r w:rsidR="000C5539">
        <w:rPr>
          <w:rFonts w:asciiTheme="minorHAnsi" w:eastAsia="Times New Roman" w:hAnsiTheme="minorHAnsi" w:cstheme="minorHAnsi"/>
          <w:szCs w:val="24"/>
          <w:lang w:val="pl-PL" w:eastAsia="en-GB"/>
        </w:rPr>
        <w:t>OT</w:t>
      </w:r>
      <w:r w:rsidRPr="00F879CC">
        <w:rPr>
          <w:rFonts w:asciiTheme="minorHAnsi" w:eastAsia="Times New Roman" w:hAnsiTheme="minorHAnsi" w:cstheme="minorHAnsi"/>
          <w:szCs w:val="24"/>
          <w:lang w:val="pl-PL" w:eastAsia="en-GB"/>
        </w:rPr>
        <w:t xml:space="preserve"> Planowanie Przestrzenne</w:t>
      </w:r>
      <w:r w:rsidR="00FC6A82" w:rsidRPr="00F879CC">
        <w:rPr>
          <w:rFonts w:asciiTheme="minorHAnsi" w:eastAsia="Times New Roman" w:hAnsiTheme="minorHAnsi" w:cstheme="minorHAnsi"/>
          <w:szCs w:val="24"/>
          <w:lang w:val="pl-PL" w:eastAsia="en-GB"/>
        </w:rPr>
        <w:t xml:space="preserve">. </w:t>
      </w:r>
    </w:p>
    <w:p w14:paraId="20984A22" w14:textId="617C2F2E" w:rsidR="00FC6A82" w:rsidRPr="00F879CC" w:rsidRDefault="00C330F2"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b/>
          <w:szCs w:val="24"/>
          <w:lang w:val="pl-PL" w:eastAsia="en-GB"/>
        </w:rPr>
      </w:pPr>
      <w:r w:rsidRPr="00F879CC">
        <w:rPr>
          <w:rFonts w:asciiTheme="minorHAnsi" w:eastAsia="Times New Roman" w:hAnsiTheme="minorHAnsi" w:cstheme="minorHAnsi"/>
          <w:b/>
          <w:szCs w:val="24"/>
          <w:lang w:val="pl-PL" w:eastAsia="en-GB"/>
        </w:rPr>
        <w:t>Oczekiwany rezultat</w:t>
      </w:r>
    </w:p>
    <w:p w14:paraId="0D60B2C7" w14:textId="47A0C956" w:rsidR="00FC6A82" w:rsidRPr="00F879CC" w:rsidRDefault="00C330F2"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F879CC">
        <w:rPr>
          <w:rFonts w:asciiTheme="minorHAnsi" w:eastAsia="Times New Roman" w:hAnsiTheme="minorHAnsi" w:cstheme="minorHAnsi"/>
          <w:szCs w:val="24"/>
          <w:lang w:val="pl-PL" w:eastAsia="en-GB"/>
        </w:rPr>
        <w:t xml:space="preserve">W tym celu, Program umożliwia poszukiwanie i praktyczne zastosowanie eksperymentalnych rozwiązań zwiększających zdolność społeczeństw i gospodarek regionu Morza Bałtyckiego do radzenia sobie w innowacyjny sposób z zewnętrznymi wstrząsami. Tym samym, główne grupy docelowe Programów zwiększają swoją zdolność do monitorowania, unikania, </w:t>
      </w:r>
      <w:r w:rsidR="000B7995">
        <w:rPr>
          <w:rFonts w:asciiTheme="minorHAnsi" w:eastAsia="Times New Roman" w:hAnsiTheme="minorHAnsi" w:cstheme="minorHAnsi"/>
          <w:szCs w:val="24"/>
          <w:lang w:val="pl-PL" w:eastAsia="en-GB"/>
        </w:rPr>
        <w:t>przezwyciężania</w:t>
      </w:r>
      <w:r w:rsidRPr="00F879CC">
        <w:rPr>
          <w:rFonts w:asciiTheme="minorHAnsi" w:eastAsia="Times New Roman" w:hAnsiTheme="minorHAnsi" w:cstheme="minorHAnsi"/>
          <w:szCs w:val="24"/>
          <w:lang w:val="pl-PL" w:eastAsia="en-GB"/>
        </w:rPr>
        <w:t xml:space="preserve"> i szybkiego wychodzenia z kryzysów</w:t>
      </w:r>
      <w:bookmarkEnd w:id="45"/>
      <w:bookmarkEnd w:id="46"/>
      <w:r w:rsidR="00FC6A82" w:rsidRPr="00F879CC">
        <w:rPr>
          <w:rFonts w:asciiTheme="minorHAnsi" w:eastAsia="Times New Roman" w:hAnsiTheme="minorHAnsi" w:cstheme="minorHAnsi"/>
          <w:szCs w:val="24"/>
          <w:lang w:val="pl-PL" w:eastAsia="en-GB"/>
        </w:rPr>
        <w:t>.</w:t>
      </w:r>
    </w:p>
    <w:p w14:paraId="7C282284" w14:textId="77777777" w:rsidR="00FE33CD" w:rsidRPr="00F879CC" w:rsidRDefault="00FE33CD" w:rsidP="00F50542">
      <w:pPr>
        <w:spacing w:before="240" w:after="240" w:line="240" w:lineRule="auto"/>
        <w:ind w:left="709" w:hanging="709"/>
        <w:jc w:val="both"/>
        <w:rPr>
          <w:rFonts w:asciiTheme="minorHAnsi" w:eastAsia="Times New Roman" w:hAnsiTheme="minorHAnsi" w:cstheme="minorHAnsi"/>
          <w:b/>
          <w:iCs/>
          <w:szCs w:val="24"/>
          <w:lang w:val="pl-PL" w:eastAsia="en-GB"/>
        </w:rPr>
      </w:pPr>
    </w:p>
    <w:p w14:paraId="2AC10B14" w14:textId="7571A835" w:rsidR="00F50542" w:rsidRPr="00F879CC" w:rsidRDefault="00F50542" w:rsidP="00F879CC">
      <w:pPr>
        <w:spacing w:before="240" w:after="240" w:line="276" w:lineRule="auto"/>
        <w:ind w:left="709" w:hanging="709"/>
        <w:rPr>
          <w:rFonts w:asciiTheme="minorHAnsi" w:eastAsia="Times New Roman" w:hAnsiTheme="minorHAnsi" w:cstheme="minorHAnsi"/>
          <w:b/>
          <w:iCs/>
          <w:szCs w:val="24"/>
          <w:lang w:val="pl-PL" w:eastAsia="en-GB"/>
        </w:rPr>
      </w:pPr>
      <w:r w:rsidRPr="00F879CC">
        <w:rPr>
          <w:rFonts w:asciiTheme="minorHAnsi" w:eastAsia="Times New Roman" w:hAnsiTheme="minorHAnsi" w:cstheme="minorHAnsi"/>
          <w:b/>
          <w:iCs/>
          <w:szCs w:val="24"/>
          <w:lang w:val="pl-PL" w:eastAsia="en-GB"/>
        </w:rPr>
        <w:t>2.1.</w:t>
      </w:r>
      <w:r w:rsidR="000E01AC" w:rsidRPr="00F879CC">
        <w:rPr>
          <w:rFonts w:asciiTheme="minorHAnsi" w:eastAsia="Times New Roman" w:hAnsiTheme="minorHAnsi" w:cstheme="minorHAnsi"/>
          <w:b/>
          <w:iCs/>
          <w:szCs w:val="24"/>
          <w:lang w:val="pl-PL" w:eastAsia="en-GB"/>
        </w:rPr>
        <w:t>1.2</w:t>
      </w:r>
      <w:r w:rsidR="00C330F2" w:rsidRPr="00F879CC">
        <w:rPr>
          <w:rFonts w:asciiTheme="minorHAnsi" w:eastAsia="Times New Roman" w:hAnsiTheme="minorHAnsi" w:cstheme="minorHAnsi"/>
          <w:b/>
          <w:iCs/>
          <w:szCs w:val="24"/>
          <w:lang w:val="pl-PL" w:eastAsia="en-GB"/>
        </w:rPr>
        <w:tab/>
      </w:r>
      <w:r w:rsidR="003956F1">
        <w:rPr>
          <w:rFonts w:asciiTheme="minorHAnsi" w:eastAsia="Times New Roman" w:hAnsiTheme="minorHAnsi" w:cstheme="minorHAnsi"/>
          <w:b/>
          <w:iCs/>
          <w:szCs w:val="24"/>
          <w:lang w:val="pl-PL" w:eastAsia="en-GB"/>
        </w:rPr>
        <w:t xml:space="preserve"> </w:t>
      </w:r>
      <w:r w:rsidR="00C330F2" w:rsidRPr="00F879CC">
        <w:rPr>
          <w:rFonts w:asciiTheme="minorHAnsi" w:eastAsia="Times New Roman" w:hAnsiTheme="minorHAnsi" w:cstheme="minorHAnsi"/>
          <w:b/>
          <w:iCs/>
          <w:szCs w:val="24"/>
          <w:lang w:val="pl-PL" w:eastAsia="en-GB"/>
        </w:rPr>
        <w:t>Wskaźniki</w:t>
      </w:r>
    </w:p>
    <w:p w14:paraId="4AD2D21C" w14:textId="4808B100" w:rsidR="00F50542" w:rsidRPr="00F879CC" w:rsidRDefault="00C330F2" w:rsidP="00F879CC">
      <w:pPr>
        <w:spacing w:after="200" w:line="276" w:lineRule="auto"/>
        <w:rPr>
          <w:rFonts w:asciiTheme="minorHAnsi" w:eastAsia="Times New Roman" w:hAnsiTheme="minorHAnsi" w:cstheme="minorHAnsi"/>
          <w:szCs w:val="24"/>
          <w:lang w:val="pl-PL" w:eastAsia="en-GB"/>
        </w:rPr>
      </w:pPr>
      <w:r w:rsidRPr="00F879CC">
        <w:rPr>
          <w:rFonts w:asciiTheme="minorHAnsi" w:eastAsia="Times New Roman" w:hAnsiTheme="minorHAnsi" w:cstheme="minorHAnsi"/>
          <w:szCs w:val="24"/>
          <w:lang w:val="pl-PL" w:eastAsia="en-GB"/>
        </w:rPr>
        <w:t>Dotyczy</w:t>
      </w:r>
      <w:r w:rsidR="00F50542" w:rsidRPr="00F879CC">
        <w:rPr>
          <w:rFonts w:asciiTheme="minorHAnsi" w:eastAsia="Times New Roman" w:hAnsiTheme="minorHAnsi" w:cstheme="minorHAnsi"/>
          <w:szCs w:val="24"/>
          <w:lang w:val="pl-PL" w:eastAsia="en-GB"/>
        </w:rPr>
        <w:t xml:space="preserve">: </w:t>
      </w:r>
      <w:r w:rsidR="00C05222" w:rsidRPr="00F879CC">
        <w:rPr>
          <w:rFonts w:asciiTheme="minorHAnsi" w:eastAsia="Times New Roman" w:hAnsiTheme="minorHAnsi" w:cstheme="minorHAnsi"/>
          <w:szCs w:val="24"/>
          <w:lang w:val="pl-PL" w:eastAsia="en-GB"/>
        </w:rPr>
        <w:t>a</w:t>
      </w:r>
      <w:r w:rsidRPr="00F879CC">
        <w:rPr>
          <w:rFonts w:asciiTheme="minorHAnsi" w:eastAsia="Times New Roman" w:hAnsiTheme="minorHAnsi" w:cstheme="minorHAnsi"/>
          <w:szCs w:val="24"/>
          <w:lang w:val="pl-PL" w:eastAsia="en-GB"/>
        </w:rPr>
        <w:t xml:space="preserve">rt. 17 ust. 4 lit. e) ppkt. </w:t>
      </w:r>
      <w:r w:rsidR="00C05222" w:rsidRPr="00A6393C">
        <w:rPr>
          <w:rFonts w:asciiTheme="minorHAnsi" w:eastAsia="Times New Roman" w:hAnsiTheme="minorHAnsi" w:cstheme="minorHAnsi"/>
          <w:szCs w:val="24"/>
          <w:lang w:val="en-GB" w:eastAsia="en-GB"/>
        </w:rPr>
        <w:t>(ii), a</w:t>
      </w:r>
      <w:r w:rsidRPr="00A6393C">
        <w:rPr>
          <w:rFonts w:asciiTheme="minorHAnsi" w:eastAsia="Times New Roman" w:hAnsiTheme="minorHAnsi" w:cstheme="minorHAnsi"/>
          <w:szCs w:val="24"/>
          <w:lang w:val="en-GB" w:eastAsia="en-GB"/>
        </w:rPr>
        <w:t xml:space="preserve">rt. 17 ust. 9 lit. c) ppkt. </w:t>
      </w:r>
      <w:r w:rsidRPr="00F879CC">
        <w:rPr>
          <w:rFonts w:asciiTheme="minorHAnsi" w:eastAsia="Times New Roman" w:hAnsiTheme="minorHAnsi" w:cstheme="minorHAnsi"/>
          <w:szCs w:val="24"/>
          <w:lang w:val="pl-PL" w:eastAsia="en-GB"/>
        </w:rPr>
        <w:t>(iii)</w:t>
      </w:r>
    </w:p>
    <w:p w14:paraId="14D35FD4" w14:textId="1B81A2DB" w:rsidR="00F50542" w:rsidRPr="00F879CC" w:rsidRDefault="00C05222" w:rsidP="00F879CC">
      <w:pPr>
        <w:spacing w:before="240" w:after="240" w:line="276" w:lineRule="auto"/>
        <w:rPr>
          <w:rFonts w:asciiTheme="minorHAnsi" w:eastAsia="Times New Roman" w:hAnsiTheme="minorHAnsi" w:cstheme="minorHAnsi"/>
          <w:iCs/>
          <w:szCs w:val="24"/>
          <w:lang w:val="pl-PL" w:eastAsia="en-GB"/>
        </w:rPr>
      </w:pPr>
      <w:r w:rsidRPr="00F879CC">
        <w:rPr>
          <w:rFonts w:asciiTheme="minorHAnsi" w:eastAsia="Times New Roman" w:hAnsiTheme="minorHAnsi" w:cstheme="minorHAnsi"/>
          <w:iCs/>
          <w:szCs w:val="24"/>
          <w:lang w:val="pl-PL" w:eastAsia="en-GB"/>
        </w:rPr>
        <w:t>Tabela</w:t>
      </w:r>
      <w:r w:rsidR="00F50542" w:rsidRPr="00F879CC">
        <w:rPr>
          <w:rFonts w:asciiTheme="minorHAnsi" w:eastAsia="Times New Roman" w:hAnsiTheme="minorHAnsi" w:cstheme="minorHAnsi"/>
          <w:iCs/>
          <w:szCs w:val="24"/>
          <w:lang w:val="pl-PL" w:eastAsia="en-GB"/>
        </w:rPr>
        <w:t xml:space="preserve"> 2: </w:t>
      </w:r>
      <w:r w:rsidRPr="00F879CC">
        <w:rPr>
          <w:rFonts w:asciiTheme="minorHAnsi" w:eastAsia="Times New Roman" w:hAnsiTheme="minorHAnsi" w:cstheme="minorHAnsi"/>
          <w:iCs/>
          <w:szCs w:val="24"/>
          <w:lang w:val="pl-PL" w:eastAsia="en-GB"/>
        </w:rPr>
        <w:t>Wskaźniki produktu wyjściowego</w:t>
      </w:r>
      <w:r w:rsidR="00F54FDB" w:rsidRPr="00F879CC">
        <w:rPr>
          <w:rFonts w:asciiTheme="minorHAnsi" w:eastAsia="Times New Roman" w:hAnsiTheme="minorHAnsi" w:cstheme="minorHAnsi"/>
          <w:iCs/>
          <w:szCs w:val="24"/>
          <w:lang w:val="pl-PL" w:eastAsia="en-GB"/>
        </w:rPr>
        <w:t xml:space="preserve"> </w:t>
      </w:r>
    </w:p>
    <w:tbl>
      <w:tblPr>
        <w:tblW w:w="3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ela dotycząca wskaźników produktu wyjściowego"/>
      </w:tblPr>
      <w:tblGrid>
        <w:gridCol w:w="1104"/>
        <w:gridCol w:w="1452"/>
        <w:gridCol w:w="999"/>
        <w:gridCol w:w="1740"/>
        <w:gridCol w:w="1420"/>
        <w:gridCol w:w="970"/>
        <w:gridCol w:w="1285"/>
      </w:tblGrid>
      <w:tr w:rsidR="004769C8" w:rsidRPr="003956F1" w14:paraId="1FE4A67B" w14:textId="3D66C93A" w:rsidTr="00F879CC">
        <w:trPr>
          <w:trHeight w:val="1521"/>
          <w:tblHeader/>
        </w:trPr>
        <w:tc>
          <w:tcPr>
            <w:tcW w:w="549" w:type="pct"/>
          </w:tcPr>
          <w:p w14:paraId="0C1011D3" w14:textId="42BDAD6B" w:rsidR="004769C8" w:rsidRPr="003956F1" w:rsidRDefault="00C05222" w:rsidP="00F879CC">
            <w:pPr>
              <w:spacing w:before="120" w:after="120" w:line="276" w:lineRule="auto"/>
              <w:rPr>
                <w:rFonts w:asciiTheme="minorHAnsi" w:hAnsiTheme="minorHAnsi" w:cstheme="minorHAnsi"/>
                <w:b/>
                <w:szCs w:val="24"/>
                <w:lang w:val="pl-PL"/>
              </w:rPr>
            </w:pPr>
            <w:bookmarkStart w:id="47" w:name="_Hlk69481016"/>
            <w:r w:rsidRPr="003956F1">
              <w:rPr>
                <w:rFonts w:asciiTheme="minorHAnsi" w:hAnsiTheme="minorHAnsi" w:cstheme="minorHAnsi"/>
                <w:b/>
                <w:szCs w:val="24"/>
                <w:lang w:val="pl-PL"/>
              </w:rPr>
              <w:t>Priorytet</w:t>
            </w:r>
            <w:r w:rsidR="004769C8" w:rsidRPr="003956F1">
              <w:rPr>
                <w:rFonts w:asciiTheme="minorHAnsi" w:hAnsiTheme="minorHAnsi" w:cstheme="minorHAnsi"/>
                <w:b/>
                <w:szCs w:val="24"/>
                <w:lang w:val="pl-PL"/>
              </w:rPr>
              <w:t xml:space="preserve"> </w:t>
            </w:r>
          </w:p>
        </w:tc>
        <w:tc>
          <w:tcPr>
            <w:tcW w:w="601" w:type="pct"/>
          </w:tcPr>
          <w:p w14:paraId="5F887BE8" w14:textId="3F25E0CB" w:rsidR="004769C8" w:rsidRPr="003956F1" w:rsidRDefault="00C05222" w:rsidP="00F879CC">
            <w:pPr>
              <w:spacing w:before="120" w:after="120" w:line="276" w:lineRule="auto"/>
              <w:rPr>
                <w:rFonts w:asciiTheme="minorHAnsi" w:hAnsiTheme="minorHAnsi" w:cstheme="minorHAnsi"/>
                <w:b/>
                <w:szCs w:val="24"/>
                <w:lang w:val="pl-PL"/>
              </w:rPr>
            </w:pPr>
            <w:r w:rsidRPr="003956F1">
              <w:rPr>
                <w:rFonts w:asciiTheme="minorHAnsi" w:hAnsiTheme="minorHAnsi" w:cstheme="minorHAnsi"/>
                <w:b/>
                <w:szCs w:val="24"/>
                <w:lang w:val="pl-PL"/>
              </w:rPr>
              <w:t>Cel szczegółowy</w:t>
            </w:r>
          </w:p>
        </w:tc>
        <w:tc>
          <w:tcPr>
            <w:tcW w:w="723" w:type="pct"/>
          </w:tcPr>
          <w:p w14:paraId="12064C39" w14:textId="77777777" w:rsidR="004769C8" w:rsidRPr="003956F1" w:rsidRDefault="004769C8" w:rsidP="00F879CC">
            <w:pPr>
              <w:spacing w:before="120" w:after="120" w:line="276" w:lineRule="auto"/>
              <w:rPr>
                <w:rFonts w:asciiTheme="minorHAnsi" w:hAnsiTheme="minorHAnsi" w:cstheme="minorHAnsi"/>
                <w:b/>
                <w:szCs w:val="24"/>
                <w:lang w:val="pl-PL"/>
              </w:rPr>
            </w:pPr>
            <w:r w:rsidRPr="003956F1">
              <w:rPr>
                <w:rFonts w:asciiTheme="minorHAnsi" w:hAnsiTheme="minorHAnsi" w:cstheme="minorHAnsi"/>
                <w:b/>
                <w:szCs w:val="24"/>
                <w:lang w:val="pl-PL"/>
              </w:rPr>
              <w:t>ID</w:t>
            </w:r>
          </w:p>
          <w:p w14:paraId="16A6F17D" w14:textId="77777777" w:rsidR="004769C8" w:rsidRPr="003956F1" w:rsidRDefault="004769C8" w:rsidP="00F879CC">
            <w:pPr>
              <w:spacing w:before="120" w:after="120" w:line="276" w:lineRule="auto"/>
              <w:rPr>
                <w:rFonts w:asciiTheme="minorHAnsi" w:hAnsiTheme="minorHAnsi" w:cstheme="minorHAnsi"/>
                <w:b/>
                <w:szCs w:val="24"/>
                <w:lang w:val="pl-PL"/>
              </w:rPr>
            </w:pPr>
            <w:r w:rsidRPr="003956F1">
              <w:rPr>
                <w:rFonts w:asciiTheme="minorHAnsi" w:hAnsiTheme="minorHAnsi" w:cstheme="minorHAnsi"/>
                <w:b/>
                <w:szCs w:val="24"/>
                <w:lang w:val="pl-PL"/>
              </w:rPr>
              <w:t>[5]</w:t>
            </w:r>
          </w:p>
        </w:tc>
        <w:tc>
          <w:tcPr>
            <w:tcW w:w="1042" w:type="pct"/>
            <w:shd w:val="clear" w:color="auto" w:fill="auto"/>
          </w:tcPr>
          <w:p w14:paraId="1D8B0687" w14:textId="354C9074" w:rsidR="004769C8" w:rsidRPr="00503CCE" w:rsidRDefault="00104C7B" w:rsidP="00F879CC">
            <w:pPr>
              <w:spacing w:before="120" w:after="120" w:line="276" w:lineRule="auto"/>
              <w:rPr>
                <w:rFonts w:asciiTheme="minorHAnsi" w:hAnsiTheme="minorHAnsi" w:cstheme="minorHAnsi"/>
                <w:b/>
                <w:szCs w:val="24"/>
                <w:lang w:val="pl-PL"/>
              </w:rPr>
            </w:pPr>
            <w:r w:rsidRPr="00503CCE">
              <w:rPr>
                <w:rFonts w:asciiTheme="minorHAnsi" w:hAnsiTheme="minorHAnsi" w:cstheme="minorHAnsi"/>
                <w:b/>
                <w:szCs w:val="24"/>
                <w:lang w:val="pl-PL"/>
              </w:rPr>
              <w:t>Wskaźnik</w:t>
            </w:r>
            <w:r w:rsidR="004769C8" w:rsidRPr="00503CCE">
              <w:rPr>
                <w:rFonts w:asciiTheme="minorHAnsi" w:hAnsiTheme="minorHAnsi" w:cstheme="minorHAnsi"/>
                <w:b/>
                <w:szCs w:val="24"/>
                <w:lang w:val="pl-PL"/>
              </w:rPr>
              <w:t xml:space="preserve"> </w:t>
            </w:r>
          </w:p>
        </w:tc>
        <w:tc>
          <w:tcPr>
            <w:tcW w:w="980" w:type="pct"/>
          </w:tcPr>
          <w:p w14:paraId="798632C5" w14:textId="72353D00" w:rsidR="004769C8" w:rsidRPr="00862621" w:rsidRDefault="00104C7B" w:rsidP="00F879CC">
            <w:pPr>
              <w:spacing w:before="120" w:after="120" w:line="276" w:lineRule="auto"/>
              <w:rPr>
                <w:rFonts w:asciiTheme="minorHAnsi" w:hAnsiTheme="minorHAnsi" w:cstheme="minorHAnsi"/>
                <w:b/>
                <w:szCs w:val="24"/>
                <w:lang w:val="pl-PL"/>
              </w:rPr>
            </w:pPr>
            <w:r w:rsidRPr="00862621">
              <w:rPr>
                <w:rFonts w:asciiTheme="minorHAnsi" w:hAnsiTheme="minorHAnsi" w:cstheme="minorHAnsi"/>
                <w:b/>
                <w:szCs w:val="24"/>
                <w:lang w:val="pl-PL"/>
              </w:rPr>
              <w:t>Jednostka miary</w:t>
            </w:r>
          </w:p>
          <w:p w14:paraId="2C56A594" w14:textId="77777777" w:rsidR="004769C8" w:rsidRPr="00862621" w:rsidRDefault="004769C8" w:rsidP="00F879CC">
            <w:pPr>
              <w:spacing w:before="120" w:after="120" w:line="276" w:lineRule="auto"/>
              <w:rPr>
                <w:rFonts w:asciiTheme="minorHAnsi" w:hAnsiTheme="minorHAnsi" w:cstheme="minorHAnsi"/>
                <w:b/>
                <w:szCs w:val="24"/>
                <w:lang w:val="pl-PL"/>
              </w:rPr>
            </w:pPr>
            <w:r w:rsidRPr="00862621">
              <w:rPr>
                <w:rFonts w:asciiTheme="minorHAnsi" w:hAnsiTheme="minorHAnsi" w:cstheme="minorHAnsi"/>
                <w:b/>
                <w:szCs w:val="24"/>
                <w:lang w:val="pl-PL"/>
              </w:rPr>
              <w:t>[255]</w:t>
            </w:r>
          </w:p>
        </w:tc>
        <w:tc>
          <w:tcPr>
            <w:tcW w:w="639" w:type="pct"/>
            <w:shd w:val="clear" w:color="auto" w:fill="auto"/>
          </w:tcPr>
          <w:p w14:paraId="131AFBE8" w14:textId="7D9C8CE6" w:rsidR="004769C8" w:rsidRPr="003956F1" w:rsidRDefault="00104C7B" w:rsidP="00F879CC">
            <w:pPr>
              <w:spacing w:before="120" w:after="120" w:line="276" w:lineRule="auto"/>
              <w:rPr>
                <w:rFonts w:asciiTheme="minorHAnsi" w:hAnsiTheme="minorHAnsi" w:cstheme="minorHAnsi"/>
                <w:b/>
                <w:szCs w:val="24"/>
                <w:lang w:val="pl-PL"/>
              </w:rPr>
            </w:pPr>
            <w:r w:rsidRPr="003956F1">
              <w:rPr>
                <w:rFonts w:asciiTheme="minorHAnsi" w:hAnsiTheme="minorHAnsi" w:cstheme="minorHAnsi"/>
                <w:b/>
                <w:szCs w:val="24"/>
                <w:lang w:val="pl-PL"/>
              </w:rPr>
              <w:t>Kamień milowy</w:t>
            </w:r>
            <w:r w:rsidR="004769C8" w:rsidRPr="003956F1">
              <w:rPr>
                <w:rFonts w:asciiTheme="minorHAnsi" w:hAnsiTheme="minorHAnsi" w:cstheme="minorHAnsi"/>
                <w:b/>
                <w:szCs w:val="24"/>
                <w:lang w:val="pl-PL"/>
              </w:rPr>
              <w:t xml:space="preserve"> (2024)</w:t>
            </w:r>
          </w:p>
          <w:p w14:paraId="0D3E9E4B" w14:textId="77777777" w:rsidR="004769C8" w:rsidRPr="003956F1" w:rsidRDefault="004769C8" w:rsidP="00F879CC">
            <w:pPr>
              <w:spacing w:before="120" w:after="120" w:line="276" w:lineRule="auto"/>
              <w:rPr>
                <w:rFonts w:asciiTheme="minorHAnsi" w:hAnsiTheme="minorHAnsi" w:cstheme="minorHAnsi"/>
                <w:b/>
                <w:szCs w:val="24"/>
                <w:lang w:val="pl-PL"/>
              </w:rPr>
            </w:pPr>
            <w:r w:rsidRPr="003956F1">
              <w:rPr>
                <w:rFonts w:asciiTheme="minorHAnsi" w:hAnsiTheme="minorHAnsi" w:cstheme="minorHAnsi"/>
                <w:b/>
                <w:szCs w:val="24"/>
                <w:lang w:val="pl-PL"/>
              </w:rPr>
              <w:t>[200]</w:t>
            </w:r>
          </w:p>
        </w:tc>
        <w:tc>
          <w:tcPr>
            <w:tcW w:w="466" w:type="pct"/>
            <w:shd w:val="clear" w:color="auto" w:fill="auto"/>
          </w:tcPr>
          <w:p w14:paraId="364B60C3" w14:textId="2C6B1BEB" w:rsidR="004769C8" w:rsidRPr="00503CCE" w:rsidRDefault="002D5C6E" w:rsidP="00F879CC">
            <w:pPr>
              <w:spacing w:before="120" w:after="120" w:line="276" w:lineRule="auto"/>
              <w:rPr>
                <w:rFonts w:asciiTheme="minorHAnsi" w:hAnsiTheme="minorHAnsi" w:cstheme="minorHAnsi"/>
                <w:b/>
                <w:szCs w:val="24"/>
                <w:lang w:val="pl-PL"/>
              </w:rPr>
            </w:pPr>
            <w:r w:rsidRPr="003956F1">
              <w:rPr>
                <w:rFonts w:asciiTheme="minorHAnsi" w:hAnsiTheme="minorHAnsi" w:cstheme="minorHAnsi"/>
                <w:b/>
                <w:szCs w:val="24"/>
                <w:lang w:val="pl-PL"/>
              </w:rPr>
              <w:t xml:space="preserve">Cel ostateczny </w:t>
            </w:r>
            <w:r w:rsidR="004769C8" w:rsidRPr="00503CCE">
              <w:rPr>
                <w:rFonts w:asciiTheme="minorHAnsi" w:hAnsiTheme="minorHAnsi" w:cstheme="minorHAnsi"/>
                <w:b/>
                <w:szCs w:val="24"/>
                <w:lang w:val="pl-PL"/>
              </w:rPr>
              <w:t>(2029)</w:t>
            </w:r>
          </w:p>
          <w:p w14:paraId="04CBF78E" w14:textId="77777777" w:rsidR="004769C8" w:rsidRPr="00862621" w:rsidRDefault="004769C8" w:rsidP="00F879CC">
            <w:pPr>
              <w:spacing w:before="120" w:after="120" w:line="276" w:lineRule="auto"/>
              <w:rPr>
                <w:rFonts w:asciiTheme="minorHAnsi" w:hAnsiTheme="minorHAnsi" w:cstheme="minorHAnsi"/>
                <w:b/>
                <w:szCs w:val="24"/>
                <w:lang w:val="pl-PL"/>
              </w:rPr>
            </w:pPr>
            <w:r w:rsidRPr="00862621">
              <w:rPr>
                <w:rFonts w:asciiTheme="minorHAnsi" w:hAnsiTheme="minorHAnsi" w:cstheme="minorHAnsi"/>
                <w:b/>
                <w:szCs w:val="24"/>
                <w:lang w:val="pl-PL"/>
              </w:rPr>
              <w:t>[200]</w:t>
            </w:r>
          </w:p>
        </w:tc>
      </w:tr>
      <w:tr w:rsidR="004769C8" w:rsidRPr="003956F1" w14:paraId="49B3B926" w14:textId="33F3AB2E" w:rsidTr="004769C8">
        <w:trPr>
          <w:trHeight w:val="1054"/>
        </w:trPr>
        <w:tc>
          <w:tcPr>
            <w:tcW w:w="549" w:type="pct"/>
          </w:tcPr>
          <w:p w14:paraId="0F2310FB" w14:textId="77777777" w:rsidR="004769C8" w:rsidRPr="00000498" w:rsidRDefault="004769C8" w:rsidP="00F879CC">
            <w:pPr>
              <w:spacing w:before="120" w:after="120" w:line="276" w:lineRule="auto"/>
              <w:jc w:val="both"/>
              <w:rPr>
                <w:rFonts w:asciiTheme="minorHAnsi" w:hAnsiTheme="minorHAnsi" w:cstheme="minorHAnsi"/>
                <w:szCs w:val="24"/>
                <w:lang w:val="pl-PL"/>
              </w:rPr>
            </w:pPr>
            <w:bookmarkStart w:id="48" w:name="_Hlk70345948"/>
            <w:r w:rsidRPr="00000498">
              <w:rPr>
                <w:rFonts w:asciiTheme="minorHAnsi" w:hAnsiTheme="minorHAnsi" w:cstheme="minorHAnsi"/>
                <w:szCs w:val="24"/>
                <w:lang w:val="pl-PL"/>
              </w:rPr>
              <w:t>1</w:t>
            </w:r>
          </w:p>
        </w:tc>
        <w:tc>
          <w:tcPr>
            <w:tcW w:w="601" w:type="pct"/>
          </w:tcPr>
          <w:p w14:paraId="4F4F1917" w14:textId="77777777" w:rsidR="004769C8" w:rsidRPr="00000498" w:rsidRDefault="004769C8" w:rsidP="00F879CC">
            <w:pPr>
              <w:spacing w:before="120" w:after="120" w:line="276" w:lineRule="auto"/>
              <w:jc w:val="both"/>
              <w:rPr>
                <w:rFonts w:asciiTheme="minorHAnsi" w:hAnsiTheme="minorHAnsi" w:cstheme="minorHAnsi"/>
                <w:szCs w:val="24"/>
                <w:lang w:val="pl-PL"/>
              </w:rPr>
            </w:pPr>
            <w:r w:rsidRPr="00000498">
              <w:rPr>
                <w:rFonts w:asciiTheme="minorHAnsi" w:hAnsiTheme="minorHAnsi" w:cstheme="minorHAnsi"/>
                <w:szCs w:val="24"/>
                <w:lang w:val="pl-PL"/>
              </w:rPr>
              <w:t>iv</w:t>
            </w:r>
          </w:p>
        </w:tc>
        <w:tc>
          <w:tcPr>
            <w:tcW w:w="723" w:type="pct"/>
          </w:tcPr>
          <w:p w14:paraId="28827221" w14:textId="77777777" w:rsidR="004769C8" w:rsidRPr="00000498" w:rsidRDefault="004769C8" w:rsidP="00F879CC">
            <w:pPr>
              <w:spacing w:before="120" w:after="120" w:line="276" w:lineRule="auto"/>
              <w:jc w:val="both"/>
              <w:rPr>
                <w:rFonts w:asciiTheme="minorHAnsi" w:hAnsiTheme="minorHAnsi" w:cstheme="minorHAnsi"/>
                <w:szCs w:val="24"/>
                <w:lang w:val="pl-PL"/>
              </w:rPr>
            </w:pPr>
            <w:r w:rsidRPr="00000498">
              <w:rPr>
                <w:rFonts w:asciiTheme="minorHAnsi" w:hAnsiTheme="minorHAnsi" w:cstheme="minorHAnsi"/>
                <w:szCs w:val="24"/>
                <w:lang w:val="pl-PL"/>
              </w:rPr>
              <w:t>RCO84</w:t>
            </w:r>
          </w:p>
        </w:tc>
        <w:tc>
          <w:tcPr>
            <w:tcW w:w="1042" w:type="pct"/>
            <w:shd w:val="clear" w:color="auto" w:fill="auto"/>
          </w:tcPr>
          <w:p w14:paraId="2F612F9C" w14:textId="6A7FF42B" w:rsidR="004769C8" w:rsidRPr="00000498" w:rsidRDefault="00104C7B" w:rsidP="00F879CC">
            <w:pPr>
              <w:spacing w:before="120" w:after="120" w:line="276" w:lineRule="auto"/>
              <w:rPr>
                <w:rFonts w:asciiTheme="minorHAnsi" w:hAnsiTheme="minorHAnsi" w:cstheme="minorHAnsi"/>
                <w:szCs w:val="24"/>
                <w:lang w:val="pl-PL"/>
              </w:rPr>
            </w:pPr>
            <w:r w:rsidRPr="00000498">
              <w:rPr>
                <w:rFonts w:asciiTheme="minorHAnsi" w:hAnsiTheme="minorHAnsi" w:cstheme="minorHAnsi"/>
                <w:szCs w:val="24"/>
                <w:lang w:val="pl-PL"/>
              </w:rPr>
              <w:t>Działania pilotażowe opracowywane wspólnie i wdrażane w projektach</w:t>
            </w:r>
          </w:p>
        </w:tc>
        <w:tc>
          <w:tcPr>
            <w:tcW w:w="980" w:type="pct"/>
          </w:tcPr>
          <w:p w14:paraId="3E6C426C" w14:textId="0C12970D" w:rsidR="004769C8" w:rsidRPr="00000498" w:rsidRDefault="00104C7B" w:rsidP="00F879CC">
            <w:pPr>
              <w:spacing w:before="120" w:after="120" w:line="276" w:lineRule="auto"/>
              <w:jc w:val="both"/>
              <w:rPr>
                <w:rFonts w:asciiTheme="minorHAnsi" w:hAnsiTheme="minorHAnsi" w:cstheme="minorHAnsi"/>
                <w:szCs w:val="24"/>
                <w:lang w:val="pl-PL"/>
              </w:rPr>
            </w:pPr>
            <w:r w:rsidRPr="00000498">
              <w:rPr>
                <w:rFonts w:asciiTheme="minorHAnsi" w:hAnsiTheme="minorHAnsi" w:cstheme="minorHAnsi"/>
                <w:szCs w:val="24"/>
                <w:lang w:val="pl-PL"/>
              </w:rPr>
              <w:t>Działanie pilotażowe</w:t>
            </w:r>
          </w:p>
        </w:tc>
        <w:tc>
          <w:tcPr>
            <w:tcW w:w="639" w:type="pct"/>
            <w:shd w:val="clear" w:color="auto" w:fill="auto"/>
          </w:tcPr>
          <w:p w14:paraId="0D096F2E" w14:textId="77777777" w:rsidR="004769C8" w:rsidRPr="00000498" w:rsidRDefault="004769C8" w:rsidP="00F879CC">
            <w:pPr>
              <w:spacing w:before="120" w:after="120" w:line="276" w:lineRule="auto"/>
              <w:rPr>
                <w:rFonts w:asciiTheme="minorHAnsi" w:hAnsiTheme="minorHAnsi" w:cstheme="minorHAnsi"/>
                <w:szCs w:val="24"/>
                <w:lang w:val="pl-PL"/>
              </w:rPr>
            </w:pPr>
            <w:r w:rsidRPr="00000498">
              <w:rPr>
                <w:rFonts w:asciiTheme="minorHAnsi" w:hAnsiTheme="minorHAnsi" w:cstheme="minorHAnsi"/>
                <w:szCs w:val="24"/>
                <w:lang w:val="pl-PL"/>
              </w:rPr>
              <w:t>1</w:t>
            </w:r>
          </w:p>
          <w:p w14:paraId="5A3CFF67" w14:textId="71829A9A" w:rsidR="004769C8" w:rsidRPr="00000498" w:rsidRDefault="004769C8" w:rsidP="00F879CC">
            <w:pPr>
              <w:spacing w:before="120" w:after="120" w:line="276" w:lineRule="auto"/>
              <w:rPr>
                <w:rFonts w:asciiTheme="minorHAnsi" w:hAnsiTheme="minorHAnsi" w:cstheme="minorHAnsi"/>
                <w:szCs w:val="24"/>
                <w:lang w:val="pl-PL"/>
              </w:rPr>
            </w:pPr>
          </w:p>
        </w:tc>
        <w:tc>
          <w:tcPr>
            <w:tcW w:w="466" w:type="pct"/>
            <w:shd w:val="clear" w:color="auto" w:fill="auto"/>
          </w:tcPr>
          <w:p w14:paraId="711EE7E9" w14:textId="16BB8149" w:rsidR="004769C8" w:rsidRPr="00000498" w:rsidRDefault="004769C8" w:rsidP="00F879CC">
            <w:pPr>
              <w:spacing w:before="120" w:after="120" w:line="276" w:lineRule="auto"/>
              <w:jc w:val="both"/>
              <w:rPr>
                <w:rFonts w:asciiTheme="minorHAnsi" w:hAnsiTheme="minorHAnsi" w:cstheme="minorHAnsi"/>
                <w:szCs w:val="24"/>
                <w:lang w:val="pl-PL"/>
              </w:rPr>
            </w:pPr>
            <w:r w:rsidRPr="00000498">
              <w:rPr>
                <w:rFonts w:asciiTheme="minorHAnsi" w:hAnsiTheme="minorHAnsi" w:cstheme="minorHAnsi"/>
                <w:szCs w:val="24"/>
                <w:lang w:val="pl-PL"/>
              </w:rPr>
              <w:t>34</w:t>
            </w:r>
          </w:p>
        </w:tc>
      </w:tr>
      <w:tr w:rsidR="004769C8" w:rsidRPr="003956F1" w14:paraId="66940E89" w14:textId="217D19A4" w:rsidTr="004769C8">
        <w:trPr>
          <w:trHeight w:val="1054"/>
        </w:trPr>
        <w:tc>
          <w:tcPr>
            <w:tcW w:w="549" w:type="pct"/>
          </w:tcPr>
          <w:p w14:paraId="21D37063" w14:textId="10ACE043" w:rsidR="004769C8" w:rsidRPr="00000498" w:rsidRDefault="004769C8" w:rsidP="00F879CC">
            <w:pPr>
              <w:spacing w:before="120" w:after="120" w:line="276" w:lineRule="auto"/>
              <w:jc w:val="both"/>
              <w:rPr>
                <w:rFonts w:asciiTheme="minorHAnsi" w:hAnsiTheme="minorHAnsi" w:cstheme="minorHAnsi"/>
                <w:szCs w:val="24"/>
                <w:lang w:val="pl-PL"/>
              </w:rPr>
            </w:pPr>
            <w:r w:rsidRPr="00000498">
              <w:rPr>
                <w:rFonts w:asciiTheme="minorHAnsi" w:hAnsiTheme="minorHAnsi" w:cstheme="minorHAnsi"/>
                <w:szCs w:val="24"/>
                <w:lang w:val="pl-PL"/>
              </w:rPr>
              <w:t>1</w:t>
            </w:r>
          </w:p>
        </w:tc>
        <w:tc>
          <w:tcPr>
            <w:tcW w:w="601" w:type="pct"/>
          </w:tcPr>
          <w:p w14:paraId="478B462E" w14:textId="483ACBC3" w:rsidR="004769C8" w:rsidRPr="00000498" w:rsidRDefault="004769C8" w:rsidP="00F879CC">
            <w:pPr>
              <w:spacing w:before="120" w:after="120" w:line="276" w:lineRule="auto"/>
              <w:jc w:val="both"/>
              <w:rPr>
                <w:rFonts w:asciiTheme="minorHAnsi" w:hAnsiTheme="minorHAnsi" w:cstheme="minorHAnsi"/>
                <w:szCs w:val="24"/>
                <w:lang w:val="pl-PL"/>
              </w:rPr>
            </w:pPr>
            <w:r w:rsidRPr="00000498">
              <w:rPr>
                <w:rFonts w:asciiTheme="minorHAnsi" w:hAnsiTheme="minorHAnsi" w:cstheme="minorHAnsi"/>
                <w:szCs w:val="24"/>
                <w:lang w:val="pl-PL"/>
              </w:rPr>
              <w:t>iv</w:t>
            </w:r>
          </w:p>
        </w:tc>
        <w:tc>
          <w:tcPr>
            <w:tcW w:w="723" w:type="pct"/>
          </w:tcPr>
          <w:p w14:paraId="45101FBD" w14:textId="0DD524BE" w:rsidR="004769C8" w:rsidRPr="00000498" w:rsidRDefault="004769C8" w:rsidP="00F879CC">
            <w:pPr>
              <w:spacing w:before="120" w:after="120" w:line="276" w:lineRule="auto"/>
              <w:jc w:val="both"/>
              <w:rPr>
                <w:rFonts w:asciiTheme="minorHAnsi" w:hAnsiTheme="minorHAnsi" w:cstheme="minorHAnsi"/>
                <w:szCs w:val="24"/>
                <w:lang w:val="pl-PL"/>
              </w:rPr>
            </w:pPr>
            <w:r w:rsidRPr="00000498">
              <w:rPr>
                <w:rFonts w:asciiTheme="minorHAnsi" w:hAnsiTheme="minorHAnsi" w:cstheme="minorHAnsi"/>
                <w:szCs w:val="24"/>
                <w:lang w:val="pl-PL"/>
              </w:rPr>
              <w:t>RCO87</w:t>
            </w:r>
          </w:p>
        </w:tc>
        <w:tc>
          <w:tcPr>
            <w:tcW w:w="1042" w:type="pct"/>
            <w:shd w:val="clear" w:color="auto" w:fill="auto"/>
          </w:tcPr>
          <w:p w14:paraId="169E6503" w14:textId="3CEFD6DA" w:rsidR="004769C8" w:rsidRPr="00000498" w:rsidRDefault="00104C7B" w:rsidP="00F879CC">
            <w:pPr>
              <w:spacing w:before="120" w:after="120" w:line="276" w:lineRule="auto"/>
              <w:rPr>
                <w:rFonts w:asciiTheme="minorHAnsi" w:hAnsiTheme="minorHAnsi" w:cstheme="minorHAnsi"/>
                <w:szCs w:val="24"/>
                <w:lang w:val="pl-PL"/>
              </w:rPr>
            </w:pPr>
            <w:bookmarkStart w:id="49" w:name="OLE_LINK227"/>
            <w:bookmarkStart w:id="50" w:name="OLE_LINK228"/>
            <w:r w:rsidRPr="00000498">
              <w:rPr>
                <w:rFonts w:asciiTheme="minorHAnsi" w:hAnsiTheme="minorHAnsi" w:cstheme="minorHAnsi"/>
                <w:szCs w:val="24"/>
                <w:lang w:val="pl-PL"/>
              </w:rPr>
              <w:t>Organizacje współpracujące transgranicznie</w:t>
            </w:r>
            <w:bookmarkEnd w:id="49"/>
            <w:bookmarkEnd w:id="50"/>
          </w:p>
        </w:tc>
        <w:tc>
          <w:tcPr>
            <w:tcW w:w="980" w:type="pct"/>
          </w:tcPr>
          <w:p w14:paraId="5595E547" w14:textId="17913CC6" w:rsidR="004769C8" w:rsidRPr="00000498" w:rsidRDefault="004769C8" w:rsidP="00F879CC">
            <w:pPr>
              <w:spacing w:before="120" w:after="120" w:line="276" w:lineRule="auto"/>
              <w:jc w:val="both"/>
              <w:rPr>
                <w:rFonts w:asciiTheme="minorHAnsi" w:hAnsiTheme="minorHAnsi" w:cstheme="minorHAnsi"/>
                <w:szCs w:val="24"/>
                <w:lang w:val="pl-PL"/>
              </w:rPr>
            </w:pPr>
            <w:r w:rsidRPr="00000498">
              <w:rPr>
                <w:rFonts w:asciiTheme="minorHAnsi" w:hAnsiTheme="minorHAnsi" w:cstheme="minorHAnsi"/>
                <w:szCs w:val="24"/>
                <w:lang w:val="pl-PL"/>
              </w:rPr>
              <w:t>O</w:t>
            </w:r>
            <w:r w:rsidR="00104C7B" w:rsidRPr="00000498">
              <w:rPr>
                <w:rFonts w:asciiTheme="minorHAnsi" w:hAnsiTheme="minorHAnsi" w:cstheme="minorHAnsi"/>
                <w:szCs w:val="24"/>
                <w:lang w:val="pl-PL"/>
              </w:rPr>
              <w:t>rganizacja</w:t>
            </w:r>
          </w:p>
        </w:tc>
        <w:tc>
          <w:tcPr>
            <w:tcW w:w="639" w:type="pct"/>
            <w:shd w:val="clear" w:color="auto" w:fill="auto"/>
          </w:tcPr>
          <w:p w14:paraId="7289AFAE" w14:textId="61F1AF11" w:rsidR="004769C8" w:rsidRPr="00000498" w:rsidRDefault="004769C8" w:rsidP="00F879CC">
            <w:pPr>
              <w:spacing w:before="120" w:after="120" w:line="276" w:lineRule="auto"/>
              <w:jc w:val="both"/>
              <w:rPr>
                <w:rFonts w:asciiTheme="minorHAnsi" w:hAnsiTheme="minorHAnsi" w:cstheme="minorHAnsi"/>
                <w:szCs w:val="24"/>
                <w:lang w:val="pl-PL"/>
              </w:rPr>
            </w:pPr>
            <w:r w:rsidRPr="00000498">
              <w:rPr>
                <w:rFonts w:asciiTheme="minorHAnsi" w:hAnsiTheme="minorHAnsi" w:cstheme="minorHAnsi"/>
                <w:szCs w:val="24"/>
                <w:lang w:val="pl-PL"/>
              </w:rPr>
              <w:t>21</w:t>
            </w:r>
          </w:p>
        </w:tc>
        <w:tc>
          <w:tcPr>
            <w:tcW w:w="466" w:type="pct"/>
            <w:shd w:val="clear" w:color="auto" w:fill="auto"/>
          </w:tcPr>
          <w:p w14:paraId="27258CB7" w14:textId="4CC26296" w:rsidR="004769C8" w:rsidRPr="00000498" w:rsidRDefault="004769C8" w:rsidP="00F879CC">
            <w:pPr>
              <w:spacing w:before="120" w:after="120" w:line="276" w:lineRule="auto"/>
              <w:jc w:val="both"/>
              <w:rPr>
                <w:rFonts w:asciiTheme="minorHAnsi" w:hAnsiTheme="minorHAnsi" w:cstheme="minorHAnsi"/>
                <w:szCs w:val="24"/>
                <w:lang w:val="pl-PL"/>
              </w:rPr>
            </w:pPr>
            <w:r w:rsidRPr="00000498">
              <w:rPr>
                <w:rFonts w:asciiTheme="minorHAnsi" w:hAnsiTheme="minorHAnsi" w:cstheme="minorHAnsi"/>
                <w:szCs w:val="24"/>
                <w:lang w:val="pl-PL"/>
              </w:rPr>
              <w:t>346</w:t>
            </w:r>
          </w:p>
        </w:tc>
      </w:tr>
      <w:tr w:rsidR="004769C8" w:rsidRPr="003956F1" w14:paraId="2ADE8F5F" w14:textId="51D0A8B8" w:rsidTr="004769C8">
        <w:trPr>
          <w:trHeight w:val="1054"/>
        </w:trPr>
        <w:tc>
          <w:tcPr>
            <w:tcW w:w="549" w:type="pct"/>
          </w:tcPr>
          <w:p w14:paraId="58FE979A" w14:textId="0B9F4EDF" w:rsidR="004769C8" w:rsidRPr="00000498" w:rsidRDefault="004769C8" w:rsidP="00F879CC">
            <w:pPr>
              <w:spacing w:before="120" w:after="120" w:line="276" w:lineRule="auto"/>
              <w:jc w:val="both"/>
              <w:rPr>
                <w:rFonts w:asciiTheme="minorHAnsi" w:hAnsiTheme="minorHAnsi" w:cstheme="minorHAnsi"/>
                <w:szCs w:val="24"/>
                <w:lang w:val="pl-PL"/>
              </w:rPr>
            </w:pPr>
            <w:r w:rsidRPr="00000498">
              <w:rPr>
                <w:rFonts w:asciiTheme="minorHAnsi" w:hAnsiTheme="minorHAnsi" w:cstheme="minorHAnsi"/>
                <w:szCs w:val="24"/>
                <w:lang w:val="pl-PL"/>
              </w:rPr>
              <w:t>1</w:t>
            </w:r>
          </w:p>
        </w:tc>
        <w:tc>
          <w:tcPr>
            <w:tcW w:w="601" w:type="pct"/>
          </w:tcPr>
          <w:p w14:paraId="3A0AD61F" w14:textId="43CEF70C" w:rsidR="004769C8" w:rsidRPr="00000498" w:rsidRDefault="004769C8" w:rsidP="00F879CC">
            <w:pPr>
              <w:spacing w:before="120" w:after="120" w:line="276" w:lineRule="auto"/>
              <w:jc w:val="both"/>
              <w:rPr>
                <w:rFonts w:asciiTheme="minorHAnsi" w:hAnsiTheme="minorHAnsi" w:cstheme="minorHAnsi"/>
                <w:szCs w:val="24"/>
                <w:lang w:val="pl-PL"/>
              </w:rPr>
            </w:pPr>
            <w:r w:rsidRPr="00000498">
              <w:rPr>
                <w:rFonts w:asciiTheme="minorHAnsi" w:hAnsiTheme="minorHAnsi" w:cstheme="minorHAnsi"/>
                <w:szCs w:val="24"/>
                <w:lang w:val="pl-PL"/>
              </w:rPr>
              <w:t>iv</w:t>
            </w:r>
          </w:p>
        </w:tc>
        <w:tc>
          <w:tcPr>
            <w:tcW w:w="723" w:type="pct"/>
          </w:tcPr>
          <w:p w14:paraId="4CC541AC" w14:textId="45884F6E" w:rsidR="004769C8" w:rsidRPr="00000498" w:rsidRDefault="004769C8" w:rsidP="00F879CC">
            <w:pPr>
              <w:spacing w:before="120" w:after="120" w:line="276" w:lineRule="auto"/>
              <w:jc w:val="both"/>
              <w:rPr>
                <w:rFonts w:asciiTheme="minorHAnsi" w:hAnsiTheme="minorHAnsi" w:cstheme="minorHAnsi"/>
                <w:szCs w:val="24"/>
                <w:lang w:val="pl-PL"/>
              </w:rPr>
            </w:pPr>
            <w:r w:rsidRPr="00000498">
              <w:rPr>
                <w:rFonts w:asciiTheme="minorHAnsi" w:hAnsiTheme="minorHAnsi" w:cstheme="minorHAnsi"/>
                <w:szCs w:val="24"/>
                <w:lang w:val="pl-PL"/>
              </w:rPr>
              <w:t>RCO116</w:t>
            </w:r>
          </w:p>
        </w:tc>
        <w:tc>
          <w:tcPr>
            <w:tcW w:w="1042" w:type="pct"/>
            <w:shd w:val="clear" w:color="auto" w:fill="auto"/>
          </w:tcPr>
          <w:p w14:paraId="4675383A" w14:textId="6B9D1013" w:rsidR="004769C8" w:rsidRPr="00000498" w:rsidRDefault="00104C7B" w:rsidP="00F879CC">
            <w:pPr>
              <w:spacing w:before="120" w:after="120" w:line="276" w:lineRule="auto"/>
              <w:rPr>
                <w:rFonts w:asciiTheme="minorHAnsi" w:hAnsiTheme="minorHAnsi" w:cstheme="minorHAnsi"/>
                <w:szCs w:val="24"/>
                <w:lang w:val="pl-PL"/>
              </w:rPr>
            </w:pPr>
            <w:bookmarkStart w:id="51" w:name="OLE_LINK229"/>
            <w:bookmarkStart w:id="52" w:name="OLE_LINK230"/>
            <w:r w:rsidRPr="00000498">
              <w:rPr>
                <w:rFonts w:asciiTheme="minorHAnsi" w:hAnsiTheme="minorHAnsi" w:cstheme="minorHAnsi"/>
                <w:szCs w:val="24"/>
                <w:lang w:val="pl-PL"/>
              </w:rPr>
              <w:t>Wspólnie opracowane rozwiązania</w:t>
            </w:r>
            <w:bookmarkEnd w:id="51"/>
            <w:bookmarkEnd w:id="52"/>
          </w:p>
        </w:tc>
        <w:tc>
          <w:tcPr>
            <w:tcW w:w="980" w:type="pct"/>
          </w:tcPr>
          <w:p w14:paraId="19FAF39F" w14:textId="747D6622" w:rsidR="004769C8" w:rsidRPr="00000498" w:rsidRDefault="00104C7B" w:rsidP="00F879CC">
            <w:pPr>
              <w:spacing w:before="120" w:after="120" w:line="276" w:lineRule="auto"/>
              <w:jc w:val="both"/>
              <w:rPr>
                <w:rFonts w:asciiTheme="minorHAnsi" w:hAnsiTheme="minorHAnsi" w:cstheme="minorHAnsi"/>
                <w:szCs w:val="24"/>
                <w:lang w:val="pl-PL"/>
              </w:rPr>
            </w:pPr>
            <w:r w:rsidRPr="00000498">
              <w:rPr>
                <w:rFonts w:asciiTheme="minorHAnsi" w:hAnsiTheme="minorHAnsi" w:cstheme="minorHAnsi"/>
                <w:szCs w:val="24"/>
                <w:lang w:val="pl-PL"/>
              </w:rPr>
              <w:t>Rozwiązanie</w:t>
            </w:r>
          </w:p>
        </w:tc>
        <w:tc>
          <w:tcPr>
            <w:tcW w:w="639" w:type="pct"/>
            <w:shd w:val="clear" w:color="auto" w:fill="auto"/>
          </w:tcPr>
          <w:p w14:paraId="4B60D97A" w14:textId="0B7E2E51" w:rsidR="004769C8" w:rsidRPr="00000498" w:rsidRDefault="004769C8" w:rsidP="00F879CC">
            <w:pPr>
              <w:spacing w:before="120" w:after="120" w:line="276" w:lineRule="auto"/>
              <w:jc w:val="both"/>
              <w:rPr>
                <w:rFonts w:asciiTheme="minorHAnsi" w:hAnsiTheme="minorHAnsi" w:cstheme="minorHAnsi"/>
                <w:szCs w:val="24"/>
                <w:lang w:val="pl-PL"/>
              </w:rPr>
            </w:pPr>
            <w:r w:rsidRPr="00000498">
              <w:rPr>
                <w:rFonts w:asciiTheme="minorHAnsi" w:hAnsiTheme="minorHAnsi" w:cstheme="minorHAnsi"/>
                <w:szCs w:val="24"/>
                <w:lang w:val="pl-PL"/>
              </w:rPr>
              <w:t>1</w:t>
            </w:r>
          </w:p>
        </w:tc>
        <w:tc>
          <w:tcPr>
            <w:tcW w:w="466" w:type="pct"/>
            <w:shd w:val="clear" w:color="auto" w:fill="auto"/>
          </w:tcPr>
          <w:p w14:paraId="5D83F86E" w14:textId="19015455" w:rsidR="004769C8" w:rsidRPr="00000498" w:rsidRDefault="004769C8" w:rsidP="00F879CC">
            <w:pPr>
              <w:spacing w:before="120" w:after="120" w:line="276" w:lineRule="auto"/>
              <w:jc w:val="both"/>
              <w:rPr>
                <w:rFonts w:asciiTheme="minorHAnsi" w:hAnsiTheme="minorHAnsi" w:cstheme="minorHAnsi"/>
                <w:szCs w:val="24"/>
                <w:lang w:val="pl-PL"/>
              </w:rPr>
            </w:pPr>
            <w:r w:rsidRPr="00000498">
              <w:rPr>
                <w:rFonts w:asciiTheme="minorHAnsi" w:hAnsiTheme="minorHAnsi" w:cstheme="minorHAnsi"/>
                <w:szCs w:val="24"/>
                <w:lang w:val="pl-PL"/>
              </w:rPr>
              <w:t>18</w:t>
            </w:r>
          </w:p>
        </w:tc>
      </w:tr>
    </w:tbl>
    <w:bookmarkEnd w:id="47"/>
    <w:bookmarkEnd w:id="48"/>
    <w:p w14:paraId="372EE935" w14:textId="42E4633D" w:rsidR="00F50542" w:rsidRPr="00F879CC" w:rsidRDefault="00104C7B" w:rsidP="00F50542">
      <w:pPr>
        <w:spacing w:before="240" w:after="240" w:line="240" w:lineRule="auto"/>
        <w:rPr>
          <w:rFonts w:asciiTheme="minorHAnsi" w:eastAsia="Times New Roman" w:hAnsiTheme="minorHAnsi" w:cstheme="minorHAnsi"/>
          <w:iCs/>
          <w:szCs w:val="24"/>
          <w:lang w:val="pl-PL" w:eastAsia="en-GB"/>
        </w:rPr>
      </w:pPr>
      <w:r w:rsidRPr="00F879CC">
        <w:rPr>
          <w:rFonts w:asciiTheme="minorHAnsi" w:eastAsia="Times New Roman" w:hAnsiTheme="minorHAnsi" w:cstheme="minorHAnsi"/>
          <w:iCs/>
          <w:szCs w:val="24"/>
          <w:lang w:val="pl-PL" w:eastAsia="en-GB"/>
        </w:rPr>
        <w:lastRenderedPageBreak/>
        <w:t>Tabela</w:t>
      </w:r>
      <w:r w:rsidR="00F50542" w:rsidRPr="00F879CC">
        <w:rPr>
          <w:rFonts w:asciiTheme="minorHAnsi" w:eastAsia="Times New Roman" w:hAnsiTheme="minorHAnsi" w:cstheme="minorHAnsi"/>
          <w:iCs/>
          <w:szCs w:val="24"/>
          <w:lang w:val="pl-PL" w:eastAsia="en-GB"/>
        </w:rPr>
        <w:t xml:space="preserve"> 3: </w:t>
      </w:r>
      <w:r w:rsidRPr="00F879CC">
        <w:rPr>
          <w:rFonts w:asciiTheme="minorHAnsi" w:eastAsia="Times New Roman" w:hAnsiTheme="minorHAnsi" w:cstheme="minorHAnsi"/>
          <w:iCs/>
          <w:szCs w:val="24"/>
          <w:lang w:val="pl-PL" w:eastAsia="en-GB"/>
        </w:rPr>
        <w:t>Wskaźniki rezultatu</w:t>
      </w:r>
      <w:r w:rsidR="00F54FDB" w:rsidRPr="00F879CC">
        <w:rPr>
          <w:rFonts w:asciiTheme="minorHAnsi" w:eastAsia="Times New Roman" w:hAnsiTheme="minorHAnsi" w:cstheme="minorHAnsi"/>
          <w:iCs/>
          <w:szCs w:val="24"/>
          <w:lang w:val="pl-PL" w:eastAsia="en-GB"/>
        </w:rPr>
        <w:t xml:space="preserve"> </w:t>
      </w:r>
    </w:p>
    <w:tbl>
      <w:tblPr>
        <w:tblW w:w="56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abela dotycząca wskaźników rezultatu"/>
      </w:tblPr>
      <w:tblGrid>
        <w:gridCol w:w="863"/>
        <w:gridCol w:w="1069"/>
        <w:gridCol w:w="673"/>
        <w:gridCol w:w="1317"/>
        <w:gridCol w:w="872"/>
        <w:gridCol w:w="1018"/>
        <w:gridCol w:w="1018"/>
        <w:gridCol w:w="870"/>
        <w:gridCol w:w="872"/>
        <w:gridCol w:w="1884"/>
      </w:tblGrid>
      <w:tr w:rsidR="00104C7B" w:rsidRPr="003956F1" w14:paraId="43AAB640" w14:textId="77777777" w:rsidTr="00F879CC">
        <w:trPr>
          <w:trHeight w:val="947"/>
          <w:tblHeader/>
        </w:trPr>
        <w:tc>
          <w:tcPr>
            <w:tcW w:w="412" w:type="pct"/>
          </w:tcPr>
          <w:p w14:paraId="1DB56ADA" w14:textId="64602259" w:rsidR="00F50542" w:rsidRPr="00503CCE" w:rsidRDefault="00104C7B" w:rsidP="00F50542">
            <w:pPr>
              <w:spacing w:before="120" w:after="120" w:line="240" w:lineRule="auto"/>
              <w:jc w:val="both"/>
              <w:rPr>
                <w:rFonts w:asciiTheme="minorHAnsi" w:hAnsiTheme="minorHAnsi" w:cstheme="minorHAnsi"/>
                <w:b/>
                <w:szCs w:val="24"/>
                <w:lang w:val="pl-PL"/>
              </w:rPr>
            </w:pPr>
            <w:bookmarkStart w:id="53" w:name="_Hlk70345888"/>
            <w:bookmarkStart w:id="54" w:name="_Hlk69481026"/>
            <w:r w:rsidRPr="003956F1">
              <w:rPr>
                <w:rFonts w:asciiTheme="minorHAnsi" w:hAnsiTheme="minorHAnsi" w:cstheme="minorHAnsi"/>
                <w:b/>
                <w:szCs w:val="24"/>
                <w:lang w:val="pl-PL"/>
              </w:rPr>
              <w:t>Prio</w:t>
            </w:r>
            <w:r w:rsidRPr="00503CCE">
              <w:rPr>
                <w:rFonts w:asciiTheme="minorHAnsi" w:hAnsiTheme="minorHAnsi" w:cstheme="minorHAnsi"/>
                <w:b/>
                <w:szCs w:val="24"/>
                <w:lang w:val="pl-PL"/>
              </w:rPr>
              <w:t>rytet</w:t>
            </w:r>
            <w:r w:rsidR="00F50542" w:rsidRPr="00503CCE">
              <w:rPr>
                <w:rFonts w:asciiTheme="minorHAnsi" w:hAnsiTheme="minorHAnsi" w:cstheme="minorHAnsi"/>
                <w:b/>
                <w:szCs w:val="24"/>
                <w:lang w:val="pl-PL"/>
              </w:rPr>
              <w:t xml:space="preserve"> </w:t>
            </w:r>
          </w:p>
        </w:tc>
        <w:tc>
          <w:tcPr>
            <w:tcW w:w="511" w:type="pct"/>
          </w:tcPr>
          <w:p w14:paraId="53D0E371" w14:textId="1B7E09D6" w:rsidR="00F50542" w:rsidRPr="003956F1" w:rsidRDefault="00104C7B" w:rsidP="00F50542">
            <w:pPr>
              <w:spacing w:before="120" w:after="120" w:line="240" w:lineRule="auto"/>
              <w:jc w:val="both"/>
              <w:rPr>
                <w:rFonts w:asciiTheme="minorHAnsi" w:hAnsiTheme="minorHAnsi" w:cstheme="minorHAnsi"/>
                <w:b/>
                <w:szCs w:val="24"/>
                <w:lang w:val="pl-PL"/>
              </w:rPr>
            </w:pPr>
            <w:r w:rsidRPr="00862621">
              <w:rPr>
                <w:rFonts w:asciiTheme="minorHAnsi" w:hAnsiTheme="minorHAnsi" w:cstheme="minorHAnsi"/>
                <w:b/>
                <w:szCs w:val="24"/>
                <w:lang w:val="pl-PL"/>
              </w:rPr>
              <w:t>Cel szczegółowy</w:t>
            </w:r>
          </w:p>
        </w:tc>
        <w:tc>
          <w:tcPr>
            <w:tcW w:w="322" w:type="pct"/>
          </w:tcPr>
          <w:p w14:paraId="0FB25360" w14:textId="77777777" w:rsidR="00F50542" w:rsidRPr="003956F1" w:rsidRDefault="00F50542" w:rsidP="00F50542">
            <w:pPr>
              <w:spacing w:before="120" w:after="120" w:line="240" w:lineRule="auto"/>
              <w:jc w:val="both"/>
              <w:rPr>
                <w:rFonts w:asciiTheme="minorHAnsi" w:hAnsiTheme="minorHAnsi" w:cstheme="minorHAnsi"/>
                <w:b/>
                <w:szCs w:val="24"/>
                <w:lang w:val="pl-PL"/>
              </w:rPr>
            </w:pPr>
            <w:r w:rsidRPr="003956F1">
              <w:rPr>
                <w:rFonts w:asciiTheme="minorHAnsi" w:hAnsiTheme="minorHAnsi" w:cstheme="minorHAnsi"/>
                <w:b/>
                <w:szCs w:val="24"/>
                <w:lang w:val="pl-PL"/>
              </w:rPr>
              <w:t>ID</w:t>
            </w:r>
          </w:p>
        </w:tc>
        <w:tc>
          <w:tcPr>
            <w:tcW w:w="630" w:type="pct"/>
            <w:shd w:val="clear" w:color="auto" w:fill="auto"/>
          </w:tcPr>
          <w:p w14:paraId="47353DE0" w14:textId="7F897C0D" w:rsidR="00F50542" w:rsidRPr="003956F1" w:rsidRDefault="00104C7B" w:rsidP="00F50542">
            <w:pPr>
              <w:spacing w:before="120" w:after="120" w:line="240" w:lineRule="auto"/>
              <w:jc w:val="both"/>
              <w:rPr>
                <w:rFonts w:asciiTheme="minorHAnsi" w:hAnsiTheme="minorHAnsi" w:cstheme="minorHAnsi"/>
                <w:b/>
                <w:szCs w:val="24"/>
                <w:lang w:val="pl-PL"/>
              </w:rPr>
            </w:pPr>
            <w:r w:rsidRPr="003956F1">
              <w:rPr>
                <w:rFonts w:asciiTheme="minorHAnsi" w:hAnsiTheme="minorHAnsi" w:cstheme="minorHAnsi"/>
                <w:b/>
                <w:szCs w:val="24"/>
                <w:lang w:val="pl-PL"/>
              </w:rPr>
              <w:t>Wskaźnik</w:t>
            </w:r>
          </w:p>
        </w:tc>
        <w:tc>
          <w:tcPr>
            <w:tcW w:w="417" w:type="pct"/>
          </w:tcPr>
          <w:p w14:paraId="60939676" w14:textId="6F34CBF6" w:rsidR="00F50542" w:rsidRPr="003956F1" w:rsidRDefault="00104C7B" w:rsidP="00F50542">
            <w:pPr>
              <w:spacing w:before="120" w:after="120" w:line="240" w:lineRule="auto"/>
              <w:jc w:val="both"/>
              <w:rPr>
                <w:rFonts w:asciiTheme="minorHAnsi" w:hAnsiTheme="minorHAnsi" w:cstheme="minorHAnsi"/>
                <w:b/>
                <w:szCs w:val="24"/>
                <w:lang w:val="pl-PL"/>
              </w:rPr>
            </w:pPr>
            <w:r w:rsidRPr="003956F1">
              <w:rPr>
                <w:rFonts w:asciiTheme="minorHAnsi" w:hAnsiTheme="minorHAnsi" w:cstheme="minorHAnsi"/>
                <w:b/>
                <w:szCs w:val="24"/>
                <w:lang w:val="pl-PL"/>
              </w:rPr>
              <w:t>Jednostka miary</w:t>
            </w:r>
          </w:p>
        </w:tc>
        <w:tc>
          <w:tcPr>
            <w:tcW w:w="487" w:type="pct"/>
          </w:tcPr>
          <w:p w14:paraId="19000FC6" w14:textId="744A246A" w:rsidR="00F50542" w:rsidRPr="003956F1" w:rsidRDefault="00104C7B" w:rsidP="002D5C6E">
            <w:pPr>
              <w:spacing w:before="120" w:after="120" w:line="240" w:lineRule="auto"/>
              <w:jc w:val="both"/>
              <w:rPr>
                <w:rFonts w:asciiTheme="minorHAnsi" w:hAnsiTheme="minorHAnsi" w:cstheme="minorHAnsi"/>
                <w:b/>
                <w:szCs w:val="24"/>
                <w:lang w:val="pl-PL"/>
              </w:rPr>
            </w:pPr>
            <w:r w:rsidRPr="003956F1">
              <w:rPr>
                <w:rFonts w:asciiTheme="minorHAnsi" w:hAnsiTheme="minorHAnsi" w:cstheme="minorHAnsi"/>
                <w:b/>
                <w:szCs w:val="24"/>
                <w:lang w:val="pl-PL"/>
              </w:rPr>
              <w:t xml:space="preserve">Wartość </w:t>
            </w:r>
            <w:r w:rsidR="002D5C6E" w:rsidRPr="003956F1">
              <w:rPr>
                <w:rFonts w:asciiTheme="minorHAnsi" w:hAnsiTheme="minorHAnsi" w:cstheme="minorHAnsi"/>
                <w:b/>
                <w:szCs w:val="24"/>
                <w:lang w:val="pl-PL"/>
              </w:rPr>
              <w:t>Bazowa</w:t>
            </w:r>
          </w:p>
        </w:tc>
        <w:tc>
          <w:tcPr>
            <w:tcW w:w="487" w:type="pct"/>
          </w:tcPr>
          <w:p w14:paraId="3269EFC7" w14:textId="0A07FCBC" w:rsidR="00F50542" w:rsidRPr="003956F1" w:rsidRDefault="00104C7B" w:rsidP="00F50542">
            <w:pPr>
              <w:spacing w:before="120" w:after="120" w:line="240" w:lineRule="auto"/>
              <w:jc w:val="both"/>
              <w:rPr>
                <w:rFonts w:asciiTheme="minorHAnsi" w:hAnsiTheme="minorHAnsi" w:cstheme="minorHAnsi"/>
                <w:b/>
                <w:szCs w:val="24"/>
                <w:lang w:val="pl-PL"/>
              </w:rPr>
            </w:pPr>
            <w:r w:rsidRPr="003956F1">
              <w:rPr>
                <w:rFonts w:asciiTheme="minorHAnsi" w:hAnsiTheme="minorHAnsi" w:cstheme="minorHAnsi"/>
                <w:b/>
                <w:szCs w:val="24"/>
                <w:lang w:val="pl-PL"/>
              </w:rPr>
              <w:t>Rok odniesienia</w:t>
            </w:r>
          </w:p>
        </w:tc>
        <w:tc>
          <w:tcPr>
            <w:tcW w:w="416" w:type="pct"/>
            <w:shd w:val="clear" w:color="auto" w:fill="auto"/>
          </w:tcPr>
          <w:p w14:paraId="25207EC2" w14:textId="747FB5E6" w:rsidR="00F50542" w:rsidRPr="003956F1" w:rsidRDefault="00104C7B" w:rsidP="00F50542">
            <w:pPr>
              <w:spacing w:before="120" w:after="120" w:line="240" w:lineRule="auto"/>
              <w:jc w:val="both"/>
              <w:rPr>
                <w:rFonts w:asciiTheme="minorHAnsi" w:hAnsiTheme="minorHAnsi" w:cstheme="minorHAnsi"/>
                <w:b/>
                <w:szCs w:val="24"/>
                <w:lang w:val="pl-PL"/>
              </w:rPr>
            </w:pPr>
            <w:r w:rsidRPr="003956F1">
              <w:rPr>
                <w:rFonts w:asciiTheme="minorHAnsi" w:hAnsiTheme="minorHAnsi" w:cstheme="minorHAnsi"/>
                <w:b/>
                <w:szCs w:val="24"/>
                <w:lang w:val="pl-PL"/>
              </w:rPr>
              <w:t>Cel ostateczny</w:t>
            </w:r>
            <w:r w:rsidR="00F50542" w:rsidRPr="003956F1">
              <w:rPr>
                <w:rFonts w:asciiTheme="minorHAnsi" w:hAnsiTheme="minorHAnsi" w:cstheme="minorHAnsi"/>
                <w:b/>
                <w:szCs w:val="24"/>
                <w:lang w:val="pl-PL"/>
              </w:rPr>
              <w:t xml:space="preserve"> (2029)</w:t>
            </w:r>
          </w:p>
        </w:tc>
        <w:tc>
          <w:tcPr>
            <w:tcW w:w="417" w:type="pct"/>
            <w:shd w:val="clear" w:color="auto" w:fill="auto"/>
          </w:tcPr>
          <w:p w14:paraId="6AABADAB" w14:textId="58B8604C" w:rsidR="00F50542" w:rsidRPr="003956F1" w:rsidRDefault="00104C7B" w:rsidP="004056FF">
            <w:pPr>
              <w:spacing w:before="120" w:after="120" w:line="240" w:lineRule="auto"/>
              <w:jc w:val="both"/>
              <w:rPr>
                <w:rFonts w:asciiTheme="minorHAnsi" w:hAnsiTheme="minorHAnsi" w:cstheme="minorHAnsi"/>
                <w:b/>
                <w:szCs w:val="24"/>
                <w:lang w:val="pl-PL"/>
              </w:rPr>
            </w:pPr>
            <w:r w:rsidRPr="003956F1">
              <w:rPr>
                <w:rFonts w:asciiTheme="minorHAnsi" w:hAnsiTheme="minorHAnsi" w:cstheme="minorHAnsi"/>
                <w:b/>
                <w:szCs w:val="24"/>
                <w:lang w:val="pl-PL"/>
              </w:rPr>
              <w:t>Źródło danych</w:t>
            </w:r>
          </w:p>
        </w:tc>
        <w:tc>
          <w:tcPr>
            <w:tcW w:w="903" w:type="pct"/>
          </w:tcPr>
          <w:p w14:paraId="5732671D" w14:textId="5C6C70D2" w:rsidR="00F50542" w:rsidRPr="003956F1" w:rsidRDefault="00104C7B" w:rsidP="00F50542">
            <w:pPr>
              <w:spacing w:before="120" w:after="120" w:line="480" w:lineRule="auto"/>
              <w:jc w:val="both"/>
              <w:rPr>
                <w:rFonts w:asciiTheme="minorHAnsi" w:hAnsiTheme="minorHAnsi" w:cstheme="minorHAnsi"/>
                <w:b/>
                <w:szCs w:val="24"/>
                <w:lang w:val="pl-PL"/>
              </w:rPr>
            </w:pPr>
            <w:r w:rsidRPr="003956F1">
              <w:rPr>
                <w:rFonts w:asciiTheme="minorHAnsi" w:hAnsiTheme="minorHAnsi" w:cstheme="minorHAnsi"/>
                <w:b/>
                <w:szCs w:val="24"/>
                <w:lang w:val="pl-PL"/>
              </w:rPr>
              <w:t>U</w:t>
            </w:r>
            <w:r w:rsidR="00BE578C" w:rsidRPr="003956F1">
              <w:rPr>
                <w:rFonts w:asciiTheme="minorHAnsi" w:hAnsiTheme="minorHAnsi" w:cstheme="minorHAnsi"/>
                <w:b/>
                <w:szCs w:val="24"/>
                <w:lang w:val="pl-PL"/>
              </w:rPr>
              <w:t>wagi</w:t>
            </w:r>
          </w:p>
        </w:tc>
      </w:tr>
      <w:tr w:rsidR="00104C7B" w:rsidRPr="00367EF1" w14:paraId="268F2A9F" w14:textId="77777777" w:rsidTr="00F879CC">
        <w:trPr>
          <w:trHeight w:val="629"/>
        </w:trPr>
        <w:tc>
          <w:tcPr>
            <w:tcW w:w="412" w:type="pct"/>
          </w:tcPr>
          <w:p w14:paraId="071E929D" w14:textId="39EC1075" w:rsidR="00F50542" w:rsidRPr="00000498" w:rsidRDefault="00863C51" w:rsidP="00F50542">
            <w:pPr>
              <w:spacing w:before="120" w:after="120" w:line="240" w:lineRule="auto"/>
              <w:jc w:val="both"/>
              <w:rPr>
                <w:rFonts w:asciiTheme="minorHAnsi" w:hAnsiTheme="minorHAnsi" w:cstheme="minorHAnsi"/>
                <w:szCs w:val="24"/>
                <w:lang w:val="pl-PL"/>
              </w:rPr>
            </w:pPr>
            <w:bookmarkStart w:id="55" w:name="_Hlk70346142"/>
            <w:bookmarkEnd w:id="53"/>
            <w:r w:rsidRPr="00000498">
              <w:rPr>
                <w:rFonts w:asciiTheme="minorHAnsi" w:hAnsiTheme="minorHAnsi" w:cstheme="minorHAnsi"/>
                <w:szCs w:val="24"/>
                <w:lang w:val="pl-PL"/>
              </w:rPr>
              <w:t>1</w:t>
            </w:r>
          </w:p>
        </w:tc>
        <w:tc>
          <w:tcPr>
            <w:tcW w:w="511" w:type="pct"/>
          </w:tcPr>
          <w:p w14:paraId="3AEB50F3" w14:textId="1FD468B9" w:rsidR="00F50542" w:rsidRPr="00000498" w:rsidRDefault="00863C51" w:rsidP="00F50542">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iv</w:t>
            </w:r>
          </w:p>
        </w:tc>
        <w:tc>
          <w:tcPr>
            <w:tcW w:w="322" w:type="pct"/>
          </w:tcPr>
          <w:p w14:paraId="708D51CA" w14:textId="57B2065C" w:rsidR="00F50542" w:rsidRPr="00000498" w:rsidRDefault="00932BA9" w:rsidP="00F50542">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PSR1</w:t>
            </w:r>
          </w:p>
        </w:tc>
        <w:tc>
          <w:tcPr>
            <w:tcW w:w="630" w:type="pct"/>
            <w:shd w:val="clear" w:color="auto" w:fill="auto"/>
          </w:tcPr>
          <w:p w14:paraId="7887B894" w14:textId="0A4BDEDC" w:rsidR="00F50542" w:rsidRPr="00000498" w:rsidRDefault="00104C7B" w:rsidP="006A6B69">
            <w:pPr>
              <w:spacing w:before="120" w:after="120" w:line="240" w:lineRule="auto"/>
              <w:rPr>
                <w:rFonts w:asciiTheme="minorHAnsi" w:hAnsiTheme="minorHAnsi" w:cstheme="minorHAnsi"/>
                <w:szCs w:val="24"/>
                <w:lang w:val="pl-PL"/>
              </w:rPr>
            </w:pPr>
            <w:bookmarkStart w:id="56" w:name="OLE_LINK159"/>
            <w:bookmarkStart w:id="57" w:name="OLE_LINK160"/>
            <w:bookmarkStart w:id="58" w:name="OLE_LINK248"/>
            <w:r w:rsidRPr="00000498">
              <w:rPr>
                <w:rFonts w:asciiTheme="minorHAnsi" w:hAnsiTheme="minorHAnsi" w:cstheme="minorHAnsi"/>
                <w:szCs w:val="24"/>
                <w:lang w:val="pl-PL"/>
              </w:rPr>
              <w:t>Organizacje o zwiększonych zdolnościach instytucjonalnych ze względu na udział we współpracy transgranicznej</w:t>
            </w:r>
            <w:bookmarkEnd w:id="56"/>
            <w:bookmarkEnd w:id="57"/>
            <w:bookmarkEnd w:id="58"/>
          </w:p>
        </w:tc>
        <w:tc>
          <w:tcPr>
            <w:tcW w:w="417" w:type="pct"/>
          </w:tcPr>
          <w:p w14:paraId="09C0EBE6" w14:textId="2E68516A" w:rsidR="00F50542" w:rsidRPr="00000498" w:rsidRDefault="00104C7B" w:rsidP="00F50542">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Organizacja</w:t>
            </w:r>
          </w:p>
        </w:tc>
        <w:tc>
          <w:tcPr>
            <w:tcW w:w="487" w:type="pct"/>
          </w:tcPr>
          <w:p w14:paraId="492679D8" w14:textId="458E9575" w:rsidR="00F50542" w:rsidRPr="00000498" w:rsidRDefault="007F2DA4" w:rsidP="00F50542">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0</w:t>
            </w:r>
          </w:p>
        </w:tc>
        <w:tc>
          <w:tcPr>
            <w:tcW w:w="487" w:type="pct"/>
          </w:tcPr>
          <w:p w14:paraId="641D4283" w14:textId="10A7C4FD" w:rsidR="00F50542" w:rsidRPr="00000498" w:rsidRDefault="007F2DA4" w:rsidP="00F50542">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2022</w:t>
            </w:r>
          </w:p>
        </w:tc>
        <w:tc>
          <w:tcPr>
            <w:tcW w:w="416" w:type="pct"/>
            <w:shd w:val="clear" w:color="auto" w:fill="auto"/>
          </w:tcPr>
          <w:p w14:paraId="518D7CC5" w14:textId="3F87CB76" w:rsidR="00F50542" w:rsidRPr="00000498" w:rsidRDefault="007F2DA4" w:rsidP="00F50542">
            <w:pPr>
              <w:spacing w:before="120" w:after="120" w:line="240" w:lineRule="auto"/>
              <w:jc w:val="center"/>
              <w:rPr>
                <w:rFonts w:asciiTheme="minorHAnsi" w:hAnsiTheme="minorHAnsi" w:cstheme="minorHAnsi"/>
                <w:szCs w:val="24"/>
                <w:lang w:val="pl-PL"/>
              </w:rPr>
            </w:pPr>
            <w:r w:rsidRPr="00000498">
              <w:rPr>
                <w:rFonts w:asciiTheme="minorHAnsi" w:hAnsiTheme="minorHAnsi" w:cstheme="minorHAnsi"/>
                <w:szCs w:val="24"/>
                <w:lang w:val="pl-PL"/>
              </w:rPr>
              <w:t>471</w:t>
            </w:r>
          </w:p>
        </w:tc>
        <w:tc>
          <w:tcPr>
            <w:tcW w:w="417" w:type="pct"/>
            <w:shd w:val="clear" w:color="auto" w:fill="auto"/>
          </w:tcPr>
          <w:p w14:paraId="3BF881F6" w14:textId="6C9119BA" w:rsidR="00F50542" w:rsidRPr="00000498" w:rsidRDefault="00BE578C" w:rsidP="004056FF">
            <w:pPr>
              <w:spacing w:before="120" w:after="120" w:line="240" w:lineRule="auto"/>
              <w:jc w:val="both"/>
              <w:rPr>
                <w:rFonts w:asciiTheme="minorHAnsi" w:hAnsiTheme="minorHAnsi" w:cstheme="minorHAnsi"/>
                <w:szCs w:val="24"/>
                <w:lang w:val="pl-PL"/>
              </w:rPr>
            </w:pPr>
            <w:bookmarkStart w:id="59" w:name="OLE_LINK138"/>
            <w:bookmarkStart w:id="60" w:name="OLE_LINK139"/>
            <w:r w:rsidRPr="00000498">
              <w:rPr>
                <w:rFonts w:asciiTheme="minorHAnsi" w:hAnsiTheme="minorHAnsi" w:cstheme="minorHAnsi"/>
                <w:szCs w:val="24"/>
                <w:lang w:val="pl-PL"/>
              </w:rPr>
              <w:t>Sprawozdania z postępów projektów</w:t>
            </w:r>
            <w:bookmarkEnd w:id="59"/>
            <w:bookmarkEnd w:id="60"/>
          </w:p>
        </w:tc>
        <w:tc>
          <w:tcPr>
            <w:tcW w:w="903" w:type="pct"/>
          </w:tcPr>
          <w:p w14:paraId="019CB025" w14:textId="77777777" w:rsidR="00223EB0" w:rsidRPr="00000498" w:rsidRDefault="00223EB0" w:rsidP="00223EB0">
            <w:pPr>
              <w:spacing w:before="120" w:after="120" w:line="240" w:lineRule="auto"/>
              <w:rPr>
                <w:rFonts w:asciiTheme="minorHAnsi" w:hAnsiTheme="minorHAnsi" w:cstheme="minorHAnsi"/>
                <w:b/>
                <w:szCs w:val="24"/>
                <w:lang w:val="pl-PL"/>
              </w:rPr>
            </w:pPr>
            <w:bookmarkStart w:id="61" w:name="OLE_LINK231"/>
            <w:bookmarkStart w:id="62" w:name="OLE_LINK232"/>
            <w:bookmarkStart w:id="63" w:name="OLE_LINK233"/>
            <w:r w:rsidRPr="00000498">
              <w:rPr>
                <w:rFonts w:asciiTheme="minorHAnsi" w:hAnsiTheme="minorHAnsi" w:cstheme="minorHAnsi"/>
                <w:b/>
                <w:szCs w:val="24"/>
                <w:lang w:val="pl-PL"/>
              </w:rPr>
              <w:t>Regularne projekty</w:t>
            </w:r>
          </w:p>
          <w:p w14:paraId="76BD9C72" w14:textId="731E2F4A" w:rsidR="00C40A31" w:rsidRPr="00000498" w:rsidRDefault="00223EB0" w:rsidP="00223EB0">
            <w:pPr>
              <w:spacing w:before="120" w:after="120" w:line="240" w:lineRule="auto"/>
              <w:rPr>
                <w:rFonts w:asciiTheme="minorHAnsi" w:hAnsiTheme="minorHAnsi" w:cstheme="minorHAnsi"/>
                <w:szCs w:val="24"/>
                <w:lang w:val="pl-PL"/>
              </w:rPr>
            </w:pPr>
            <w:r w:rsidRPr="00000498">
              <w:rPr>
                <w:rFonts w:asciiTheme="minorHAnsi" w:hAnsiTheme="minorHAnsi" w:cstheme="minorHAnsi"/>
                <w:szCs w:val="24"/>
                <w:lang w:val="pl-PL"/>
              </w:rPr>
              <w:t>Szacuje się, że oprócz organizacji obliczonych dla RCO87, 10 organizacji spoza partnerstwa na projekt zwiększy swoje możliwości instytucjonalne (łącznie 421 organizacji)</w:t>
            </w:r>
          </w:p>
          <w:bookmarkEnd w:id="61"/>
          <w:p w14:paraId="6327B8A0" w14:textId="187AF56D" w:rsidR="00C40A31" w:rsidRPr="00000498" w:rsidRDefault="00BE578C" w:rsidP="00C40A31">
            <w:pPr>
              <w:spacing w:before="120" w:after="120" w:line="240" w:lineRule="auto"/>
              <w:rPr>
                <w:rFonts w:asciiTheme="minorHAnsi" w:hAnsiTheme="minorHAnsi" w:cstheme="minorHAnsi"/>
                <w:b/>
                <w:szCs w:val="24"/>
                <w:lang w:val="pl-PL"/>
              </w:rPr>
            </w:pPr>
            <w:r w:rsidRPr="00000498">
              <w:rPr>
                <w:rFonts w:asciiTheme="minorHAnsi" w:hAnsiTheme="minorHAnsi" w:cstheme="minorHAnsi"/>
                <w:b/>
                <w:szCs w:val="24"/>
                <w:lang w:val="pl-PL"/>
              </w:rPr>
              <w:t>Małe projekty</w:t>
            </w:r>
          </w:p>
          <w:p w14:paraId="479E7F87" w14:textId="11355FE9" w:rsidR="00F50542" w:rsidRPr="003956F1" w:rsidRDefault="00BE578C" w:rsidP="00C40A31">
            <w:pPr>
              <w:spacing w:before="120" w:after="120" w:line="240" w:lineRule="auto"/>
              <w:rPr>
                <w:rFonts w:asciiTheme="minorHAnsi" w:hAnsiTheme="minorHAnsi" w:cstheme="minorHAnsi"/>
                <w:szCs w:val="24"/>
                <w:lang w:val="pl-PL"/>
              </w:rPr>
            </w:pPr>
            <w:r w:rsidRPr="00000498">
              <w:rPr>
                <w:rFonts w:asciiTheme="minorHAnsi" w:hAnsiTheme="minorHAnsi" w:cstheme="minorHAnsi"/>
                <w:szCs w:val="24"/>
                <w:lang w:val="pl-PL"/>
              </w:rPr>
              <w:t>Szacuje się, że oprócz</w:t>
            </w:r>
            <w:r w:rsidRPr="003956F1">
              <w:rPr>
                <w:rFonts w:asciiTheme="minorHAnsi" w:hAnsiTheme="minorHAnsi" w:cstheme="minorHAnsi"/>
                <w:szCs w:val="24"/>
                <w:lang w:val="pl-PL"/>
              </w:rPr>
              <w:t xml:space="preserve"> </w:t>
            </w:r>
            <w:r w:rsidRPr="00000498">
              <w:rPr>
                <w:rFonts w:asciiTheme="minorHAnsi" w:hAnsiTheme="minorHAnsi" w:cstheme="minorHAnsi"/>
                <w:szCs w:val="24"/>
                <w:lang w:val="pl-PL"/>
              </w:rPr>
              <w:t>organizacji obliczonych dla RCO87, 5 organizacji spoza partnerstwa na projekt zwiększy swoje możliwości instytucjonalne (łącznie 50 organizacji</w:t>
            </w:r>
            <w:r w:rsidR="00C40A31" w:rsidRPr="00000498">
              <w:rPr>
                <w:rFonts w:asciiTheme="minorHAnsi" w:hAnsiTheme="minorHAnsi" w:cstheme="minorHAnsi"/>
                <w:szCs w:val="24"/>
                <w:lang w:val="pl-PL"/>
              </w:rPr>
              <w:t>).</w:t>
            </w:r>
            <w:bookmarkEnd w:id="62"/>
            <w:bookmarkEnd w:id="63"/>
          </w:p>
        </w:tc>
      </w:tr>
      <w:bookmarkEnd w:id="55"/>
      <w:tr w:rsidR="00104C7B" w:rsidRPr="00367EF1" w14:paraId="4E57C782" w14:textId="77777777" w:rsidTr="00F879CC">
        <w:trPr>
          <w:trHeight w:val="629"/>
        </w:trPr>
        <w:tc>
          <w:tcPr>
            <w:tcW w:w="412" w:type="pct"/>
          </w:tcPr>
          <w:p w14:paraId="5D62E1AA" w14:textId="77F3867A" w:rsidR="007F2DA4" w:rsidRPr="00000498" w:rsidRDefault="007F2DA4" w:rsidP="007F2DA4">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1</w:t>
            </w:r>
          </w:p>
        </w:tc>
        <w:tc>
          <w:tcPr>
            <w:tcW w:w="511" w:type="pct"/>
          </w:tcPr>
          <w:p w14:paraId="357810AC" w14:textId="09762547" w:rsidR="007F2DA4" w:rsidRPr="00000498" w:rsidRDefault="007F2DA4" w:rsidP="007F2DA4">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iv</w:t>
            </w:r>
          </w:p>
        </w:tc>
        <w:tc>
          <w:tcPr>
            <w:tcW w:w="322" w:type="pct"/>
          </w:tcPr>
          <w:p w14:paraId="5A246F20" w14:textId="73DB90F9" w:rsidR="007F2DA4" w:rsidRPr="00000498" w:rsidRDefault="007F2DA4" w:rsidP="007F2DA4">
            <w:pPr>
              <w:spacing w:before="120" w:after="120" w:line="240" w:lineRule="auto"/>
              <w:jc w:val="both"/>
              <w:rPr>
                <w:rFonts w:asciiTheme="minorHAnsi" w:hAnsiTheme="minorHAnsi" w:cstheme="minorHAnsi"/>
                <w:szCs w:val="24"/>
                <w:lang w:val="pl-PL"/>
              </w:rPr>
            </w:pPr>
            <w:bookmarkStart w:id="64" w:name="OLE_LINK249"/>
            <w:bookmarkStart w:id="65" w:name="OLE_LINK250"/>
            <w:r w:rsidRPr="00000498">
              <w:rPr>
                <w:rFonts w:asciiTheme="minorHAnsi" w:hAnsiTheme="minorHAnsi" w:cstheme="minorHAnsi"/>
                <w:szCs w:val="24"/>
                <w:lang w:val="pl-PL"/>
              </w:rPr>
              <w:t>RCR</w:t>
            </w:r>
            <w:r w:rsidRPr="00000498">
              <w:rPr>
                <w:rFonts w:asciiTheme="minorHAnsi" w:hAnsiTheme="minorHAnsi" w:cstheme="minorHAnsi"/>
                <w:szCs w:val="24"/>
                <w:lang w:val="pl-PL"/>
              </w:rPr>
              <w:br/>
              <w:t>104</w:t>
            </w:r>
            <w:bookmarkEnd w:id="64"/>
            <w:bookmarkEnd w:id="65"/>
          </w:p>
        </w:tc>
        <w:tc>
          <w:tcPr>
            <w:tcW w:w="630" w:type="pct"/>
            <w:shd w:val="clear" w:color="auto" w:fill="auto"/>
          </w:tcPr>
          <w:p w14:paraId="42C7F3E5" w14:textId="30582334" w:rsidR="007F2DA4" w:rsidRPr="00000498" w:rsidRDefault="003E22FB" w:rsidP="007F2DA4">
            <w:pPr>
              <w:spacing w:before="120" w:after="120" w:line="240" w:lineRule="auto"/>
              <w:jc w:val="both"/>
              <w:rPr>
                <w:rFonts w:asciiTheme="minorHAnsi" w:hAnsiTheme="minorHAnsi" w:cstheme="minorHAnsi"/>
                <w:szCs w:val="24"/>
                <w:lang w:val="pl-PL"/>
              </w:rPr>
            </w:pPr>
            <w:bookmarkStart w:id="66" w:name="OLE_LINK165"/>
            <w:r w:rsidRPr="00000498">
              <w:rPr>
                <w:rFonts w:asciiTheme="minorHAnsi" w:hAnsiTheme="minorHAnsi" w:cstheme="minorHAnsi"/>
                <w:szCs w:val="24"/>
                <w:lang w:val="pl-PL"/>
              </w:rPr>
              <w:t>Rozwiązania przyjęte lub rozbudowane przez organizacje</w:t>
            </w:r>
            <w:bookmarkEnd w:id="66"/>
          </w:p>
        </w:tc>
        <w:tc>
          <w:tcPr>
            <w:tcW w:w="417" w:type="pct"/>
          </w:tcPr>
          <w:p w14:paraId="0BE466CB" w14:textId="12EA8386" w:rsidR="007F2DA4" w:rsidRPr="00000498" w:rsidRDefault="00435B15" w:rsidP="007F2DA4">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R</w:t>
            </w:r>
            <w:r w:rsidR="00C52356" w:rsidRPr="00000498">
              <w:rPr>
                <w:rFonts w:asciiTheme="minorHAnsi" w:hAnsiTheme="minorHAnsi" w:cstheme="minorHAnsi"/>
                <w:szCs w:val="24"/>
                <w:lang w:val="pl-PL"/>
              </w:rPr>
              <w:t>o</w:t>
            </w:r>
            <w:r w:rsidRPr="00000498">
              <w:rPr>
                <w:rFonts w:asciiTheme="minorHAnsi" w:hAnsiTheme="minorHAnsi" w:cstheme="minorHAnsi"/>
                <w:szCs w:val="24"/>
                <w:lang w:val="pl-PL"/>
              </w:rPr>
              <w:t>z</w:t>
            </w:r>
            <w:r w:rsidR="00C52356" w:rsidRPr="00000498">
              <w:rPr>
                <w:rFonts w:asciiTheme="minorHAnsi" w:hAnsiTheme="minorHAnsi" w:cstheme="minorHAnsi"/>
                <w:szCs w:val="24"/>
                <w:lang w:val="pl-PL"/>
              </w:rPr>
              <w:t>wiązania</w:t>
            </w:r>
          </w:p>
        </w:tc>
        <w:tc>
          <w:tcPr>
            <w:tcW w:w="487" w:type="pct"/>
          </w:tcPr>
          <w:p w14:paraId="544841FA" w14:textId="67803420" w:rsidR="007F2DA4" w:rsidRPr="00000498" w:rsidRDefault="007F2DA4" w:rsidP="007F2DA4">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0</w:t>
            </w:r>
          </w:p>
        </w:tc>
        <w:tc>
          <w:tcPr>
            <w:tcW w:w="487" w:type="pct"/>
          </w:tcPr>
          <w:p w14:paraId="7317F18E" w14:textId="3C5C9288" w:rsidR="007F2DA4" w:rsidRPr="00000498" w:rsidRDefault="007F2DA4" w:rsidP="007F2DA4">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2022</w:t>
            </w:r>
          </w:p>
        </w:tc>
        <w:tc>
          <w:tcPr>
            <w:tcW w:w="416" w:type="pct"/>
            <w:shd w:val="clear" w:color="auto" w:fill="auto"/>
          </w:tcPr>
          <w:p w14:paraId="789AB757" w14:textId="12323BDB" w:rsidR="007F2DA4" w:rsidRPr="00000498" w:rsidRDefault="007F2DA4" w:rsidP="007F2DA4">
            <w:pPr>
              <w:spacing w:before="120" w:after="120" w:line="240" w:lineRule="auto"/>
              <w:jc w:val="center"/>
              <w:rPr>
                <w:rFonts w:asciiTheme="minorHAnsi" w:hAnsiTheme="minorHAnsi" w:cstheme="minorHAnsi"/>
                <w:szCs w:val="24"/>
                <w:lang w:val="pl-PL"/>
              </w:rPr>
            </w:pPr>
            <w:r w:rsidRPr="00000498">
              <w:rPr>
                <w:rFonts w:asciiTheme="minorHAnsi" w:hAnsiTheme="minorHAnsi" w:cstheme="minorHAnsi"/>
                <w:szCs w:val="24"/>
                <w:lang w:val="pl-PL"/>
              </w:rPr>
              <w:t>12</w:t>
            </w:r>
          </w:p>
        </w:tc>
        <w:tc>
          <w:tcPr>
            <w:tcW w:w="417" w:type="pct"/>
            <w:shd w:val="clear" w:color="auto" w:fill="auto"/>
          </w:tcPr>
          <w:p w14:paraId="62786E07" w14:textId="53298F72" w:rsidR="007F2DA4" w:rsidRPr="00000498" w:rsidRDefault="00C52356" w:rsidP="004056FF">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Sprawozdania z postępów projektów</w:t>
            </w:r>
          </w:p>
        </w:tc>
        <w:tc>
          <w:tcPr>
            <w:tcW w:w="903" w:type="pct"/>
          </w:tcPr>
          <w:p w14:paraId="220E3618" w14:textId="0E4BE4CE" w:rsidR="00C40A31" w:rsidRPr="00000498" w:rsidRDefault="00C52356" w:rsidP="00C40A31">
            <w:pPr>
              <w:spacing w:before="120" w:after="120" w:line="240" w:lineRule="auto"/>
              <w:rPr>
                <w:rFonts w:asciiTheme="minorHAnsi" w:hAnsiTheme="minorHAnsi" w:cstheme="minorHAnsi"/>
                <w:b/>
                <w:szCs w:val="24"/>
                <w:lang w:val="pl-PL"/>
              </w:rPr>
            </w:pPr>
            <w:bookmarkStart w:id="67" w:name="OLE_LINK236"/>
            <w:bookmarkStart w:id="68" w:name="OLE_LINK237"/>
            <w:bookmarkStart w:id="69" w:name="OLE_LINK238"/>
            <w:bookmarkStart w:id="70" w:name="OLE_LINK163"/>
            <w:bookmarkStart w:id="71" w:name="OLE_LINK164"/>
            <w:r w:rsidRPr="00000498">
              <w:rPr>
                <w:rFonts w:asciiTheme="minorHAnsi" w:hAnsiTheme="minorHAnsi" w:cstheme="minorHAnsi"/>
                <w:b/>
                <w:szCs w:val="24"/>
                <w:lang w:val="pl-PL"/>
              </w:rPr>
              <w:t>Regularne projekty</w:t>
            </w:r>
          </w:p>
          <w:p w14:paraId="163DFF54" w14:textId="6CBF0389" w:rsidR="00C40A31" w:rsidRPr="00000498" w:rsidRDefault="00C52356" w:rsidP="00C40A31">
            <w:pPr>
              <w:spacing w:before="120" w:after="120" w:line="240" w:lineRule="auto"/>
              <w:rPr>
                <w:rFonts w:asciiTheme="minorHAnsi" w:hAnsiTheme="minorHAnsi" w:cstheme="minorHAnsi"/>
                <w:szCs w:val="24"/>
                <w:lang w:val="pl-PL"/>
              </w:rPr>
            </w:pPr>
            <w:r w:rsidRPr="00000498">
              <w:rPr>
                <w:rFonts w:asciiTheme="minorHAnsi" w:hAnsiTheme="minorHAnsi" w:cstheme="minorHAnsi"/>
                <w:szCs w:val="24"/>
                <w:lang w:val="pl-PL"/>
              </w:rPr>
              <w:t xml:space="preserve">Oczekuje się, iż w ramach (średnio) każdego projektu zostanie opracowane 1 rozwiązanie, które zostanie </w:t>
            </w:r>
            <w:r w:rsidRPr="00000498">
              <w:rPr>
                <w:rFonts w:asciiTheme="minorHAnsi" w:hAnsiTheme="minorHAnsi" w:cstheme="minorHAnsi"/>
                <w:szCs w:val="24"/>
                <w:lang w:val="pl-PL"/>
              </w:rPr>
              <w:lastRenderedPageBreak/>
              <w:t>zastosowane lub rozbudowane (łącznie 11 rozwiązań</w:t>
            </w:r>
            <w:r w:rsidR="00C40A31" w:rsidRPr="00000498">
              <w:rPr>
                <w:rFonts w:asciiTheme="minorHAnsi" w:hAnsiTheme="minorHAnsi" w:cstheme="minorHAnsi"/>
                <w:szCs w:val="24"/>
                <w:lang w:val="pl-PL"/>
              </w:rPr>
              <w:t>)</w:t>
            </w:r>
          </w:p>
          <w:p w14:paraId="6378ED5D" w14:textId="37025906" w:rsidR="00C40A31" w:rsidRPr="00000498" w:rsidRDefault="00C52356" w:rsidP="00C40A31">
            <w:pPr>
              <w:spacing w:before="120" w:after="120" w:line="240" w:lineRule="auto"/>
              <w:rPr>
                <w:rFonts w:asciiTheme="minorHAnsi" w:hAnsiTheme="minorHAnsi" w:cstheme="minorHAnsi"/>
                <w:b/>
                <w:szCs w:val="24"/>
                <w:lang w:val="pl-PL"/>
              </w:rPr>
            </w:pPr>
            <w:r w:rsidRPr="00000498">
              <w:rPr>
                <w:rFonts w:asciiTheme="minorHAnsi" w:hAnsiTheme="minorHAnsi" w:cstheme="minorHAnsi"/>
                <w:b/>
                <w:szCs w:val="24"/>
                <w:lang w:val="pl-PL"/>
              </w:rPr>
              <w:t>Małe projekty</w:t>
            </w:r>
          </w:p>
          <w:p w14:paraId="4121F243" w14:textId="07293877" w:rsidR="007F2DA4" w:rsidRPr="003956F1" w:rsidRDefault="00C52356" w:rsidP="00C40A31">
            <w:pPr>
              <w:spacing w:before="120" w:after="120" w:line="240" w:lineRule="auto"/>
              <w:rPr>
                <w:rFonts w:asciiTheme="minorHAnsi" w:hAnsiTheme="minorHAnsi" w:cstheme="minorHAnsi"/>
                <w:szCs w:val="24"/>
                <w:lang w:val="pl-PL"/>
              </w:rPr>
            </w:pPr>
            <w:bookmarkStart w:id="72" w:name="OLE_LINK140"/>
            <w:bookmarkStart w:id="73" w:name="OLE_LINK141"/>
            <w:r w:rsidRPr="00000498">
              <w:rPr>
                <w:rFonts w:asciiTheme="minorHAnsi" w:hAnsiTheme="minorHAnsi" w:cstheme="minorHAnsi"/>
                <w:szCs w:val="24"/>
                <w:lang w:val="pl-PL"/>
              </w:rPr>
              <w:t xml:space="preserve">Oczekuje się, że w ramach (średnio) </w:t>
            </w:r>
            <w:bookmarkEnd w:id="72"/>
            <w:bookmarkEnd w:id="73"/>
            <w:r w:rsidRPr="00000498">
              <w:rPr>
                <w:rFonts w:asciiTheme="minorHAnsi" w:hAnsiTheme="minorHAnsi" w:cstheme="minorHAnsi"/>
                <w:szCs w:val="24"/>
                <w:lang w:val="pl-PL"/>
              </w:rPr>
              <w:t>20% projektów zostanie opracowane 1 rozwiązanie, które zostanie zastosowane lub rozbudowane (łącznie 1 rozwiązanie</w:t>
            </w:r>
            <w:bookmarkEnd w:id="67"/>
            <w:bookmarkEnd w:id="68"/>
            <w:bookmarkEnd w:id="69"/>
            <w:r w:rsidR="00C40A31" w:rsidRPr="00000498">
              <w:rPr>
                <w:rFonts w:asciiTheme="minorHAnsi" w:hAnsiTheme="minorHAnsi" w:cstheme="minorHAnsi"/>
                <w:szCs w:val="24"/>
                <w:lang w:val="pl-PL"/>
              </w:rPr>
              <w:t>).</w:t>
            </w:r>
            <w:bookmarkEnd w:id="70"/>
            <w:bookmarkEnd w:id="71"/>
          </w:p>
        </w:tc>
      </w:tr>
      <w:bookmarkEnd w:id="54"/>
    </w:tbl>
    <w:p w14:paraId="188DB7E5" w14:textId="77777777" w:rsidR="004421D3" w:rsidRPr="00F879CC" w:rsidRDefault="004421D3" w:rsidP="00F50542">
      <w:pPr>
        <w:spacing w:before="240" w:after="240" w:line="240" w:lineRule="auto"/>
        <w:ind w:left="709" w:hanging="709"/>
        <w:jc w:val="both"/>
        <w:rPr>
          <w:rFonts w:asciiTheme="minorHAnsi" w:eastAsia="Times New Roman" w:hAnsiTheme="minorHAnsi" w:cstheme="minorHAnsi"/>
          <w:b/>
          <w:iCs/>
          <w:szCs w:val="24"/>
          <w:lang w:val="pl-PL" w:eastAsia="en-GB"/>
        </w:rPr>
      </w:pPr>
    </w:p>
    <w:p w14:paraId="0FD494BA" w14:textId="0F2E76A2" w:rsidR="00F50542" w:rsidRPr="00F879CC" w:rsidRDefault="00F50542" w:rsidP="00F879CC">
      <w:pPr>
        <w:spacing w:before="240" w:after="240" w:line="276" w:lineRule="auto"/>
        <w:ind w:left="709" w:hanging="709"/>
        <w:rPr>
          <w:rFonts w:asciiTheme="minorHAnsi" w:eastAsia="Times New Roman" w:hAnsiTheme="minorHAnsi" w:cstheme="minorHAnsi"/>
          <w:b/>
          <w:iCs/>
          <w:szCs w:val="24"/>
          <w:lang w:val="pl-PL" w:eastAsia="en-GB"/>
        </w:rPr>
      </w:pPr>
      <w:r w:rsidRPr="00F879CC">
        <w:rPr>
          <w:rFonts w:asciiTheme="minorHAnsi" w:eastAsia="Times New Roman" w:hAnsiTheme="minorHAnsi" w:cstheme="minorHAnsi"/>
          <w:b/>
          <w:iCs/>
          <w:szCs w:val="24"/>
          <w:lang w:val="pl-PL" w:eastAsia="en-GB"/>
        </w:rPr>
        <w:t>2.1.</w:t>
      </w:r>
      <w:r w:rsidR="00EB5807" w:rsidRPr="00F879CC">
        <w:rPr>
          <w:rFonts w:asciiTheme="minorHAnsi" w:eastAsia="Times New Roman" w:hAnsiTheme="minorHAnsi" w:cstheme="minorHAnsi"/>
          <w:b/>
          <w:iCs/>
          <w:szCs w:val="24"/>
          <w:lang w:val="pl-PL" w:eastAsia="en-GB"/>
        </w:rPr>
        <w:t>1</w:t>
      </w:r>
      <w:r w:rsidR="000E01AC" w:rsidRPr="00F879CC">
        <w:rPr>
          <w:rFonts w:asciiTheme="minorHAnsi" w:eastAsia="Times New Roman" w:hAnsiTheme="minorHAnsi" w:cstheme="minorHAnsi"/>
          <w:b/>
          <w:iCs/>
          <w:szCs w:val="24"/>
          <w:lang w:val="pl-PL" w:eastAsia="en-GB"/>
        </w:rPr>
        <w:t>.3</w:t>
      </w:r>
      <w:r w:rsidRPr="00F879CC">
        <w:rPr>
          <w:rFonts w:asciiTheme="minorHAnsi" w:eastAsia="Times New Roman" w:hAnsiTheme="minorHAnsi" w:cstheme="minorHAnsi"/>
          <w:b/>
          <w:iCs/>
          <w:szCs w:val="24"/>
          <w:lang w:val="pl-PL" w:eastAsia="en-GB"/>
        </w:rPr>
        <w:tab/>
      </w:r>
      <w:r w:rsidR="003956F1">
        <w:rPr>
          <w:rFonts w:asciiTheme="minorHAnsi" w:eastAsia="Times New Roman" w:hAnsiTheme="minorHAnsi" w:cstheme="minorHAnsi"/>
          <w:b/>
          <w:iCs/>
          <w:szCs w:val="24"/>
          <w:lang w:val="pl-PL" w:eastAsia="en-GB"/>
        </w:rPr>
        <w:t xml:space="preserve"> </w:t>
      </w:r>
      <w:r w:rsidR="00C52356" w:rsidRPr="00F879CC">
        <w:rPr>
          <w:rFonts w:asciiTheme="minorHAnsi" w:eastAsia="Times New Roman" w:hAnsiTheme="minorHAnsi" w:cstheme="minorHAnsi"/>
          <w:b/>
          <w:iCs/>
          <w:szCs w:val="24"/>
          <w:lang w:val="pl-PL" w:eastAsia="en-GB"/>
        </w:rPr>
        <w:t>Podstawowe grupy docelowe</w:t>
      </w:r>
    </w:p>
    <w:p w14:paraId="695A5073" w14:textId="45D80E8B" w:rsidR="00F50542" w:rsidRPr="00F879CC" w:rsidRDefault="00C52356" w:rsidP="00F879CC">
      <w:pPr>
        <w:spacing w:after="200" w:line="276" w:lineRule="auto"/>
        <w:rPr>
          <w:rFonts w:asciiTheme="minorHAnsi" w:eastAsia="Times New Roman" w:hAnsiTheme="minorHAnsi" w:cstheme="minorHAnsi"/>
          <w:szCs w:val="24"/>
          <w:lang w:val="pl-PL" w:eastAsia="en-GB"/>
        </w:rPr>
      </w:pPr>
      <w:r w:rsidRPr="00F879CC">
        <w:rPr>
          <w:rFonts w:asciiTheme="minorHAnsi" w:eastAsia="Times New Roman" w:hAnsiTheme="minorHAnsi" w:cstheme="minorHAnsi"/>
          <w:szCs w:val="24"/>
          <w:lang w:val="pl-PL" w:eastAsia="en-GB"/>
        </w:rPr>
        <w:t>Dotyczy: art. 17 ust. 4 lit. e) ppkt (iii), art. 17 ust. 9 lit. c) ppkt (iv)</w:t>
      </w:r>
    </w:p>
    <w:p w14:paraId="48CD4469" w14:textId="71633875" w:rsidR="00F50542" w:rsidRPr="00F879CC" w:rsidRDefault="00C52356"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bookmarkStart w:id="74" w:name="OLE_LINK166"/>
      <w:bookmarkStart w:id="75" w:name="OLE_LINK167"/>
      <w:r w:rsidRPr="00F879CC">
        <w:rPr>
          <w:rFonts w:asciiTheme="minorHAnsi" w:eastAsia="Times New Roman" w:hAnsiTheme="minorHAnsi" w:cstheme="minorHAnsi"/>
          <w:szCs w:val="24"/>
          <w:lang w:val="pl-PL" w:eastAsia="en-GB"/>
        </w:rPr>
        <w:t>Program jest skierowany do władz publicznych na poziomie lokalnym, regionalnym i krajowym, organizacji wspierających biznes, wyspecjalizowanych agencji oraz dostawców infrastruktury i usług, jako głównych sił odpowiedzialnych za transformację strukturalną w kierunku odporniejszego i bardziej innowacyjnego regionu. Program zachęca do zaangażowania obywateli za pośrednictwem określonych organizacji pozarządowych. W stosownych przypadkach, np. w celu praktycznego przetestowania rozwiązania, Program wspiera bezpośrednie zaangażowanie przedsiębiorstw. Instytucje szkolnictwa wyższego i badawcze, a także ośrodki edukacyjne i szkoleniowe mogą przyłączyć się do działań w ramach współpracy transnarodowej, aby wesprzeć główne grupy docelowe dodatkową wiedzą i kompetencjami. Dotyczy to, w szczególności, budowy struktur wzmacniających potencjał innowacyjny regionu Morza Bałtyckiego. Ponadto, Program wspiera łączenie kompetencji w różnych sektorach</w:t>
      </w:r>
      <w:bookmarkEnd w:id="74"/>
      <w:bookmarkEnd w:id="75"/>
      <w:r w:rsidR="002E27BF" w:rsidRPr="00F879CC">
        <w:rPr>
          <w:rFonts w:asciiTheme="minorHAnsi" w:eastAsia="Times New Roman" w:hAnsiTheme="minorHAnsi" w:cstheme="minorHAnsi"/>
          <w:szCs w:val="24"/>
          <w:lang w:val="pl-PL" w:eastAsia="en-GB"/>
        </w:rPr>
        <w:t>.</w:t>
      </w:r>
    </w:p>
    <w:p w14:paraId="05C65AEC" w14:textId="0489ECDD" w:rsidR="00F50542" w:rsidRPr="00F879CC" w:rsidRDefault="00F50542" w:rsidP="00F879CC">
      <w:pPr>
        <w:spacing w:before="240" w:after="240" w:line="276" w:lineRule="auto"/>
        <w:ind w:left="709" w:hanging="709"/>
        <w:rPr>
          <w:rFonts w:asciiTheme="minorHAnsi" w:eastAsia="Times New Roman" w:hAnsiTheme="minorHAnsi" w:cstheme="minorHAnsi"/>
          <w:b/>
          <w:iCs/>
          <w:szCs w:val="24"/>
          <w:lang w:val="pl-PL" w:eastAsia="en-GB"/>
        </w:rPr>
      </w:pPr>
      <w:r w:rsidRPr="00F879CC">
        <w:rPr>
          <w:rFonts w:asciiTheme="minorHAnsi" w:eastAsia="Times New Roman" w:hAnsiTheme="minorHAnsi" w:cstheme="minorHAnsi"/>
          <w:b/>
          <w:iCs/>
          <w:szCs w:val="24"/>
          <w:lang w:val="pl-PL" w:eastAsia="en-GB"/>
        </w:rPr>
        <w:t>2.1.</w:t>
      </w:r>
      <w:r w:rsidR="000E01AC" w:rsidRPr="00F879CC">
        <w:rPr>
          <w:rFonts w:asciiTheme="minorHAnsi" w:eastAsia="Times New Roman" w:hAnsiTheme="minorHAnsi" w:cstheme="minorHAnsi"/>
          <w:b/>
          <w:iCs/>
          <w:szCs w:val="24"/>
          <w:lang w:val="pl-PL" w:eastAsia="en-GB"/>
        </w:rPr>
        <w:t>1.4</w:t>
      </w:r>
      <w:r w:rsidRPr="00F879CC">
        <w:rPr>
          <w:rFonts w:asciiTheme="minorHAnsi" w:eastAsia="Times New Roman" w:hAnsiTheme="minorHAnsi" w:cstheme="minorHAnsi"/>
          <w:b/>
          <w:iCs/>
          <w:szCs w:val="24"/>
          <w:lang w:val="pl-PL" w:eastAsia="en-GB"/>
        </w:rPr>
        <w:tab/>
      </w:r>
      <w:r w:rsidR="003956F1">
        <w:rPr>
          <w:rFonts w:asciiTheme="minorHAnsi" w:eastAsia="Times New Roman" w:hAnsiTheme="minorHAnsi" w:cstheme="minorHAnsi"/>
          <w:b/>
          <w:iCs/>
          <w:szCs w:val="24"/>
          <w:lang w:val="pl-PL" w:eastAsia="en-GB"/>
        </w:rPr>
        <w:t xml:space="preserve"> </w:t>
      </w:r>
      <w:r w:rsidR="00C52356" w:rsidRPr="00F879CC">
        <w:rPr>
          <w:rFonts w:asciiTheme="minorHAnsi" w:eastAsia="Times New Roman" w:hAnsiTheme="minorHAnsi" w:cstheme="minorHAnsi"/>
          <w:b/>
          <w:iCs/>
          <w:szCs w:val="24"/>
          <w:lang w:val="pl-PL" w:eastAsia="en-GB"/>
        </w:rPr>
        <w:t>Wskazanie konkretnych terytoriów docelowych w tym planowane wykorzystanie ZIT, RLKS lub innych narzędzi terytorialnych</w:t>
      </w:r>
    </w:p>
    <w:p w14:paraId="259ABCFE" w14:textId="03D63786" w:rsidR="00F50542" w:rsidRPr="00F879CC" w:rsidRDefault="009A4231" w:rsidP="00F879CC">
      <w:pPr>
        <w:spacing w:after="200" w:line="276" w:lineRule="auto"/>
        <w:rPr>
          <w:rFonts w:asciiTheme="minorHAnsi" w:eastAsia="Times New Roman" w:hAnsiTheme="minorHAnsi" w:cstheme="minorHAnsi"/>
          <w:szCs w:val="24"/>
          <w:lang w:val="pl-PL" w:eastAsia="en-GB"/>
        </w:rPr>
      </w:pPr>
      <w:r w:rsidRPr="00F879CC">
        <w:rPr>
          <w:rFonts w:asciiTheme="minorHAnsi" w:eastAsia="Times New Roman" w:hAnsiTheme="minorHAnsi" w:cstheme="minorHAnsi"/>
          <w:szCs w:val="24"/>
          <w:lang w:val="pl-PL" w:eastAsia="en-GB"/>
        </w:rPr>
        <w:t>Dotyczy: art. 17 ust. 4 lit. e) ppkt (iv)</w:t>
      </w:r>
    </w:p>
    <w:p w14:paraId="3C512B06" w14:textId="29DE315F" w:rsidR="00F50542" w:rsidRPr="00F879CC" w:rsidRDefault="009A4231"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F879CC">
        <w:rPr>
          <w:rFonts w:asciiTheme="minorHAnsi" w:eastAsia="Times New Roman" w:hAnsiTheme="minorHAnsi" w:cstheme="minorHAnsi"/>
          <w:szCs w:val="24"/>
          <w:lang w:val="pl-PL" w:eastAsia="en-GB"/>
        </w:rPr>
        <w:lastRenderedPageBreak/>
        <w:t xml:space="preserve">Program nie przewiduje wykorzystania jakichkolwiek narzędzi </w:t>
      </w:r>
      <w:r w:rsidR="00CC0F52" w:rsidRPr="00F879CC">
        <w:rPr>
          <w:rFonts w:asciiTheme="minorHAnsi" w:eastAsia="Times New Roman" w:hAnsiTheme="minorHAnsi" w:cstheme="minorHAnsi"/>
          <w:szCs w:val="24"/>
          <w:lang w:val="pl-PL" w:eastAsia="en-GB"/>
        </w:rPr>
        <w:t>terytorialnych, o których</w:t>
      </w:r>
      <w:r w:rsidRPr="00F879CC">
        <w:rPr>
          <w:rFonts w:asciiTheme="minorHAnsi" w:eastAsia="Times New Roman" w:hAnsiTheme="minorHAnsi" w:cstheme="minorHAnsi"/>
          <w:szCs w:val="24"/>
          <w:lang w:val="pl-PL" w:eastAsia="en-GB"/>
        </w:rPr>
        <w:t xml:space="preserve"> mowa powyżej. Działania w ramach tego celu szczegółowego dotyczą wyzwań i szans dla całego regionu Morza Bałtyckiego oraz zachęcają do stosowania podejść w skali makroregionalnej. Aby umożliwić sprawiedliwą transformację i jak najbardziej efektywną eksplorację istniejącego potencjału należy, w stosownych przypadkach, uwzględnić różnice między określonymi typami terytoriów. Na przykład, działania powinny uwzględniać różne skutki zakłóceń zewnętrznych takich, jak kryzys finansowy na obszarach miejskich i wiejskich</w:t>
      </w:r>
      <w:r w:rsidR="0080199F" w:rsidRPr="00F879CC">
        <w:rPr>
          <w:rFonts w:asciiTheme="minorHAnsi" w:eastAsia="Times New Roman" w:hAnsiTheme="minorHAnsi" w:cstheme="minorHAnsi"/>
          <w:szCs w:val="24"/>
          <w:lang w:val="pl-PL" w:eastAsia="en-GB"/>
        </w:rPr>
        <w:t>.</w:t>
      </w:r>
    </w:p>
    <w:p w14:paraId="10EC5B5A" w14:textId="7E1C8E7E" w:rsidR="00F50542" w:rsidRPr="00F879CC" w:rsidRDefault="00F50542" w:rsidP="00F879CC">
      <w:pPr>
        <w:spacing w:before="240" w:after="240" w:line="276" w:lineRule="auto"/>
        <w:ind w:left="709" w:hanging="709"/>
        <w:rPr>
          <w:rFonts w:asciiTheme="minorHAnsi" w:eastAsia="Times New Roman" w:hAnsiTheme="minorHAnsi" w:cstheme="minorHAnsi"/>
          <w:b/>
          <w:iCs/>
          <w:szCs w:val="24"/>
          <w:lang w:val="pl-PL" w:eastAsia="en-GB"/>
        </w:rPr>
      </w:pPr>
      <w:r w:rsidRPr="00F879CC">
        <w:rPr>
          <w:rFonts w:asciiTheme="minorHAnsi" w:eastAsia="Times New Roman" w:hAnsiTheme="minorHAnsi" w:cstheme="minorHAnsi"/>
          <w:b/>
          <w:iCs/>
          <w:szCs w:val="24"/>
          <w:lang w:val="pl-PL" w:eastAsia="en-GB"/>
        </w:rPr>
        <w:t>2.1.</w:t>
      </w:r>
      <w:r w:rsidR="000E01AC" w:rsidRPr="00F879CC">
        <w:rPr>
          <w:rFonts w:asciiTheme="minorHAnsi" w:eastAsia="Times New Roman" w:hAnsiTheme="minorHAnsi" w:cstheme="minorHAnsi"/>
          <w:b/>
          <w:iCs/>
          <w:szCs w:val="24"/>
          <w:lang w:val="pl-PL" w:eastAsia="en-GB"/>
        </w:rPr>
        <w:t>1.5</w:t>
      </w:r>
      <w:r w:rsidRPr="00F879CC">
        <w:rPr>
          <w:rFonts w:asciiTheme="minorHAnsi" w:eastAsia="Times New Roman" w:hAnsiTheme="minorHAnsi" w:cstheme="minorHAnsi"/>
          <w:b/>
          <w:iCs/>
          <w:szCs w:val="24"/>
          <w:lang w:val="pl-PL" w:eastAsia="en-GB"/>
        </w:rPr>
        <w:tab/>
      </w:r>
      <w:r w:rsidR="00503CCE">
        <w:rPr>
          <w:rFonts w:asciiTheme="minorHAnsi" w:eastAsia="Times New Roman" w:hAnsiTheme="minorHAnsi" w:cstheme="minorHAnsi"/>
          <w:b/>
          <w:iCs/>
          <w:szCs w:val="24"/>
          <w:lang w:val="pl-PL" w:eastAsia="en-GB"/>
        </w:rPr>
        <w:t xml:space="preserve"> </w:t>
      </w:r>
      <w:r w:rsidR="009A4231" w:rsidRPr="00F879CC">
        <w:rPr>
          <w:rFonts w:asciiTheme="minorHAnsi" w:eastAsia="Times New Roman" w:hAnsiTheme="minorHAnsi" w:cstheme="minorHAnsi"/>
          <w:b/>
          <w:iCs/>
          <w:szCs w:val="24"/>
          <w:lang w:val="pl-PL" w:eastAsia="en-GB"/>
        </w:rPr>
        <w:t>Planowanie wykorzystanie instrumentów finansowych</w:t>
      </w:r>
    </w:p>
    <w:p w14:paraId="56793AD3" w14:textId="29293E0E" w:rsidR="00F50542" w:rsidRPr="00F879CC" w:rsidRDefault="009A4231" w:rsidP="00F879CC">
      <w:pPr>
        <w:spacing w:after="200" w:line="276" w:lineRule="auto"/>
        <w:rPr>
          <w:rFonts w:asciiTheme="minorHAnsi" w:eastAsia="Times New Roman" w:hAnsiTheme="minorHAnsi" w:cstheme="minorHAnsi"/>
          <w:szCs w:val="24"/>
          <w:lang w:val="pl-PL" w:eastAsia="en-GB"/>
        </w:rPr>
      </w:pPr>
      <w:r w:rsidRPr="00F879CC">
        <w:rPr>
          <w:rFonts w:asciiTheme="minorHAnsi" w:eastAsia="Times New Roman" w:hAnsiTheme="minorHAnsi" w:cstheme="minorHAnsi"/>
          <w:szCs w:val="24"/>
          <w:lang w:val="pl-PL" w:eastAsia="en-GB"/>
        </w:rPr>
        <w:t>Dotyczy: art. 17 ust. 4 lit. e) ppkt (v)</w:t>
      </w:r>
    </w:p>
    <w:p w14:paraId="453B4984" w14:textId="3E2B8BEB" w:rsidR="00F54FDB" w:rsidRPr="00F879CC" w:rsidRDefault="009A4231"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iCs/>
          <w:szCs w:val="24"/>
          <w:lang w:val="pl-PL" w:eastAsia="en-GB"/>
        </w:rPr>
      </w:pPr>
      <w:r w:rsidRPr="00F879CC">
        <w:rPr>
          <w:rFonts w:asciiTheme="minorHAnsi" w:eastAsia="Times New Roman" w:hAnsiTheme="minorHAnsi" w:cstheme="minorHAnsi"/>
          <w:szCs w:val="24"/>
          <w:lang w:val="pl-PL" w:eastAsia="en-GB"/>
        </w:rPr>
        <w:t>Nie dotyczy</w:t>
      </w:r>
    </w:p>
    <w:p w14:paraId="03D29429" w14:textId="7D6E77B4" w:rsidR="007120BB" w:rsidRPr="00F879CC" w:rsidRDefault="009A4231"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 w:val="22"/>
          <w:lang w:val="pl-PL" w:eastAsia="en-GB"/>
        </w:rPr>
      </w:pPr>
      <w:r w:rsidRPr="00F879CC">
        <w:rPr>
          <w:rFonts w:asciiTheme="minorHAnsi" w:eastAsia="Times New Roman" w:hAnsiTheme="minorHAnsi" w:cstheme="minorHAnsi"/>
          <w:iCs/>
          <w:szCs w:val="24"/>
          <w:lang w:val="pl-PL" w:eastAsia="en-GB"/>
        </w:rPr>
        <w:t>Pole tekstowe</w:t>
      </w:r>
      <w:r w:rsidR="00F50542" w:rsidRPr="00F879CC">
        <w:rPr>
          <w:rFonts w:asciiTheme="minorHAnsi" w:eastAsia="Times New Roman" w:hAnsiTheme="minorHAnsi" w:cstheme="minorHAnsi"/>
          <w:iCs/>
          <w:szCs w:val="24"/>
          <w:lang w:val="pl-PL" w:eastAsia="en-GB"/>
        </w:rPr>
        <w:t xml:space="preserve"> [7000]</w:t>
      </w:r>
    </w:p>
    <w:p w14:paraId="408AA4C3" w14:textId="77777777" w:rsidR="004421D3" w:rsidRPr="00F879CC" w:rsidRDefault="004421D3" w:rsidP="007120BB">
      <w:pPr>
        <w:spacing w:before="240" w:after="240" w:line="240" w:lineRule="auto"/>
        <w:ind w:left="709" w:hanging="709"/>
        <w:jc w:val="both"/>
        <w:rPr>
          <w:rFonts w:asciiTheme="minorHAnsi" w:eastAsia="Times New Roman" w:hAnsiTheme="minorHAnsi" w:cstheme="minorHAnsi"/>
          <w:b/>
          <w:iCs/>
          <w:szCs w:val="24"/>
          <w:u w:val="single"/>
          <w:lang w:val="pl-PL" w:eastAsia="en-GB"/>
        </w:rPr>
      </w:pPr>
    </w:p>
    <w:p w14:paraId="21DFABB4" w14:textId="4B169BF0" w:rsidR="00F50542" w:rsidRPr="00F879CC" w:rsidRDefault="00F50542" w:rsidP="00F879CC">
      <w:pPr>
        <w:spacing w:before="240" w:after="240" w:line="276" w:lineRule="auto"/>
        <w:ind w:left="709" w:hanging="709"/>
        <w:rPr>
          <w:rFonts w:asciiTheme="minorHAnsi" w:eastAsia="Times New Roman" w:hAnsiTheme="minorHAnsi" w:cstheme="minorHAnsi"/>
          <w:b/>
          <w:iCs/>
          <w:szCs w:val="24"/>
          <w:lang w:val="pl-PL" w:eastAsia="en-GB"/>
        </w:rPr>
      </w:pPr>
      <w:r w:rsidRPr="00F879CC">
        <w:rPr>
          <w:rFonts w:asciiTheme="minorHAnsi" w:eastAsia="Times New Roman" w:hAnsiTheme="minorHAnsi" w:cstheme="minorHAnsi"/>
          <w:b/>
          <w:iCs/>
          <w:szCs w:val="24"/>
          <w:lang w:val="pl-PL" w:eastAsia="en-GB"/>
        </w:rPr>
        <w:t>2.1.</w:t>
      </w:r>
      <w:r w:rsidR="000E01AC" w:rsidRPr="00F879CC">
        <w:rPr>
          <w:rFonts w:asciiTheme="minorHAnsi" w:eastAsia="Times New Roman" w:hAnsiTheme="minorHAnsi" w:cstheme="minorHAnsi"/>
          <w:b/>
          <w:iCs/>
          <w:szCs w:val="24"/>
          <w:lang w:val="pl-PL" w:eastAsia="en-GB"/>
        </w:rPr>
        <w:t>1.6</w:t>
      </w:r>
      <w:r w:rsidRPr="00F879CC">
        <w:rPr>
          <w:rFonts w:asciiTheme="minorHAnsi" w:eastAsia="Times New Roman" w:hAnsiTheme="minorHAnsi" w:cstheme="minorHAnsi"/>
          <w:b/>
          <w:iCs/>
          <w:szCs w:val="24"/>
          <w:lang w:val="pl-PL" w:eastAsia="en-GB"/>
        </w:rPr>
        <w:tab/>
      </w:r>
      <w:r w:rsidR="00503CCE">
        <w:rPr>
          <w:rFonts w:asciiTheme="minorHAnsi" w:eastAsia="Times New Roman" w:hAnsiTheme="minorHAnsi" w:cstheme="minorHAnsi"/>
          <w:b/>
          <w:iCs/>
          <w:szCs w:val="24"/>
          <w:lang w:val="pl-PL" w:eastAsia="en-GB"/>
        </w:rPr>
        <w:t xml:space="preserve"> </w:t>
      </w:r>
      <w:r w:rsidR="009A4231" w:rsidRPr="00F879CC">
        <w:rPr>
          <w:rFonts w:asciiTheme="minorHAnsi" w:eastAsia="Times New Roman" w:hAnsiTheme="minorHAnsi" w:cstheme="minorHAnsi"/>
          <w:b/>
          <w:iCs/>
          <w:szCs w:val="24"/>
          <w:lang w:val="pl-PL" w:eastAsia="en-GB"/>
        </w:rPr>
        <w:t>Indykatywny podział środków programu UE według rodzaju interwencji</w:t>
      </w:r>
    </w:p>
    <w:p w14:paraId="1CCACA38" w14:textId="4586AEB7" w:rsidR="00F50542" w:rsidRPr="00F879CC" w:rsidRDefault="009A4231" w:rsidP="00F879CC">
      <w:pPr>
        <w:spacing w:after="200" w:line="276" w:lineRule="auto"/>
        <w:rPr>
          <w:rFonts w:asciiTheme="minorHAnsi" w:eastAsia="Times New Roman" w:hAnsiTheme="minorHAnsi" w:cstheme="minorHAnsi"/>
          <w:szCs w:val="24"/>
          <w:lang w:val="pl-PL" w:eastAsia="en-GB"/>
        </w:rPr>
      </w:pPr>
      <w:r w:rsidRPr="00F879CC">
        <w:rPr>
          <w:rFonts w:asciiTheme="minorHAnsi" w:eastAsia="Times New Roman" w:hAnsiTheme="minorHAnsi" w:cstheme="minorHAnsi"/>
          <w:szCs w:val="24"/>
          <w:lang w:val="pl-PL" w:eastAsia="en-GB"/>
        </w:rPr>
        <w:t>Dotyczy: art. 17 ust. 4 lit. e) ppkt (vi), art. 17 ust. 9 lit. c) ppkt (v)</w:t>
      </w:r>
    </w:p>
    <w:p w14:paraId="35ED2FD5" w14:textId="2761A323" w:rsidR="00CC222E" w:rsidRPr="00F879CC" w:rsidRDefault="009A4231" w:rsidP="00F879CC">
      <w:pPr>
        <w:spacing w:after="200" w:line="276" w:lineRule="auto"/>
        <w:rPr>
          <w:rFonts w:asciiTheme="minorHAnsi" w:eastAsia="Times New Roman" w:hAnsiTheme="minorHAnsi" w:cstheme="minorHAnsi"/>
          <w:szCs w:val="24"/>
          <w:lang w:val="pl-PL" w:eastAsia="en-GB"/>
        </w:rPr>
      </w:pPr>
      <w:r w:rsidRPr="00F879CC">
        <w:rPr>
          <w:rFonts w:asciiTheme="minorHAnsi" w:hAnsiTheme="minorHAnsi" w:cstheme="minorHAnsi"/>
          <w:lang w:val="pl-PL"/>
        </w:rPr>
        <w:t>Kody interwencji zostaną uwzględnione po opublikowaniu ostatecznych wersji przepisów</w:t>
      </w:r>
      <w:r w:rsidR="00CC222E" w:rsidRPr="00F879CC">
        <w:rPr>
          <w:rFonts w:asciiTheme="minorHAnsi" w:hAnsiTheme="minorHAnsi" w:cstheme="minorHAnsi"/>
          <w:lang w:val="pl-PL"/>
        </w:rPr>
        <w:t>.</w:t>
      </w:r>
    </w:p>
    <w:p w14:paraId="731DA889" w14:textId="2E829D37" w:rsidR="00CC222E" w:rsidRPr="00F879CC" w:rsidRDefault="009A4231" w:rsidP="00F879CC">
      <w:pPr>
        <w:spacing w:after="200" w:line="276" w:lineRule="auto"/>
        <w:rPr>
          <w:rFonts w:asciiTheme="minorHAnsi" w:eastAsia="Times New Roman" w:hAnsiTheme="minorHAnsi" w:cstheme="minorHAnsi"/>
          <w:szCs w:val="24"/>
          <w:lang w:val="pl-PL" w:eastAsia="en-GB"/>
        </w:rPr>
      </w:pPr>
      <w:r w:rsidRPr="00F879CC">
        <w:rPr>
          <w:rFonts w:asciiTheme="minorHAnsi" w:eastAsia="Times New Roman" w:hAnsiTheme="minorHAnsi" w:cstheme="minorHAnsi"/>
          <w:iCs/>
          <w:szCs w:val="24"/>
          <w:lang w:val="pl-PL" w:eastAsia="en-GB"/>
        </w:rPr>
        <w:t>Tabela</w:t>
      </w:r>
      <w:r w:rsidR="00F50542" w:rsidRPr="00F879CC">
        <w:rPr>
          <w:rFonts w:asciiTheme="minorHAnsi" w:eastAsia="Times New Roman" w:hAnsiTheme="minorHAnsi" w:cstheme="minorHAnsi"/>
          <w:iCs/>
          <w:szCs w:val="24"/>
          <w:lang w:val="pl-PL" w:eastAsia="en-GB"/>
        </w:rPr>
        <w:t xml:space="preserve"> 4: </w:t>
      </w:r>
      <w:r w:rsidRPr="00F879CC">
        <w:rPr>
          <w:rFonts w:asciiTheme="minorHAnsi" w:eastAsia="Times New Roman" w:hAnsiTheme="minorHAnsi" w:cstheme="minorHAnsi"/>
          <w:iCs/>
          <w:szCs w:val="24"/>
          <w:lang w:val="pl-PL" w:eastAsia="en-GB"/>
        </w:rPr>
        <w:t>Wymiar</w:t>
      </w:r>
      <w:r w:rsidR="00F50542" w:rsidRPr="00F879CC">
        <w:rPr>
          <w:rFonts w:asciiTheme="minorHAnsi" w:eastAsia="Times New Roman" w:hAnsiTheme="minorHAnsi" w:cstheme="minorHAnsi"/>
          <w:iCs/>
          <w:szCs w:val="24"/>
          <w:lang w:val="pl-PL" w:eastAsia="en-GB"/>
        </w:rPr>
        <w:t xml:space="preserve"> 1 – </w:t>
      </w:r>
      <w:r w:rsidRPr="00F879CC">
        <w:rPr>
          <w:rFonts w:asciiTheme="minorHAnsi" w:eastAsia="Times New Roman" w:hAnsiTheme="minorHAnsi" w:cstheme="minorHAnsi"/>
          <w:iCs/>
          <w:szCs w:val="24"/>
          <w:lang w:val="pl-PL" w:eastAsia="en-GB"/>
        </w:rPr>
        <w:t>pole interwencji (</w:t>
      </w:r>
      <w:bookmarkStart w:id="76" w:name="OLE_LINK144"/>
      <w:bookmarkStart w:id="77" w:name="OLE_LINK145"/>
      <w:r w:rsidRPr="00F879CC">
        <w:rPr>
          <w:rFonts w:asciiTheme="minorHAnsi" w:eastAsia="Times New Roman" w:hAnsiTheme="minorHAnsi" w:cstheme="minorHAnsi"/>
          <w:iCs/>
          <w:szCs w:val="24"/>
          <w:lang w:val="pl-PL" w:eastAsia="en-GB"/>
        </w:rPr>
        <w:t>do wypełnienia/uwzględnienia w kolejnych krokach</w:t>
      </w:r>
      <w:bookmarkEnd w:id="76"/>
      <w:bookmarkEnd w:id="77"/>
      <w:r w:rsidR="00F54FDB" w:rsidRPr="00F879CC">
        <w:rPr>
          <w:rFonts w:asciiTheme="minorHAnsi" w:eastAsia="Times New Roman" w:hAnsiTheme="minorHAnsi" w:cstheme="minorHAnsi"/>
          <w:szCs w:val="24"/>
          <w:lang w:val="pl-PL" w:eastAsia="en-GB"/>
        </w:rPr>
        <w:t>)</w:t>
      </w:r>
    </w:p>
    <w:tbl>
      <w:tblPr>
        <w:tblStyle w:val="TableGrid1"/>
        <w:tblW w:w="0" w:type="auto"/>
        <w:tblLook w:val="04A0" w:firstRow="1" w:lastRow="0" w:firstColumn="1" w:lastColumn="0" w:noHBand="0" w:noVBand="1"/>
        <w:tblCaption w:val="Tabela dotycząca wymiaru 1 - pola interwencji"/>
      </w:tblPr>
      <w:tblGrid>
        <w:gridCol w:w="1870"/>
        <w:gridCol w:w="1657"/>
        <w:gridCol w:w="1898"/>
        <w:gridCol w:w="1204"/>
        <w:gridCol w:w="2659"/>
      </w:tblGrid>
      <w:tr w:rsidR="009A4231" w:rsidRPr="002139CE" w14:paraId="4369F633" w14:textId="77777777" w:rsidTr="00000498">
        <w:trPr>
          <w:tblHeader/>
        </w:trPr>
        <w:tc>
          <w:tcPr>
            <w:tcW w:w="1870" w:type="dxa"/>
          </w:tcPr>
          <w:p w14:paraId="20266A96" w14:textId="4F1FDE6B" w:rsidR="00F50542" w:rsidRPr="00F879CC" w:rsidRDefault="009A4231" w:rsidP="00F50542">
            <w:pPr>
              <w:spacing w:line="240" w:lineRule="auto"/>
              <w:jc w:val="both"/>
              <w:rPr>
                <w:rFonts w:asciiTheme="minorHAnsi" w:eastAsia="Times New Roman" w:hAnsiTheme="minorHAnsi" w:cstheme="minorHAnsi"/>
                <w:b/>
                <w:iCs/>
                <w:szCs w:val="24"/>
                <w:lang w:val="pl-PL" w:eastAsia="en-GB"/>
              </w:rPr>
            </w:pPr>
            <w:bookmarkStart w:id="78" w:name="_Hlk70343438"/>
            <w:r w:rsidRPr="00F879CC">
              <w:rPr>
                <w:rFonts w:asciiTheme="minorHAnsi" w:eastAsia="Times New Roman" w:hAnsiTheme="minorHAnsi" w:cstheme="minorHAnsi"/>
                <w:b/>
                <w:iCs/>
                <w:szCs w:val="24"/>
                <w:lang w:val="pl-PL" w:eastAsia="en-GB"/>
              </w:rPr>
              <w:t>Nr priorytetu</w:t>
            </w:r>
          </w:p>
        </w:tc>
        <w:tc>
          <w:tcPr>
            <w:tcW w:w="1657" w:type="dxa"/>
          </w:tcPr>
          <w:p w14:paraId="7CD3C279" w14:textId="14A48258" w:rsidR="00F50542" w:rsidRPr="00F879CC" w:rsidRDefault="00F50542" w:rsidP="00F50542">
            <w:pPr>
              <w:spacing w:line="240" w:lineRule="auto"/>
              <w:jc w:val="both"/>
              <w:rPr>
                <w:rFonts w:asciiTheme="minorHAnsi" w:eastAsia="Times New Roman" w:hAnsiTheme="minorHAnsi" w:cstheme="minorHAnsi"/>
                <w:b/>
                <w:iCs/>
                <w:szCs w:val="24"/>
                <w:lang w:val="pl-PL" w:eastAsia="en-GB"/>
              </w:rPr>
            </w:pPr>
            <w:r w:rsidRPr="00F879CC">
              <w:rPr>
                <w:rFonts w:asciiTheme="minorHAnsi" w:eastAsia="Times New Roman" w:hAnsiTheme="minorHAnsi" w:cstheme="minorHAnsi"/>
                <w:b/>
                <w:iCs/>
                <w:szCs w:val="24"/>
                <w:lang w:val="pl-PL" w:eastAsia="en-GB"/>
              </w:rPr>
              <w:t>Fund</w:t>
            </w:r>
            <w:r w:rsidR="009A4231" w:rsidRPr="00F879CC">
              <w:rPr>
                <w:rFonts w:asciiTheme="minorHAnsi" w:eastAsia="Times New Roman" w:hAnsiTheme="minorHAnsi" w:cstheme="minorHAnsi"/>
                <w:b/>
                <w:iCs/>
                <w:szCs w:val="24"/>
                <w:lang w:val="pl-PL" w:eastAsia="en-GB"/>
              </w:rPr>
              <w:t>usz</w:t>
            </w:r>
          </w:p>
        </w:tc>
        <w:tc>
          <w:tcPr>
            <w:tcW w:w="1898" w:type="dxa"/>
          </w:tcPr>
          <w:p w14:paraId="62D88ED2" w14:textId="221DD3F0" w:rsidR="00F50542" w:rsidRPr="00F879CC" w:rsidRDefault="009A4231" w:rsidP="00F50542">
            <w:pPr>
              <w:spacing w:line="240" w:lineRule="auto"/>
              <w:jc w:val="both"/>
              <w:rPr>
                <w:rFonts w:asciiTheme="minorHAnsi" w:eastAsia="Times New Roman" w:hAnsiTheme="minorHAnsi" w:cstheme="minorHAnsi"/>
                <w:b/>
                <w:iCs/>
                <w:szCs w:val="24"/>
                <w:lang w:val="pl-PL" w:eastAsia="en-GB"/>
              </w:rPr>
            </w:pPr>
            <w:r w:rsidRPr="00F879CC">
              <w:rPr>
                <w:rFonts w:asciiTheme="minorHAnsi" w:eastAsia="Times New Roman" w:hAnsiTheme="minorHAnsi" w:cstheme="minorHAnsi"/>
                <w:b/>
                <w:iCs/>
                <w:szCs w:val="24"/>
                <w:lang w:val="pl-PL" w:eastAsia="en-GB"/>
              </w:rPr>
              <w:t>Cel szczegółowy</w:t>
            </w:r>
          </w:p>
        </w:tc>
        <w:tc>
          <w:tcPr>
            <w:tcW w:w="1204" w:type="dxa"/>
          </w:tcPr>
          <w:p w14:paraId="28EBF9AA" w14:textId="1BF6EE75" w:rsidR="00F50542" w:rsidRPr="00F879CC" w:rsidRDefault="009A4231" w:rsidP="00F50542">
            <w:pPr>
              <w:spacing w:line="240" w:lineRule="auto"/>
              <w:jc w:val="both"/>
              <w:rPr>
                <w:rFonts w:asciiTheme="minorHAnsi" w:eastAsia="Times New Roman" w:hAnsiTheme="minorHAnsi" w:cstheme="minorHAnsi"/>
                <w:b/>
                <w:iCs/>
                <w:szCs w:val="24"/>
                <w:lang w:val="pl-PL" w:eastAsia="en-GB"/>
              </w:rPr>
            </w:pPr>
            <w:r w:rsidRPr="00F879CC">
              <w:rPr>
                <w:rFonts w:asciiTheme="minorHAnsi" w:eastAsia="Times New Roman" w:hAnsiTheme="minorHAnsi" w:cstheme="minorHAnsi"/>
                <w:b/>
                <w:iCs/>
                <w:szCs w:val="24"/>
                <w:lang w:val="pl-PL" w:eastAsia="en-GB"/>
              </w:rPr>
              <w:t>Kod</w:t>
            </w:r>
            <w:r w:rsidR="00F50542" w:rsidRPr="00F879CC">
              <w:rPr>
                <w:rFonts w:asciiTheme="minorHAnsi" w:eastAsia="Times New Roman" w:hAnsiTheme="minorHAnsi" w:cstheme="minorHAnsi"/>
                <w:b/>
                <w:iCs/>
                <w:szCs w:val="24"/>
                <w:lang w:val="pl-PL" w:eastAsia="en-GB"/>
              </w:rPr>
              <w:t xml:space="preserve"> </w:t>
            </w:r>
          </w:p>
        </w:tc>
        <w:tc>
          <w:tcPr>
            <w:tcW w:w="2659" w:type="dxa"/>
          </w:tcPr>
          <w:p w14:paraId="7FD5AD65" w14:textId="56DC4F4E" w:rsidR="00F50542" w:rsidRPr="00F879CC" w:rsidRDefault="009A4231" w:rsidP="00F50542">
            <w:pPr>
              <w:spacing w:line="240" w:lineRule="auto"/>
              <w:jc w:val="both"/>
              <w:rPr>
                <w:rFonts w:asciiTheme="minorHAnsi" w:eastAsia="Times New Roman" w:hAnsiTheme="minorHAnsi" w:cstheme="minorHAnsi"/>
                <w:b/>
                <w:iCs/>
                <w:szCs w:val="24"/>
                <w:lang w:val="pl-PL" w:eastAsia="en-GB"/>
              </w:rPr>
            </w:pPr>
            <w:r w:rsidRPr="00F879CC">
              <w:rPr>
                <w:rFonts w:asciiTheme="minorHAnsi" w:eastAsia="Times New Roman" w:hAnsiTheme="minorHAnsi" w:cstheme="minorHAnsi"/>
                <w:b/>
                <w:iCs/>
                <w:szCs w:val="24"/>
                <w:lang w:val="pl-PL" w:eastAsia="en-GB"/>
              </w:rPr>
              <w:t>Kwota</w:t>
            </w:r>
            <w:r w:rsidR="00F50542" w:rsidRPr="00F879CC">
              <w:rPr>
                <w:rFonts w:asciiTheme="minorHAnsi" w:eastAsia="Times New Roman" w:hAnsiTheme="minorHAnsi" w:cstheme="minorHAnsi"/>
                <w:b/>
                <w:iCs/>
                <w:szCs w:val="24"/>
                <w:lang w:val="pl-PL" w:eastAsia="en-GB"/>
              </w:rPr>
              <w:t xml:space="preserve"> (EUR)</w:t>
            </w:r>
          </w:p>
        </w:tc>
      </w:tr>
      <w:bookmarkEnd w:id="78"/>
      <w:tr w:rsidR="009A4231" w:rsidRPr="002139CE" w14:paraId="760CE8C6" w14:textId="77777777" w:rsidTr="00EE1A8F">
        <w:tc>
          <w:tcPr>
            <w:tcW w:w="1870" w:type="dxa"/>
          </w:tcPr>
          <w:p w14:paraId="5316DBC4" w14:textId="77777777" w:rsidR="00F50542" w:rsidRPr="00F879CC" w:rsidRDefault="00F50542" w:rsidP="00F50542">
            <w:pPr>
              <w:spacing w:line="240" w:lineRule="auto"/>
              <w:jc w:val="both"/>
              <w:rPr>
                <w:rFonts w:asciiTheme="minorHAnsi" w:eastAsia="Times New Roman" w:hAnsiTheme="minorHAnsi" w:cstheme="minorHAnsi"/>
                <w:iCs/>
                <w:szCs w:val="24"/>
                <w:lang w:val="pl-PL" w:eastAsia="en-GB"/>
              </w:rPr>
            </w:pPr>
          </w:p>
        </w:tc>
        <w:tc>
          <w:tcPr>
            <w:tcW w:w="1657" w:type="dxa"/>
          </w:tcPr>
          <w:p w14:paraId="2EF9D4DB" w14:textId="77777777" w:rsidR="00F50542" w:rsidRPr="00F879CC" w:rsidRDefault="00F50542" w:rsidP="00F50542">
            <w:pPr>
              <w:spacing w:line="240" w:lineRule="auto"/>
              <w:jc w:val="both"/>
              <w:rPr>
                <w:rFonts w:asciiTheme="minorHAnsi" w:eastAsia="Times New Roman" w:hAnsiTheme="minorHAnsi" w:cstheme="minorHAnsi"/>
                <w:b/>
                <w:iCs/>
                <w:szCs w:val="24"/>
                <w:lang w:val="pl-PL" w:eastAsia="en-GB"/>
              </w:rPr>
            </w:pPr>
          </w:p>
        </w:tc>
        <w:tc>
          <w:tcPr>
            <w:tcW w:w="1898" w:type="dxa"/>
          </w:tcPr>
          <w:p w14:paraId="4167A98E" w14:textId="77777777" w:rsidR="00F50542" w:rsidRPr="00F879CC" w:rsidRDefault="00F50542" w:rsidP="00F50542">
            <w:pPr>
              <w:spacing w:line="240" w:lineRule="auto"/>
              <w:jc w:val="both"/>
              <w:rPr>
                <w:rFonts w:asciiTheme="minorHAnsi" w:eastAsia="Times New Roman" w:hAnsiTheme="minorHAnsi" w:cstheme="minorHAnsi"/>
                <w:b/>
                <w:iCs/>
                <w:szCs w:val="24"/>
                <w:lang w:val="pl-PL" w:eastAsia="en-GB"/>
              </w:rPr>
            </w:pPr>
          </w:p>
        </w:tc>
        <w:tc>
          <w:tcPr>
            <w:tcW w:w="1204" w:type="dxa"/>
          </w:tcPr>
          <w:p w14:paraId="40E077D0" w14:textId="77777777" w:rsidR="00F50542" w:rsidRPr="00F879CC" w:rsidRDefault="00F50542" w:rsidP="00F50542">
            <w:pPr>
              <w:spacing w:line="240" w:lineRule="auto"/>
              <w:jc w:val="both"/>
              <w:rPr>
                <w:rFonts w:asciiTheme="minorHAnsi" w:eastAsia="Times New Roman" w:hAnsiTheme="minorHAnsi" w:cstheme="minorHAnsi"/>
                <w:b/>
                <w:iCs/>
                <w:szCs w:val="24"/>
                <w:lang w:val="pl-PL" w:eastAsia="en-GB"/>
              </w:rPr>
            </w:pPr>
          </w:p>
        </w:tc>
        <w:tc>
          <w:tcPr>
            <w:tcW w:w="2659" w:type="dxa"/>
          </w:tcPr>
          <w:p w14:paraId="7E614E7C" w14:textId="77777777" w:rsidR="00F50542" w:rsidRPr="00F879CC" w:rsidRDefault="00F50542" w:rsidP="00F50542">
            <w:pPr>
              <w:spacing w:line="240" w:lineRule="auto"/>
              <w:jc w:val="both"/>
              <w:rPr>
                <w:rFonts w:asciiTheme="minorHAnsi" w:eastAsia="Times New Roman" w:hAnsiTheme="minorHAnsi" w:cstheme="minorHAnsi"/>
                <w:b/>
                <w:iCs/>
                <w:szCs w:val="24"/>
                <w:lang w:val="pl-PL" w:eastAsia="en-GB"/>
              </w:rPr>
            </w:pPr>
          </w:p>
        </w:tc>
      </w:tr>
    </w:tbl>
    <w:p w14:paraId="684AEC56" w14:textId="77777777" w:rsidR="00F50542" w:rsidRPr="00F879CC" w:rsidRDefault="00F50542" w:rsidP="00F50542">
      <w:pPr>
        <w:spacing w:after="200" w:line="276" w:lineRule="auto"/>
        <w:rPr>
          <w:rFonts w:asciiTheme="minorHAnsi" w:eastAsia="Times New Roman" w:hAnsiTheme="minorHAnsi" w:cstheme="minorHAnsi"/>
          <w:iCs/>
          <w:szCs w:val="24"/>
          <w:lang w:val="en-IE" w:eastAsia="en-GB"/>
        </w:rPr>
      </w:pPr>
    </w:p>
    <w:p w14:paraId="1D599B8D" w14:textId="65E11242" w:rsidR="00F50542" w:rsidRPr="00F879CC" w:rsidRDefault="009A4231" w:rsidP="00F879CC">
      <w:pPr>
        <w:spacing w:after="200" w:line="276" w:lineRule="auto"/>
        <w:rPr>
          <w:rFonts w:asciiTheme="minorHAnsi" w:eastAsia="Times New Roman" w:hAnsiTheme="minorHAnsi" w:cstheme="minorHAnsi"/>
          <w:i/>
          <w:szCs w:val="24"/>
          <w:lang w:val="pl-PL" w:eastAsia="en-GB"/>
        </w:rPr>
      </w:pPr>
      <w:r w:rsidRPr="00F879CC">
        <w:rPr>
          <w:rFonts w:asciiTheme="minorHAnsi" w:eastAsia="Times New Roman" w:hAnsiTheme="minorHAnsi" w:cstheme="minorHAnsi"/>
          <w:iCs/>
          <w:szCs w:val="24"/>
          <w:lang w:val="pl-PL" w:eastAsia="en-GB"/>
        </w:rPr>
        <w:t>Tabela</w:t>
      </w:r>
      <w:r w:rsidR="00F50542" w:rsidRPr="00F879CC">
        <w:rPr>
          <w:rFonts w:asciiTheme="minorHAnsi" w:eastAsia="Times New Roman" w:hAnsiTheme="minorHAnsi" w:cstheme="minorHAnsi"/>
          <w:iCs/>
          <w:szCs w:val="24"/>
          <w:lang w:val="pl-PL" w:eastAsia="en-GB"/>
        </w:rPr>
        <w:t xml:space="preserve"> 5: </w:t>
      </w:r>
      <w:r w:rsidRPr="00F879CC">
        <w:rPr>
          <w:rFonts w:asciiTheme="minorHAnsi" w:eastAsia="Times New Roman" w:hAnsiTheme="minorHAnsi" w:cstheme="minorHAnsi"/>
          <w:iCs/>
          <w:szCs w:val="24"/>
          <w:lang w:val="pl-PL" w:eastAsia="en-GB"/>
        </w:rPr>
        <w:t>Wymiar</w:t>
      </w:r>
      <w:r w:rsidR="00F50542" w:rsidRPr="00F879CC">
        <w:rPr>
          <w:rFonts w:asciiTheme="minorHAnsi" w:eastAsia="Times New Roman" w:hAnsiTheme="minorHAnsi" w:cstheme="minorHAnsi"/>
          <w:iCs/>
          <w:szCs w:val="24"/>
          <w:lang w:val="pl-PL" w:eastAsia="en-GB"/>
        </w:rPr>
        <w:t xml:space="preserve"> 2 – </w:t>
      </w:r>
      <w:r w:rsidRPr="00F879CC">
        <w:rPr>
          <w:rFonts w:asciiTheme="minorHAnsi" w:eastAsia="Times New Roman" w:hAnsiTheme="minorHAnsi" w:cstheme="minorHAnsi"/>
          <w:iCs/>
          <w:szCs w:val="24"/>
          <w:lang w:val="pl-PL" w:eastAsia="en-GB"/>
        </w:rPr>
        <w:t>forma finansowania</w:t>
      </w:r>
      <w:r w:rsidR="00F54FDB" w:rsidRPr="00F879CC">
        <w:rPr>
          <w:rFonts w:asciiTheme="minorHAnsi" w:eastAsia="Times New Roman" w:hAnsiTheme="minorHAnsi" w:cstheme="minorHAnsi"/>
          <w:iCs/>
          <w:szCs w:val="24"/>
          <w:lang w:val="pl-PL" w:eastAsia="en-GB"/>
        </w:rPr>
        <w:t xml:space="preserve"> </w:t>
      </w:r>
      <w:r w:rsidR="00F54FDB" w:rsidRPr="00F879CC">
        <w:rPr>
          <w:rFonts w:asciiTheme="minorHAnsi" w:eastAsia="Times New Roman" w:hAnsiTheme="minorHAnsi" w:cstheme="minorHAnsi"/>
          <w:szCs w:val="24"/>
          <w:lang w:val="pl-PL" w:eastAsia="en-GB"/>
        </w:rPr>
        <w:t>(</w:t>
      </w:r>
      <w:r w:rsidRPr="00F879CC">
        <w:rPr>
          <w:rFonts w:asciiTheme="minorHAnsi" w:hAnsiTheme="minorHAnsi" w:cstheme="minorHAnsi"/>
          <w:lang w:val="pl-PL"/>
        </w:rPr>
        <w:t>do wypełnienia/uwzględnienia w kolejnych krokach</w:t>
      </w:r>
      <w:r w:rsidR="00F54FDB" w:rsidRPr="00F879CC">
        <w:rPr>
          <w:rFonts w:asciiTheme="minorHAnsi" w:eastAsia="Times New Roman" w:hAnsiTheme="minorHAnsi" w:cstheme="minorHAnsi"/>
          <w:szCs w:val="24"/>
          <w:lang w:val="pl-PL" w:eastAsia="en-GB"/>
        </w:rPr>
        <w:t>)</w:t>
      </w:r>
    </w:p>
    <w:tbl>
      <w:tblPr>
        <w:tblStyle w:val="TableGrid1"/>
        <w:tblW w:w="0" w:type="auto"/>
        <w:tblLook w:val="04A0" w:firstRow="1" w:lastRow="0" w:firstColumn="1" w:lastColumn="0" w:noHBand="0" w:noVBand="1"/>
        <w:tblCaption w:val="Tabela dotycząca wymiaru 2 - formy finansowania"/>
      </w:tblPr>
      <w:tblGrid>
        <w:gridCol w:w="1827"/>
        <w:gridCol w:w="1614"/>
        <w:gridCol w:w="1858"/>
        <w:gridCol w:w="1180"/>
        <w:gridCol w:w="2583"/>
      </w:tblGrid>
      <w:tr w:rsidR="009A4231" w:rsidRPr="002139CE" w14:paraId="0923325A" w14:textId="77777777" w:rsidTr="00000498">
        <w:trPr>
          <w:tblHeader/>
        </w:trPr>
        <w:tc>
          <w:tcPr>
            <w:tcW w:w="1827" w:type="dxa"/>
          </w:tcPr>
          <w:p w14:paraId="11B130D0" w14:textId="7DA5D90F" w:rsidR="009A4231" w:rsidRPr="00F879CC" w:rsidRDefault="009A4231" w:rsidP="009A4231">
            <w:pPr>
              <w:spacing w:line="240" w:lineRule="auto"/>
              <w:jc w:val="both"/>
              <w:rPr>
                <w:rFonts w:asciiTheme="minorHAnsi" w:eastAsia="Times New Roman" w:hAnsiTheme="minorHAnsi" w:cstheme="minorHAnsi"/>
                <w:b/>
                <w:iCs/>
                <w:szCs w:val="24"/>
                <w:lang w:val="pl-PL" w:eastAsia="en-GB"/>
              </w:rPr>
            </w:pPr>
            <w:r w:rsidRPr="00F879CC">
              <w:rPr>
                <w:rFonts w:asciiTheme="minorHAnsi" w:eastAsia="Times New Roman" w:hAnsiTheme="minorHAnsi" w:cstheme="minorHAnsi"/>
                <w:b/>
                <w:iCs/>
                <w:szCs w:val="24"/>
                <w:lang w:val="pl-PL" w:eastAsia="en-GB"/>
              </w:rPr>
              <w:t>Nr priorytetu</w:t>
            </w:r>
          </w:p>
        </w:tc>
        <w:tc>
          <w:tcPr>
            <w:tcW w:w="1614" w:type="dxa"/>
          </w:tcPr>
          <w:p w14:paraId="55AA6511" w14:textId="2EFB0482" w:rsidR="009A4231" w:rsidRPr="00F879CC" w:rsidRDefault="009A4231" w:rsidP="009A4231">
            <w:pPr>
              <w:spacing w:line="240" w:lineRule="auto"/>
              <w:jc w:val="both"/>
              <w:rPr>
                <w:rFonts w:asciiTheme="minorHAnsi" w:eastAsia="Times New Roman" w:hAnsiTheme="minorHAnsi" w:cstheme="minorHAnsi"/>
                <w:b/>
                <w:iCs/>
                <w:szCs w:val="24"/>
                <w:lang w:val="pl-PL" w:eastAsia="en-GB"/>
              </w:rPr>
            </w:pPr>
            <w:r w:rsidRPr="00F879CC">
              <w:rPr>
                <w:rFonts w:asciiTheme="minorHAnsi" w:eastAsia="Times New Roman" w:hAnsiTheme="minorHAnsi" w:cstheme="minorHAnsi"/>
                <w:b/>
                <w:iCs/>
                <w:szCs w:val="24"/>
                <w:lang w:val="pl-PL" w:eastAsia="en-GB"/>
              </w:rPr>
              <w:t>Fundusz</w:t>
            </w:r>
          </w:p>
        </w:tc>
        <w:tc>
          <w:tcPr>
            <w:tcW w:w="1858" w:type="dxa"/>
          </w:tcPr>
          <w:p w14:paraId="04F41E49" w14:textId="706B65E4" w:rsidR="009A4231" w:rsidRPr="00F879CC" w:rsidRDefault="009A4231" w:rsidP="009A4231">
            <w:pPr>
              <w:spacing w:line="240" w:lineRule="auto"/>
              <w:jc w:val="both"/>
              <w:rPr>
                <w:rFonts w:asciiTheme="minorHAnsi" w:eastAsia="Times New Roman" w:hAnsiTheme="minorHAnsi" w:cstheme="minorHAnsi"/>
                <w:b/>
                <w:iCs/>
                <w:szCs w:val="24"/>
                <w:lang w:val="pl-PL" w:eastAsia="en-GB"/>
              </w:rPr>
            </w:pPr>
            <w:r w:rsidRPr="00F879CC">
              <w:rPr>
                <w:rFonts w:asciiTheme="minorHAnsi" w:eastAsia="Times New Roman" w:hAnsiTheme="minorHAnsi" w:cstheme="minorHAnsi"/>
                <w:b/>
                <w:iCs/>
                <w:szCs w:val="24"/>
                <w:lang w:val="pl-PL" w:eastAsia="en-GB"/>
              </w:rPr>
              <w:t>Cel szczegółowy</w:t>
            </w:r>
          </w:p>
        </w:tc>
        <w:tc>
          <w:tcPr>
            <w:tcW w:w="1180" w:type="dxa"/>
          </w:tcPr>
          <w:p w14:paraId="243A9995" w14:textId="650B69ED" w:rsidR="009A4231" w:rsidRPr="00F879CC" w:rsidRDefault="009A4231" w:rsidP="009A4231">
            <w:pPr>
              <w:spacing w:line="240" w:lineRule="auto"/>
              <w:jc w:val="both"/>
              <w:rPr>
                <w:rFonts w:asciiTheme="minorHAnsi" w:eastAsia="Times New Roman" w:hAnsiTheme="minorHAnsi" w:cstheme="minorHAnsi"/>
                <w:b/>
                <w:iCs/>
                <w:szCs w:val="24"/>
                <w:lang w:val="pl-PL" w:eastAsia="en-GB"/>
              </w:rPr>
            </w:pPr>
            <w:r w:rsidRPr="00F879CC">
              <w:rPr>
                <w:rFonts w:asciiTheme="minorHAnsi" w:eastAsia="Times New Roman" w:hAnsiTheme="minorHAnsi" w:cstheme="minorHAnsi"/>
                <w:b/>
                <w:iCs/>
                <w:szCs w:val="24"/>
                <w:lang w:val="pl-PL" w:eastAsia="en-GB"/>
              </w:rPr>
              <w:t xml:space="preserve">Kod </w:t>
            </w:r>
          </w:p>
        </w:tc>
        <w:tc>
          <w:tcPr>
            <w:tcW w:w="2583" w:type="dxa"/>
          </w:tcPr>
          <w:p w14:paraId="7722B268" w14:textId="46667C31" w:rsidR="009A4231" w:rsidRPr="00F879CC" w:rsidRDefault="009A4231" w:rsidP="009A4231">
            <w:pPr>
              <w:spacing w:line="240" w:lineRule="auto"/>
              <w:jc w:val="both"/>
              <w:rPr>
                <w:rFonts w:asciiTheme="minorHAnsi" w:eastAsia="Times New Roman" w:hAnsiTheme="minorHAnsi" w:cstheme="minorHAnsi"/>
                <w:b/>
                <w:iCs/>
                <w:szCs w:val="24"/>
                <w:lang w:val="pl-PL" w:eastAsia="en-GB"/>
              </w:rPr>
            </w:pPr>
            <w:r w:rsidRPr="00F879CC">
              <w:rPr>
                <w:rFonts w:asciiTheme="minorHAnsi" w:eastAsia="Times New Roman" w:hAnsiTheme="minorHAnsi" w:cstheme="minorHAnsi"/>
                <w:b/>
                <w:iCs/>
                <w:szCs w:val="24"/>
                <w:lang w:val="pl-PL" w:eastAsia="en-GB"/>
              </w:rPr>
              <w:t>Kwota (EUR)</w:t>
            </w:r>
          </w:p>
        </w:tc>
      </w:tr>
      <w:tr w:rsidR="00F50542" w:rsidRPr="002139CE" w14:paraId="09D2AEA7" w14:textId="77777777" w:rsidTr="009A4231">
        <w:tc>
          <w:tcPr>
            <w:tcW w:w="1827" w:type="dxa"/>
          </w:tcPr>
          <w:p w14:paraId="264F4FD5" w14:textId="77777777" w:rsidR="00F50542" w:rsidRPr="00F879CC" w:rsidRDefault="00F50542" w:rsidP="00F50542">
            <w:pPr>
              <w:spacing w:line="240" w:lineRule="auto"/>
              <w:jc w:val="both"/>
              <w:rPr>
                <w:rFonts w:asciiTheme="minorHAnsi" w:eastAsia="Times New Roman" w:hAnsiTheme="minorHAnsi" w:cstheme="minorHAnsi"/>
                <w:b/>
                <w:iCs/>
                <w:szCs w:val="24"/>
                <w:lang w:val="pl-PL" w:eastAsia="en-GB"/>
              </w:rPr>
            </w:pPr>
          </w:p>
        </w:tc>
        <w:tc>
          <w:tcPr>
            <w:tcW w:w="1614" w:type="dxa"/>
          </w:tcPr>
          <w:p w14:paraId="4BB66D81" w14:textId="77777777" w:rsidR="00F50542" w:rsidRPr="00F879CC" w:rsidRDefault="00F50542" w:rsidP="00F50542">
            <w:pPr>
              <w:spacing w:line="240" w:lineRule="auto"/>
              <w:jc w:val="both"/>
              <w:rPr>
                <w:rFonts w:asciiTheme="minorHAnsi" w:eastAsia="Times New Roman" w:hAnsiTheme="minorHAnsi" w:cstheme="minorHAnsi"/>
                <w:b/>
                <w:iCs/>
                <w:szCs w:val="24"/>
                <w:lang w:val="pl-PL" w:eastAsia="en-GB"/>
              </w:rPr>
            </w:pPr>
          </w:p>
        </w:tc>
        <w:tc>
          <w:tcPr>
            <w:tcW w:w="1858" w:type="dxa"/>
          </w:tcPr>
          <w:p w14:paraId="3093C083" w14:textId="77777777" w:rsidR="00F50542" w:rsidRPr="00F879CC" w:rsidRDefault="00F50542" w:rsidP="00F50542">
            <w:pPr>
              <w:spacing w:line="240" w:lineRule="auto"/>
              <w:jc w:val="both"/>
              <w:rPr>
                <w:rFonts w:asciiTheme="minorHAnsi" w:eastAsia="Times New Roman" w:hAnsiTheme="minorHAnsi" w:cstheme="minorHAnsi"/>
                <w:b/>
                <w:iCs/>
                <w:szCs w:val="24"/>
                <w:lang w:val="pl-PL" w:eastAsia="en-GB"/>
              </w:rPr>
            </w:pPr>
          </w:p>
        </w:tc>
        <w:tc>
          <w:tcPr>
            <w:tcW w:w="1180" w:type="dxa"/>
          </w:tcPr>
          <w:p w14:paraId="2F4D227B" w14:textId="77777777" w:rsidR="00F50542" w:rsidRPr="00F879CC" w:rsidRDefault="00F50542" w:rsidP="00F50542">
            <w:pPr>
              <w:spacing w:line="240" w:lineRule="auto"/>
              <w:jc w:val="both"/>
              <w:rPr>
                <w:rFonts w:asciiTheme="minorHAnsi" w:eastAsia="Times New Roman" w:hAnsiTheme="minorHAnsi" w:cstheme="minorHAnsi"/>
                <w:b/>
                <w:iCs/>
                <w:szCs w:val="24"/>
                <w:lang w:val="pl-PL" w:eastAsia="en-GB"/>
              </w:rPr>
            </w:pPr>
          </w:p>
        </w:tc>
        <w:tc>
          <w:tcPr>
            <w:tcW w:w="2583" w:type="dxa"/>
          </w:tcPr>
          <w:p w14:paraId="3D3087B3" w14:textId="77777777" w:rsidR="00F50542" w:rsidRPr="00F879CC" w:rsidRDefault="00F50542" w:rsidP="00F50542">
            <w:pPr>
              <w:spacing w:line="240" w:lineRule="auto"/>
              <w:jc w:val="both"/>
              <w:rPr>
                <w:rFonts w:asciiTheme="minorHAnsi" w:eastAsia="Times New Roman" w:hAnsiTheme="minorHAnsi" w:cstheme="minorHAnsi"/>
                <w:b/>
                <w:iCs/>
                <w:szCs w:val="24"/>
                <w:lang w:val="pl-PL" w:eastAsia="en-GB"/>
              </w:rPr>
            </w:pPr>
          </w:p>
        </w:tc>
      </w:tr>
    </w:tbl>
    <w:p w14:paraId="72830139" w14:textId="77777777" w:rsidR="00F50542" w:rsidRPr="00F879CC" w:rsidRDefault="00F50542" w:rsidP="00F50542">
      <w:pPr>
        <w:spacing w:after="200" w:line="276" w:lineRule="auto"/>
        <w:jc w:val="center"/>
        <w:rPr>
          <w:rFonts w:asciiTheme="minorHAnsi" w:eastAsia="Times New Roman" w:hAnsiTheme="minorHAnsi" w:cstheme="minorHAnsi"/>
          <w:iCs/>
          <w:szCs w:val="24"/>
          <w:lang w:val="en-IE" w:eastAsia="en-GB"/>
        </w:rPr>
      </w:pPr>
    </w:p>
    <w:p w14:paraId="3E904BD9" w14:textId="2EA19F80" w:rsidR="00F54FDB" w:rsidRPr="00F879CC" w:rsidRDefault="009A4231" w:rsidP="00F879CC">
      <w:pPr>
        <w:spacing w:after="200" w:line="276" w:lineRule="auto"/>
        <w:rPr>
          <w:rFonts w:asciiTheme="minorHAnsi" w:eastAsia="Times New Roman" w:hAnsiTheme="minorHAnsi" w:cstheme="minorHAnsi"/>
          <w:iCs/>
          <w:szCs w:val="24"/>
          <w:lang w:val="pl-PL" w:eastAsia="en-GB"/>
        </w:rPr>
      </w:pPr>
      <w:r w:rsidRPr="00F879CC">
        <w:rPr>
          <w:rFonts w:asciiTheme="minorHAnsi" w:eastAsia="Times New Roman" w:hAnsiTheme="minorHAnsi" w:cstheme="minorHAnsi"/>
          <w:iCs/>
          <w:szCs w:val="24"/>
          <w:lang w:val="pl-PL" w:eastAsia="en-GB"/>
        </w:rPr>
        <w:t>Tabela 6: Wymiar</w:t>
      </w:r>
      <w:r w:rsidR="00F50542" w:rsidRPr="00F879CC">
        <w:rPr>
          <w:rFonts w:asciiTheme="minorHAnsi" w:eastAsia="Times New Roman" w:hAnsiTheme="minorHAnsi" w:cstheme="minorHAnsi"/>
          <w:iCs/>
          <w:szCs w:val="24"/>
          <w:lang w:val="pl-PL" w:eastAsia="en-GB"/>
        </w:rPr>
        <w:t xml:space="preserve"> 3 – </w:t>
      </w:r>
      <w:bookmarkStart w:id="79" w:name="OLE_LINK175"/>
      <w:bookmarkStart w:id="80" w:name="OLE_LINK176"/>
      <w:r w:rsidR="001048AF" w:rsidRPr="00F879CC">
        <w:rPr>
          <w:rFonts w:asciiTheme="minorHAnsi" w:eastAsia="Times New Roman" w:hAnsiTheme="minorHAnsi" w:cstheme="minorHAnsi"/>
          <w:iCs/>
          <w:szCs w:val="24"/>
          <w:lang w:val="pl-PL" w:eastAsia="en-GB"/>
        </w:rPr>
        <w:t xml:space="preserve">terytorialny mechanizm realizacji i skupienie </w:t>
      </w:r>
      <w:r w:rsidR="0096482A" w:rsidRPr="00F879CC">
        <w:rPr>
          <w:rFonts w:asciiTheme="minorHAnsi" w:eastAsia="Times New Roman" w:hAnsiTheme="minorHAnsi" w:cstheme="minorHAnsi"/>
          <w:iCs/>
          <w:szCs w:val="24"/>
          <w:lang w:val="pl-PL" w:eastAsia="en-GB"/>
        </w:rPr>
        <w:t xml:space="preserve">uwagi </w:t>
      </w:r>
      <w:r w:rsidR="001048AF" w:rsidRPr="00F879CC">
        <w:rPr>
          <w:rFonts w:asciiTheme="minorHAnsi" w:eastAsia="Times New Roman" w:hAnsiTheme="minorHAnsi" w:cstheme="minorHAnsi"/>
          <w:iCs/>
          <w:szCs w:val="24"/>
          <w:lang w:val="pl-PL" w:eastAsia="en-GB"/>
        </w:rPr>
        <w:t>na terytorium</w:t>
      </w:r>
      <w:bookmarkEnd w:id="79"/>
      <w:bookmarkEnd w:id="80"/>
      <w:r w:rsidR="00F54FDB" w:rsidRPr="00F879CC">
        <w:rPr>
          <w:rFonts w:asciiTheme="minorHAnsi" w:eastAsia="Times New Roman" w:hAnsiTheme="minorHAnsi" w:cstheme="minorHAnsi"/>
          <w:iCs/>
          <w:szCs w:val="24"/>
          <w:lang w:val="pl-PL" w:eastAsia="en-GB"/>
        </w:rPr>
        <w:t xml:space="preserve"> </w:t>
      </w:r>
    </w:p>
    <w:p w14:paraId="26D2EFA1" w14:textId="12103420" w:rsidR="00F50542" w:rsidRPr="00F879CC" w:rsidRDefault="00F54FDB" w:rsidP="00F879CC">
      <w:pPr>
        <w:spacing w:after="200" w:line="276" w:lineRule="auto"/>
        <w:rPr>
          <w:rFonts w:asciiTheme="minorHAnsi" w:eastAsia="Times New Roman" w:hAnsiTheme="minorHAnsi" w:cstheme="minorHAnsi"/>
          <w:i/>
          <w:szCs w:val="24"/>
          <w:lang w:val="pl-PL" w:eastAsia="en-GB"/>
        </w:rPr>
      </w:pPr>
      <w:r w:rsidRPr="00F879CC">
        <w:rPr>
          <w:rFonts w:asciiTheme="minorHAnsi" w:eastAsia="Times New Roman" w:hAnsiTheme="minorHAnsi" w:cstheme="minorHAnsi"/>
          <w:szCs w:val="24"/>
          <w:lang w:val="pl-PL" w:eastAsia="en-GB"/>
        </w:rPr>
        <w:t>(</w:t>
      </w:r>
      <w:r w:rsidR="001048AF" w:rsidRPr="00F879CC">
        <w:rPr>
          <w:rFonts w:asciiTheme="minorHAnsi" w:hAnsiTheme="minorHAnsi" w:cstheme="minorHAnsi"/>
          <w:lang w:val="pl-PL"/>
        </w:rPr>
        <w:t>do wypełnienia/uwzględnienia w kolejnych krokach</w:t>
      </w:r>
      <w:r w:rsidRPr="00F879CC">
        <w:rPr>
          <w:rFonts w:asciiTheme="minorHAnsi" w:eastAsia="Times New Roman" w:hAnsiTheme="minorHAnsi" w:cstheme="minorHAnsi"/>
          <w:szCs w:val="24"/>
          <w:lang w:val="pl-PL" w:eastAsia="en-GB"/>
        </w:rPr>
        <w:t>)</w:t>
      </w:r>
    </w:p>
    <w:tbl>
      <w:tblPr>
        <w:tblStyle w:val="TableGrid1"/>
        <w:tblW w:w="0" w:type="auto"/>
        <w:tblLook w:val="04A0" w:firstRow="1" w:lastRow="0" w:firstColumn="1" w:lastColumn="0" w:noHBand="0" w:noVBand="1"/>
        <w:tblCaption w:val="Tabela dotycząca wymiaru 3 - terytorialnego mechanizmu realizacji i skupienia uwagi na terytorium"/>
      </w:tblPr>
      <w:tblGrid>
        <w:gridCol w:w="1827"/>
        <w:gridCol w:w="1614"/>
        <w:gridCol w:w="1858"/>
        <w:gridCol w:w="1180"/>
        <w:gridCol w:w="2583"/>
      </w:tblGrid>
      <w:tr w:rsidR="009A4231" w:rsidRPr="002139CE" w14:paraId="7F523D9C" w14:textId="77777777" w:rsidTr="00000498">
        <w:trPr>
          <w:tblHeader/>
        </w:trPr>
        <w:tc>
          <w:tcPr>
            <w:tcW w:w="1827" w:type="dxa"/>
          </w:tcPr>
          <w:p w14:paraId="053FBA26" w14:textId="766ACF59" w:rsidR="009A4231" w:rsidRPr="00F879CC" w:rsidRDefault="009A4231" w:rsidP="009A4231">
            <w:pPr>
              <w:spacing w:line="240" w:lineRule="auto"/>
              <w:jc w:val="both"/>
              <w:rPr>
                <w:rFonts w:asciiTheme="minorHAnsi" w:eastAsia="Times New Roman" w:hAnsiTheme="minorHAnsi" w:cstheme="minorHAnsi"/>
                <w:b/>
                <w:iCs/>
                <w:szCs w:val="24"/>
                <w:lang w:val="pl-PL" w:eastAsia="en-GB"/>
              </w:rPr>
            </w:pPr>
            <w:r w:rsidRPr="00F879CC">
              <w:rPr>
                <w:rFonts w:asciiTheme="minorHAnsi" w:eastAsia="Times New Roman" w:hAnsiTheme="minorHAnsi" w:cstheme="minorHAnsi"/>
                <w:b/>
                <w:iCs/>
                <w:szCs w:val="24"/>
                <w:lang w:val="pl-PL" w:eastAsia="en-GB"/>
              </w:rPr>
              <w:t>Nr priorytetu</w:t>
            </w:r>
          </w:p>
        </w:tc>
        <w:tc>
          <w:tcPr>
            <w:tcW w:w="1614" w:type="dxa"/>
          </w:tcPr>
          <w:p w14:paraId="78D5024B" w14:textId="21B8E36F" w:rsidR="009A4231" w:rsidRPr="00F879CC" w:rsidRDefault="009A4231" w:rsidP="009A4231">
            <w:pPr>
              <w:spacing w:line="240" w:lineRule="auto"/>
              <w:jc w:val="both"/>
              <w:rPr>
                <w:rFonts w:asciiTheme="minorHAnsi" w:eastAsia="Times New Roman" w:hAnsiTheme="minorHAnsi" w:cstheme="minorHAnsi"/>
                <w:b/>
                <w:iCs/>
                <w:szCs w:val="24"/>
                <w:lang w:val="pl-PL" w:eastAsia="en-GB"/>
              </w:rPr>
            </w:pPr>
            <w:r w:rsidRPr="00F879CC">
              <w:rPr>
                <w:rFonts w:asciiTheme="minorHAnsi" w:eastAsia="Times New Roman" w:hAnsiTheme="minorHAnsi" w:cstheme="minorHAnsi"/>
                <w:b/>
                <w:iCs/>
                <w:szCs w:val="24"/>
                <w:lang w:val="pl-PL" w:eastAsia="en-GB"/>
              </w:rPr>
              <w:t>Fundusz</w:t>
            </w:r>
          </w:p>
        </w:tc>
        <w:tc>
          <w:tcPr>
            <w:tcW w:w="1858" w:type="dxa"/>
          </w:tcPr>
          <w:p w14:paraId="1EC5E3D2" w14:textId="27A85555" w:rsidR="009A4231" w:rsidRPr="00F879CC" w:rsidRDefault="009A4231" w:rsidP="009A4231">
            <w:pPr>
              <w:spacing w:line="240" w:lineRule="auto"/>
              <w:jc w:val="both"/>
              <w:rPr>
                <w:rFonts w:asciiTheme="minorHAnsi" w:eastAsia="Times New Roman" w:hAnsiTheme="minorHAnsi" w:cstheme="minorHAnsi"/>
                <w:b/>
                <w:iCs/>
                <w:szCs w:val="24"/>
                <w:lang w:val="pl-PL" w:eastAsia="en-GB"/>
              </w:rPr>
            </w:pPr>
            <w:r w:rsidRPr="00F879CC">
              <w:rPr>
                <w:rFonts w:asciiTheme="minorHAnsi" w:eastAsia="Times New Roman" w:hAnsiTheme="minorHAnsi" w:cstheme="minorHAnsi"/>
                <w:b/>
                <w:iCs/>
                <w:szCs w:val="24"/>
                <w:lang w:val="pl-PL" w:eastAsia="en-GB"/>
              </w:rPr>
              <w:t>Cel szczegółowy</w:t>
            </w:r>
          </w:p>
        </w:tc>
        <w:tc>
          <w:tcPr>
            <w:tcW w:w="1180" w:type="dxa"/>
          </w:tcPr>
          <w:p w14:paraId="28C1AA69" w14:textId="14C61DF7" w:rsidR="009A4231" w:rsidRPr="00F879CC" w:rsidRDefault="009A4231" w:rsidP="009A4231">
            <w:pPr>
              <w:spacing w:line="240" w:lineRule="auto"/>
              <w:jc w:val="both"/>
              <w:rPr>
                <w:rFonts w:asciiTheme="minorHAnsi" w:eastAsia="Times New Roman" w:hAnsiTheme="minorHAnsi" w:cstheme="minorHAnsi"/>
                <w:b/>
                <w:iCs/>
                <w:szCs w:val="24"/>
                <w:lang w:val="pl-PL" w:eastAsia="en-GB"/>
              </w:rPr>
            </w:pPr>
            <w:r w:rsidRPr="00F879CC">
              <w:rPr>
                <w:rFonts w:asciiTheme="minorHAnsi" w:eastAsia="Times New Roman" w:hAnsiTheme="minorHAnsi" w:cstheme="minorHAnsi"/>
                <w:b/>
                <w:iCs/>
                <w:szCs w:val="24"/>
                <w:lang w:val="pl-PL" w:eastAsia="en-GB"/>
              </w:rPr>
              <w:t xml:space="preserve">Kod </w:t>
            </w:r>
          </w:p>
        </w:tc>
        <w:tc>
          <w:tcPr>
            <w:tcW w:w="2583" w:type="dxa"/>
          </w:tcPr>
          <w:p w14:paraId="28B33DAF" w14:textId="174ED45F" w:rsidR="009A4231" w:rsidRPr="00F879CC" w:rsidRDefault="009A4231" w:rsidP="009A4231">
            <w:pPr>
              <w:spacing w:line="240" w:lineRule="auto"/>
              <w:jc w:val="both"/>
              <w:rPr>
                <w:rFonts w:asciiTheme="minorHAnsi" w:eastAsia="Times New Roman" w:hAnsiTheme="minorHAnsi" w:cstheme="minorHAnsi"/>
                <w:b/>
                <w:iCs/>
                <w:szCs w:val="24"/>
                <w:lang w:val="pl-PL" w:eastAsia="en-GB"/>
              </w:rPr>
            </w:pPr>
            <w:r w:rsidRPr="00F879CC">
              <w:rPr>
                <w:rFonts w:asciiTheme="minorHAnsi" w:eastAsia="Times New Roman" w:hAnsiTheme="minorHAnsi" w:cstheme="minorHAnsi"/>
                <w:b/>
                <w:iCs/>
                <w:szCs w:val="24"/>
                <w:lang w:val="pl-PL" w:eastAsia="en-GB"/>
              </w:rPr>
              <w:t>Kwota (EUR)</w:t>
            </w:r>
          </w:p>
        </w:tc>
      </w:tr>
      <w:tr w:rsidR="00F50542" w:rsidRPr="002139CE" w14:paraId="0590BFCF" w14:textId="77777777" w:rsidTr="009A4231">
        <w:tc>
          <w:tcPr>
            <w:tcW w:w="1827" w:type="dxa"/>
          </w:tcPr>
          <w:p w14:paraId="11127E1D" w14:textId="77777777" w:rsidR="00F50542" w:rsidRPr="00F879CC" w:rsidRDefault="00F50542" w:rsidP="00F50542">
            <w:pPr>
              <w:spacing w:line="240" w:lineRule="auto"/>
              <w:jc w:val="both"/>
              <w:rPr>
                <w:rFonts w:asciiTheme="minorHAnsi" w:eastAsia="Times New Roman" w:hAnsiTheme="minorHAnsi" w:cstheme="minorHAnsi"/>
                <w:b/>
                <w:iCs/>
                <w:szCs w:val="24"/>
                <w:lang w:val="pl-PL" w:eastAsia="en-GB"/>
              </w:rPr>
            </w:pPr>
          </w:p>
        </w:tc>
        <w:tc>
          <w:tcPr>
            <w:tcW w:w="1614" w:type="dxa"/>
          </w:tcPr>
          <w:p w14:paraId="0D7CDC81" w14:textId="77777777" w:rsidR="00F50542" w:rsidRPr="00F879CC" w:rsidRDefault="00F50542" w:rsidP="00F50542">
            <w:pPr>
              <w:spacing w:line="240" w:lineRule="auto"/>
              <w:jc w:val="both"/>
              <w:rPr>
                <w:rFonts w:asciiTheme="minorHAnsi" w:eastAsia="Times New Roman" w:hAnsiTheme="minorHAnsi" w:cstheme="minorHAnsi"/>
                <w:b/>
                <w:iCs/>
                <w:szCs w:val="24"/>
                <w:lang w:val="pl-PL" w:eastAsia="en-GB"/>
              </w:rPr>
            </w:pPr>
          </w:p>
        </w:tc>
        <w:tc>
          <w:tcPr>
            <w:tcW w:w="1858" w:type="dxa"/>
          </w:tcPr>
          <w:p w14:paraId="0A23FCA9" w14:textId="77777777" w:rsidR="00F50542" w:rsidRPr="00F879CC" w:rsidRDefault="00F50542" w:rsidP="00F50542">
            <w:pPr>
              <w:spacing w:line="240" w:lineRule="auto"/>
              <w:jc w:val="both"/>
              <w:rPr>
                <w:rFonts w:asciiTheme="minorHAnsi" w:eastAsia="Times New Roman" w:hAnsiTheme="minorHAnsi" w:cstheme="minorHAnsi"/>
                <w:b/>
                <w:iCs/>
                <w:szCs w:val="24"/>
                <w:lang w:val="pl-PL" w:eastAsia="en-GB"/>
              </w:rPr>
            </w:pPr>
          </w:p>
        </w:tc>
        <w:tc>
          <w:tcPr>
            <w:tcW w:w="1180" w:type="dxa"/>
          </w:tcPr>
          <w:p w14:paraId="21A090ED" w14:textId="77777777" w:rsidR="00F50542" w:rsidRPr="00F879CC" w:rsidRDefault="00F50542" w:rsidP="00F50542">
            <w:pPr>
              <w:spacing w:line="240" w:lineRule="auto"/>
              <w:jc w:val="both"/>
              <w:rPr>
                <w:rFonts w:asciiTheme="minorHAnsi" w:eastAsia="Times New Roman" w:hAnsiTheme="minorHAnsi" w:cstheme="minorHAnsi"/>
                <w:b/>
                <w:iCs/>
                <w:szCs w:val="24"/>
                <w:lang w:val="pl-PL" w:eastAsia="en-GB"/>
              </w:rPr>
            </w:pPr>
          </w:p>
        </w:tc>
        <w:tc>
          <w:tcPr>
            <w:tcW w:w="2583" w:type="dxa"/>
          </w:tcPr>
          <w:p w14:paraId="27E48A0C" w14:textId="77777777" w:rsidR="00F50542" w:rsidRPr="00F879CC" w:rsidRDefault="00F50542" w:rsidP="00F50542">
            <w:pPr>
              <w:spacing w:line="240" w:lineRule="auto"/>
              <w:jc w:val="both"/>
              <w:rPr>
                <w:rFonts w:asciiTheme="minorHAnsi" w:eastAsia="Times New Roman" w:hAnsiTheme="minorHAnsi" w:cstheme="minorHAnsi"/>
                <w:b/>
                <w:iCs/>
                <w:szCs w:val="24"/>
                <w:lang w:val="pl-PL" w:eastAsia="en-GB"/>
              </w:rPr>
            </w:pPr>
          </w:p>
        </w:tc>
      </w:tr>
    </w:tbl>
    <w:p w14:paraId="66B5E803" w14:textId="77777777" w:rsidR="0065278D" w:rsidRPr="00F879CC" w:rsidRDefault="0065278D" w:rsidP="0080199F">
      <w:pPr>
        <w:spacing w:before="240" w:after="240" w:line="240" w:lineRule="auto"/>
        <w:ind w:left="709" w:hanging="709"/>
        <w:jc w:val="both"/>
        <w:rPr>
          <w:rFonts w:asciiTheme="minorHAnsi" w:eastAsia="Times New Roman" w:hAnsiTheme="minorHAnsi" w:cstheme="minorHAnsi"/>
          <w:b/>
          <w:iCs/>
          <w:szCs w:val="24"/>
          <w:lang w:val="en-IE" w:eastAsia="en-GB"/>
        </w:rPr>
      </w:pPr>
    </w:p>
    <w:p w14:paraId="748E473B" w14:textId="387FC17C" w:rsidR="0065278D" w:rsidRPr="00F879CC" w:rsidRDefault="0065278D" w:rsidP="00F879CC">
      <w:pPr>
        <w:spacing w:before="240" w:after="240" w:line="276" w:lineRule="auto"/>
        <w:ind w:left="709" w:hanging="709"/>
        <w:rPr>
          <w:rFonts w:asciiTheme="minorHAnsi" w:eastAsia="Times New Roman" w:hAnsiTheme="minorHAnsi" w:cstheme="minorHAnsi"/>
          <w:iCs/>
          <w:szCs w:val="24"/>
          <w:lang w:val="pl-PL" w:eastAsia="en-GB"/>
        </w:rPr>
      </w:pPr>
      <w:r w:rsidRPr="00F879CC">
        <w:rPr>
          <w:rFonts w:asciiTheme="minorHAnsi" w:eastAsia="Times New Roman" w:hAnsiTheme="minorHAnsi" w:cstheme="minorHAnsi"/>
          <w:b/>
          <w:iCs/>
          <w:szCs w:val="24"/>
          <w:lang w:val="pl-PL" w:eastAsia="en-GB"/>
        </w:rPr>
        <w:t>2.1.</w:t>
      </w:r>
      <w:r w:rsidR="00BD701F" w:rsidRPr="00F879CC">
        <w:rPr>
          <w:rFonts w:asciiTheme="minorHAnsi" w:eastAsia="Times New Roman" w:hAnsiTheme="minorHAnsi" w:cstheme="minorHAnsi"/>
          <w:b/>
          <w:iCs/>
          <w:szCs w:val="24"/>
          <w:lang w:val="pl-PL" w:eastAsia="en-GB"/>
        </w:rPr>
        <w:t>2</w:t>
      </w:r>
      <w:r w:rsidRPr="00F879CC">
        <w:rPr>
          <w:rFonts w:asciiTheme="minorHAnsi" w:eastAsia="Times New Roman" w:hAnsiTheme="minorHAnsi" w:cstheme="minorHAnsi"/>
          <w:b/>
          <w:iCs/>
          <w:szCs w:val="24"/>
          <w:lang w:val="pl-PL" w:eastAsia="en-GB"/>
        </w:rPr>
        <w:t>.</w:t>
      </w:r>
      <w:r w:rsidRPr="00F879CC">
        <w:rPr>
          <w:rFonts w:asciiTheme="minorHAnsi" w:eastAsia="Times New Roman" w:hAnsiTheme="minorHAnsi" w:cstheme="minorHAnsi"/>
          <w:b/>
          <w:iCs/>
          <w:szCs w:val="24"/>
          <w:lang w:val="pl-PL" w:eastAsia="en-GB"/>
        </w:rPr>
        <w:tab/>
      </w:r>
      <w:r w:rsidR="001048AF" w:rsidRPr="00F879CC">
        <w:rPr>
          <w:rFonts w:asciiTheme="minorHAnsi" w:eastAsia="Times New Roman" w:hAnsiTheme="minorHAnsi" w:cstheme="minorHAnsi"/>
          <w:b/>
          <w:iCs/>
          <w:szCs w:val="24"/>
          <w:lang w:val="pl-PL" w:eastAsia="en-GB"/>
        </w:rPr>
        <w:t>Cel szczegółowy i) rozwijanie i wzmacnianie potencjału badawczego i innowacyjnego oraz wykorzystywanie zaawansowanych technologii</w:t>
      </w:r>
    </w:p>
    <w:p w14:paraId="114F9382" w14:textId="2C1374DF" w:rsidR="0065278D" w:rsidRPr="00F879CC" w:rsidRDefault="001048AF" w:rsidP="00F879CC">
      <w:pPr>
        <w:spacing w:after="200" w:line="276" w:lineRule="auto"/>
        <w:rPr>
          <w:rFonts w:asciiTheme="minorHAnsi" w:eastAsia="Times New Roman" w:hAnsiTheme="minorHAnsi" w:cstheme="minorHAnsi"/>
          <w:szCs w:val="24"/>
          <w:lang w:val="pl-PL" w:eastAsia="en-GB"/>
        </w:rPr>
      </w:pPr>
      <w:r w:rsidRPr="00F879CC">
        <w:rPr>
          <w:rFonts w:asciiTheme="minorHAnsi" w:eastAsia="Times New Roman" w:hAnsiTheme="minorHAnsi" w:cstheme="minorHAnsi"/>
          <w:szCs w:val="24"/>
          <w:lang w:val="pl-PL" w:eastAsia="en-GB"/>
        </w:rPr>
        <w:t>Dotyczy: art. 17 ust. 4 lit. e)</w:t>
      </w:r>
    </w:p>
    <w:p w14:paraId="6232DE83" w14:textId="3D691503" w:rsidR="0080199F" w:rsidRPr="00F879CC" w:rsidRDefault="0080199F" w:rsidP="00F879CC">
      <w:pPr>
        <w:spacing w:before="240" w:after="240" w:line="276" w:lineRule="auto"/>
        <w:ind w:left="709" w:hanging="709"/>
        <w:rPr>
          <w:rFonts w:asciiTheme="minorHAnsi" w:eastAsia="Times New Roman" w:hAnsiTheme="minorHAnsi" w:cstheme="minorHAnsi"/>
          <w:iCs/>
          <w:szCs w:val="24"/>
          <w:lang w:val="pl-PL" w:eastAsia="en-GB"/>
        </w:rPr>
      </w:pPr>
      <w:r w:rsidRPr="00F879CC">
        <w:rPr>
          <w:rFonts w:asciiTheme="minorHAnsi" w:eastAsia="Times New Roman" w:hAnsiTheme="minorHAnsi" w:cstheme="minorHAnsi"/>
          <w:b/>
          <w:iCs/>
          <w:szCs w:val="24"/>
          <w:lang w:val="pl-PL" w:eastAsia="en-GB"/>
        </w:rPr>
        <w:lastRenderedPageBreak/>
        <w:t>2.1.2.1</w:t>
      </w:r>
      <w:r w:rsidRPr="00F879CC">
        <w:rPr>
          <w:rFonts w:asciiTheme="minorHAnsi" w:eastAsia="Times New Roman" w:hAnsiTheme="minorHAnsi" w:cstheme="minorHAnsi"/>
          <w:b/>
          <w:iCs/>
          <w:szCs w:val="24"/>
          <w:lang w:val="pl-PL" w:eastAsia="en-GB"/>
        </w:rPr>
        <w:tab/>
      </w:r>
      <w:r w:rsidR="00503CCE">
        <w:rPr>
          <w:rFonts w:asciiTheme="minorHAnsi" w:eastAsia="Times New Roman" w:hAnsiTheme="minorHAnsi" w:cstheme="minorHAnsi"/>
          <w:b/>
          <w:iCs/>
          <w:szCs w:val="24"/>
          <w:lang w:val="pl-PL" w:eastAsia="en-GB"/>
        </w:rPr>
        <w:t xml:space="preserve"> </w:t>
      </w:r>
      <w:r w:rsidR="001048AF" w:rsidRPr="00F879CC">
        <w:rPr>
          <w:rFonts w:asciiTheme="minorHAnsi" w:eastAsia="Times New Roman" w:hAnsiTheme="minorHAnsi" w:cstheme="minorHAnsi"/>
          <w:b/>
          <w:iCs/>
          <w:szCs w:val="24"/>
          <w:lang w:val="pl-PL" w:eastAsia="en-GB"/>
        </w:rPr>
        <w:t>Powiązane rodzaje działań i ich oczekiwany wkład w realizację tych celów szczegółowych oraz, w stosownych przypadkach, w strategie makroregionalne i basenów morskich</w:t>
      </w:r>
    </w:p>
    <w:p w14:paraId="548F2E04" w14:textId="39A7BC4A" w:rsidR="0080199F" w:rsidRPr="00F879CC" w:rsidRDefault="001048AF" w:rsidP="00F879CC">
      <w:pPr>
        <w:spacing w:after="200" w:line="276" w:lineRule="auto"/>
        <w:rPr>
          <w:rFonts w:asciiTheme="minorHAnsi" w:eastAsia="Times New Roman" w:hAnsiTheme="minorHAnsi" w:cstheme="minorHAnsi"/>
          <w:szCs w:val="24"/>
          <w:lang w:val="pl-PL" w:eastAsia="en-GB"/>
        </w:rPr>
      </w:pPr>
      <w:r w:rsidRPr="00F879CC">
        <w:rPr>
          <w:rFonts w:asciiTheme="minorHAnsi" w:eastAsia="Times New Roman" w:hAnsiTheme="minorHAnsi" w:cstheme="minorHAnsi"/>
          <w:szCs w:val="24"/>
          <w:lang w:val="pl-PL" w:eastAsia="en-GB"/>
        </w:rPr>
        <w:t>Dotyczy: art. 17 ust. 4 lit. e) ppkt (i), art. 17 ust. 9 lit. c) ppkt (ii)</w:t>
      </w:r>
    </w:p>
    <w:p w14:paraId="153708A8" w14:textId="5D9AD855" w:rsidR="00E04EED" w:rsidRPr="00891B4E" w:rsidRDefault="001048AF" w:rsidP="00035701">
      <w:pPr>
        <w:pStyle w:val="Nagwek3"/>
        <w:rPr>
          <w:color w:val="auto"/>
          <w:sz w:val="28"/>
          <w:lang w:val="pl-PL"/>
        </w:rPr>
      </w:pPr>
      <w:bookmarkStart w:id="81" w:name="_Toc73432981"/>
      <w:r w:rsidRPr="00891B4E">
        <w:rPr>
          <w:color w:val="auto"/>
          <w:sz w:val="28"/>
          <w:lang w:val="pl-PL"/>
        </w:rPr>
        <w:t>Cel</w:t>
      </w:r>
      <w:r w:rsidR="00E04EED" w:rsidRPr="00891B4E">
        <w:rPr>
          <w:color w:val="auto"/>
          <w:sz w:val="28"/>
          <w:lang w:val="pl-PL"/>
        </w:rPr>
        <w:t xml:space="preserve"> </w:t>
      </w:r>
      <w:r w:rsidR="00A01360" w:rsidRPr="00891B4E">
        <w:rPr>
          <w:color w:val="auto"/>
          <w:sz w:val="28"/>
          <w:lang w:val="pl-PL"/>
        </w:rPr>
        <w:t xml:space="preserve">szczegółowy </w:t>
      </w:r>
      <w:r w:rsidR="00E04EED" w:rsidRPr="00891B4E">
        <w:rPr>
          <w:color w:val="auto"/>
          <w:sz w:val="28"/>
          <w:lang w:val="pl-PL"/>
        </w:rPr>
        <w:t xml:space="preserve">1.2 </w:t>
      </w:r>
      <w:r w:rsidR="00727A6D">
        <w:rPr>
          <w:color w:val="auto"/>
          <w:sz w:val="28"/>
          <w:lang w:val="pl-PL"/>
        </w:rPr>
        <w:t>U</w:t>
      </w:r>
      <w:r w:rsidRPr="00891B4E">
        <w:rPr>
          <w:color w:val="auto"/>
          <w:sz w:val="28"/>
          <w:lang w:val="pl-PL"/>
        </w:rPr>
        <w:t xml:space="preserve">sługi </w:t>
      </w:r>
      <w:r w:rsidRPr="00F42A23">
        <w:rPr>
          <w:color w:val="auto"/>
          <w:sz w:val="28"/>
          <w:lang w:val="pl-PL"/>
        </w:rPr>
        <w:t>publiczne</w:t>
      </w:r>
      <w:r w:rsidR="00A56C60" w:rsidRPr="00F42A23">
        <w:rPr>
          <w:color w:val="auto"/>
          <w:sz w:val="28"/>
          <w:lang w:val="pl-PL"/>
        </w:rPr>
        <w:t xml:space="preserve"> odpowiadające na potrzeby mieszkańców</w:t>
      </w:r>
      <w:bookmarkEnd w:id="81"/>
    </w:p>
    <w:p w14:paraId="7B53C91A" w14:textId="2755332A" w:rsidR="00E04EED" w:rsidRPr="00F879CC" w:rsidRDefault="001048AF"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b/>
          <w:szCs w:val="24"/>
          <w:lang w:val="pl-PL" w:eastAsia="en-GB"/>
        </w:rPr>
      </w:pPr>
      <w:r w:rsidRPr="00F879CC">
        <w:rPr>
          <w:rFonts w:asciiTheme="minorHAnsi" w:eastAsia="Times New Roman" w:hAnsiTheme="minorHAnsi" w:cstheme="minorHAnsi"/>
          <w:b/>
          <w:szCs w:val="24"/>
          <w:lang w:val="pl-PL" w:eastAsia="en-GB"/>
        </w:rPr>
        <w:t>Wprowadzenie do działań</w:t>
      </w:r>
    </w:p>
    <w:p w14:paraId="5856F3DD" w14:textId="5BE1ACA6" w:rsidR="00E04EED" w:rsidRPr="00F879CC" w:rsidRDefault="001D745B"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F879CC">
        <w:rPr>
          <w:rFonts w:asciiTheme="minorHAnsi" w:eastAsia="Times New Roman" w:hAnsiTheme="minorHAnsi" w:cstheme="minorHAnsi"/>
          <w:szCs w:val="24"/>
          <w:lang w:val="pl-PL" w:eastAsia="en-GB"/>
        </w:rPr>
        <w:t xml:space="preserve">Rosnąca </w:t>
      </w:r>
      <w:r w:rsidRPr="00F879CC">
        <w:rPr>
          <w:rFonts w:asciiTheme="minorHAnsi" w:eastAsia="Times New Roman" w:hAnsiTheme="minorHAnsi" w:cstheme="minorHAnsi"/>
          <w:szCs w:val="24"/>
          <w:u w:val="single"/>
          <w:lang w:val="pl-PL" w:eastAsia="en-GB"/>
        </w:rPr>
        <w:t xml:space="preserve">złożoność wyzwań społecznych </w:t>
      </w:r>
      <w:r w:rsidRPr="00F879CC">
        <w:rPr>
          <w:rFonts w:asciiTheme="minorHAnsi" w:eastAsia="Times New Roman" w:hAnsiTheme="minorHAnsi" w:cstheme="minorHAnsi"/>
          <w:szCs w:val="24"/>
          <w:lang w:val="pl-PL" w:eastAsia="en-GB"/>
        </w:rPr>
        <w:t xml:space="preserve">w regionie Morza Bałtyckiego uwydatnia słabości istniejących tradycyjnych mechanizmów opracowywania rozwiązań w domenie publicznej. Program wspiera działania usprawniające struktury i procesy organizacyjne w celu zaspokojenia potrzeb publicznych i świadczenia mniej zbiurokratyzowanych i </w:t>
      </w:r>
      <w:r w:rsidRPr="00F879CC">
        <w:rPr>
          <w:rFonts w:asciiTheme="minorHAnsi" w:eastAsia="Times New Roman" w:hAnsiTheme="minorHAnsi" w:cstheme="minorHAnsi"/>
          <w:szCs w:val="24"/>
          <w:u w:val="single"/>
          <w:lang w:val="pl-PL" w:eastAsia="en-GB"/>
        </w:rPr>
        <w:t>bardziej efektywnych kosztowo usług publicznych</w:t>
      </w:r>
      <w:r w:rsidRPr="00F879CC">
        <w:rPr>
          <w:rFonts w:asciiTheme="minorHAnsi" w:eastAsia="Times New Roman" w:hAnsiTheme="minorHAnsi" w:cstheme="minorHAnsi"/>
          <w:szCs w:val="24"/>
          <w:lang w:val="pl-PL" w:eastAsia="en-GB"/>
        </w:rPr>
        <w:t xml:space="preserve">. </w:t>
      </w:r>
      <w:r w:rsidR="00185C08">
        <w:rPr>
          <w:rFonts w:asciiTheme="minorHAnsi" w:eastAsia="Times New Roman" w:hAnsiTheme="minorHAnsi" w:cstheme="minorHAnsi"/>
          <w:szCs w:val="24"/>
          <w:lang w:val="pl-PL" w:eastAsia="en-GB"/>
        </w:rPr>
        <w:t>Wspomniane</w:t>
      </w:r>
      <w:r w:rsidRPr="00F879CC">
        <w:rPr>
          <w:rFonts w:asciiTheme="minorHAnsi" w:eastAsia="Times New Roman" w:hAnsiTheme="minorHAnsi" w:cstheme="minorHAnsi"/>
          <w:szCs w:val="24"/>
          <w:lang w:val="pl-PL" w:eastAsia="en-GB"/>
        </w:rPr>
        <w:t xml:space="preserve"> usługi publiczne są usługami </w:t>
      </w:r>
      <w:r w:rsidR="00ED03FA">
        <w:rPr>
          <w:rFonts w:asciiTheme="minorHAnsi" w:eastAsia="Times New Roman" w:hAnsiTheme="minorHAnsi" w:cstheme="minorHAnsi"/>
          <w:szCs w:val="24"/>
          <w:lang w:val="pl-PL" w:eastAsia="en-GB"/>
        </w:rPr>
        <w:t>skierowanymi do</w:t>
      </w:r>
      <w:r w:rsidRPr="00F879CC">
        <w:rPr>
          <w:rFonts w:asciiTheme="minorHAnsi" w:eastAsia="Times New Roman" w:hAnsiTheme="minorHAnsi" w:cstheme="minorHAnsi"/>
          <w:szCs w:val="24"/>
          <w:lang w:val="pl-PL" w:eastAsia="en-GB"/>
        </w:rPr>
        <w:t xml:space="preserve"> wszystkich członków społeczności i obejmują m.in. opiekę zdrowotną, urbanistykę </w:t>
      </w:r>
      <w:r w:rsidR="00ED03FA">
        <w:rPr>
          <w:rFonts w:asciiTheme="minorHAnsi" w:eastAsia="Times New Roman" w:hAnsiTheme="minorHAnsi" w:cstheme="minorHAnsi"/>
          <w:szCs w:val="24"/>
          <w:lang w:val="pl-PL" w:eastAsia="en-GB"/>
        </w:rPr>
        <w:t>oraz</w:t>
      </w:r>
      <w:r w:rsidRPr="00F879CC">
        <w:rPr>
          <w:rFonts w:asciiTheme="minorHAnsi" w:eastAsia="Times New Roman" w:hAnsiTheme="minorHAnsi" w:cstheme="minorHAnsi"/>
          <w:szCs w:val="24"/>
          <w:lang w:val="pl-PL" w:eastAsia="en-GB"/>
        </w:rPr>
        <w:t xml:space="preserve"> usługi socjalne</w:t>
      </w:r>
      <w:r w:rsidR="00E04EED" w:rsidRPr="00F879CC">
        <w:rPr>
          <w:rFonts w:asciiTheme="minorHAnsi" w:eastAsia="Times New Roman" w:hAnsiTheme="minorHAnsi" w:cstheme="minorHAnsi"/>
          <w:szCs w:val="24"/>
          <w:lang w:val="pl-PL" w:eastAsia="en-GB"/>
        </w:rPr>
        <w:t>.</w:t>
      </w:r>
    </w:p>
    <w:p w14:paraId="1AD64439" w14:textId="7BA93684" w:rsidR="00E04EED" w:rsidRPr="00F879CC" w:rsidRDefault="001D745B"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u w:val="single"/>
          <w:lang w:val="pl-PL" w:eastAsia="en-GB"/>
        </w:rPr>
      </w:pPr>
      <w:r w:rsidRPr="00F879CC">
        <w:rPr>
          <w:rFonts w:asciiTheme="minorHAnsi" w:eastAsia="Times New Roman" w:hAnsiTheme="minorHAnsi" w:cstheme="minorHAnsi"/>
          <w:szCs w:val="24"/>
          <w:lang w:val="pl-PL" w:eastAsia="en-GB"/>
        </w:rPr>
        <w:t xml:space="preserve">Ponieważ charakter wyzwań stojących przed sektorem publicznym ulega szybkim zmianom, Program podkreśla znaczenie budowania zdolności organów publicznych, wyspecjalizowanych agencji oraz infrastruktury i usługodawców, do </w:t>
      </w:r>
      <w:r w:rsidRPr="00F879CC">
        <w:rPr>
          <w:rFonts w:asciiTheme="minorHAnsi" w:eastAsia="Times New Roman" w:hAnsiTheme="minorHAnsi" w:cstheme="minorHAnsi"/>
          <w:szCs w:val="24"/>
          <w:u w:val="single"/>
          <w:lang w:val="pl-PL" w:eastAsia="en-GB"/>
        </w:rPr>
        <w:t>wprowadzania innowacji oraz opracowywania nowych rozwiązań, które są bardziej podatne na zmiany</w:t>
      </w:r>
      <w:r w:rsidRPr="00F879CC">
        <w:rPr>
          <w:rFonts w:asciiTheme="minorHAnsi" w:eastAsia="Times New Roman" w:hAnsiTheme="minorHAnsi" w:cstheme="minorHAnsi"/>
          <w:szCs w:val="24"/>
          <w:lang w:val="pl-PL" w:eastAsia="en-GB"/>
        </w:rPr>
        <w:t xml:space="preserve">. Działania w ramach tego celu powinny skutkować systematycznymi reakcjami społecznymi, które w stosownych przypadkach </w:t>
      </w:r>
      <w:r w:rsidRPr="00F879CC">
        <w:rPr>
          <w:rFonts w:asciiTheme="minorHAnsi" w:eastAsia="Times New Roman" w:hAnsiTheme="minorHAnsi" w:cstheme="minorHAnsi"/>
          <w:szCs w:val="24"/>
          <w:u w:val="single"/>
          <w:lang w:val="pl-PL" w:eastAsia="en-GB"/>
        </w:rPr>
        <w:t>wykraczają poza sektory i granice</w:t>
      </w:r>
      <w:r w:rsidRPr="00F879CC">
        <w:rPr>
          <w:rFonts w:asciiTheme="minorHAnsi" w:eastAsia="Times New Roman" w:hAnsiTheme="minorHAnsi" w:cstheme="minorHAnsi"/>
          <w:szCs w:val="24"/>
          <w:lang w:val="pl-PL" w:eastAsia="en-GB"/>
        </w:rPr>
        <w:t xml:space="preserve">. Program wspiera benchmarking rozwiązań w różnych krajach, aby stworzyć zachęty dla organizacji publicznych w zakresie poprawy jakości ich dostarczania. W miarę możliwości, ma na celu harmonizację systemów i norm w krajach uczestniczących. Program, odzwierciedla również </w:t>
      </w:r>
      <w:r w:rsidRPr="00F879CC">
        <w:rPr>
          <w:rFonts w:asciiTheme="minorHAnsi" w:eastAsia="Times New Roman" w:hAnsiTheme="minorHAnsi" w:cstheme="minorHAnsi"/>
          <w:szCs w:val="24"/>
          <w:u w:val="single"/>
          <w:lang w:val="pl-PL" w:eastAsia="en-GB"/>
        </w:rPr>
        <w:t>specyfikę terytorialną</w:t>
      </w:r>
      <w:r w:rsidRPr="00F879CC">
        <w:rPr>
          <w:rFonts w:asciiTheme="minorHAnsi" w:eastAsia="Times New Roman" w:hAnsiTheme="minorHAnsi" w:cstheme="minorHAnsi"/>
          <w:szCs w:val="24"/>
          <w:lang w:val="pl-PL" w:eastAsia="en-GB"/>
        </w:rPr>
        <w:t xml:space="preserve">, np. obszarów wiejskich lub oddalonych oraz promuje mechanizmy świadczenia </w:t>
      </w:r>
      <w:r w:rsidRPr="00F879CC">
        <w:rPr>
          <w:rFonts w:asciiTheme="minorHAnsi" w:eastAsia="Times New Roman" w:hAnsiTheme="minorHAnsi" w:cstheme="minorHAnsi"/>
          <w:szCs w:val="24"/>
          <w:u w:val="single"/>
          <w:lang w:val="pl-PL" w:eastAsia="en-GB"/>
        </w:rPr>
        <w:t>usług dostosowanych do potrzeb</w:t>
      </w:r>
      <w:r w:rsidR="00E04EED" w:rsidRPr="00F879CC">
        <w:rPr>
          <w:rFonts w:asciiTheme="minorHAnsi" w:eastAsia="Times New Roman" w:hAnsiTheme="minorHAnsi" w:cstheme="minorHAnsi"/>
          <w:szCs w:val="24"/>
          <w:u w:val="single"/>
          <w:lang w:val="pl-PL" w:eastAsia="en-GB"/>
        </w:rPr>
        <w:t xml:space="preserve">. </w:t>
      </w:r>
    </w:p>
    <w:p w14:paraId="2903F781" w14:textId="752F633E" w:rsidR="00E04EED" w:rsidRPr="00F879CC" w:rsidRDefault="009154C1"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u w:val="single"/>
          <w:lang w:val="pl-PL" w:eastAsia="en-GB"/>
        </w:rPr>
      </w:pPr>
      <w:r w:rsidRPr="00F879CC">
        <w:rPr>
          <w:rFonts w:asciiTheme="minorHAnsi" w:eastAsia="Times New Roman" w:hAnsiTheme="minorHAnsi" w:cstheme="minorHAnsi"/>
          <w:szCs w:val="24"/>
          <w:lang w:val="pl-PL" w:eastAsia="en-GB"/>
        </w:rPr>
        <w:t xml:space="preserve">Ponadto, działania powinny obejmować nowe perspektywy, w szczególności perspektywy </w:t>
      </w:r>
      <w:r w:rsidRPr="00F879CC">
        <w:rPr>
          <w:rFonts w:asciiTheme="minorHAnsi" w:eastAsia="Times New Roman" w:hAnsiTheme="minorHAnsi" w:cstheme="minorHAnsi"/>
          <w:szCs w:val="24"/>
          <w:u w:val="single"/>
          <w:lang w:val="pl-PL" w:eastAsia="en-GB"/>
        </w:rPr>
        <w:t>personelu bezpośrednio zaangażowanego w świadczenie usług oraz obywateli</w:t>
      </w:r>
      <w:r w:rsidR="00E04EED" w:rsidRPr="00F879CC">
        <w:rPr>
          <w:rFonts w:asciiTheme="minorHAnsi" w:eastAsia="Times New Roman" w:hAnsiTheme="minorHAnsi" w:cstheme="minorHAnsi"/>
          <w:szCs w:val="24"/>
          <w:lang w:val="pl-PL" w:eastAsia="en-GB"/>
        </w:rPr>
        <w:t xml:space="preserve">. </w:t>
      </w:r>
      <w:r w:rsidRPr="00F879CC">
        <w:rPr>
          <w:rFonts w:asciiTheme="minorHAnsi" w:eastAsia="Times New Roman" w:hAnsiTheme="minorHAnsi" w:cstheme="minorHAnsi"/>
          <w:szCs w:val="24"/>
          <w:lang w:val="pl-PL" w:eastAsia="en-GB"/>
        </w:rPr>
        <w:t xml:space="preserve">Program zachęca do interakcji między dostawcami usług publicznych i szerszą </w:t>
      </w:r>
      <w:r w:rsidRPr="00F879CC">
        <w:rPr>
          <w:rFonts w:asciiTheme="minorHAnsi" w:eastAsia="Times New Roman" w:hAnsiTheme="minorHAnsi" w:cstheme="minorHAnsi"/>
          <w:szCs w:val="24"/>
          <w:u w:val="single"/>
          <w:lang w:val="pl-PL" w:eastAsia="en-GB"/>
        </w:rPr>
        <w:t>społecznością użytkowników</w:t>
      </w:r>
      <w:r w:rsidR="00E04EED" w:rsidRPr="00F879CC">
        <w:rPr>
          <w:rFonts w:asciiTheme="minorHAnsi" w:eastAsia="Times New Roman" w:hAnsiTheme="minorHAnsi" w:cstheme="minorHAnsi"/>
          <w:szCs w:val="24"/>
          <w:lang w:val="pl-PL" w:eastAsia="en-GB"/>
        </w:rPr>
        <w:t xml:space="preserve">. </w:t>
      </w:r>
      <w:r w:rsidR="00CC0F52" w:rsidRPr="00F879CC">
        <w:rPr>
          <w:rFonts w:asciiTheme="minorHAnsi" w:eastAsia="Times New Roman" w:hAnsiTheme="minorHAnsi" w:cstheme="minorHAnsi"/>
          <w:szCs w:val="24"/>
          <w:lang w:val="pl-PL" w:eastAsia="en-GB"/>
        </w:rPr>
        <w:t>Z</w:t>
      </w:r>
      <w:r w:rsidRPr="00F879CC">
        <w:rPr>
          <w:rFonts w:asciiTheme="minorHAnsi" w:eastAsia="Times New Roman" w:hAnsiTheme="minorHAnsi" w:cstheme="minorHAnsi"/>
          <w:szCs w:val="24"/>
          <w:lang w:val="pl-PL" w:eastAsia="en-GB"/>
        </w:rPr>
        <w:t>większenie innowacji społecznych i wzmocnienie pozycji obywateli jest możliwe, np. dzięki nowym technologiom ułatwiającym generowanie</w:t>
      </w:r>
      <w:r w:rsidR="00C347D8">
        <w:rPr>
          <w:rFonts w:asciiTheme="minorHAnsi" w:eastAsia="Times New Roman" w:hAnsiTheme="minorHAnsi" w:cstheme="minorHAnsi"/>
          <w:szCs w:val="24"/>
          <w:lang w:val="pl-PL" w:eastAsia="en-GB"/>
        </w:rPr>
        <w:t>,</w:t>
      </w:r>
      <w:r w:rsidRPr="00F879CC">
        <w:rPr>
          <w:rFonts w:asciiTheme="minorHAnsi" w:eastAsia="Times New Roman" w:hAnsiTheme="minorHAnsi" w:cstheme="minorHAnsi"/>
          <w:szCs w:val="24"/>
          <w:lang w:val="pl-PL" w:eastAsia="en-GB"/>
        </w:rPr>
        <w:t xml:space="preserve"> wykorzystywanie i udostępnianie danych. Ponadto, Program zachęca do stosowania </w:t>
      </w:r>
      <w:r w:rsidRPr="00F879CC">
        <w:rPr>
          <w:rFonts w:asciiTheme="minorHAnsi" w:eastAsia="Times New Roman" w:hAnsiTheme="minorHAnsi" w:cstheme="minorHAnsi"/>
          <w:szCs w:val="24"/>
          <w:u w:val="single"/>
          <w:lang w:val="pl-PL" w:eastAsia="en-GB"/>
        </w:rPr>
        <w:t xml:space="preserve">pojawiających się </w:t>
      </w:r>
      <w:r w:rsidR="00185C08">
        <w:rPr>
          <w:rFonts w:asciiTheme="minorHAnsi" w:eastAsia="Times New Roman" w:hAnsiTheme="minorHAnsi" w:cstheme="minorHAnsi"/>
          <w:szCs w:val="24"/>
          <w:u w:val="single"/>
          <w:lang w:val="pl-PL" w:eastAsia="en-GB"/>
        </w:rPr>
        <w:t xml:space="preserve">nowych </w:t>
      </w:r>
      <w:r w:rsidRPr="00F879CC">
        <w:rPr>
          <w:rFonts w:asciiTheme="minorHAnsi" w:eastAsia="Times New Roman" w:hAnsiTheme="minorHAnsi" w:cstheme="minorHAnsi"/>
          <w:szCs w:val="24"/>
          <w:u w:val="single"/>
          <w:lang w:val="pl-PL" w:eastAsia="en-GB"/>
        </w:rPr>
        <w:t>technologii cyfrowych</w:t>
      </w:r>
      <w:r w:rsidRPr="00F879CC">
        <w:rPr>
          <w:rFonts w:asciiTheme="minorHAnsi" w:eastAsia="Times New Roman" w:hAnsiTheme="minorHAnsi" w:cstheme="minorHAnsi"/>
          <w:szCs w:val="24"/>
          <w:lang w:val="pl-PL" w:eastAsia="en-GB"/>
        </w:rPr>
        <w:t xml:space="preserve"> takich, jak sztuczna inteligencja lub </w:t>
      </w:r>
      <w:r w:rsidRPr="00767B72">
        <w:rPr>
          <w:rFonts w:asciiTheme="minorHAnsi" w:eastAsia="Times New Roman" w:hAnsiTheme="minorHAnsi" w:cstheme="minorHAnsi"/>
          <w:szCs w:val="24"/>
          <w:lang w:val="pl-PL" w:eastAsia="en-GB"/>
        </w:rPr>
        <w:t>blockchain</w:t>
      </w:r>
      <w:r w:rsidRPr="00F879CC">
        <w:rPr>
          <w:rFonts w:asciiTheme="minorHAnsi" w:eastAsia="Times New Roman" w:hAnsiTheme="minorHAnsi" w:cstheme="minorHAnsi"/>
          <w:szCs w:val="24"/>
          <w:lang w:val="pl-PL" w:eastAsia="en-GB"/>
        </w:rPr>
        <w:t>, jako ważnych czynników umożliwiających bardziej responsywne usługi publiczne</w:t>
      </w:r>
      <w:r w:rsidR="00E04EED" w:rsidRPr="00F879CC">
        <w:rPr>
          <w:rFonts w:asciiTheme="minorHAnsi" w:eastAsia="Times New Roman" w:hAnsiTheme="minorHAnsi" w:cstheme="minorHAnsi"/>
          <w:szCs w:val="24"/>
          <w:lang w:val="pl-PL" w:eastAsia="en-GB"/>
        </w:rPr>
        <w:t xml:space="preserve">. </w:t>
      </w:r>
      <w:r w:rsidRPr="00F879CC">
        <w:rPr>
          <w:rFonts w:asciiTheme="minorHAnsi" w:eastAsia="Times New Roman" w:hAnsiTheme="minorHAnsi" w:cstheme="minorHAnsi"/>
          <w:szCs w:val="24"/>
          <w:lang w:val="pl-PL" w:eastAsia="en-GB"/>
        </w:rPr>
        <w:t xml:space="preserve">Program toruje drogę efektywnej pod względem wykorzystania zasobów i przyjaznej środowisku, ofercie publicznej dla </w:t>
      </w:r>
      <w:r w:rsidR="00CC0F52" w:rsidRPr="00F879CC">
        <w:rPr>
          <w:rFonts w:asciiTheme="minorHAnsi" w:eastAsia="Times New Roman" w:hAnsiTheme="minorHAnsi" w:cstheme="minorHAnsi"/>
          <w:szCs w:val="24"/>
          <w:lang w:val="pl-PL" w:eastAsia="en-GB"/>
        </w:rPr>
        <w:t>obywateli</w:t>
      </w:r>
      <w:r w:rsidRPr="00F879CC">
        <w:rPr>
          <w:rFonts w:asciiTheme="minorHAnsi" w:eastAsia="Times New Roman" w:hAnsiTheme="minorHAnsi" w:cstheme="minorHAnsi"/>
          <w:szCs w:val="24"/>
          <w:lang w:val="pl-PL" w:eastAsia="en-GB"/>
        </w:rPr>
        <w:t xml:space="preserve"> stwarzając </w:t>
      </w:r>
      <w:r w:rsidRPr="00F879CC">
        <w:rPr>
          <w:rFonts w:asciiTheme="minorHAnsi" w:eastAsia="Times New Roman" w:hAnsiTheme="minorHAnsi" w:cstheme="minorHAnsi"/>
          <w:szCs w:val="24"/>
          <w:u w:val="single"/>
          <w:lang w:val="pl-PL" w:eastAsia="en-GB"/>
        </w:rPr>
        <w:t>bezpośrednie możliwości dla przedsiębiorstw, np. poprzez innowacyjne partnerstwa</w:t>
      </w:r>
      <w:r w:rsidR="00E04EED" w:rsidRPr="00F879CC">
        <w:rPr>
          <w:rFonts w:asciiTheme="minorHAnsi" w:eastAsia="Times New Roman" w:hAnsiTheme="minorHAnsi" w:cstheme="minorHAnsi"/>
          <w:szCs w:val="24"/>
          <w:u w:val="single"/>
          <w:lang w:val="pl-PL" w:eastAsia="en-GB"/>
        </w:rPr>
        <w:t xml:space="preserve">. </w:t>
      </w:r>
    </w:p>
    <w:p w14:paraId="183ADD91" w14:textId="1435D116" w:rsidR="00E04EED" w:rsidRPr="00F879CC" w:rsidRDefault="009154C1"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b/>
          <w:szCs w:val="24"/>
          <w:lang w:val="pl-PL" w:eastAsia="en-GB"/>
        </w:rPr>
      </w:pPr>
      <w:bookmarkStart w:id="82" w:name="OLE_LINK222"/>
      <w:r w:rsidRPr="00F879CC">
        <w:rPr>
          <w:rFonts w:asciiTheme="minorHAnsi" w:eastAsia="Times New Roman" w:hAnsiTheme="minorHAnsi" w:cstheme="minorHAnsi"/>
          <w:b/>
          <w:szCs w:val="24"/>
          <w:lang w:val="pl-PL" w:eastAsia="en-GB"/>
        </w:rPr>
        <w:t xml:space="preserve">Przykłady działań (lista nie </w:t>
      </w:r>
      <w:r w:rsidRPr="00F42A23">
        <w:rPr>
          <w:rFonts w:asciiTheme="minorHAnsi" w:eastAsia="Times New Roman" w:hAnsiTheme="minorHAnsi" w:cstheme="minorHAnsi"/>
          <w:b/>
          <w:szCs w:val="24"/>
          <w:lang w:val="pl-PL" w:eastAsia="en-GB"/>
        </w:rPr>
        <w:t xml:space="preserve">jest </w:t>
      </w:r>
      <w:bookmarkEnd w:id="82"/>
      <w:r w:rsidR="00305E0A" w:rsidRPr="00F42A23">
        <w:rPr>
          <w:rFonts w:asciiTheme="minorHAnsi" w:eastAsia="Times New Roman" w:hAnsiTheme="minorHAnsi" w:cstheme="minorHAnsi"/>
          <w:b/>
          <w:szCs w:val="24"/>
          <w:lang w:val="pl-PL" w:eastAsia="en-GB"/>
        </w:rPr>
        <w:t>zamknięta</w:t>
      </w:r>
      <w:r w:rsidR="002827BD" w:rsidRPr="00F42A23">
        <w:rPr>
          <w:rFonts w:asciiTheme="minorHAnsi" w:eastAsia="Times New Roman" w:hAnsiTheme="minorHAnsi" w:cstheme="minorHAnsi"/>
          <w:b/>
          <w:szCs w:val="24"/>
          <w:lang w:val="pl-PL" w:eastAsia="en-GB"/>
        </w:rPr>
        <w:t>)</w:t>
      </w:r>
      <w:r w:rsidR="00E04EED" w:rsidRPr="00F42A23">
        <w:rPr>
          <w:rFonts w:asciiTheme="minorHAnsi" w:eastAsia="Times New Roman" w:hAnsiTheme="minorHAnsi" w:cstheme="minorHAnsi"/>
          <w:b/>
          <w:szCs w:val="24"/>
          <w:lang w:val="pl-PL" w:eastAsia="en-GB"/>
        </w:rPr>
        <w:t>:</w:t>
      </w:r>
    </w:p>
    <w:p w14:paraId="7A2D0ED8" w14:textId="6947C528" w:rsidR="009154C1" w:rsidRPr="00F879CC" w:rsidRDefault="009154C1" w:rsidP="00000498">
      <w:pPr>
        <w:pStyle w:val="Akapitzlist"/>
        <w:numPr>
          <w:ilvl w:val="0"/>
          <w:numId w:val="33"/>
        </w:numPr>
        <w:pBdr>
          <w:top w:val="single" w:sz="4" w:space="1" w:color="auto"/>
          <w:left w:val="single" w:sz="4" w:space="4" w:color="auto"/>
          <w:bottom w:val="single" w:sz="4" w:space="1" w:color="auto"/>
          <w:right w:val="single" w:sz="4" w:space="4" w:color="auto"/>
        </w:pBdr>
        <w:ind w:left="431" w:hanging="431"/>
        <w:rPr>
          <w:rFonts w:eastAsia="Times New Roman" w:cstheme="minorHAnsi"/>
          <w:sz w:val="24"/>
          <w:szCs w:val="24"/>
          <w:lang w:val="pl-PL" w:eastAsia="en-GB"/>
        </w:rPr>
      </w:pPr>
      <w:r w:rsidRPr="00F879CC">
        <w:rPr>
          <w:rFonts w:eastAsia="Times New Roman" w:cstheme="minorHAnsi"/>
          <w:sz w:val="24"/>
          <w:szCs w:val="24"/>
          <w:lang w:val="pl-PL" w:eastAsia="en-GB"/>
        </w:rPr>
        <w:lastRenderedPageBreak/>
        <w:t>testowanie niekonwencjonalnych podejść zmniejszających koszty i biurokrację oraz zwiększających efektywność usług publicznych, np. pilotowanie w oparciu o potrzeby</w:t>
      </w:r>
      <w:r w:rsidR="00DB4874">
        <w:rPr>
          <w:rFonts w:eastAsia="Times New Roman" w:cstheme="minorHAnsi"/>
          <w:sz w:val="24"/>
          <w:szCs w:val="24"/>
          <w:lang w:val="pl-PL" w:eastAsia="en-GB"/>
        </w:rPr>
        <w:t xml:space="preserve"> i</w:t>
      </w:r>
      <w:r w:rsidRPr="00F879CC">
        <w:rPr>
          <w:rFonts w:eastAsia="Times New Roman" w:cstheme="minorHAnsi"/>
          <w:sz w:val="24"/>
          <w:szCs w:val="24"/>
          <w:lang w:val="pl-PL" w:eastAsia="en-GB"/>
        </w:rPr>
        <w:t xml:space="preserve"> w oparciu o dane, międzysektorowych podejść do planowania;</w:t>
      </w:r>
    </w:p>
    <w:p w14:paraId="2D9F6922" w14:textId="75BBACF6" w:rsidR="009154C1" w:rsidRPr="00F879CC" w:rsidRDefault="009154C1" w:rsidP="00000498">
      <w:pPr>
        <w:pStyle w:val="Akapitzlist"/>
        <w:numPr>
          <w:ilvl w:val="0"/>
          <w:numId w:val="33"/>
        </w:numPr>
        <w:pBdr>
          <w:top w:val="single" w:sz="4" w:space="1" w:color="auto"/>
          <w:left w:val="single" w:sz="4" w:space="4" w:color="auto"/>
          <w:bottom w:val="single" w:sz="4" w:space="1" w:color="auto"/>
          <w:right w:val="single" w:sz="4" w:space="4" w:color="auto"/>
        </w:pBdr>
        <w:ind w:left="431" w:hanging="431"/>
        <w:rPr>
          <w:rFonts w:eastAsia="Times New Roman" w:cstheme="minorHAnsi"/>
          <w:sz w:val="24"/>
          <w:szCs w:val="24"/>
          <w:lang w:val="pl-PL" w:eastAsia="en-GB"/>
        </w:rPr>
      </w:pPr>
      <w:r w:rsidRPr="00F879CC">
        <w:rPr>
          <w:rFonts w:eastAsia="Times New Roman" w:cstheme="minorHAnsi"/>
          <w:sz w:val="24"/>
          <w:szCs w:val="24"/>
          <w:lang w:val="pl-PL" w:eastAsia="en-GB"/>
        </w:rPr>
        <w:t>rozwój zintegrowanych usług publicznych dostosowanych do potrzeb regionów funkcjonalnych i określonych terytoriów, np. rozwiązania uwzględniające struktury osadnicze i trendy demograficzne na obszarach wiejskich w celu zapewnienia zdalnego dostępu do usług;</w:t>
      </w:r>
    </w:p>
    <w:p w14:paraId="4EF9AB44" w14:textId="3BE746D7" w:rsidR="00E04EED" w:rsidRDefault="009154C1" w:rsidP="00000498">
      <w:pPr>
        <w:pStyle w:val="Akapitzlist"/>
        <w:numPr>
          <w:ilvl w:val="0"/>
          <w:numId w:val="33"/>
        </w:numPr>
        <w:pBdr>
          <w:top w:val="single" w:sz="4" w:space="1" w:color="auto"/>
          <w:left w:val="single" w:sz="4" w:space="4" w:color="auto"/>
          <w:bottom w:val="single" w:sz="4" w:space="1" w:color="auto"/>
          <w:right w:val="single" w:sz="4" w:space="4" w:color="auto"/>
        </w:pBdr>
        <w:ind w:left="431" w:hanging="431"/>
        <w:rPr>
          <w:rFonts w:eastAsia="Times New Roman" w:cstheme="minorHAnsi"/>
          <w:szCs w:val="24"/>
          <w:lang w:val="pl-PL" w:eastAsia="en-GB"/>
        </w:rPr>
      </w:pPr>
      <w:r w:rsidRPr="00F879CC">
        <w:rPr>
          <w:rFonts w:eastAsia="Times New Roman" w:cstheme="minorHAnsi"/>
          <w:sz w:val="24"/>
          <w:szCs w:val="24"/>
          <w:lang w:val="pl-PL" w:eastAsia="en-GB"/>
        </w:rPr>
        <w:t>opracowanie wspólnych standardów oraz ustanowienie trwałych integracyjnych i godnych zaufania cyfrowych usług publicznych w regionie Morza Bałtyckiego, w tym poprzez pilotowanie interoperacyjnych usług publicznych, np. testowanie i opracowywanie nowych modeli zdrowia opartych na danych umożliwiających bardziej partycypacyjne i spersonalizowane podejście</w:t>
      </w:r>
      <w:r w:rsidR="00E04EED" w:rsidRPr="00412CE6">
        <w:rPr>
          <w:rFonts w:eastAsia="Times New Roman" w:cstheme="minorHAnsi"/>
          <w:szCs w:val="24"/>
          <w:lang w:val="pl-PL" w:eastAsia="en-GB"/>
        </w:rPr>
        <w:t>;</w:t>
      </w:r>
    </w:p>
    <w:p w14:paraId="03C345C4" w14:textId="114F4029" w:rsidR="00A20041" w:rsidRPr="00F879CC" w:rsidRDefault="00A20041" w:rsidP="00000498">
      <w:pPr>
        <w:pStyle w:val="Akapitzlist"/>
        <w:numPr>
          <w:ilvl w:val="0"/>
          <w:numId w:val="33"/>
        </w:numPr>
        <w:pBdr>
          <w:top w:val="single" w:sz="4" w:space="1" w:color="auto"/>
          <w:left w:val="single" w:sz="4" w:space="4" w:color="auto"/>
          <w:bottom w:val="single" w:sz="4" w:space="1" w:color="auto"/>
          <w:right w:val="single" w:sz="4" w:space="4" w:color="auto"/>
        </w:pBdr>
        <w:ind w:left="431" w:hanging="431"/>
        <w:rPr>
          <w:rFonts w:eastAsia="Times New Roman" w:cstheme="minorHAnsi"/>
          <w:sz w:val="24"/>
          <w:szCs w:val="24"/>
          <w:lang w:val="pl-PL" w:eastAsia="en-GB"/>
        </w:rPr>
      </w:pPr>
      <w:r w:rsidRPr="00F879CC">
        <w:rPr>
          <w:rFonts w:eastAsia="Times New Roman" w:cstheme="minorHAnsi"/>
          <w:sz w:val="24"/>
          <w:szCs w:val="24"/>
          <w:lang w:val="pl-PL" w:eastAsia="en-GB"/>
        </w:rPr>
        <w:t>testowanie podejść ustanawiających partnerstwa innowacyjne poprzez łączenie badań i zamówień publicznych w celu tworzenia nowych możliwości biznesowych (w tym rozwiązań ekologicznych i innowacji społecznych);</w:t>
      </w:r>
    </w:p>
    <w:p w14:paraId="4B2DE98B" w14:textId="20C222A7" w:rsidR="00E04EED" w:rsidRPr="00F879CC" w:rsidRDefault="005D4CA7" w:rsidP="00000498">
      <w:pPr>
        <w:pStyle w:val="Akapitzlist"/>
        <w:numPr>
          <w:ilvl w:val="0"/>
          <w:numId w:val="33"/>
        </w:numPr>
        <w:pBdr>
          <w:top w:val="single" w:sz="4" w:space="1" w:color="auto"/>
          <w:left w:val="single" w:sz="4" w:space="4" w:color="auto"/>
          <w:bottom w:val="single" w:sz="4" w:space="1" w:color="auto"/>
          <w:right w:val="single" w:sz="4" w:space="4" w:color="auto"/>
        </w:pBdr>
        <w:ind w:left="431" w:hanging="431"/>
        <w:rPr>
          <w:rFonts w:eastAsia="Times New Roman" w:cstheme="minorHAnsi"/>
          <w:sz w:val="24"/>
          <w:szCs w:val="24"/>
          <w:lang w:val="pl-PL" w:eastAsia="en-GB"/>
        </w:rPr>
      </w:pPr>
      <w:r w:rsidRPr="00F879CC">
        <w:rPr>
          <w:rFonts w:eastAsia="Times New Roman" w:cstheme="minorHAnsi"/>
          <w:sz w:val="24"/>
          <w:szCs w:val="24"/>
          <w:lang w:val="pl-PL" w:eastAsia="en-GB"/>
        </w:rPr>
        <w:t xml:space="preserve">pilotowanie rozwiązań zwiększających zaangażowanie obywateli w przekształcanie usług publicznych, </w:t>
      </w:r>
      <w:r w:rsidR="00CC0F52" w:rsidRPr="00F879CC">
        <w:rPr>
          <w:rFonts w:eastAsia="Times New Roman" w:cstheme="minorHAnsi"/>
          <w:sz w:val="24"/>
          <w:szCs w:val="24"/>
          <w:lang w:val="pl-PL" w:eastAsia="en-GB"/>
        </w:rPr>
        <w:t>np. stosowanie</w:t>
      </w:r>
      <w:r w:rsidRPr="00F879CC">
        <w:rPr>
          <w:rFonts w:eastAsia="Times New Roman" w:cstheme="minorHAnsi"/>
          <w:sz w:val="24"/>
          <w:szCs w:val="24"/>
          <w:lang w:val="pl-PL" w:eastAsia="en-GB"/>
        </w:rPr>
        <w:t xml:space="preserve"> grywalizacji lub innych innowacyjnych podejść opartych na kulturze do motywowania różnych pokoleń do udziału w życiu publicznym, tworzenie środowisk sprzyjających samoorganizacji obywateli lub instytucjonalizowanie podejścia wspólnego projektowania poprzez dedykowane laboratoria</w:t>
      </w:r>
      <w:r w:rsidR="00E04EED" w:rsidRPr="00F879CC">
        <w:rPr>
          <w:rFonts w:eastAsia="Times New Roman" w:cstheme="minorHAnsi"/>
          <w:sz w:val="24"/>
          <w:szCs w:val="24"/>
          <w:lang w:val="pl-PL" w:eastAsia="en-GB"/>
        </w:rPr>
        <w:t>.</w:t>
      </w:r>
    </w:p>
    <w:p w14:paraId="3B655595" w14:textId="2612E454" w:rsidR="00E04EED" w:rsidRPr="00F879CC" w:rsidRDefault="005D4CA7"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b/>
          <w:szCs w:val="24"/>
          <w:lang w:val="pl-PL" w:eastAsia="en-GB"/>
        </w:rPr>
      </w:pPr>
      <w:r w:rsidRPr="00F879CC">
        <w:rPr>
          <w:rFonts w:asciiTheme="minorHAnsi" w:eastAsia="Times New Roman" w:hAnsiTheme="minorHAnsi" w:cstheme="minorHAnsi"/>
          <w:b/>
          <w:szCs w:val="24"/>
          <w:lang w:val="pl-PL" w:eastAsia="en-GB"/>
        </w:rPr>
        <w:t>Wkład do wybranego celu</w:t>
      </w:r>
    </w:p>
    <w:p w14:paraId="39911809" w14:textId="5F9BF5F5" w:rsidR="00E04EED" w:rsidRPr="00F879CC" w:rsidRDefault="005D4CA7"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F879CC">
        <w:rPr>
          <w:rFonts w:asciiTheme="minorHAnsi" w:eastAsia="Times New Roman" w:hAnsiTheme="minorHAnsi" w:cstheme="minorHAnsi"/>
          <w:szCs w:val="24"/>
          <w:lang w:val="pl-PL" w:eastAsia="en-GB"/>
        </w:rPr>
        <w:t>Działania przyczyniają się do realizacji celu szczegółowego poprzez zwiększenie zdolności innowacyjnych władz lokalnych i regionalnych, wyspecjalizowanych agencji oraz dostawców infrastruktury i usług w celu świadczenia wysokiej jakości</w:t>
      </w:r>
      <w:r w:rsidR="00185C08">
        <w:rPr>
          <w:rFonts w:asciiTheme="minorHAnsi" w:eastAsia="Times New Roman" w:hAnsiTheme="minorHAnsi" w:cstheme="minorHAnsi"/>
          <w:szCs w:val="24"/>
          <w:lang w:val="pl-PL" w:eastAsia="en-GB"/>
        </w:rPr>
        <w:t>,</w:t>
      </w:r>
      <w:r w:rsidRPr="00F879CC">
        <w:rPr>
          <w:rFonts w:asciiTheme="minorHAnsi" w:eastAsia="Times New Roman" w:hAnsiTheme="minorHAnsi" w:cstheme="minorHAnsi"/>
          <w:szCs w:val="24"/>
          <w:lang w:val="pl-PL" w:eastAsia="en-GB"/>
        </w:rPr>
        <w:t xml:space="preserve"> mniej zbiurokratyzowanych i efektywnych kosztowo usług publicznych. Program wspiera stosowanie zaawansowanych technologii cyfrowych. Ponadto, działania mają na celu budowanie i testowanie w praktyce szerokiego partnerstwa innowacyjnego. Partnerstwa te łączą możliwości badawcze, umiejętności biznesowe i perspektywę użytkownika tak, aby poprawić świadczenie usług publicznych</w:t>
      </w:r>
      <w:r w:rsidR="00E04EED" w:rsidRPr="00F879CC">
        <w:rPr>
          <w:rFonts w:asciiTheme="minorHAnsi" w:eastAsia="Times New Roman" w:hAnsiTheme="minorHAnsi" w:cstheme="minorHAnsi"/>
          <w:szCs w:val="24"/>
          <w:lang w:val="pl-PL" w:eastAsia="en-GB"/>
        </w:rPr>
        <w:t xml:space="preserve">. </w:t>
      </w:r>
    </w:p>
    <w:p w14:paraId="0E53E21F" w14:textId="0163815A" w:rsidR="00E04EED" w:rsidRPr="00F879CC" w:rsidRDefault="00631692"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b/>
          <w:szCs w:val="24"/>
          <w:lang w:val="pl-PL" w:eastAsia="en-GB"/>
        </w:rPr>
      </w:pPr>
      <w:r w:rsidRPr="00F879CC">
        <w:rPr>
          <w:rFonts w:asciiTheme="minorHAnsi" w:eastAsia="Times New Roman" w:hAnsiTheme="minorHAnsi" w:cstheme="minorHAnsi"/>
          <w:b/>
          <w:szCs w:val="24"/>
          <w:lang w:val="pl-PL" w:eastAsia="en-GB"/>
        </w:rPr>
        <w:t xml:space="preserve">Wkład w </w:t>
      </w:r>
      <w:r w:rsidR="0025401D">
        <w:rPr>
          <w:rFonts w:asciiTheme="minorHAnsi" w:eastAsia="Times New Roman" w:hAnsiTheme="minorHAnsi" w:cstheme="minorHAnsi"/>
          <w:b/>
          <w:szCs w:val="24"/>
          <w:lang w:val="pl-PL" w:eastAsia="en-GB"/>
        </w:rPr>
        <w:t>S</w:t>
      </w:r>
      <w:r w:rsidRPr="00F879CC">
        <w:rPr>
          <w:rFonts w:asciiTheme="minorHAnsi" w:eastAsia="Times New Roman" w:hAnsiTheme="minorHAnsi" w:cstheme="minorHAnsi"/>
          <w:b/>
          <w:szCs w:val="24"/>
          <w:lang w:val="pl-PL" w:eastAsia="en-GB"/>
        </w:rPr>
        <w:t>trategię UE dla regionu Morza Bałtyckiego</w:t>
      </w:r>
    </w:p>
    <w:p w14:paraId="4316725D" w14:textId="0340AE2A" w:rsidR="00E04EED" w:rsidRPr="00F879CC" w:rsidRDefault="00631692"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F879CC">
        <w:rPr>
          <w:rFonts w:asciiTheme="minorHAnsi" w:eastAsia="Times New Roman" w:hAnsiTheme="minorHAnsi" w:cstheme="minorHAnsi"/>
          <w:szCs w:val="24"/>
          <w:lang w:val="pl-PL" w:eastAsia="en-GB"/>
        </w:rPr>
        <w:t xml:space="preserve">Rodzaje działań wspieranych w ramach Programu przyczyniają się do realizacji celów SUE RMB, jakim jest zwiększenie dobrobytu i łączenie regionu. W szczególności, wspierają innowacje w </w:t>
      </w:r>
      <w:r w:rsidR="000C5539">
        <w:rPr>
          <w:rFonts w:asciiTheme="minorHAnsi" w:eastAsia="Times New Roman" w:hAnsiTheme="minorHAnsi" w:cstheme="minorHAnsi"/>
          <w:szCs w:val="24"/>
          <w:lang w:val="pl-PL" w:eastAsia="en-GB"/>
        </w:rPr>
        <w:t>Obszarze Tematycznym</w:t>
      </w:r>
      <w:r w:rsidRPr="00F879CC">
        <w:rPr>
          <w:rFonts w:asciiTheme="minorHAnsi" w:eastAsia="Times New Roman" w:hAnsiTheme="minorHAnsi" w:cstheme="minorHAnsi"/>
          <w:szCs w:val="24"/>
          <w:lang w:val="pl-PL" w:eastAsia="en-GB"/>
        </w:rPr>
        <w:t xml:space="preserve"> (</w:t>
      </w:r>
      <w:r w:rsidR="000C5539">
        <w:rPr>
          <w:rFonts w:asciiTheme="minorHAnsi" w:eastAsia="Times New Roman" w:hAnsiTheme="minorHAnsi" w:cstheme="minorHAnsi"/>
          <w:szCs w:val="24"/>
          <w:lang w:val="pl-PL" w:eastAsia="en-GB"/>
        </w:rPr>
        <w:t>OT</w:t>
      </w:r>
      <w:r w:rsidRPr="00F879CC">
        <w:rPr>
          <w:rFonts w:asciiTheme="minorHAnsi" w:eastAsia="Times New Roman" w:hAnsiTheme="minorHAnsi" w:cstheme="minorHAnsi"/>
          <w:szCs w:val="24"/>
          <w:lang w:val="pl-PL" w:eastAsia="en-GB"/>
        </w:rPr>
        <w:t>) Innowacje</w:t>
      </w:r>
      <w:r w:rsidR="000A22C1">
        <w:rPr>
          <w:rFonts w:asciiTheme="minorHAnsi" w:eastAsia="Times New Roman" w:hAnsiTheme="minorHAnsi" w:cstheme="minorHAnsi"/>
          <w:szCs w:val="24"/>
          <w:lang w:val="pl-PL" w:eastAsia="en-GB"/>
        </w:rPr>
        <w:t>,</w:t>
      </w:r>
      <w:r w:rsidRPr="00F879CC">
        <w:rPr>
          <w:rFonts w:asciiTheme="minorHAnsi" w:eastAsia="Times New Roman" w:hAnsiTheme="minorHAnsi" w:cstheme="minorHAnsi"/>
          <w:szCs w:val="24"/>
          <w:lang w:val="pl-PL" w:eastAsia="en-GB"/>
        </w:rPr>
        <w:t xml:space="preserve"> wdrażając pojawiające się </w:t>
      </w:r>
      <w:r w:rsidR="00185C08">
        <w:rPr>
          <w:rFonts w:asciiTheme="minorHAnsi" w:eastAsia="Times New Roman" w:hAnsiTheme="minorHAnsi" w:cstheme="minorHAnsi"/>
          <w:szCs w:val="24"/>
          <w:lang w:val="pl-PL" w:eastAsia="en-GB"/>
        </w:rPr>
        <w:t xml:space="preserve">nowe </w:t>
      </w:r>
      <w:r w:rsidRPr="00F879CC">
        <w:rPr>
          <w:rFonts w:asciiTheme="minorHAnsi" w:eastAsia="Times New Roman" w:hAnsiTheme="minorHAnsi" w:cstheme="minorHAnsi"/>
          <w:szCs w:val="24"/>
          <w:lang w:val="pl-PL" w:eastAsia="en-GB"/>
        </w:rPr>
        <w:t>technologie cyfrowe, aby sprostać zmianom społecznym</w:t>
      </w:r>
      <w:r w:rsidR="00E04EED" w:rsidRPr="00F879CC">
        <w:rPr>
          <w:rFonts w:asciiTheme="minorHAnsi" w:eastAsia="Times New Roman" w:hAnsiTheme="minorHAnsi" w:cstheme="minorHAnsi"/>
          <w:szCs w:val="24"/>
          <w:lang w:val="pl-PL" w:eastAsia="en-GB"/>
        </w:rPr>
        <w:t xml:space="preserve">. </w:t>
      </w:r>
      <w:r w:rsidRPr="00F879CC">
        <w:rPr>
          <w:rFonts w:asciiTheme="minorHAnsi" w:eastAsia="Times New Roman" w:hAnsiTheme="minorHAnsi" w:cstheme="minorHAnsi"/>
          <w:szCs w:val="24"/>
          <w:lang w:val="pl-PL" w:eastAsia="en-GB"/>
        </w:rPr>
        <w:t xml:space="preserve">Działania mają również na celu wspieranie innowacji w zakresie usług i procesów w sektorze publicznym. Ponadto, cel Programu przyczynia się do </w:t>
      </w:r>
      <w:r w:rsidR="000C5539">
        <w:rPr>
          <w:rFonts w:asciiTheme="minorHAnsi" w:eastAsia="Times New Roman" w:hAnsiTheme="minorHAnsi" w:cstheme="minorHAnsi"/>
          <w:szCs w:val="24"/>
          <w:lang w:val="pl-PL" w:eastAsia="en-GB"/>
        </w:rPr>
        <w:t>OT</w:t>
      </w:r>
      <w:r w:rsidRPr="00F879CC">
        <w:rPr>
          <w:rFonts w:asciiTheme="minorHAnsi" w:eastAsia="Times New Roman" w:hAnsiTheme="minorHAnsi" w:cstheme="minorHAnsi"/>
          <w:szCs w:val="24"/>
          <w:lang w:val="pl-PL" w:eastAsia="en-GB"/>
        </w:rPr>
        <w:t xml:space="preserve"> </w:t>
      </w:r>
      <w:r w:rsidR="00EC7197" w:rsidRPr="00F879CC">
        <w:rPr>
          <w:rFonts w:asciiTheme="minorHAnsi" w:eastAsia="Times New Roman" w:hAnsiTheme="minorHAnsi" w:cstheme="minorHAnsi"/>
          <w:szCs w:val="24"/>
          <w:lang w:val="pl-PL" w:eastAsia="en-GB"/>
        </w:rPr>
        <w:t>Zdrowie</w:t>
      </w:r>
      <w:r w:rsidRPr="00F879CC">
        <w:rPr>
          <w:rFonts w:asciiTheme="minorHAnsi" w:eastAsia="Times New Roman" w:hAnsiTheme="minorHAnsi" w:cstheme="minorHAnsi"/>
          <w:szCs w:val="24"/>
          <w:lang w:val="pl-PL" w:eastAsia="en-GB"/>
        </w:rPr>
        <w:t xml:space="preserve">; wzmacnia umiejętności i wiedzę </w:t>
      </w:r>
      <w:r w:rsidR="00A20041">
        <w:rPr>
          <w:rFonts w:asciiTheme="minorHAnsi" w:eastAsia="Times New Roman" w:hAnsiTheme="minorHAnsi" w:cstheme="minorHAnsi"/>
          <w:szCs w:val="24"/>
          <w:lang w:val="pl-PL" w:eastAsia="en-GB"/>
        </w:rPr>
        <w:t>wspierającą</w:t>
      </w:r>
      <w:r w:rsidRPr="00F879CC">
        <w:rPr>
          <w:rFonts w:asciiTheme="minorHAnsi" w:eastAsia="Times New Roman" w:hAnsiTheme="minorHAnsi" w:cstheme="minorHAnsi"/>
          <w:szCs w:val="24"/>
          <w:lang w:val="pl-PL" w:eastAsia="en-GB"/>
        </w:rPr>
        <w:t xml:space="preserve"> zmi</w:t>
      </w:r>
      <w:r w:rsidR="00A20041">
        <w:rPr>
          <w:rFonts w:asciiTheme="minorHAnsi" w:eastAsia="Times New Roman" w:hAnsiTheme="minorHAnsi" w:cstheme="minorHAnsi"/>
          <w:szCs w:val="24"/>
          <w:lang w:val="pl-PL" w:eastAsia="en-GB"/>
        </w:rPr>
        <w:t>anę</w:t>
      </w:r>
      <w:r w:rsidRPr="00F879CC">
        <w:rPr>
          <w:rFonts w:asciiTheme="minorHAnsi" w:eastAsia="Times New Roman" w:hAnsiTheme="minorHAnsi" w:cstheme="minorHAnsi"/>
          <w:szCs w:val="24"/>
          <w:lang w:val="pl-PL" w:eastAsia="en-GB"/>
        </w:rPr>
        <w:t xml:space="preserve"> usług w zakresie zdrowia publicznego i dobrostanu. Poprzez integrację podejścia terytorialnego w świadczeniu usług, cel ten bezpośrednio przyczynia się do </w:t>
      </w:r>
      <w:r w:rsidR="000C5539">
        <w:rPr>
          <w:rFonts w:asciiTheme="minorHAnsi" w:eastAsia="Times New Roman" w:hAnsiTheme="minorHAnsi" w:cstheme="minorHAnsi"/>
          <w:szCs w:val="24"/>
          <w:lang w:val="pl-PL" w:eastAsia="en-GB"/>
        </w:rPr>
        <w:t>OT</w:t>
      </w:r>
      <w:r w:rsidRPr="00F879CC">
        <w:rPr>
          <w:rFonts w:asciiTheme="minorHAnsi" w:eastAsia="Times New Roman" w:hAnsiTheme="minorHAnsi" w:cstheme="minorHAnsi"/>
          <w:szCs w:val="24"/>
          <w:lang w:val="pl-PL" w:eastAsia="en-GB"/>
        </w:rPr>
        <w:t xml:space="preserve"> Planowanie Przestrzenne</w:t>
      </w:r>
      <w:r w:rsidR="00E04EED" w:rsidRPr="00F879CC">
        <w:rPr>
          <w:rFonts w:asciiTheme="minorHAnsi" w:eastAsia="Times New Roman" w:hAnsiTheme="minorHAnsi" w:cstheme="minorHAnsi"/>
          <w:szCs w:val="24"/>
          <w:lang w:val="pl-PL" w:eastAsia="en-GB"/>
        </w:rPr>
        <w:t xml:space="preserve">. </w:t>
      </w:r>
    </w:p>
    <w:p w14:paraId="4F2E2EFA" w14:textId="1F26FC93" w:rsidR="00E04EED" w:rsidRPr="00F879CC" w:rsidRDefault="00631692"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b/>
          <w:szCs w:val="24"/>
          <w:lang w:val="pl-PL" w:eastAsia="en-GB"/>
        </w:rPr>
      </w:pPr>
      <w:r w:rsidRPr="00F879CC">
        <w:rPr>
          <w:rFonts w:asciiTheme="minorHAnsi" w:eastAsia="Times New Roman" w:hAnsiTheme="minorHAnsi" w:cstheme="minorHAnsi"/>
          <w:b/>
          <w:szCs w:val="24"/>
          <w:lang w:val="pl-PL" w:eastAsia="en-GB"/>
        </w:rPr>
        <w:t>Oczekiwany rezultat</w:t>
      </w:r>
    </w:p>
    <w:p w14:paraId="39CD1AD1" w14:textId="066F4151" w:rsidR="00E04EED" w:rsidRPr="00F879CC" w:rsidRDefault="00631692"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F879CC">
        <w:rPr>
          <w:rFonts w:asciiTheme="minorHAnsi" w:eastAsia="Times New Roman" w:hAnsiTheme="minorHAnsi" w:cstheme="minorHAnsi"/>
          <w:szCs w:val="24"/>
          <w:lang w:val="pl-PL" w:eastAsia="en-GB"/>
        </w:rPr>
        <w:lastRenderedPageBreak/>
        <w:t>Celem tego programu jest zbadanie i praktyczna demonstracja innowacyjnych rozwiązań w zakresie świadczenia usług publicznych w regionie Morza Bałtyckiego. Tym samym, podstawowe grupy docelowe Programów zwiększają zdolność do oferowania efektywnych, niestandardowych usług publicznych dostosowanych do potrzeb użytkowników i opartych na nowych technologiach. Grupy docelowe wzmacniają również swoją zdolność do tworzenia innowacyjnych partnerstw z korzyścią dla społeczności i biznesu</w:t>
      </w:r>
      <w:r w:rsidR="00E04EED" w:rsidRPr="00F879CC">
        <w:rPr>
          <w:rFonts w:asciiTheme="minorHAnsi" w:eastAsia="Times New Roman" w:hAnsiTheme="minorHAnsi" w:cstheme="minorHAnsi"/>
          <w:szCs w:val="24"/>
          <w:lang w:val="pl-PL" w:eastAsia="en-GB"/>
        </w:rPr>
        <w:t>.</w:t>
      </w:r>
    </w:p>
    <w:p w14:paraId="02D2D111" w14:textId="77777777" w:rsidR="0080199F" w:rsidRPr="00F879CC" w:rsidRDefault="0080199F" w:rsidP="001165AD">
      <w:pPr>
        <w:spacing w:before="240" w:after="240" w:line="240" w:lineRule="auto"/>
        <w:jc w:val="both"/>
        <w:rPr>
          <w:rFonts w:asciiTheme="minorHAnsi" w:eastAsia="Times New Roman" w:hAnsiTheme="minorHAnsi" w:cstheme="minorHAnsi"/>
          <w:b/>
          <w:iCs/>
          <w:szCs w:val="24"/>
          <w:lang w:val="pl-PL" w:eastAsia="en-GB"/>
        </w:rPr>
      </w:pPr>
    </w:p>
    <w:p w14:paraId="6CAB2CB9" w14:textId="2AD51115" w:rsidR="0080199F" w:rsidRPr="00F879CC" w:rsidRDefault="0080199F" w:rsidP="0080199F">
      <w:pPr>
        <w:spacing w:before="240" w:after="240" w:line="240" w:lineRule="auto"/>
        <w:ind w:left="709" w:hanging="709"/>
        <w:jc w:val="both"/>
        <w:rPr>
          <w:rFonts w:asciiTheme="minorHAnsi" w:eastAsia="Times New Roman" w:hAnsiTheme="minorHAnsi" w:cstheme="minorHAnsi"/>
          <w:b/>
          <w:iCs/>
          <w:szCs w:val="24"/>
          <w:lang w:val="pl-PL" w:eastAsia="en-GB"/>
        </w:rPr>
      </w:pPr>
      <w:r w:rsidRPr="00F879CC">
        <w:rPr>
          <w:rFonts w:asciiTheme="minorHAnsi" w:eastAsia="Times New Roman" w:hAnsiTheme="minorHAnsi" w:cstheme="minorHAnsi"/>
          <w:b/>
          <w:iCs/>
          <w:szCs w:val="24"/>
          <w:lang w:val="pl-PL" w:eastAsia="en-GB"/>
        </w:rPr>
        <w:t>2.1.</w:t>
      </w:r>
      <w:r w:rsidR="00BD701F" w:rsidRPr="00F879CC">
        <w:rPr>
          <w:rFonts w:asciiTheme="minorHAnsi" w:eastAsia="Times New Roman" w:hAnsiTheme="minorHAnsi" w:cstheme="minorHAnsi"/>
          <w:b/>
          <w:iCs/>
          <w:szCs w:val="24"/>
          <w:lang w:val="pl-PL" w:eastAsia="en-GB"/>
        </w:rPr>
        <w:t>2</w:t>
      </w:r>
      <w:r w:rsidR="00631692" w:rsidRPr="00F879CC">
        <w:rPr>
          <w:rFonts w:asciiTheme="minorHAnsi" w:eastAsia="Times New Roman" w:hAnsiTheme="minorHAnsi" w:cstheme="minorHAnsi"/>
          <w:b/>
          <w:iCs/>
          <w:szCs w:val="24"/>
          <w:lang w:val="pl-PL" w:eastAsia="en-GB"/>
        </w:rPr>
        <w:t>.2</w:t>
      </w:r>
      <w:r w:rsidR="00631692" w:rsidRPr="00F879CC">
        <w:rPr>
          <w:rFonts w:asciiTheme="minorHAnsi" w:eastAsia="Times New Roman" w:hAnsiTheme="minorHAnsi" w:cstheme="minorHAnsi"/>
          <w:b/>
          <w:iCs/>
          <w:szCs w:val="24"/>
          <w:lang w:val="pl-PL" w:eastAsia="en-GB"/>
        </w:rPr>
        <w:tab/>
      </w:r>
      <w:r w:rsidR="0025401D">
        <w:rPr>
          <w:rFonts w:asciiTheme="minorHAnsi" w:eastAsia="Times New Roman" w:hAnsiTheme="minorHAnsi" w:cstheme="minorHAnsi"/>
          <w:b/>
          <w:iCs/>
          <w:szCs w:val="24"/>
          <w:lang w:val="pl-PL" w:eastAsia="en-GB"/>
        </w:rPr>
        <w:t xml:space="preserve"> </w:t>
      </w:r>
      <w:r w:rsidR="00631692" w:rsidRPr="00F879CC">
        <w:rPr>
          <w:rFonts w:asciiTheme="minorHAnsi" w:eastAsia="Times New Roman" w:hAnsiTheme="minorHAnsi" w:cstheme="minorHAnsi"/>
          <w:b/>
          <w:iCs/>
          <w:szCs w:val="24"/>
          <w:lang w:val="pl-PL" w:eastAsia="en-GB"/>
        </w:rPr>
        <w:t>Wskaźniki</w:t>
      </w:r>
    </w:p>
    <w:p w14:paraId="7DDFB436" w14:textId="21BCE693" w:rsidR="0080199F" w:rsidRPr="00F879CC" w:rsidRDefault="002D5C6E" w:rsidP="00F879CC">
      <w:pPr>
        <w:spacing w:after="200" w:line="276" w:lineRule="auto"/>
        <w:rPr>
          <w:rFonts w:asciiTheme="minorHAnsi" w:eastAsia="Times New Roman" w:hAnsiTheme="minorHAnsi" w:cstheme="minorHAnsi"/>
          <w:szCs w:val="24"/>
          <w:lang w:val="pl-PL" w:eastAsia="en-GB"/>
        </w:rPr>
      </w:pPr>
      <w:r w:rsidRPr="00F879CC">
        <w:rPr>
          <w:rFonts w:asciiTheme="minorHAnsi" w:eastAsia="Times New Roman" w:hAnsiTheme="minorHAnsi" w:cstheme="minorHAnsi"/>
          <w:szCs w:val="24"/>
          <w:lang w:val="pl-PL" w:eastAsia="en-GB"/>
        </w:rPr>
        <w:t>Dotyczy: art. 17 ust. 4 lit. e) ppkt (ii), art. 17 ust. 9 lit. c) ppkt (iii)</w:t>
      </w:r>
    </w:p>
    <w:p w14:paraId="6064B404" w14:textId="040F11F0" w:rsidR="00932BA9" w:rsidRPr="00F879CC" w:rsidRDefault="002D5C6E" w:rsidP="00F879CC">
      <w:pPr>
        <w:spacing w:before="240" w:after="240" w:line="276" w:lineRule="auto"/>
        <w:rPr>
          <w:rFonts w:asciiTheme="minorHAnsi" w:eastAsia="Times New Roman" w:hAnsiTheme="minorHAnsi" w:cstheme="minorHAnsi"/>
          <w:iCs/>
          <w:szCs w:val="24"/>
          <w:lang w:val="pl-PL" w:eastAsia="en-GB"/>
        </w:rPr>
      </w:pPr>
      <w:r w:rsidRPr="00F879CC">
        <w:rPr>
          <w:rFonts w:asciiTheme="minorHAnsi" w:eastAsia="Times New Roman" w:hAnsiTheme="minorHAnsi" w:cstheme="minorHAnsi"/>
          <w:iCs/>
          <w:szCs w:val="24"/>
          <w:lang w:val="pl-PL" w:eastAsia="en-GB"/>
        </w:rPr>
        <w:t>Tabela</w:t>
      </w:r>
      <w:r w:rsidR="00932BA9" w:rsidRPr="00F879CC">
        <w:rPr>
          <w:rFonts w:asciiTheme="minorHAnsi" w:eastAsia="Times New Roman" w:hAnsiTheme="minorHAnsi" w:cstheme="minorHAnsi"/>
          <w:iCs/>
          <w:szCs w:val="24"/>
          <w:lang w:val="pl-PL" w:eastAsia="en-GB"/>
        </w:rPr>
        <w:t xml:space="preserve"> 2: </w:t>
      </w:r>
      <w:r w:rsidRPr="00F879CC">
        <w:rPr>
          <w:rFonts w:asciiTheme="minorHAnsi" w:eastAsia="Times New Roman" w:hAnsiTheme="minorHAnsi" w:cstheme="minorHAnsi"/>
          <w:iCs/>
          <w:szCs w:val="24"/>
          <w:lang w:val="pl-PL" w:eastAsia="en-GB"/>
        </w:rPr>
        <w:t>Wskaźniki produktu wyjściowego</w:t>
      </w:r>
      <w:r w:rsidR="00932BA9" w:rsidRPr="00F879CC">
        <w:rPr>
          <w:rFonts w:asciiTheme="minorHAnsi" w:eastAsia="Times New Roman" w:hAnsiTheme="minorHAnsi" w:cstheme="minorHAnsi"/>
          <w:iCs/>
          <w:szCs w:val="24"/>
          <w:lang w:val="pl-PL" w:eastAsia="en-GB"/>
        </w:rPr>
        <w:t xml:space="preserve"> </w:t>
      </w:r>
    </w:p>
    <w:tbl>
      <w:tblPr>
        <w:tblW w:w="4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ela dotycząca wskaźników produktu wyjściowego"/>
      </w:tblPr>
      <w:tblGrid>
        <w:gridCol w:w="1104"/>
        <w:gridCol w:w="1452"/>
        <w:gridCol w:w="999"/>
        <w:gridCol w:w="1740"/>
        <w:gridCol w:w="1420"/>
        <w:gridCol w:w="970"/>
        <w:gridCol w:w="1285"/>
      </w:tblGrid>
      <w:tr w:rsidR="004769C8" w:rsidRPr="0025401D" w14:paraId="4EB4BBD0" w14:textId="5A3ABA53" w:rsidTr="002D5C6E">
        <w:trPr>
          <w:trHeight w:val="836"/>
        </w:trPr>
        <w:tc>
          <w:tcPr>
            <w:tcW w:w="569" w:type="pct"/>
          </w:tcPr>
          <w:p w14:paraId="125AE6E1" w14:textId="32B96EB5" w:rsidR="004769C8" w:rsidRPr="0025401D" w:rsidRDefault="002D5C6E" w:rsidP="00893A9B">
            <w:pPr>
              <w:spacing w:before="120" w:after="120" w:line="240" w:lineRule="auto"/>
              <w:jc w:val="both"/>
              <w:rPr>
                <w:rFonts w:asciiTheme="minorHAnsi" w:hAnsiTheme="minorHAnsi" w:cstheme="minorHAnsi"/>
                <w:b/>
                <w:szCs w:val="24"/>
                <w:lang w:val="pl-PL"/>
              </w:rPr>
            </w:pPr>
            <w:r w:rsidRPr="0025401D">
              <w:rPr>
                <w:rFonts w:asciiTheme="minorHAnsi" w:hAnsiTheme="minorHAnsi" w:cstheme="minorHAnsi"/>
                <w:b/>
                <w:szCs w:val="24"/>
                <w:lang w:val="pl-PL"/>
              </w:rPr>
              <w:t>Priorytet</w:t>
            </w:r>
            <w:r w:rsidR="004769C8" w:rsidRPr="0025401D">
              <w:rPr>
                <w:rFonts w:asciiTheme="minorHAnsi" w:hAnsiTheme="minorHAnsi" w:cstheme="minorHAnsi"/>
                <w:b/>
                <w:szCs w:val="24"/>
                <w:lang w:val="pl-PL"/>
              </w:rPr>
              <w:t xml:space="preserve"> </w:t>
            </w:r>
          </w:p>
        </w:tc>
        <w:tc>
          <w:tcPr>
            <w:tcW w:w="709" w:type="pct"/>
          </w:tcPr>
          <w:p w14:paraId="44580F05" w14:textId="3A21AC75" w:rsidR="004769C8" w:rsidRPr="00862621" w:rsidRDefault="002D5C6E" w:rsidP="00893A9B">
            <w:pPr>
              <w:spacing w:before="120" w:after="120" w:line="240" w:lineRule="auto"/>
              <w:jc w:val="both"/>
              <w:rPr>
                <w:rFonts w:asciiTheme="minorHAnsi" w:hAnsiTheme="minorHAnsi" w:cstheme="minorHAnsi"/>
                <w:b/>
                <w:szCs w:val="24"/>
                <w:lang w:val="pl-PL"/>
              </w:rPr>
            </w:pPr>
            <w:r w:rsidRPr="0025401D">
              <w:rPr>
                <w:rFonts w:asciiTheme="minorHAnsi" w:hAnsiTheme="minorHAnsi" w:cstheme="minorHAnsi"/>
                <w:b/>
                <w:szCs w:val="24"/>
                <w:lang w:val="pl-PL"/>
              </w:rPr>
              <w:t>Cel szczeg</w:t>
            </w:r>
            <w:r w:rsidRPr="00FE7B9C">
              <w:rPr>
                <w:rFonts w:asciiTheme="minorHAnsi" w:hAnsiTheme="minorHAnsi" w:cstheme="minorHAnsi"/>
                <w:b/>
                <w:szCs w:val="24"/>
                <w:lang w:val="pl-PL"/>
              </w:rPr>
              <w:t>ó</w:t>
            </w:r>
            <w:r w:rsidRPr="00862621">
              <w:rPr>
                <w:rFonts w:asciiTheme="minorHAnsi" w:hAnsiTheme="minorHAnsi" w:cstheme="minorHAnsi"/>
                <w:b/>
                <w:szCs w:val="24"/>
                <w:lang w:val="pl-PL"/>
              </w:rPr>
              <w:t>łowy</w:t>
            </w:r>
          </w:p>
        </w:tc>
        <w:tc>
          <w:tcPr>
            <w:tcW w:w="679" w:type="pct"/>
          </w:tcPr>
          <w:p w14:paraId="0144FF06" w14:textId="77777777" w:rsidR="004769C8" w:rsidRPr="00862621" w:rsidRDefault="004769C8" w:rsidP="00893A9B">
            <w:pPr>
              <w:spacing w:before="120" w:after="120" w:line="240" w:lineRule="auto"/>
              <w:jc w:val="both"/>
              <w:rPr>
                <w:rFonts w:asciiTheme="minorHAnsi" w:hAnsiTheme="minorHAnsi" w:cstheme="minorHAnsi"/>
                <w:b/>
                <w:szCs w:val="24"/>
                <w:lang w:val="pl-PL"/>
              </w:rPr>
            </w:pPr>
            <w:r w:rsidRPr="00862621">
              <w:rPr>
                <w:rFonts w:asciiTheme="minorHAnsi" w:hAnsiTheme="minorHAnsi" w:cstheme="minorHAnsi"/>
                <w:b/>
                <w:szCs w:val="24"/>
                <w:lang w:val="pl-PL"/>
              </w:rPr>
              <w:t>ID</w:t>
            </w:r>
          </w:p>
          <w:p w14:paraId="4EF8323D" w14:textId="77777777" w:rsidR="004769C8" w:rsidRPr="00862621" w:rsidRDefault="004769C8" w:rsidP="00893A9B">
            <w:pPr>
              <w:spacing w:before="120" w:after="120" w:line="240" w:lineRule="auto"/>
              <w:jc w:val="both"/>
              <w:rPr>
                <w:rFonts w:asciiTheme="minorHAnsi" w:hAnsiTheme="minorHAnsi" w:cstheme="minorHAnsi"/>
                <w:b/>
                <w:szCs w:val="24"/>
                <w:lang w:val="pl-PL"/>
              </w:rPr>
            </w:pPr>
            <w:r w:rsidRPr="00862621">
              <w:rPr>
                <w:rFonts w:asciiTheme="minorHAnsi" w:hAnsiTheme="minorHAnsi" w:cstheme="minorHAnsi"/>
                <w:b/>
                <w:szCs w:val="24"/>
                <w:lang w:val="pl-PL"/>
              </w:rPr>
              <w:t>[5]</w:t>
            </w:r>
          </w:p>
        </w:tc>
        <w:tc>
          <w:tcPr>
            <w:tcW w:w="978" w:type="pct"/>
            <w:shd w:val="clear" w:color="auto" w:fill="auto"/>
          </w:tcPr>
          <w:p w14:paraId="22AC3CAF" w14:textId="507B0130" w:rsidR="004769C8" w:rsidRPr="0025401D" w:rsidRDefault="002D5C6E" w:rsidP="002D5C6E">
            <w:pPr>
              <w:spacing w:before="120" w:after="120" w:line="240" w:lineRule="auto"/>
              <w:jc w:val="both"/>
              <w:rPr>
                <w:rFonts w:asciiTheme="minorHAnsi" w:hAnsiTheme="minorHAnsi" w:cstheme="minorHAnsi"/>
                <w:b/>
                <w:szCs w:val="24"/>
                <w:lang w:val="pl-PL"/>
              </w:rPr>
            </w:pPr>
            <w:r w:rsidRPr="0025401D">
              <w:rPr>
                <w:rFonts w:asciiTheme="minorHAnsi" w:hAnsiTheme="minorHAnsi" w:cstheme="minorHAnsi"/>
                <w:b/>
                <w:szCs w:val="24"/>
                <w:lang w:val="pl-PL"/>
              </w:rPr>
              <w:t>Wskaźnik</w:t>
            </w:r>
            <w:r w:rsidR="004769C8" w:rsidRPr="0025401D">
              <w:rPr>
                <w:rFonts w:asciiTheme="minorHAnsi" w:hAnsiTheme="minorHAnsi" w:cstheme="minorHAnsi"/>
                <w:b/>
                <w:szCs w:val="24"/>
                <w:lang w:val="pl-PL"/>
              </w:rPr>
              <w:t xml:space="preserve"> </w:t>
            </w:r>
          </w:p>
        </w:tc>
        <w:tc>
          <w:tcPr>
            <w:tcW w:w="919" w:type="pct"/>
          </w:tcPr>
          <w:p w14:paraId="44A0C171" w14:textId="35CF632F" w:rsidR="004769C8" w:rsidRPr="0025401D" w:rsidRDefault="002D5C6E" w:rsidP="00893A9B">
            <w:pPr>
              <w:spacing w:before="120" w:after="120" w:line="240" w:lineRule="auto"/>
              <w:jc w:val="both"/>
              <w:rPr>
                <w:rFonts w:asciiTheme="minorHAnsi" w:hAnsiTheme="minorHAnsi" w:cstheme="minorHAnsi"/>
                <w:b/>
                <w:szCs w:val="24"/>
                <w:lang w:val="pl-PL"/>
              </w:rPr>
            </w:pPr>
            <w:r w:rsidRPr="0025401D">
              <w:rPr>
                <w:rFonts w:asciiTheme="minorHAnsi" w:hAnsiTheme="minorHAnsi" w:cstheme="minorHAnsi"/>
                <w:b/>
                <w:szCs w:val="24"/>
                <w:lang w:val="pl-PL"/>
              </w:rPr>
              <w:t>Jednostka miary</w:t>
            </w:r>
          </w:p>
          <w:p w14:paraId="6629EAE8" w14:textId="77777777" w:rsidR="004769C8" w:rsidRPr="0025401D" w:rsidRDefault="004769C8" w:rsidP="00893A9B">
            <w:pPr>
              <w:spacing w:before="120" w:after="120" w:line="240" w:lineRule="auto"/>
              <w:jc w:val="both"/>
              <w:rPr>
                <w:rFonts w:asciiTheme="minorHAnsi" w:hAnsiTheme="minorHAnsi" w:cstheme="minorHAnsi"/>
                <w:b/>
                <w:szCs w:val="24"/>
                <w:lang w:val="pl-PL"/>
              </w:rPr>
            </w:pPr>
            <w:r w:rsidRPr="0025401D">
              <w:rPr>
                <w:rFonts w:asciiTheme="minorHAnsi" w:hAnsiTheme="minorHAnsi" w:cstheme="minorHAnsi"/>
                <w:b/>
                <w:szCs w:val="24"/>
                <w:lang w:val="pl-PL"/>
              </w:rPr>
              <w:t>[255]</w:t>
            </w:r>
          </w:p>
        </w:tc>
        <w:tc>
          <w:tcPr>
            <w:tcW w:w="516" w:type="pct"/>
            <w:shd w:val="clear" w:color="auto" w:fill="auto"/>
          </w:tcPr>
          <w:p w14:paraId="7125C4D5" w14:textId="2C1F607B" w:rsidR="004769C8" w:rsidRPr="0025401D" w:rsidRDefault="002D5C6E" w:rsidP="00893A9B">
            <w:pPr>
              <w:spacing w:before="120" w:after="120" w:line="240" w:lineRule="auto"/>
              <w:jc w:val="both"/>
              <w:rPr>
                <w:rFonts w:asciiTheme="minorHAnsi" w:hAnsiTheme="minorHAnsi" w:cstheme="minorHAnsi"/>
                <w:b/>
                <w:szCs w:val="24"/>
                <w:lang w:val="pl-PL"/>
              </w:rPr>
            </w:pPr>
            <w:r w:rsidRPr="0025401D">
              <w:rPr>
                <w:rFonts w:asciiTheme="minorHAnsi" w:hAnsiTheme="minorHAnsi" w:cstheme="minorHAnsi"/>
                <w:b/>
                <w:szCs w:val="24"/>
                <w:lang w:val="pl-PL"/>
              </w:rPr>
              <w:t>Kamień milowy</w:t>
            </w:r>
            <w:r w:rsidR="004769C8" w:rsidRPr="0025401D">
              <w:rPr>
                <w:rFonts w:asciiTheme="minorHAnsi" w:hAnsiTheme="minorHAnsi" w:cstheme="minorHAnsi"/>
                <w:b/>
                <w:szCs w:val="24"/>
                <w:lang w:val="pl-PL"/>
              </w:rPr>
              <w:t xml:space="preserve"> (2024)</w:t>
            </w:r>
          </w:p>
          <w:p w14:paraId="50FD1790" w14:textId="77777777" w:rsidR="004769C8" w:rsidRPr="0025401D" w:rsidRDefault="004769C8" w:rsidP="00893A9B">
            <w:pPr>
              <w:spacing w:before="120" w:after="120" w:line="240" w:lineRule="auto"/>
              <w:jc w:val="both"/>
              <w:rPr>
                <w:rFonts w:asciiTheme="minorHAnsi" w:hAnsiTheme="minorHAnsi" w:cstheme="minorHAnsi"/>
                <w:b/>
                <w:szCs w:val="24"/>
                <w:lang w:val="pl-PL"/>
              </w:rPr>
            </w:pPr>
            <w:r w:rsidRPr="0025401D">
              <w:rPr>
                <w:rFonts w:asciiTheme="minorHAnsi" w:hAnsiTheme="minorHAnsi" w:cstheme="minorHAnsi"/>
                <w:b/>
                <w:szCs w:val="24"/>
                <w:lang w:val="pl-PL"/>
              </w:rPr>
              <w:t>[200]</w:t>
            </w:r>
          </w:p>
        </w:tc>
        <w:tc>
          <w:tcPr>
            <w:tcW w:w="630" w:type="pct"/>
            <w:shd w:val="clear" w:color="auto" w:fill="auto"/>
          </w:tcPr>
          <w:p w14:paraId="187DD6A4" w14:textId="138E652C" w:rsidR="004769C8" w:rsidRPr="0025401D" w:rsidRDefault="002D5C6E" w:rsidP="00893A9B">
            <w:pPr>
              <w:spacing w:before="120" w:after="120" w:line="240" w:lineRule="auto"/>
              <w:jc w:val="both"/>
              <w:rPr>
                <w:rFonts w:asciiTheme="minorHAnsi" w:hAnsiTheme="minorHAnsi" w:cstheme="minorHAnsi"/>
                <w:b/>
                <w:szCs w:val="24"/>
                <w:lang w:val="pl-PL"/>
              </w:rPr>
            </w:pPr>
            <w:r w:rsidRPr="0025401D">
              <w:rPr>
                <w:rFonts w:asciiTheme="minorHAnsi" w:hAnsiTheme="minorHAnsi" w:cstheme="minorHAnsi"/>
                <w:b/>
                <w:szCs w:val="24"/>
                <w:lang w:val="pl-PL"/>
              </w:rPr>
              <w:t>Cel ostateczny</w:t>
            </w:r>
            <w:r w:rsidR="004769C8" w:rsidRPr="0025401D">
              <w:rPr>
                <w:rFonts w:asciiTheme="minorHAnsi" w:hAnsiTheme="minorHAnsi" w:cstheme="minorHAnsi"/>
                <w:b/>
                <w:szCs w:val="24"/>
                <w:lang w:val="pl-PL"/>
              </w:rPr>
              <w:t xml:space="preserve"> (2029)</w:t>
            </w:r>
          </w:p>
          <w:p w14:paraId="2EA01790" w14:textId="77777777" w:rsidR="004769C8" w:rsidRPr="0025401D" w:rsidRDefault="004769C8" w:rsidP="00893A9B">
            <w:pPr>
              <w:spacing w:before="120" w:after="120" w:line="240" w:lineRule="auto"/>
              <w:jc w:val="both"/>
              <w:rPr>
                <w:rFonts w:asciiTheme="minorHAnsi" w:hAnsiTheme="minorHAnsi" w:cstheme="minorHAnsi"/>
                <w:b/>
                <w:szCs w:val="24"/>
                <w:lang w:val="pl-PL"/>
              </w:rPr>
            </w:pPr>
            <w:r w:rsidRPr="0025401D">
              <w:rPr>
                <w:rFonts w:asciiTheme="minorHAnsi" w:hAnsiTheme="minorHAnsi" w:cstheme="minorHAnsi"/>
                <w:b/>
                <w:szCs w:val="24"/>
                <w:lang w:val="pl-PL"/>
              </w:rPr>
              <w:t>[200]</w:t>
            </w:r>
          </w:p>
        </w:tc>
      </w:tr>
      <w:tr w:rsidR="002D5C6E" w:rsidRPr="0025401D" w14:paraId="31B9B624" w14:textId="2D9AF177" w:rsidTr="002D5C6E">
        <w:trPr>
          <w:trHeight w:val="579"/>
        </w:trPr>
        <w:tc>
          <w:tcPr>
            <w:tcW w:w="569" w:type="pct"/>
          </w:tcPr>
          <w:p w14:paraId="069605DD" w14:textId="76E519AC" w:rsidR="002D5C6E" w:rsidRPr="00000498" w:rsidRDefault="002D5C6E" w:rsidP="002D5C6E">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1</w:t>
            </w:r>
          </w:p>
        </w:tc>
        <w:tc>
          <w:tcPr>
            <w:tcW w:w="709" w:type="pct"/>
          </w:tcPr>
          <w:p w14:paraId="446BA6F5" w14:textId="4E16DB89" w:rsidR="002D5C6E" w:rsidRPr="00000498" w:rsidRDefault="002D5C6E" w:rsidP="002D5C6E">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i</w:t>
            </w:r>
          </w:p>
        </w:tc>
        <w:tc>
          <w:tcPr>
            <w:tcW w:w="679" w:type="pct"/>
          </w:tcPr>
          <w:p w14:paraId="70F0DD44" w14:textId="69484F79" w:rsidR="002D5C6E" w:rsidRPr="00000498" w:rsidRDefault="002D5C6E" w:rsidP="002D5C6E">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RCO84</w:t>
            </w:r>
          </w:p>
        </w:tc>
        <w:tc>
          <w:tcPr>
            <w:tcW w:w="978" w:type="pct"/>
            <w:shd w:val="clear" w:color="auto" w:fill="auto"/>
          </w:tcPr>
          <w:p w14:paraId="636578DB" w14:textId="7D86F266" w:rsidR="002D5C6E" w:rsidRPr="00000498" w:rsidRDefault="002D5C6E" w:rsidP="002D5C6E">
            <w:pPr>
              <w:spacing w:before="120" w:after="120" w:line="240" w:lineRule="auto"/>
              <w:rPr>
                <w:rFonts w:asciiTheme="minorHAnsi" w:hAnsiTheme="minorHAnsi" w:cstheme="minorHAnsi"/>
                <w:szCs w:val="24"/>
                <w:lang w:val="pl-PL"/>
              </w:rPr>
            </w:pPr>
            <w:bookmarkStart w:id="83" w:name="OLE_LINK225"/>
            <w:bookmarkStart w:id="84" w:name="OLE_LINK226"/>
            <w:r w:rsidRPr="00000498">
              <w:rPr>
                <w:rFonts w:asciiTheme="minorHAnsi" w:hAnsiTheme="minorHAnsi" w:cstheme="minorHAnsi"/>
                <w:szCs w:val="24"/>
                <w:lang w:val="pl-PL"/>
              </w:rPr>
              <w:t>Działania pilotażowe opracowywane wspólnie i wdrażane w projektach</w:t>
            </w:r>
            <w:bookmarkEnd w:id="83"/>
            <w:bookmarkEnd w:id="84"/>
          </w:p>
        </w:tc>
        <w:tc>
          <w:tcPr>
            <w:tcW w:w="919" w:type="pct"/>
          </w:tcPr>
          <w:p w14:paraId="46DA4CD7" w14:textId="51262CF9" w:rsidR="002D5C6E" w:rsidRPr="00000498" w:rsidRDefault="002D5C6E" w:rsidP="002D5C6E">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Działania pilotażowe</w:t>
            </w:r>
          </w:p>
        </w:tc>
        <w:tc>
          <w:tcPr>
            <w:tcW w:w="516" w:type="pct"/>
            <w:shd w:val="clear" w:color="auto" w:fill="auto"/>
          </w:tcPr>
          <w:p w14:paraId="3FC2A16F" w14:textId="262EC6FE" w:rsidR="002D5C6E" w:rsidRPr="00000498" w:rsidRDefault="002D5C6E" w:rsidP="002D5C6E">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1</w:t>
            </w:r>
          </w:p>
        </w:tc>
        <w:tc>
          <w:tcPr>
            <w:tcW w:w="630" w:type="pct"/>
            <w:shd w:val="clear" w:color="auto" w:fill="auto"/>
          </w:tcPr>
          <w:p w14:paraId="28B7E42F" w14:textId="6F73FB6B" w:rsidR="002D5C6E" w:rsidRPr="00000498" w:rsidRDefault="002D5C6E" w:rsidP="002D5C6E">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34</w:t>
            </w:r>
          </w:p>
        </w:tc>
      </w:tr>
      <w:tr w:rsidR="002D5C6E" w:rsidRPr="0025401D" w14:paraId="6B94124C" w14:textId="016AB6C1" w:rsidTr="002D5C6E">
        <w:trPr>
          <w:trHeight w:val="579"/>
        </w:trPr>
        <w:tc>
          <w:tcPr>
            <w:tcW w:w="569" w:type="pct"/>
          </w:tcPr>
          <w:p w14:paraId="6BEED663" w14:textId="40F9DDB1" w:rsidR="002D5C6E" w:rsidRPr="00000498" w:rsidRDefault="002D5C6E" w:rsidP="002D5C6E">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1</w:t>
            </w:r>
          </w:p>
        </w:tc>
        <w:tc>
          <w:tcPr>
            <w:tcW w:w="709" w:type="pct"/>
          </w:tcPr>
          <w:p w14:paraId="44A38422" w14:textId="4CBAA35F" w:rsidR="002D5C6E" w:rsidRPr="00000498" w:rsidRDefault="002D5C6E" w:rsidP="002D5C6E">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i</w:t>
            </w:r>
          </w:p>
        </w:tc>
        <w:tc>
          <w:tcPr>
            <w:tcW w:w="679" w:type="pct"/>
          </w:tcPr>
          <w:p w14:paraId="5010E30B" w14:textId="2F1A45B6" w:rsidR="002D5C6E" w:rsidRPr="00000498" w:rsidRDefault="002D5C6E" w:rsidP="002D5C6E">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RCO87</w:t>
            </w:r>
          </w:p>
        </w:tc>
        <w:tc>
          <w:tcPr>
            <w:tcW w:w="978" w:type="pct"/>
            <w:shd w:val="clear" w:color="auto" w:fill="auto"/>
          </w:tcPr>
          <w:p w14:paraId="32E2FCE8" w14:textId="650ABA23" w:rsidR="002D5C6E" w:rsidRPr="00000498" w:rsidRDefault="002D5C6E" w:rsidP="002D5C6E">
            <w:pPr>
              <w:spacing w:before="120" w:after="120" w:line="240" w:lineRule="auto"/>
              <w:rPr>
                <w:rFonts w:asciiTheme="minorHAnsi" w:hAnsiTheme="minorHAnsi" w:cstheme="minorHAnsi"/>
                <w:szCs w:val="24"/>
                <w:lang w:val="pl-PL"/>
              </w:rPr>
            </w:pPr>
            <w:r w:rsidRPr="00000498">
              <w:rPr>
                <w:rFonts w:asciiTheme="minorHAnsi" w:hAnsiTheme="minorHAnsi" w:cstheme="minorHAnsi"/>
                <w:szCs w:val="24"/>
                <w:lang w:val="pl-PL"/>
              </w:rPr>
              <w:t>Organizacje współpracujące transgranicznie</w:t>
            </w:r>
          </w:p>
        </w:tc>
        <w:tc>
          <w:tcPr>
            <w:tcW w:w="919" w:type="pct"/>
          </w:tcPr>
          <w:p w14:paraId="490D16F0" w14:textId="3985F2CF" w:rsidR="002D5C6E" w:rsidRPr="00000498" w:rsidRDefault="002D5C6E" w:rsidP="002D5C6E">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Organizacja</w:t>
            </w:r>
          </w:p>
        </w:tc>
        <w:tc>
          <w:tcPr>
            <w:tcW w:w="516" w:type="pct"/>
            <w:shd w:val="clear" w:color="auto" w:fill="auto"/>
          </w:tcPr>
          <w:p w14:paraId="1635DA0B" w14:textId="7F90E4AB" w:rsidR="002D5C6E" w:rsidRPr="00000498" w:rsidRDefault="002D5C6E" w:rsidP="002D5C6E">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21</w:t>
            </w:r>
          </w:p>
        </w:tc>
        <w:tc>
          <w:tcPr>
            <w:tcW w:w="630" w:type="pct"/>
            <w:shd w:val="clear" w:color="auto" w:fill="auto"/>
          </w:tcPr>
          <w:p w14:paraId="2AFA9E35" w14:textId="6DD149D0" w:rsidR="002D5C6E" w:rsidRPr="00000498" w:rsidRDefault="002D5C6E" w:rsidP="002D5C6E">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346</w:t>
            </w:r>
          </w:p>
        </w:tc>
      </w:tr>
      <w:tr w:rsidR="002D5C6E" w:rsidRPr="0025401D" w14:paraId="701392D4" w14:textId="56031B87" w:rsidTr="002D5C6E">
        <w:trPr>
          <w:trHeight w:val="579"/>
        </w:trPr>
        <w:tc>
          <w:tcPr>
            <w:tcW w:w="569" w:type="pct"/>
          </w:tcPr>
          <w:p w14:paraId="3C8D5F77" w14:textId="77777777" w:rsidR="002D5C6E" w:rsidRPr="00000498" w:rsidRDefault="002D5C6E" w:rsidP="002D5C6E">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1</w:t>
            </w:r>
          </w:p>
        </w:tc>
        <w:tc>
          <w:tcPr>
            <w:tcW w:w="709" w:type="pct"/>
          </w:tcPr>
          <w:p w14:paraId="169430A6" w14:textId="5119F94E" w:rsidR="002D5C6E" w:rsidRPr="00000498" w:rsidRDefault="002D5C6E" w:rsidP="002D5C6E">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i</w:t>
            </w:r>
          </w:p>
        </w:tc>
        <w:tc>
          <w:tcPr>
            <w:tcW w:w="679" w:type="pct"/>
          </w:tcPr>
          <w:p w14:paraId="4E1B10AB" w14:textId="77777777" w:rsidR="002D5C6E" w:rsidRPr="00000498" w:rsidRDefault="002D5C6E" w:rsidP="002D5C6E">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RCO116</w:t>
            </w:r>
          </w:p>
        </w:tc>
        <w:tc>
          <w:tcPr>
            <w:tcW w:w="978" w:type="pct"/>
            <w:shd w:val="clear" w:color="auto" w:fill="auto"/>
          </w:tcPr>
          <w:p w14:paraId="7F5B4B15" w14:textId="272279D6" w:rsidR="002D5C6E" w:rsidRPr="00000498" w:rsidRDefault="002D5C6E" w:rsidP="002D5C6E">
            <w:pPr>
              <w:spacing w:before="120" w:after="120" w:line="240" w:lineRule="auto"/>
              <w:rPr>
                <w:rFonts w:asciiTheme="minorHAnsi" w:hAnsiTheme="minorHAnsi" w:cstheme="minorHAnsi"/>
                <w:szCs w:val="24"/>
                <w:lang w:val="pl-PL"/>
              </w:rPr>
            </w:pPr>
            <w:r w:rsidRPr="00000498">
              <w:rPr>
                <w:rFonts w:asciiTheme="minorHAnsi" w:hAnsiTheme="minorHAnsi" w:cstheme="minorHAnsi"/>
                <w:szCs w:val="24"/>
                <w:lang w:val="pl-PL"/>
              </w:rPr>
              <w:t>Wspólnie opracowane rozwiązania</w:t>
            </w:r>
          </w:p>
        </w:tc>
        <w:tc>
          <w:tcPr>
            <w:tcW w:w="919" w:type="pct"/>
          </w:tcPr>
          <w:p w14:paraId="6C5C5219" w14:textId="5FEB4543" w:rsidR="002D5C6E" w:rsidRPr="00000498" w:rsidRDefault="002D5C6E" w:rsidP="002D5C6E">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Rozwiązanie</w:t>
            </w:r>
          </w:p>
        </w:tc>
        <w:tc>
          <w:tcPr>
            <w:tcW w:w="516" w:type="pct"/>
            <w:shd w:val="clear" w:color="auto" w:fill="auto"/>
          </w:tcPr>
          <w:p w14:paraId="2CC67175" w14:textId="45D5347F" w:rsidR="002D5C6E" w:rsidRPr="00000498" w:rsidRDefault="002D5C6E" w:rsidP="002D5C6E">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1</w:t>
            </w:r>
          </w:p>
        </w:tc>
        <w:tc>
          <w:tcPr>
            <w:tcW w:w="630" w:type="pct"/>
            <w:shd w:val="clear" w:color="auto" w:fill="auto"/>
          </w:tcPr>
          <w:p w14:paraId="53FB7064" w14:textId="39793BDA" w:rsidR="002D5C6E" w:rsidRPr="00000498" w:rsidRDefault="002D5C6E" w:rsidP="002D5C6E">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18</w:t>
            </w:r>
          </w:p>
        </w:tc>
      </w:tr>
    </w:tbl>
    <w:p w14:paraId="39F4BB70" w14:textId="12D0F8C6" w:rsidR="00932BA9" w:rsidRPr="00F879CC" w:rsidRDefault="002D5C6E" w:rsidP="00F879CC">
      <w:pPr>
        <w:spacing w:before="240" w:after="240" w:line="276" w:lineRule="auto"/>
        <w:rPr>
          <w:rFonts w:asciiTheme="minorHAnsi" w:eastAsia="Times New Roman" w:hAnsiTheme="minorHAnsi" w:cstheme="minorHAnsi"/>
          <w:iCs/>
          <w:szCs w:val="24"/>
          <w:lang w:val="pl-PL" w:eastAsia="en-GB"/>
        </w:rPr>
      </w:pPr>
      <w:r w:rsidRPr="00F879CC">
        <w:rPr>
          <w:rFonts w:asciiTheme="minorHAnsi" w:eastAsia="Times New Roman" w:hAnsiTheme="minorHAnsi" w:cstheme="minorHAnsi"/>
          <w:iCs/>
          <w:szCs w:val="24"/>
          <w:lang w:val="pl-PL" w:eastAsia="en-GB"/>
        </w:rPr>
        <w:t>Tabela</w:t>
      </w:r>
      <w:r w:rsidR="00932BA9" w:rsidRPr="00F879CC">
        <w:rPr>
          <w:rFonts w:asciiTheme="minorHAnsi" w:eastAsia="Times New Roman" w:hAnsiTheme="minorHAnsi" w:cstheme="minorHAnsi"/>
          <w:iCs/>
          <w:szCs w:val="24"/>
          <w:lang w:val="pl-PL" w:eastAsia="en-GB"/>
        </w:rPr>
        <w:t xml:space="preserve"> 3: </w:t>
      </w:r>
      <w:r w:rsidRPr="00F879CC">
        <w:rPr>
          <w:rFonts w:asciiTheme="minorHAnsi" w:eastAsia="Times New Roman" w:hAnsiTheme="minorHAnsi" w:cstheme="minorHAnsi"/>
          <w:iCs/>
          <w:szCs w:val="24"/>
          <w:lang w:val="pl-PL" w:eastAsia="en-GB"/>
        </w:rPr>
        <w:t>Wskaźniki rezultatu</w:t>
      </w:r>
      <w:r w:rsidR="00932BA9" w:rsidRPr="00F879CC">
        <w:rPr>
          <w:rFonts w:asciiTheme="minorHAnsi" w:eastAsia="Times New Roman" w:hAnsiTheme="minorHAnsi" w:cstheme="minorHAnsi"/>
          <w:iCs/>
          <w:szCs w:val="24"/>
          <w:lang w:val="pl-PL" w:eastAsia="en-GB"/>
        </w:rPr>
        <w:t xml:space="preserve"> </w:t>
      </w:r>
    </w:p>
    <w:tbl>
      <w:tblPr>
        <w:tblW w:w="56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abela dotycząca wskaźników rezultatu"/>
      </w:tblPr>
      <w:tblGrid>
        <w:gridCol w:w="860"/>
        <w:gridCol w:w="1069"/>
        <w:gridCol w:w="642"/>
        <w:gridCol w:w="1246"/>
        <w:gridCol w:w="970"/>
        <w:gridCol w:w="1021"/>
        <w:gridCol w:w="1016"/>
        <w:gridCol w:w="870"/>
        <w:gridCol w:w="1018"/>
        <w:gridCol w:w="1744"/>
      </w:tblGrid>
      <w:tr w:rsidR="00F879CC" w:rsidRPr="0025401D" w14:paraId="36AC9729" w14:textId="77777777" w:rsidTr="004105E1">
        <w:trPr>
          <w:trHeight w:val="947"/>
          <w:tblHeader/>
        </w:trPr>
        <w:tc>
          <w:tcPr>
            <w:tcW w:w="411" w:type="pct"/>
          </w:tcPr>
          <w:p w14:paraId="7CC78B3B" w14:textId="31A10A7E" w:rsidR="002D5C6E" w:rsidRPr="00862621" w:rsidRDefault="002D5C6E" w:rsidP="002D5C6E">
            <w:pPr>
              <w:spacing w:before="120" w:after="120" w:line="240" w:lineRule="auto"/>
              <w:jc w:val="both"/>
              <w:rPr>
                <w:rFonts w:asciiTheme="minorHAnsi" w:hAnsiTheme="minorHAnsi" w:cstheme="minorHAnsi"/>
                <w:b/>
                <w:szCs w:val="24"/>
                <w:lang w:val="pl-PL"/>
              </w:rPr>
            </w:pPr>
            <w:r w:rsidRPr="0025401D">
              <w:rPr>
                <w:rFonts w:asciiTheme="minorHAnsi" w:hAnsiTheme="minorHAnsi" w:cstheme="minorHAnsi"/>
                <w:b/>
                <w:szCs w:val="24"/>
                <w:lang w:val="pl-PL"/>
              </w:rPr>
              <w:t>Prio</w:t>
            </w:r>
            <w:r w:rsidRPr="00862621">
              <w:rPr>
                <w:rFonts w:asciiTheme="minorHAnsi" w:hAnsiTheme="minorHAnsi" w:cstheme="minorHAnsi"/>
                <w:b/>
                <w:szCs w:val="24"/>
                <w:lang w:val="pl-PL"/>
              </w:rPr>
              <w:t xml:space="preserve">rytet </w:t>
            </w:r>
          </w:p>
        </w:tc>
        <w:tc>
          <w:tcPr>
            <w:tcW w:w="511" w:type="pct"/>
          </w:tcPr>
          <w:p w14:paraId="0E354495" w14:textId="7B4BF835" w:rsidR="002D5C6E" w:rsidRPr="00862621" w:rsidRDefault="002D5C6E" w:rsidP="002D5C6E">
            <w:pPr>
              <w:spacing w:before="120" w:after="120" w:line="240" w:lineRule="auto"/>
              <w:jc w:val="both"/>
              <w:rPr>
                <w:rFonts w:asciiTheme="minorHAnsi" w:hAnsiTheme="minorHAnsi" w:cstheme="minorHAnsi"/>
                <w:b/>
                <w:szCs w:val="24"/>
                <w:lang w:val="pl-PL"/>
              </w:rPr>
            </w:pPr>
            <w:r w:rsidRPr="00862621">
              <w:rPr>
                <w:rFonts w:asciiTheme="minorHAnsi" w:hAnsiTheme="minorHAnsi" w:cstheme="minorHAnsi"/>
                <w:b/>
                <w:szCs w:val="24"/>
                <w:lang w:val="pl-PL"/>
              </w:rPr>
              <w:t>Cel szczegółowy</w:t>
            </w:r>
          </w:p>
        </w:tc>
        <w:tc>
          <w:tcPr>
            <w:tcW w:w="307" w:type="pct"/>
          </w:tcPr>
          <w:p w14:paraId="2C94BC35" w14:textId="78663475" w:rsidR="002D5C6E" w:rsidRPr="0025401D" w:rsidRDefault="002D5C6E" w:rsidP="002D5C6E">
            <w:pPr>
              <w:spacing w:before="120" w:after="120" w:line="240" w:lineRule="auto"/>
              <w:jc w:val="both"/>
              <w:rPr>
                <w:rFonts w:asciiTheme="minorHAnsi" w:hAnsiTheme="minorHAnsi" w:cstheme="minorHAnsi"/>
                <w:b/>
                <w:szCs w:val="24"/>
                <w:lang w:val="pl-PL"/>
              </w:rPr>
            </w:pPr>
            <w:r w:rsidRPr="0025401D">
              <w:rPr>
                <w:rFonts w:asciiTheme="minorHAnsi" w:hAnsiTheme="minorHAnsi" w:cstheme="minorHAnsi"/>
                <w:b/>
                <w:szCs w:val="24"/>
                <w:lang w:val="pl-PL"/>
              </w:rPr>
              <w:t>ID</w:t>
            </w:r>
          </w:p>
        </w:tc>
        <w:tc>
          <w:tcPr>
            <w:tcW w:w="596" w:type="pct"/>
            <w:shd w:val="clear" w:color="auto" w:fill="auto"/>
          </w:tcPr>
          <w:p w14:paraId="6104F9F2" w14:textId="44D8DBAC" w:rsidR="002D5C6E" w:rsidRPr="0025401D" w:rsidRDefault="002D5C6E" w:rsidP="002D5C6E">
            <w:pPr>
              <w:spacing w:before="120" w:after="120" w:line="240" w:lineRule="auto"/>
              <w:jc w:val="both"/>
              <w:rPr>
                <w:rFonts w:asciiTheme="minorHAnsi" w:hAnsiTheme="minorHAnsi" w:cstheme="minorHAnsi"/>
                <w:b/>
                <w:szCs w:val="24"/>
                <w:lang w:val="pl-PL"/>
              </w:rPr>
            </w:pPr>
            <w:r w:rsidRPr="0025401D">
              <w:rPr>
                <w:rFonts w:asciiTheme="minorHAnsi" w:hAnsiTheme="minorHAnsi" w:cstheme="minorHAnsi"/>
                <w:b/>
                <w:szCs w:val="24"/>
                <w:lang w:val="pl-PL"/>
              </w:rPr>
              <w:t>Wskaźnik</w:t>
            </w:r>
          </w:p>
        </w:tc>
        <w:tc>
          <w:tcPr>
            <w:tcW w:w="464" w:type="pct"/>
          </w:tcPr>
          <w:p w14:paraId="16F597B4" w14:textId="412D70D1" w:rsidR="002D5C6E" w:rsidRPr="0025401D" w:rsidRDefault="002D5C6E" w:rsidP="002D5C6E">
            <w:pPr>
              <w:spacing w:before="120" w:after="120" w:line="240" w:lineRule="auto"/>
              <w:jc w:val="both"/>
              <w:rPr>
                <w:rFonts w:asciiTheme="minorHAnsi" w:hAnsiTheme="minorHAnsi" w:cstheme="minorHAnsi"/>
                <w:b/>
                <w:szCs w:val="24"/>
                <w:lang w:val="pl-PL"/>
              </w:rPr>
            </w:pPr>
            <w:r w:rsidRPr="0025401D">
              <w:rPr>
                <w:rFonts w:asciiTheme="minorHAnsi" w:hAnsiTheme="minorHAnsi" w:cstheme="minorHAnsi"/>
                <w:b/>
                <w:szCs w:val="24"/>
                <w:lang w:val="pl-PL"/>
              </w:rPr>
              <w:t>Jednostka miary</w:t>
            </w:r>
          </w:p>
        </w:tc>
        <w:tc>
          <w:tcPr>
            <w:tcW w:w="488" w:type="pct"/>
          </w:tcPr>
          <w:p w14:paraId="66C97F3F" w14:textId="39E843BB" w:rsidR="002D5C6E" w:rsidRPr="0025401D" w:rsidRDefault="002D5C6E" w:rsidP="002D5C6E">
            <w:pPr>
              <w:spacing w:before="120" w:after="120" w:line="240" w:lineRule="auto"/>
              <w:jc w:val="both"/>
              <w:rPr>
                <w:rFonts w:asciiTheme="minorHAnsi" w:hAnsiTheme="minorHAnsi" w:cstheme="minorHAnsi"/>
                <w:b/>
                <w:szCs w:val="24"/>
                <w:lang w:val="pl-PL"/>
              </w:rPr>
            </w:pPr>
            <w:r w:rsidRPr="0025401D">
              <w:rPr>
                <w:rFonts w:asciiTheme="minorHAnsi" w:hAnsiTheme="minorHAnsi" w:cstheme="minorHAnsi"/>
                <w:b/>
                <w:szCs w:val="24"/>
                <w:lang w:val="pl-PL"/>
              </w:rPr>
              <w:t>Wartość bazowa</w:t>
            </w:r>
          </w:p>
        </w:tc>
        <w:tc>
          <w:tcPr>
            <w:tcW w:w="486" w:type="pct"/>
          </w:tcPr>
          <w:p w14:paraId="5B239031" w14:textId="5FC4D2F1" w:rsidR="002D5C6E" w:rsidRPr="0025401D" w:rsidRDefault="002D5C6E" w:rsidP="002D5C6E">
            <w:pPr>
              <w:spacing w:before="120" w:after="120" w:line="240" w:lineRule="auto"/>
              <w:jc w:val="both"/>
              <w:rPr>
                <w:rFonts w:asciiTheme="minorHAnsi" w:hAnsiTheme="minorHAnsi" w:cstheme="minorHAnsi"/>
                <w:b/>
                <w:szCs w:val="24"/>
                <w:lang w:val="pl-PL"/>
              </w:rPr>
            </w:pPr>
            <w:r w:rsidRPr="0025401D">
              <w:rPr>
                <w:rFonts w:asciiTheme="minorHAnsi" w:hAnsiTheme="minorHAnsi" w:cstheme="minorHAnsi"/>
                <w:b/>
                <w:szCs w:val="24"/>
                <w:lang w:val="pl-PL"/>
              </w:rPr>
              <w:t>Rok odniesienia</w:t>
            </w:r>
          </w:p>
        </w:tc>
        <w:tc>
          <w:tcPr>
            <w:tcW w:w="416" w:type="pct"/>
            <w:shd w:val="clear" w:color="auto" w:fill="auto"/>
          </w:tcPr>
          <w:p w14:paraId="7E5F8EC0" w14:textId="73277CB3" w:rsidR="002D5C6E" w:rsidRPr="0025401D" w:rsidRDefault="002D5C6E" w:rsidP="002D5C6E">
            <w:pPr>
              <w:spacing w:before="120" w:after="120" w:line="240" w:lineRule="auto"/>
              <w:jc w:val="both"/>
              <w:rPr>
                <w:rFonts w:asciiTheme="minorHAnsi" w:hAnsiTheme="minorHAnsi" w:cstheme="minorHAnsi"/>
                <w:b/>
                <w:szCs w:val="24"/>
                <w:lang w:val="pl-PL"/>
              </w:rPr>
            </w:pPr>
            <w:r w:rsidRPr="0025401D">
              <w:rPr>
                <w:rFonts w:asciiTheme="minorHAnsi" w:hAnsiTheme="minorHAnsi" w:cstheme="minorHAnsi"/>
                <w:b/>
                <w:szCs w:val="24"/>
                <w:lang w:val="pl-PL"/>
              </w:rPr>
              <w:t>Cel ostateczny (2029)</w:t>
            </w:r>
          </w:p>
        </w:tc>
        <w:tc>
          <w:tcPr>
            <w:tcW w:w="487" w:type="pct"/>
            <w:shd w:val="clear" w:color="auto" w:fill="auto"/>
          </w:tcPr>
          <w:p w14:paraId="32F44B9E" w14:textId="73B9CB37" w:rsidR="002D5C6E" w:rsidRPr="0025401D" w:rsidRDefault="002D5C6E" w:rsidP="002D5C6E">
            <w:pPr>
              <w:spacing w:before="120" w:after="120" w:line="240" w:lineRule="auto"/>
              <w:jc w:val="both"/>
              <w:rPr>
                <w:rFonts w:asciiTheme="minorHAnsi" w:hAnsiTheme="minorHAnsi" w:cstheme="minorHAnsi"/>
                <w:b/>
                <w:szCs w:val="24"/>
                <w:lang w:val="pl-PL"/>
              </w:rPr>
            </w:pPr>
            <w:r w:rsidRPr="0025401D">
              <w:rPr>
                <w:rFonts w:asciiTheme="minorHAnsi" w:hAnsiTheme="minorHAnsi" w:cstheme="minorHAnsi"/>
                <w:b/>
                <w:szCs w:val="24"/>
                <w:lang w:val="pl-PL"/>
              </w:rPr>
              <w:t>Źródło danych</w:t>
            </w:r>
          </w:p>
        </w:tc>
        <w:tc>
          <w:tcPr>
            <w:tcW w:w="834" w:type="pct"/>
          </w:tcPr>
          <w:p w14:paraId="6105CD94" w14:textId="1576E922" w:rsidR="002D5C6E" w:rsidRPr="0025401D" w:rsidRDefault="002D5C6E" w:rsidP="002D5C6E">
            <w:pPr>
              <w:spacing w:before="120" w:after="120" w:line="480" w:lineRule="auto"/>
              <w:jc w:val="both"/>
              <w:rPr>
                <w:rFonts w:asciiTheme="minorHAnsi" w:hAnsiTheme="minorHAnsi" w:cstheme="minorHAnsi"/>
                <w:b/>
                <w:szCs w:val="24"/>
                <w:lang w:val="pl-PL"/>
              </w:rPr>
            </w:pPr>
            <w:r w:rsidRPr="0025401D">
              <w:rPr>
                <w:rFonts w:asciiTheme="minorHAnsi" w:hAnsiTheme="minorHAnsi" w:cstheme="minorHAnsi"/>
                <w:b/>
                <w:szCs w:val="24"/>
                <w:lang w:val="pl-PL"/>
              </w:rPr>
              <w:t>Uwagi</w:t>
            </w:r>
          </w:p>
        </w:tc>
      </w:tr>
      <w:tr w:rsidR="00F879CC" w:rsidRPr="00367EF1" w14:paraId="4A37F732" w14:textId="77777777" w:rsidTr="004105E1">
        <w:trPr>
          <w:trHeight w:val="629"/>
        </w:trPr>
        <w:tc>
          <w:tcPr>
            <w:tcW w:w="411" w:type="pct"/>
          </w:tcPr>
          <w:p w14:paraId="162FC50E" w14:textId="77777777" w:rsidR="002D73BF" w:rsidRPr="00000498" w:rsidRDefault="002D73BF" w:rsidP="002D73BF">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1</w:t>
            </w:r>
          </w:p>
        </w:tc>
        <w:tc>
          <w:tcPr>
            <w:tcW w:w="511" w:type="pct"/>
          </w:tcPr>
          <w:p w14:paraId="41A776AA" w14:textId="6C7E0B16" w:rsidR="002D73BF" w:rsidRPr="00000498" w:rsidRDefault="002D73BF" w:rsidP="002D73BF">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i</w:t>
            </w:r>
          </w:p>
        </w:tc>
        <w:tc>
          <w:tcPr>
            <w:tcW w:w="307" w:type="pct"/>
          </w:tcPr>
          <w:p w14:paraId="508023A9" w14:textId="77777777" w:rsidR="002D73BF" w:rsidRPr="00000498" w:rsidRDefault="002D73BF" w:rsidP="002D73BF">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PSR1</w:t>
            </w:r>
          </w:p>
        </w:tc>
        <w:tc>
          <w:tcPr>
            <w:tcW w:w="596" w:type="pct"/>
            <w:shd w:val="clear" w:color="auto" w:fill="auto"/>
          </w:tcPr>
          <w:p w14:paraId="5EE4E44F" w14:textId="1A6C576F" w:rsidR="002D73BF" w:rsidRPr="00000498" w:rsidRDefault="002D73BF" w:rsidP="002D73BF">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 xml:space="preserve">Organizacje o zwiększonych zdolnościach </w:t>
            </w:r>
            <w:r w:rsidRPr="00000498">
              <w:rPr>
                <w:rFonts w:asciiTheme="minorHAnsi" w:hAnsiTheme="minorHAnsi" w:cstheme="minorHAnsi"/>
                <w:szCs w:val="24"/>
                <w:lang w:val="pl-PL"/>
              </w:rPr>
              <w:lastRenderedPageBreak/>
              <w:t>instytucjonalnych ze względu na udział we współpracy transgranicznej</w:t>
            </w:r>
          </w:p>
        </w:tc>
        <w:tc>
          <w:tcPr>
            <w:tcW w:w="464" w:type="pct"/>
          </w:tcPr>
          <w:p w14:paraId="0E178358" w14:textId="2D3FF720" w:rsidR="002D73BF" w:rsidRPr="00000498" w:rsidRDefault="002D73BF" w:rsidP="002D73BF">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lastRenderedPageBreak/>
              <w:t>Organizacja</w:t>
            </w:r>
          </w:p>
        </w:tc>
        <w:tc>
          <w:tcPr>
            <w:tcW w:w="488" w:type="pct"/>
          </w:tcPr>
          <w:p w14:paraId="371675E0" w14:textId="695E3380" w:rsidR="002D73BF" w:rsidRPr="00000498" w:rsidRDefault="002D73BF" w:rsidP="002D73BF">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0</w:t>
            </w:r>
          </w:p>
        </w:tc>
        <w:tc>
          <w:tcPr>
            <w:tcW w:w="486" w:type="pct"/>
          </w:tcPr>
          <w:p w14:paraId="73B4E0F9" w14:textId="5DEAAC1C" w:rsidR="002D73BF" w:rsidRPr="00000498" w:rsidRDefault="002D73BF" w:rsidP="002D73BF">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szCs w:val="24"/>
                <w:lang w:val="pl-PL"/>
              </w:rPr>
              <w:t>2022</w:t>
            </w:r>
          </w:p>
        </w:tc>
        <w:tc>
          <w:tcPr>
            <w:tcW w:w="416" w:type="pct"/>
            <w:shd w:val="clear" w:color="auto" w:fill="auto"/>
          </w:tcPr>
          <w:p w14:paraId="7D279F0C" w14:textId="0ED99C9F" w:rsidR="002D73BF" w:rsidRPr="00000498" w:rsidRDefault="002D73BF" w:rsidP="002D73BF">
            <w:pPr>
              <w:spacing w:before="120" w:after="120" w:line="240" w:lineRule="auto"/>
              <w:jc w:val="center"/>
              <w:rPr>
                <w:rFonts w:asciiTheme="minorHAnsi" w:hAnsiTheme="minorHAnsi" w:cstheme="minorHAnsi"/>
                <w:b/>
                <w:szCs w:val="24"/>
                <w:lang w:val="pl-PL"/>
              </w:rPr>
            </w:pPr>
            <w:r w:rsidRPr="00000498">
              <w:rPr>
                <w:rFonts w:asciiTheme="minorHAnsi" w:hAnsiTheme="minorHAnsi" w:cstheme="minorHAnsi"/>
                <w:szCs w:val="24"/>
                <w:lang w:val="pl-PL"/>
              </w:rPr>
              <w:t>471</w:t>
            </w:r>
          </w:p>
        </w:tc>
        <w:tc>
          <w:tcPr>
            <w:tcW w:w="487" w:type="pct"/>
            <w:shd w:val="clear" w:color="auto" w:fill="auto"/>
          </w:tcPr>
          <w:p w14:paraId="740D9375" w14:textId="5889A233" w:rsidR="002D73BF" w:rsidRPr="00000498" w:rsidRDefault="002D73BF" w:rsidP="002D73BF">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Sprawozdania z postępów</w:t>
            </w:r>
          </w:p>
        </w:tc>
        <w:tc>
          <w:tcPr>
            <w:tcW w:w="834" w:type="pct"/>
            <w:tcBorders>
              <w:top w:val="single" w:sz="4" w:space="0" w:color="auto"/>
              <w:left w:val="single" w:sz="4" w:space="0" w:color="auto"/>
              <w:bottom w:val="single" w:sz="4" w:space="0" w:color="auto"/>
              <w:right w:val="single" w:sz="4" w:space="0" w:color="auto"/>
            </w:tcBorders>
          </w:tcPr>
          <w:p w14:paraId="22A5CDA3" w14:textId="77777777" w:rsidR="002D73BF" w:rsidRPr="00000498" w:rsidRDefault="002D73BF" w:rsidP="002D73BF">
            <w:pPr>
              <w:spacing w:before="120" w:after="120" w:line="240" w:lineRule="auto"/>
              <w:rPr>
                <w:rFonts w:asciiTheme="minorHAnsi" w:hAnsiTheme="minorHAnsi" w:cstheme="minorHAnsi"/>
                <w:b/>
                <w:szCs w:val="24"/>
                <w:lang w:val="pl-PL"/>
              </w:rPr>
            </w:pPr>
            <w:r w:rsidRPr="00000498">
              <w:rPr>
                <w:rFonts w:asciiTheme="minorHAnsi" w:hAnsiTheme="minorHAnsi" w:cstheme="minorHAnsi"/>
                <w:b/>
                <w:szCs w:val="24"/>
                <w:lang w:val="pl-PL"/>
              </w:rPr>
              <w:t>Regularne projekty</w:t>
            </w:r>
          </w:p>
          <w:p w14:paraId="4DCE992A" w14:textId="77777777" w:rsidR="002D73BF" w:rsidRPr="00000498" w:rsidRDefault="002D73BF" w:rsidP="002D73BF">
            <w:pPr>
              <w:spacing w:before="120" w:after="120" w:line="240" w:lineRule="auto"/>
              <w:rPr>
                <w:rFonts w:asciiTheme="minorHAnsi" w:hAnsiTheme="minorHAnsi" w:cstheme="minorHAnsi"/>
                <w:szCs w:val="24"/>
                <w:lang w:val="pl-PL"/>
              </w:rPr>
            </w:pPr>
            <w:r w:rsidRPr="00000498">
              <w:rPr>
                <w:rFonts w:asciiTheme="minorHAnsi" w:hAnsiTheme="minorHAnsi" w:cstheme="minorHAnsi"/>
                <w:szCs w:val="24"/>
                <w:lang w:val="pl-PL"/>
              </w:rPr>
              <w:t xml:space="preserve">Szacuje się, że oprócz organizacji </w:t>
            </w:r>
            <w:r w:rsidRPr="00000498">
              <w:rPr>
                <w:rFonts w:asciiTheme="minorHAnsi" w:hAnsiTheme="minorHAnsi" w:cstheme="minorHAnsi"/>
                <w:szCs w:val="24"/>
                <w:lang w:val="pl-PL"/>
              </w:rPr>
              <w:lastRenderedPageBreak/>
              <w:t>obliczonych dla RCO87, 10 organizacji spoza partnerstwa na projekt zwiększy swoje możliwości instytucjonalne (łącznie 421 organizacji).</w:t>
            </w:r>
          </w:p>
          <w:p w14:paraId="09D6CDE2" w14:textId="77777777" w:rsidR="002D73BF" w:rsidRPr="00000498" w:rsidRDefault="002D73BF" w:rsidP="002D73BF">
            <w:pPr>
              <w:spacing w:before="120" w:after="120" w:line="240" w:lineRule="auto"/>
              <w:rPr>
                <w:rFonts w:asciiTheme="minorHAnsi" w:hAnsiTheme="minorHAnsi" w:cstheme="minorHAnsi"/>
                <w:b/>
                <w:szCs w:val="24"/>
                <w:lang w:val="pl-PL"/>
              </w:rPr>
            </w:pPr>
            <w:r w:rsidRPr="00000498">
              <w:rPr>
                <w:rFonts w:asciiTheme="minorHAnsi" w:hAnsiTheme="minorHAnsi" w:cstheme="minorHAnsi"/>
                <w:b/>
                <w:szCs w:val="24"/>
                <w:lang w:val="pl-PL"/>
              </w:rPr>
              <w:t>Małe projekty</w:t>
            </w:r>
          </w:p>
          <w:p w14:paraId="47DED256" w14:textId="10A5009D" w:rsidR="002D73BF" w:rsidRPr="0025401D" w:rsidRDefault="002D73BF" w:rsidP="002D73BF">
            <w:pPr>
              <w:spacing w:after="200" w:line="276" w:lineRule="auto"/>
              <w:rPr>
                <w:rFonts w:asciiTheme="minorHAnsi" w:hAnsiTheme="minorHAnsi" w:cstheme="minorHAnsi"/>
                <w:szCs w:val="24"/>
                <w:lang w:val="pl-PL"/>
              </w:rPr>
            </w:pPr>
            <w:r w:rsidRPr="00000498">
              <w:rPr>
                <w:rFonts w:asciiTheme="minorHAnsi" w:hAnsiTheme="minorHAnsi" w:cstheme="minorHAnsi"/>
                <w:szCs w:val="24"/>
                <w:lang w:val="pl-PL"/>
              </w:rPr>
              <w:t>Szacuje się, że oprócz organizacji obliczonych dla RCO87, 5 organizacji spoza partnerstwa na projekt zwiększy swoje możliwości</w:t>
            </w:r>
            <w:r w:rsidRPr="0025401D">
              <w:rPr>
                <w:rFonts w:asciiTheme="minorHAnsi" w:hAnsiTheme="minorHAnsi" w:cstheme="minorHAnsi"/>
                <w:szCs w:val="24"/>
                <w:lang w:val="pl-PL"/>
              </w:rPr>
              <w:t xml:space="preserve"> </w:t>
            </w:r>
            <w:r w:rsidRPr="00000498">
              <w:rPr>
                <w:rFonts w:asciiTheme="minorHAnsi" w:hAnsiTheme="minorHAnsi" w:cstheme="minorHAnsi"/>
                <w:szCs w:val="24"/>
                <w:lang w:val="pl-PL"/>
              </w:rPr>
              <w:t>instytucjonalne (łącznie 50 organizacji).</w:t>
            </w:r>
          </w:p>
        </w:tc>
      </w:tr>
      <w:tr w:rsidR="00F879CC" w:rsidRPr="00367EF1" w14:paraId="330D2B04" w14:textId="77777777" w:rsidTr="004105E1">
        <w:trPr>
          <w:trHeight w:val="629"/>
        </w:trPr>
        <w:tc>
          <w:tcPr>
            <w:tcW w:w="411" w:type="pct"/>
          </w:tcPr>
          <w:p w14:paraId="60131DB7" w14:textId="77777777" w:rsidR="002D73BF" w:rsidRPr="00000498" w:rsidRDefault="002D73BF" w:rsidP="002D73BF">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lastRenderedPageBreak/>
              <w:t>1</w:t>
            </w:r>
          </w:p>
        </w:tc>
        <w:tc>
          <w:tcPr>
            <w:tcW w:w="511" w:type="pct"/>
          </w:tcPr>
          <w:p w14:paraId="5867EC8A" w14:textId="3A7C3E75" w:rsidR="002D73BF" w:rsidRPr="00000498" w:rsidRDefault="002D73BF" w:rsidP="002D73BF">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i</w:t>
            </w:r>
          </w:p>
        </w:tc>
        <w:tc>
          <w:tcPr>
            <w:tcW w:w="307" w:type="pct"/>
          </w:tcPr>
          <w:p w14:paraId="25EA5C07" w14:textId="77777777" w:rsidR="002D73BF" w:rsidRPr="00000498" w:rsidRDefault="002D73BF" w:rsidP="002D73BF">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RCR</w:t>
            </w:r>
            <w:r w:rsidRPr="00000498">
              <w:rPr>
                <w:rFonts w:asciiTheme="minorHAnsi" w:hAnsiTheme="minorHAnsi" w:cstheme="minorHAnsi"/>
                <w:szCs w:val="24"/>
                <w:lang w:val="pl-PL"/>
              </w:rPr>
              <w:br/>
              <w:t>104</w:t>
            </w:r>
          </w:p>
        </w:tc>
        <w:tc>
          <w:tcPr>
            <w:tcW w:w="596" w:type="pct"/>
            <w:shd w:val="clear" w:color="auto" w:fill="auto"/>
          </w:tcPr>
          <w:p w14:paraId="2AD92F9E" w14:textId="13FC7BDF" w:rsidR="002D73BF" w:rsidRPr="00000498" w:rsidRDefault="002D73BF" w:rsidP="002D73BF">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Rozwiązania przyjęte lub rozbudowane przez organizacje</w:t>
            </w:r>
          </w:p>
        </w:tc>
        <w:tc>
          <w:tcPr>
            <w:tcW w:w="464" w:type="pct"/>
          </w:tcPr>
          <w:p w14:paraId="69048747" w14:textId="57A2312C" w:rsidR="002D73BF" w:rsidRPr="00000498" w:rsidRDefault="002D73BF" w:rsidP="002D73BF">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Rozwiązanie</w:t>
            </w:r>
          </w:p>
        </w:tc>
        <w:tc>
          <w:tcPr>
            <w:tcW w:w="488" w:type="pct"/>
          </w:tcPr>
          <w:p w14:paraId="6DC6A88D" w14:textId="7897BA93" w:rsidR="002D73BF" w:rsidRPr="00000498" w:rsidRDefault="002D73BF" w:rsidP="002D73BF">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0</w:t>
            </w:r>
          </w:p>
        </w:tc>
        <w:tc>
          <w:tcPr>
            <w:tcW w:w="486" w:type="pct"/>
          </w:tcPr>
          <w:p w14:paraId="793D096D" w14:textId="6FDD92C9" w:rsidR="002D73BF" w:rsidRPr="00000498" w:rsidRDefault="002D73BF" w:rsidP="002D73BF">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szCs w:val="24"/>
                <w:lang w:val="pl-PL"/>
              </w:rPr>
              <w:t>2022</w:t>
            </w:r>
          </w:p>
        </w:tc>
        <w:tc>
          <w:tcPr>
            <w:tcW w:w="416" w:type="pct"/>
            <w:shd w:val="clear" w:color="auto" w:fill="auto"/>
          </w:tcPr>
          <w:p w14:paraId="359FA37E" w14:textId="6A79CE3D" w:rsidR="002D73BF" w:rsidRPr="00000498" w:rsidRDefault="002D73BF" w:rsidP="002D73BF">
            <w:pPr>
              <w:spacing w:before="120" w:after="120" w:line="240" w:lineRule="auto"/>
              <w:jc w:val="center"/>
              <w:rPr>
                <w:rFonts w:asciiTheme="minorHAnsi" w:hAnsiTheme="minorHAnsi" w:cstheme="minorHAnsi"/>
                <w:b/>
                <w:szCs w:val="24"/>
                <w:lang w:val="pl-PL"/>
              </w:rPr>
            </w:pPr>
            <w:r w:rsidRPr="00000498">
              <w:rPr>
                <w:rFonts w:asciiTheme="minorHAnsi" w:hAnsiTheme="minorHAnsi" w:cstheme="minorHAnsi"/>
                <w:szCs w:val="24"/>
                <w:lang w:val="pl-PL"/>
              </w:rPr>
              <w:t>12</w:t>
            </w:r>
          </w:p>
        </w:tc>
        <w:tc>
          <w:tcPr>
            <w:tcW w:w="487" w:type="pct"/>
            <w:shd w:val="clear" w:color="auto" w:fill="auto"/>
          </w:tcPr>
          <w:p w14:paraId="484FED38" w14:textId="371ADEF0" w:rsidR="002D73BF" w:rsidRPr="00000498" w:rsidRDefault="002D73BF" w:rsidP="002D73BF">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Sprawozdania z postępów projektów</w:t>
            </w:r>
          </w:p>
        </w:tc>
        <w:tc>
          <w:tcPr>
            <w:tcW w:w="834" w:type="pct"/>
          </w:tcPr>
          <w:p w14:paraId="464C1702" w14:textId="77777777" w:rsidR="002D73BF" w:rsidRPr="00000498" w:rsidRDefault="002D73BF" w:rsidP="002D73BF">
            <w:pPr>
              <w:spacing w:before="120" w:after="120" w:line="240" w:lineRule="auto"/>
              <w:rPr>
                <w:rFonts w:asciiTheme="minorHAnsi" w:eastAsia="Calibri" w:hAnsiTheme="minorHAnsi" w:cstheme="minorHAnsi"/>
                <w:b/>
                <w:szCs w:val="24"/>
                <w:lang w:val="pl-PL"/>
              </w:rPr>
            </w:pPr>
            <w:bookmarkStart w:id="85" w:name="OLE_LINK239"/>
            <w:r w:rsidRPr="00000498">
              <w:rPr>
                <w:rFonts w:asciiTheme="minorHAnsi" w:eastAsia="Calibri" w:hAnsiTheme="minorHAnsi" w:cstheme="minorHAnsi"/>
                <w:b/>
                <w:szCs w:val="24"/>
                <w:lang w:val="pl-PL"/>
              </w:rPr>
              <w:t>Regularne projekty</w:t>
            </w:r>
          </w:p>
          <w:p w14:paraId="701B8FB9" w14:textId="77777777" w:rsidR="002D73BF" w:rsidRPr="00000498" w:rsidRDefault="002D73BF" w:rsidP="002D73BF">
            <w:pPr>
              <w:spacing w:before="120" w:after="120" w:line="240" w:lineRule="auto"/>
              <w:rPr>
                <w:rFonts w:asciiTheme="minorHAnsi" w:eastAsia="Calibri" w:hAnsiTheme="minorHAnsi" w:cstheme="minorHAnsi"/>
                <w:szCs w:val="24"/>
                <w:lang w:val="pl-PL"/>
              </w:rPr>
            </w:pPr>
            <w:r w:rsidRPr="00000498">
              <w:rPr>
                <w:rFonts w:asciiTheme="minorHAnsi" w:eastAsia="Calibri" w:hAnsiTheme="minorHAnsi" w:cstheme="minorHAnsi"/>
                <w:szCs w:val="24"/>
                <w:lang w:val="pl-PL"/>
              </w:rPr>
              <w:t xml:space="preserve">Oczekuje się, iż w ramach (średnio) każdego projektu zostanie opracowane 1 rozwiązanie, które zostanie zastosowane lub rozbudowane </w:t>
            </w:r>
            <w:r w:rsidRPr="00000498">
              <w:rPr>
                <w:rFonts w:asciiTheme="minorHAnsi" w:eastAsia="Calibri" w:hAnsiTheme="minorHAnsi" w:cstheme="minorHAnsi"/>
                <w:szCs w:val="24"/>
                <w:lang w:val="pl-PL"/>
              </w:rPr>
              <w:lastRenderedPageBreak/>
              <w:t>(łącznie 11 rozwiązań)</w:t>
            </w:r>
          </w:p>
          <w:p w14:paraId="6C65B0E7" w14:textId="77777777" w:rsidR="002D73BF" w:rsidRPr="00000498" w:rsidRDefault="002D73BF" w:rsidP="002D73BF">
            <w:pPr>
              <w:spacing w:before="120" w:after="120" w:line="240" w:lineRule="auto"/>
              <w:rPr>
                <w:rFonts w:asciiTheme="minorHAnsi" w:eastAsia="Calibri" w:hAnsiTheme="minorHAnsi" w:cstheme="minorHAnsi"/>
                <w:b/>
                <w:szCs w:val="24"/>
                <w:lang w:val="pl-PL"/>
              </w:rPr>
            </w:pPr>
            <w:r w:rsidRPr="00000498">
              <w:rPr>
                <w:rFonts w:asciiTheme="minorHAnsi" w:eastAsia="Calibri" w:hAnsiTheme="minorHAnsi" w:cstheme="minorHAnsi"/>
                <w:b/>
                <w:szCs w:val="24"/>
                <w:lang w:val="pl-PL"/>
              </w:rPr>
              <w:t>Małe projekty</w:t>
            </w:r>
          </w:p>
          <w:p w14:paraId="3D4C4C05" w14:textId="14408222" w:rsidR="002D73BF" w:rsidRPr="0025401D" w:rsidRDefault="002D73BF" w:rsidP="002D73BF">
            <w:pPr>
              <w:spacing w:after="200" w:line="276" w:lineRule="auto"/>
              <w:rPr>
                <w:rFonts w:asciiTheme="minorHAnsi" w:hAnsiTheme="minorHAnsi" w:cstheme="minorHAnsi"/>
                <w:szCs w:val="24"/>
                <w:lang w:val="pl-PL"/>
              </w:rPr>
            </w:pPr>
            <w:r w:rsidRPr="00000498">
              <w:rPr>
                <w:rFonts w:asciiTheme="minorHAnsi" w:eastAsia="Calibri" w:hAnsiTheme="minorHAnsi" w:cstheme="minorHAnsi"/>
                <w:szCs w:val="24"/>
                <w:lang w:val="pl-PL"/>
              </w:rPr>
              <w:t>Oczekuje się, że w ramach (średnio) 20% projektów zostanie opracowane 1 rozwiązanie, które zostanie zastosowane lub rozbudowane (łącznie 1 rozwiązanie).</w:t>
            </w:r>
            <w:bookmarkEnd w:id="85"/>
          </w:p>
        </w:tc>
      </w:tr>
    </w:tbl>
    <w:p w14:paraId="7D8EACF6" w14:textId="77777777" w:rsidR="0080199F" w:rsidRPr="00F879CC" w:rsidRDefault="0080199F" w:rsidP="0080199F">
      <w:pPr>
        <w:spacing w:before="240" w:after="240" w:line="240" w:lineRule="auto"/>
        <w:ind w:left="709" w:hanging="709"/>
        <w:jc w:val="both"/>
        <w:rPr>
          <w:rFonts w:asciiTheme="minorHAnsi" w:eastAsia="Times New Roman" w:hAnsiTheme="minorHAnsi" w:cstheme="minorHAnsi"/>
          <w:b/>
          <w:iCs/>
          <w:szCs w:val="24"/>
          <w:lang w:val="pl-PL" w:eastAsia="en-GB"/>
        </w:rPr>
      </w:pPr>
    </w:p>
    <w:p w14:paraId="658E63AF" w14:textId="261C6622" w:rsidR="0080199F" w:rsidRPr="00F879CC" w:rsidRDefault="0080199F" w:rsidP="00F879CC">
      <w:pPr>
        <w:spacing w:before="240" w:after="240" w:line="276" w:lineRule="auto"/>
        <w:ind w:left="709" w:hanging="709"/>
        <w:rPr>
          <w:rFonts w:asciiTheme="minorHAnsi" w:eastAsia="Times New Roman" w:hAnsiTheme="minorHAnsi" w:cstheme="minorHAnsi"/>
          <w:b/>
          <w:iCs/>
          <w:szCs w:val="24"/>
          <w:lang w:val="pl-PL" w:eastAsia="en-GB"/>
        </w:rPr>
      </w:pPr>
      <w:r w:rsidRPr="00F879CC">
        <w:rPr>
          <w:rFonts w:asciiTheme="minorHAnsi" w:eastAsia="Times New Roman" w:hAnsiTheme="minorHAnsi" w:cstheme="minorHAnsi"/>
          <w:b/>
          <w:iCs/>
          <w:szCs w:val="24"/>
          <w:lang w:val="pl-PL" w:eastAsia="en-GB"/>
        </w:rPr>
        <w:t>2.1.</w:t>
      </w:r>
      <w:r w:rsidR="00BD701F" w:rsidRPr="00F879CC">
        <w:rPr>
          <w:rFonts w:asciiTheme="minorHAnsi" w:eastAsia="Times New Roman" w:hAnsiTheme="minorHAnsi" w:cstheme="minorHAnsi"/>
          <w:b/>
          <w:iCs/>
          <w:szCs w:val="24"/>
          <w:lang w:val="pl-PL" w:eastAsia="en-GB"/>
        </w:rPr>
        <w:t>2</w:t>
      </w:r>
      <w:r w:rsidRPr="00F879CC">
        <w:rPr>
          <w:rFonts w:asciiTheme="minorHAnsi" w:eastAsia="Times New Roman" w:hAnsiTheme="minorHAnsi" w:cstheme="minorHAnsi"/>
          <w:b/>
          <w:iCs/>
          <w:szCs w:val="24"/>
          <w:lang w:val="pl-PL" w:eastAsia="en-GB"/>
        </w:rPr>
        <w:t>.3</w:t>
      </w:r>
      <w:r w:rsidRPr="00F879CC">
        <w:rPr>
          <w:rFonts w:asciiTheme="minorHAnsi" w:eastAsia="Times New Roman" w:hAnsiTheme="minorHAnsi" w:cstheme="minorHAnsi"/>
          <w:b/>
          <w:iCs/>
          <w:szCs w:val="24"/>
          <w:lang w:val="pl-PL" w:eastAsia="en-GB"/>
        </w:rPr>
        <w:tab/>
      </w:r>
      <w:r w:rsidR="00FE7B9C">
        <w:rPr>
          <w:rFonts w:asciiTheme="minorHAnsi" w:eastAsia="Times New Roman" w:hAnsiTheme="minorHAnsi" w:cstheme="minorHAnsi"/>
          <w:b/>
          <w:iCs/>
          <w:szCs w:val="24"/>
          <w:lang w:val="pl-PL" w:eastAsia="en-GB"/>
        </w:rPr>
        <w:t xml:space="preserve"> </w:t>
      </w:r>
      <w:r w:rsidR="002D73BF" w:rsidRPr="00F879CC">
        <w:rPr>
          <w:rFonts w:asciiTheme="minorHAnsi" w:eastAsia="Times New Roman" w:hAnsiTheme="minorHAnsi" w:cstheme="minorHAnsi"/>
          <w:b/>
          <w:iCs/>
          <w:szCs w:val="24"/>
          <w:lang w:val="pl-PL" w:eastAsia="en-GB"/>
        </w:rPr>
        <w:t>Podstawowe grupy docelowe</w:t>
      </w:r>
    </w:p>
    <w:p w14:paraId="22931667" w14:textId="58304B8B" w:rsidR="0080199F" w:rsidRPr="00F879CC" w:rsidRDefault="002D73BF" w:rsidP="00F879CC">
      <w:pPr>
        <w:spacing w:after="200" w:line="276" w:lineRule="auto"/>
        <w:rPr>
          <w:rFonts w:asciiTheme="minorHAnsi" w:eastAsia="Times New Roman" w:hAnsiTheme="minorHAnsi" w:cstheme="minorHAnsi"/>
          <w:szCs w:val="24"/>
          <w:lang w:val="pl-PL" w:eastAsia="en-GB"/>
        </w:rPr>
      </w:pPr>
      <w:r w:rsidRPr="00F879CC">
        <w:rPr>
          <w:rFonts w:asciiTheme="minorHAnsi" w:eastAsia="Times New Roman" w:hAnsiTheme="minorHAnsi" w:cstheme="minorHAnsi"/>
          <w:szCs w:val="24"/>
          <w:lang w:val="pl-PL" w:eastAsia="en-GB"/>
        </w:rPr>
        <w:t>Dotyczy: art. 17 ust. 4 lit. e) ppkt (iii), art. 17 ust. 9 lit. c) ppkt (iv)</w:t>
      </w:r>
    </w:p>
    <w:p w14:paraId="7FCF417C" w14:textId="1BFA5A6B" w:rsidR="0080199F" w:rsidRPr="00F879CC" w:rsidRDefault="002D73BF"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F879CC">
        <w:rPr>
          <w:rFonts w:asciiTheme="minorHAnsi" w:eastAsia="Times New Roman" w:hAnsiTheme="minorHAnsi" w:cstheme="minorHAnsi"/>
          <w:szCs w:val="24"/>
          <w:lang w:val="pl-PL" w:eastAsia="en-GB"/>
        </w:rPr>
        <w:t xml:space="preserve">W tym celu, Program jest skierowany przede wszystkim do władz publicznych na szczeblu lokalnym i regionalnym oraz w stosownych przypadkach krajowym. </w:t>
      </w:r>
      <w:r w:rsidR="00A20041">
        <w:rPr>
          <w:rFonts w:asciiTheme="minorHAnsi" w:eastAsia="Times New Roman" w:hAnsiTheme="minorHAnsi" w:cstheme="minorHAnsi"/>
          <w:szCs w:val="24"/>
          <w:lang w:val="pl-PL" w:eastAsia="en-GB"/>
        </w:rPr>
        <w:t>Odbiorcami są</w:t>
      </w:r>
      <w:r w:rsidRPr="00F879CC">
        <w:rPr>
          <w:rFonts w:asciiTheme="minorHAnsi" w:eastAsia="Times New Roman" w:hAnsiTheme="minorHAnsi" w:cstheme="minorHAnsi"/>
          <w:szCs w:val="24"/>
          <w:lang w:val="pl-PL" w:eastAsia="en-GB"/>
        </w:rPr>
        <w:t xml:space="preserve"> również wyspecjalizowan</w:t>
      </w:r>
      <w:r w:rsidR="00A20041">
        <w:rPr>
          <w:rFonts w:asciiTheme="minorHAnsi" w:eastAsia="Times New Roman" w:hAnsiTheme="minorHAnsi" w:cstheme="minorHAnsi"/>
          <w:szCs w:val="24"/>
          <w:lang w:val="pl-PL" w:eastAsia="en-GB"/>
        </w:rPr>
        <w:t>e</w:t>
      </w:r>
      <w:r w:rsidRPr="00F879CC">
        <w:rPr>
          <w:rFonts w:asciiTheme="minorHAnsi" w:eastAsia="Times New Roman" w:hAnsiTheme="minorHAnsi" w:cstheme="minorHAnsi"/>
          <w:szCs w:val="24"/>
          <w:lang w:val="pl-PL" w:eastAsia="en-GB"/>
        </w:rPr>
        <w:t xml:space="preserve"> agencj</w:t>
      </w:r>
      <w:r w:rsidR="00A20041">
        <w:rPr>
          <w:rFonts w:asciiTheme="minorHAnsi" w:eastAsia="Times New Roman" w:hAnsiTheme="minorHAnsi" w:cstheme="minorHAnsi"/>
          <w:szCs w:val="24"/>
          <w:lang w:val="pl-PL" w:eastAsia="en-GB"/>
        </w:rPr>
        <w:t>e</w:t>
      </w:r>
      <w:r w:rsidRPr="00F879CC">
        <w:rPr>
          <w:rFonts w:asciiTheme="minorHAnsi" w:eastAsia="Times New Roman" w:hAnsiTheme="minorHAnsi" w:cstheme="minorHAnsi"/>
          <w:szCs w:val="24"/>
          <w:lang w:val="pl-PL" w:eastAsia="en-GB"/>
        </w:rPr>
        <w:t xml:space="preserve"> oraz </w:t>
      </w:r>
      <w:r w:rsidR="00A20041" w:rsidRPr="00F879CC">
        <w:rPr>
          <w:rFonts w:asciiTheme="minorHAnsi" w:eastAsia="Times New Roman" w:hAnsiTheme="minorHAnsi" w:cstheme="minorHAnsi"/>
          <w:szCs w:val="24"/>
          <w:lang w:val="pl-PL" w:eastAsia="en-GB"/>
        </w:rPr>
        <w:t>dostawc</w:t>
      </w:r>
      <w:r w:rsidR="00A20041">
        <w:rPr>
          <w:rFonts w:asciiTheme="minorHAnsi" w:eastAsia="Times New Roman" w:hAnsiTheme="minorHAnsi" w:cstheme="minorHAnsi"/>
          <w:szCs w:val="24"/>
          <w:lang w:val="pl-PL" w:eastAsia="en-GB"/>
        </w:rPr>
        <w:t>y</w:t>
      </w:r>
      <w:r w:rsidR="00A20041" w:rsidRPr="00F879CC">
        <w:rPr>
          <w:rFonts w:asciiTheme="minorHAnsi" w:eastAsia="Times New Roman" w:hAnsiTheme="minorHAnsi" w:cstheme="minorHAnsi"/>
          <w:szCs w:val="24"/>
          <w:lang w:val="pl-PL" w:eastAsia="en-GB"/>
        </w:rPr>
        <w:t xml:space="preserve"> </w:t>
      </w:r>
      <w:r w:rsidRPr="00F879CC">
        <w:rPr>
          <w:rFonts w:asciiTheme="minorHAnsi" w:eastAsia="Times New Roman" w:hAnsiTheme="minorHAnsi" w:cstheme="minorHAnsi"/>
          <w:szCs w:val="24"/>
          <w:lang w:val="pl-PL" w:eastAsia="en-GB"/>
        </w:rPr>
        <w:t>infrastruktury i usług. Tego typu organizacje są głównymi siłami odpowiedzialnymi za świadczenie usług publicznych w regionie. Program kładzie nacisk na zaangażowanie obywateli za pośrednictwem organizacji pozarządowych tak, aby uwzględnić perspektywę użytkownika podczas opracowywania usług publicznych. W przypadku działań testujących tworzenie partnerstw innowacyjnych, Program zachęca do angażowania organizacji otoczenia biznesu. Tam gdzie to właściwe, Program zachęca do bezpośredniego angażowania przedsiębiorstw, np. w celu praktycznego przetestowania rozwiązania. Instytucje szkolnictwa wyższego oraz badawcze, a także ośrodki edukacyjne i szkoleniowe mogą przyłączyć się do działań w ramach współpracy transnarodowej, aby wesprzeć główne grupy docelowe dodatkową wiedzą i kompetencjami. W przypadku tego celu, dotyczy to w szczególności testowania koncepcji partnerstwa innowacyjnego. Ponadto, Program wspiera łączenie kompetencji z różnych sektorów w celu konsolidacji ofert usług dla obywateli</w:t>
      </w:r>
      <w:r w:rsidR="00BD701F" w:rsidRPr="00F879CC">
        <w:rPr>
          <w:rFonts w:asciiTheme="minorHAnsi" w:eastAsia="Times New Roman" w:hAnsiTheme="minorHAnsi" w:cstheme="minorHAnsi"/>
          <w:szCs w:val="24"/>
          <w:lang w:val="pl-PL" w:eastAsia="en-GB"/>
        </w:rPr>
        <w:t>.</w:t>
      </w:r>
    </w:p>
    <w:p w14:paraId="4D102A9B" w14:textId="2A86F21B" w:rsidR="0080199F" w:rsidRPr="00F879CC" w:rsidRDefault="0080199F" w:rsidP="00F879CC">
      <w:pPr>
        <w:spacing w:before="240" w:after="240" w:line="276" w:lineRule="auto"/>
        <w:ind w:left="709" w:hanging="709"/>
        <w:rPr>
          <w:rFonts w:asciiTheme="minorHAnsi" w:eastAsia="Times New Roman" w:hAnsiTheme="minorHAnsi" w:cstheme="minorHAnsi"/>
          <w:b/>
          <w:iCs/>
          <w:szCs w:val="24"/>
          <w:lang w:val="pl-PL" w:eastAsia="en-GB"/>
        </w:rPr>
      </w:pPr>
      <w:r w:rsidRPr="00F879CC">
        <w:rPr>
          <w:rFonts w:asciiTheme="minorHAnsi" w:eastAsia="Times New Roman" w:hAnsiTheme="minorHAnsi" w:cstheme="minorHAnsi"/>
          <w:b/>
          <w:iCs/>
          <w:szCs w:val="24"/>
          <w:lang w:val="pl-PL" w:eastAsia="en-GB"/>
        </w:rPr>
        <w:lastRenderedPageBreak/>
        <w:t>2.1.</w:t>
      </w:r>
      <w:r w:rsidR="00BD701F" w:rsidRPr="00F879CC">
        <w:rPr>
          <w:rFonts w:asciiTheme="minorHAnsi" w:eastAsia="Times New Roman" w:hAnsiTheme="minorHAnsi" w:cstheme="minorHAnsi"/>
          <w:b/>
          <w:iCs/>
          <w:szCs w:val="24"/>
          <w:lang w:val="pl-PL" w:eastAsia="en-GB"/>
        </w:rPr>
        <w:t>2</w:t>
      </w:r>
      <w:r w:rsidRPr="00F879CC">
        <w:rPr>
          <w:rFonts w:asciiTheme="minorHAnsi" w:eastAsia="Times New Roman" w:hAnsiTheme="minorHAnsi" w:cstheme="minorHAnsi"/>
          <w:b/>
          <w:iCs/>
          <w:szCs w:val="24"/>
          <w:lang w:val="pl-PL" w:eastAsia="en-GB"/>
        </w:rPr>
        <w:t>.4</w:t>
      </w:r>
      <w:r w:rsidRPr="00F879CC">
        <w:rPr>
          <w:rFonts w:asciiTheme="minorHAnsi" w:eastAsia="Times New Roman" w:hAnsiTheme="minorHAnsi" w:cstheme="minorHAnsi"/>
          <w:b/>
          <w:iCs/>
          <w:szCs w:val="24"/>
          <w:lang w:val="pl-PL" w:eastAsia="en-GB"/>
        </w:rPr>
        <w:tab/>
      </w:r>
      <w:r w:rsidR="00FE7B9C">
        <w:rPr>
          <w:rFonts w:asciiTheme="minorHAnsi" w:eastAsia="Times New Roman" w:hAnsiTheme="minorHAnsi" w:cstheme="minorHAnsi"/>
          <w:b/>
          <w:iCs/>
          <w:szCs w:val="24"/>
          <w:lang w:val="pl-PL" w:eastAsia="en-GB"/>
        </w:rPr>
        <w:t xml:space="preserve"> </w:t>
      </w:r>
      <w:r w:rsidR="00871A6C" w:rsidRPr="00F879CC">
        <w:rPr>
          <w:rFonts w:asciiTheme="minorHAnsi" w:eastAsia="Times New Roman" w:hAnsiTheme="minorHAnsi" w:cstheme="minorHAnsi"/>
          <w:b/>
          <w:iCs/>
          <w:szCs w:val="24"/>
          <w:lang w:val="pl-PL" w:eastAsia="en-GB"/>
        </w:rPr>
        <w:t>Wskazanie konkretnych terytoriów docelowych, w tym planowane wykorzystanie ZIT, RLKS lub innych narzędzi terytorialnych</w:t>
      </w:r>
    </w:p>
    <w:p w14:paraId="003F6031" w14:textId="5F8CBFFE" w:rsidR="0080199F" w:rsidRPr="00F879CC" w:rsidRDefault="00871A6C" w:rsidP="00F879CC">
      <w:pPr>
        <w:spacing w:after="200" w:line="276" w:lineRule="auto"/>
        <w:rPr>
          <w:rFonts w:asciiTheme="minorHAnsi" w:eastAsia="Times New Roman" w:hAnsiTheme="minorHAnsi" w:cstheme="minorHAnsi"/>
          <w:szCs w:val="24"/>
          <w:lang w:val="pl-PL" w:eastAsia="en-GB"/>
        </w:rPr>
      </w:pPr>
      <w:r w:rsidRPr="00F879CC">
        <w:rPr>
          <w:rFonts w:asciiTheme="minorHAnsi" w:eastAsia="Times New Roman" w:hAnsiTheme="minorHAnsi" w:cstheme="minorHAnsi"/>
          <w:szCs w:val="24"/>
          <w:lang w:val="pl-PL" w:eastAsia="en-GB"/>
        </w:rPr>
        <w:t>Dotyczy: art. 17 ust. 4 lit. e) ppkt (iv)</w:t>
      </w:r>
    </w:p>
    <w:p w14:paraId="1A59F026" w14:textId="2CC81ED1" w:rsidR="0080199F" w:rsidRPr="00F879CC" w:rsidRDefault="00871A6C"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F879CC">
        <w:rPr>
          <w:rFonts w:asciiTheme="minorHAnsi" w:eastAsia="Times New Roman" w:hAnsiTheme="minorHAnsi" w:cstheme="minorHAnsi"/>
          <w:szCs w:val="24"/>
          <w:lang w:val="pl-PL" w:eastAsia="en-GB"/>
        </w:rPr>
        <w:t xml:space="preserve">Program nie przewiduje wykorzystania jakichkolwiek narzędzi </w:t>
      </w:r>
      <w:r w:rsidR="00CC0F52" w:rsidRPr="00F879CC">
        <w:rPr>
          <w:rFonts w:asciiTheme="minorHAnsi" w:eastAsia="Times New Roman" w:hAnsiTheme="minorHAnsi" w:cstheme="minorHAnsi"/>
          <w:szCs w:val="24"/>
          <w:lang w:val="pl-PL" w:eastAsia="en-GB"/>
        </w:rPr>
        <w:t>terytorialnych, o których</w:t>
      </w:r>
      <w:r w:rsidRPr="00F879CC">
        <w:rPr>
          <w:rFonts w:asciiTheme="minorHAnsi" w:eastAsia="Times New Roman" w:hAnsiTheme="minorHAnsi" w:cstheme="minorHAnsi"/>
          <w:szCs w:val="24"/>
          <w:lang w:val="pl-PL" w:eastAsia="en-GB"/>
        </w:rPr>
        <w:t xml:space="preserve"> mowa powyżej. Działania w ramach tego celu szczegółowego dotyczą wyzwań i szans dla całego regionu Morza Bałtyckiego. Rozwiązania dla nowych usług publicznych są testowane głównie na poziomie lokalnym i regionalnym. Program zachęca jednak również do ambitnych zastosowań na poziomie makroregionalnym w oparciu o wspólne standardy. W stosownych przypadkach, działania w ramach tego celu powinny uwzględniać różnice między określonymi typami terytoriów, np. struktury osadnicze lub trendy demograficzne</w:t>
      </w:r>
      <w:r w:rsidR="00BE35BF" w:rsidRPr="00F879CC">
        <w:rPr>
          <w:rFonts w:asciiTheme="minorHAnsi" w:eastAsia="Times New Roman" w:hAnsiTheme="minorHAnsi" w:cstheme="minorHAnsi"/>
          <w:szCs w:val="24"/>
          <w:lang w:val="pl-PL" w:eastAsia="en-GB"/>
        </w:rPr>
        <w:t>.</w:t>
      </w:r>
    </w:p>
    <w:p w14:paraId="52DEC793" w14:textId="77777777" w:rsidR="00E04EED" w:rsidRPr="00F879CC" w:rsidRDefault="00E04EED" w:rsidP="0080199F">
      <w:pPr>
        <w:spacing w:before="240" w:after="240" w:line="240" w:lineRule="auto"/>
        <w:ind w:left="709" w:hanging="709"/>
        <w:jc w:val="both"/>
        <w:rPr>
          <w:rFonts w:asciiTheme="minorHAnsi" w:eastAsia="Times New Roman" w:hAnsiTheme="minorHAnsi" w:cstheme="minorHAnsi"/>
          <w:b/>
          <w:iCs/>
          <w:szCs w:val="24"/>
          <w:lang w:val="pl-PL" w:eastAsia="en-GB"/>
        </w:rPr>
      </w:pPr>
    </w:p>
    <w:p w14:paraId="075EAC10" w14:textId="42886915" w:rsidR="0080199F" w:rsidRPr="00F879CC" w:rsidRDefault="0080199F" w:rsidP="00F879CC">
      <w:pPr>
        <w:spacing w:before="240" w:after="240" w:line="276" w:lineRule="auto"/>
        <w:ind w:left="709" w:hanging="709"/>
        <w:rPr>
          <w:rFonts w:asciiTheme="minorHAnsi" w:eastAsia="Times New Roman" w:hAnsiTheme="minorHAnsi" w:cstheme="minorHAnsi"/>
          <w:b/>
          <w:iCs/>
          <w:szCs w:val="24"/>
          <w:lang w:val="pl-PL" w:eastAsia="en-GB"/>
        </w:rPr>
      </w:pPr>
      <w:r w:rsidRPr="00F879CC">
        <w:rPr>
          <w:rFonts w:asciiTheme="minorHAnsi" w:eastAsia="Times New Roman" w:hAnsiTheme="minorHAnsi" w:cstheme="minorHAnsi"/>
          <w:b/>
          <w:iCs/>
          <w:szCs w:val="24"/>
          <w:lang w:val="pl-PL" w:eastAsia="en-GB"/>
        </w:rPr>
        <w:t>2.1.1.5</w:t>
      </w:r>
      <w:r w:rsidRPr="00F879CC">
        <w:rPr>
          <w:rFonts w:asciiTheme="minorHAnsi" w:eastAsia="Times New Roman" w:hAnsiTheme="minorHAnsi" w:cstheme="minorHAnsi"/>
          <w:b/>
          <w:iCs/>
          <w:szCs w:val="24"/>
          <w:lang w:val="pl-PL" w:eastAsia="en-GB"/>
        </w:rPr>
        <w:tab/>
      </w:r>
      <w:r w:rsidR="00FE7B9C">
        <w:rPr>
          <w:rFonts w:asciiTheme="minorHAnsi" w:eastAsia="Times New Roman" w:hAnsiTheme="minorHAnsi" w:cstheme="minorHAnsi"/>
          <w:b/>
          <w:iCs/>
          <w:szCs w:val="24"/>
          <w:lang w:val="pl-PL" w:eastAsia="en-GB"/>
        </w:rPr>
        <w:t xml:space="preserve"> </w:t>
      </w:r>
      <w:r w:rsidR="00871A6C" w:rsidRPr="00F879CC">
        <w:rPr>
          <w:rFonts w:asciiTheme="minorHAnsi" w:eastAsia="Times New Roman" w:hAnsiTheme="minorHAnsi" w:cstheme="minorHAnsi"/>
          <w:b/>
          <w:iCs/>
          <w:szCs w:val="24"/>
          <w:lang w:val="pl-PL" w:eastAsia="en-GB"/>
        </w:rPr>
        <w:t>Planowane użycie instrumentów finansowych</w:t>
      </w:r>
    </w:p>
    <w:p w14:paraId="55FBA3E1" w14:textId="21F03354" w:rsidR="0080199F" w:rsidRPr="00F879CC" w:rsidRDefault="00871A6C" w:rsidP="00F879CC">
      <w:pPr>
        <w:spacing w:after="200" w:line="276" w:lineRule="auto"/>
        <w:rPr>
          <w:rFonts w:asciiTheme="minorHAnsi" w:eastAsia="Times New Roman" w:hAnsiTheme="minorHAnsi" w:cstheme="minorHAnsi"/>
          <w:szCs w:val="24"/>
          <w:lang w:val="pl-PL" w:eastAsia="en-GB"/>
        </w:rPr>
      </w:pPr>
      <w:r w:rsidRPr="00F879CC">
        <w:rPr>
          <w:rFonts w:asciiTheme="minorHAnsi" w:eastAsia="Times New Roman" w:hAnsiTheme="minorHAnsi" w:cstheme="minorHAnsi"/>
          <w:szCs w:val="24"/>
          <w:lang w:val="pl-PL" w:eastAsia="en-GB"/>
        </w:rPr>
        <w:t>Dotyczy: art. 17 ust. 4 lit. e) ppkt (v)</w:t>
      </w:r>
    </w:p>
    <w:p w14:paraId="31CAD85F" w14:textId="04288F3A" w:rsidR="0080199F" w:rsidRPr="00F879CC" w:rsidRDefault="00871A6C"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iCs/>
          <w:szCs w:val="24"/>
          <w:lang w:val="pl-PL" w:eastAsia="en-GB"/>
        </w:rPr>
      </w:pPr>
      <w:r w:rsidRPr="00F879CC">
        <w:rPr>
          <w:rFonts w:asciiTheme="minorHAnsi" w:eastAsia="Times New Roman" w:hAnsiTheme="minorHAnsi" w:cstheme="minorHAnsi"/>
          <w:szCs w:val="24"/>
          <w:lang w:val="pl-PL" w:eastAsia="en-GB"/>
        </w:rPr>
        <w:t>Nie dotyczy</w:t>
      </w:r>
    </w:p>
    <w:p w14:paraId="4DDB7433" w14:textId="77777777" w:rsidR="0080199F" w:rsidRPr="00F879CC" w:rsidRDefault="0080199F" w:rsidP="0080199F">
      <w:pPr>
        <w:spacing w:before="240" w:after="240" w:line="240" w:lineRule="auto"/>
        <w:ind w:left="709" w:hanging="709"/>
        <w:jc w:val="both"/>
        <w:rPr>
          <w:rFonts w:asciiTheme="minorHAnsi" w:eastAsia="Times New Roman" w:hAnsiTheme="minorHAnsi" w:cstheme="minorHAnsi"/>
          <w:b/>
          <w:iCs/>
          <w:szCs w:val="24"/>
          <w:u w:val="single"/>
          <w:lang w:val="pl-PL" w:eastAsia="en-GB"/>
        </w:rPr>
      </w:pPr>
    </w:p>
    <w:p w14:paraId="7705B180" w14:textId="62F9E869" w:rsidR="0080199F" w:rsidRPr="00F879CC" w:rsidRDefault="0080199F" w:rsidP="00F879CC">
      <w:pPr>
        <w:spacing w:before="240" w:after="240" w:line="276" w:lineRule="auto"/>
        <w:ind w:left="709" w:hanging="709"/>
        <w:rPr>
          <w:rFonts w:asciiTheme="minorHAnsi" w:eastAsia="Times New Roman" w:hAnsiTheme="minorHAnsi" w:cstheme="minorHAnsi"/>
          <w:b/>
          <w:iCs/>
          <w:szCs w:val="24"/>
          <w:lang w:val="pl-PL" w:eastAsia="en-GB"/>
        </w:rPr>
      </w:pPr>
      <w:r w:rsidRPr="00F879CC">
        <w:rPr>
          <w:rFonts w:asciiTheme="minorHAnsi" w:eastAsia="Times New Roman" w:hAnsiTheme="minorHAnsi" w:cstheme="minorHAnsi"/>
          <w:b/>
          <w:iCs/>
          <w:szCs w:val="24"/>
          <w:lang w:val="pl-PL" w:eastAsia="en-GB"/>
        </w:rPr>
        <w:t>2.1.1.6</w:t>
      </w:r>
      <w:r w:rsidRPr="00F879CC">
        <w:rPr>
          <w:rFonts w:asciiTheme="minorHAnsi" w:eastAsia="Times New Roman" w:hAnsiTheme="minorHAnsi" w:cstheme="minorHAnsi"/>
          <w:b/>
          <w:iCs/>
          <w:szCs w:val="24"/>
          <w:lang w:val="pl-PL" w:eastAsia="en-GB"/>
        </w:rPr>
        <w:tab/>
      </w:r>
      <w:bookmarkStart w:id="86" w:name="OLE_LINK189"/>
      <w:bookmarkStart w:id="87" w:name="OLE_LINK190"/>
      <w:r w:rsidR="00FE7B9C">
        <w:rPr>
          <w:rFonts w:asciiTheme="minorHAnsi" w:eastAsia="Times New Roman" w:hAnsiTheme="minorHAnsi" w:cstheme="minorHAnsi"/>
          <w:b/>
          <w:iCs/>
          <w:szCs w:val="24"/>
          <w:lang w:val="pl-PL" w:eastAsia="en-GB"/>
        </w:rPr>
        <w:t xml:space="preserve"> </w:t>
      </w:r>
      <w:r w:rsidR="00871A6C" w:rsidRPr="00F879CC">
        <w:rPr>
          <w:rFonts w:asciiTheme="minorHAnsi" w:eastAsia="Times New Roman" w:hAnsiTheme="minorHAnsi" w:cstheme="minorHAnsi"/>
          <w:b/>
          <w:iCs/>
          <w:szCs w:val="24"/>
          <w:lang w:val="pl-PL" w:eastAsia="en-GB"/>
        </w:rPr>
        <w:t>Indykatywny podział środków programu UE według rodzaju interwencji</w:t>
      </w:r>
      <w:bookmarkEnd w:id="86"/>
      <w:bookmarkEnd w:id="87"/>
    </w:p>
    <w:p w14:paraId="307767B3" w14:textId="19E16C33" w:rsidR="0080199F" w:rsidRPr="00F879CC" w:rsidRDefault="00871A6C" w:rsidP="00F879CC">
      <w:pPr>
        <w:spacing w:after="200" w:line="276" w:lineRule="auto"/>
        <w:rPr>
          <w:rFonts w:asciiTheme="minorHAnsi" w:eastAsia="Times New Roman" w:hAnsiTheme="minorHAnsi" w:cstheme="minorHAnsi"/>
          <w:szCs w:val="24"/>
          <w:lang w:val="pl-PL" w:eastAsia="en-GB"/>
        </w:rPr>
      </w:pPr>
      <w:r w:rsidRPr="00F879CC">
        <w:rPr>
          <w:rFonts w:asciiTheme="minorHAnsi" w:eastAsia="Times New Roman" w:hAnsiTheme="minorHAnsi" w:cstheme="minorHAnsi"/>
          <w:szCs w:val="24"/>
          <w:lang w:val="pl-PL" w:eastAsia="en-GB"/>
        </w:rPr>
        <w:t>Dotyczy: art. 17 ust. 4 lit. e) ppkt (vi), art. 17 ust. 9 lit. c) ppkt (v)</w:t>
      </w:r>
    </w:p>
    <w:p w14:paraId="7C404265" w14:textId="648557CF" w:rsidR="00CC222E" w:rsidRPr="00F879CC" w:rsidRDefault="00871A6C" w:rsidP="00F879CC">
      <w:pPr>
        <w:spacing w:after="200" w:line="276" w:lineRule="auto"/>
        <w:rPr>
          <w:rFonts w:asciiTheme="minorHAnsi" w:eastAsia="Times New Roman" w:hAnsiTheme="minorHAnsi" w:cstheme="minorHAnsi"/>
          <w:szCs w:val="24"/>
          <w:lang w:val="pl-PL" w:eastAsia="en-GB"/>
        </w:rPr>
      </w:pPr>
      <w:r w:rsidRPr="00F879CC">
        <w:rPr>
          <w:rFonts w:asciiTheme="minorHAnsi" w:hAnsiTheme="minorHAnsi" w:cstheme="minorHAnsi"/>
          <w:lang w:val="pl-PL"/>
        </w:rPr>
        <w:t>Kody interwencji zostaną uwzględnione po opublikowaniu ostatecznych wersji przepisów</w:t>
      </w:r>
      <w:r w:rsidR="00CC222E" w:rsidRPr="00F879CC">
        <w:rPr>
          <w:rFonts w:asciiTheme="minorHAnsi" w:hAnsiTheme="minorHAnsi" w:cstheme="minorHAnsi"/>
          <w:lang w:val="pl-PL"/>
        </w:rPr>
        <w:t>.</w:t>
      </w:r>
    </w:p>
    <w:p w14:paraId="16CC723E" w14:textId="53CA4A15" w:rsidR="00CC222E" w:rsidRPr="00F879CC" w:rsidRDefault="00871A6C" w:rsidP="00F879CC">
      <w:pPr>
        <w:spacing w:after="200" w:line="276" w:lineRule="auto"/>
        <w:rPr>
          <w:rFonts w:asciiTheme="minorHAnsi" w:eastAsia="Times New Roman" w:hAnsiTheme="minorHAnsi" w:cstheme="minorHAnsi"/>
          <w:szCs w:val="24"/>
          <w:lang w:val="pl-PL" w:eastAsia="en-GB"/>
        </w:rPr>
      </w:pPr>
      <w:r w:rsidRPr="00F879CC">
        <w:rPr>
          <w:rFonts w:asciiTheme="minorHAnsi" w:eastAsia="Times New Roman" w:hAnsiTheme="minorHAnsi" w:cstheme="minorHAnsi"/>
          <w:iCs/>
          <w:szCs w:val="24"/>
          <w:lang w:val="pl-PL" w:eastAsia="en-GB"/>
        </w:rPr>
        <w:t>Tabela</w:t>
      </w:r>
      <w:r w:rsidR="0080199F" w:rsidRPr="00F879CC">
        <w:rPr>
          <w:rFonts w:asciiTheme="minorHAnsi" w:eastAsia="Times New Roman" w:hAnsiTheme="minorHAnsi" w:cstheme="minorHAnsi"/>
          <w:iCs/>
          <w:szCs w:val="24"/>
          <w:lang w:val="pl-PL" w:eastAsia="en-GB"/>
        </w:rPr>
        <w:t xml:space="preserve"> 4: </w:t>
      </w:r>
      <w:r w:rsidRPr="00F879CC">
        <w:rPr>
          <w:rFonts w:asciiTheme="minorHAnsi" w:eastAsia="Times New Roman" w:hAnsiTheme="minorHAnsi" w:cstheme="minorHAnsi"/>
          <w:iCs/>
          <w:szCs w:val="24"/>
          <w:lang w:val="pl-PL" w:eastAsia="en-GB"/>
        </w:rPr>
        <w:t>Wymiar</w:t>
      </w:r>
      <w:r w:rsidR="0080199F" w:rsidRPr="00F879CC">
        <w:rPr>
          <w:rFonts w:asciiTheme="minorHAnsi" w:eastAsia="Times New Roman" w:hAnsiTheme="minorHAnsi" w:cstheme="minorHAnsi"/>
          <w:iCs/>
          <w:szCs w:val="24"/>
          <w:lang w:val="pl-PL" w:eastAsia="en-GB"/>
        </w:rPr>
        <w:t xml:space="preserve"> 1 – </w:t>
      </w:r>
      <w:r w:rsidRPr="00F879CC">
        <w:rPr>
          <w:rFonts w:asciiTheme="minorHAnsi" w:eastAsia="Times New Roman" w:hAnsiTheme="minorHAnsi" w:cstheme="minorHAnsi"/>
          <w:iCs/>
          <w:szCs w:val="24"/>
          <w:lang w:val="pl-PL" w:eastAsia="en-GB"/>
        </w:rPr>
        <w:t>pole interwencji</w:t>
      </w:r>
      <w:r w:rsidR="00F54FDB" w:rsidRPr="00F879CC">
        <w:rPr>
          <w:rFonts w:asciiTheme="minorHAnsi" w:eastAsia="Times New Roman" w:hAnsiTheme="minorHAnsi" w:cstheme="minorHAnsi"/>
          <w:iCs/>
          <w:szCs w:val="24"/>
          <w:lang w:val="pl-PL" w:eastAsia="en-GB"/>
        </w:rPr>
        <w:t xml:space="preserve"> </w:t>
      </w:r>
      <w:r w:rsidR="00F54FDB" w:rsidRPr="00F879CC">
        <w:rPr>
          <w:rFonts w:asciiTheme="minorHAnsi" w:eastAsia="Times New Roman" w:hAnsiTheme="minorHAnsi" w:cstheme="minorHAnsi"/>
          <w:szCs w:val="24"/>
          <w:lang w:val="pl-PL" w:eastAsia="en-GB"/>
        </w:rPr>
        <w:t>(</w:t>
      </w:r>
      <w:r w:rsidRPr="00F879CC">
        <w:rPr>
          <w:rFonts w:asciiTheme="minorHAnsi" w:hAnsiTheme="minorHAnsi" w:cstheme="minorHAnsi"/>
          <w:lang w:val="pl-PL"/>
        </w:rPr>
        <w:t>do wypełnienia/uwzględnienia w kolejnych krokach</w:t>
      </w:r>
      <w:r w:rsidR="00F54FDB" w:rsidRPr="00F879CC">
        <w:rPr>
          <w:rFonts w:asciiTheme="minorHAnsi" w:eastAsia="Times New Roman" w:hAnsiTheme="minorHAnsi" w:cstheme="minorHAnsi"/>
          <w:szCs w:val="24"/>
          <w:lang w:val="pl-PL" w:eastAsia="en-GB"/>
        </w:rPr>
        <w:t>)</w:t>
      </w:r>
    </w:p>
    <w:tbl>
      <w:tblPr>
        <w:tblStyle w:val="TableGrid1"/>
        <w:tblW w:w="0" w:type="auto"/>
        <w:tblLook w:val="04A0" w:firstRow="1" w:lastRow="0" w:firstColumn="1" w:lastColumn="0" w:noHBand="0" w:noVBand="1"/>
        <w:tblCaption w:val="Tabela dotycząca wymiaru 1 - pola interwencji"/>
      </w:tblPr>
      <w:tblGrid>
        <w:gridCol w:w="1827"/>
        <w:gridCol w:w="1614"/>
        <w:gridCol w:w="1858"/>
        <w:gridCol w:w="1180"/>
        <w:gridCol w:w="2583"/>
      </w:tblGrid>
      <w:tr w:rsidR="0080199F" w:rsidRPr="00372F4C" w14:paraId="24D23371" w14:textId="77777777" w:rsidTr="00000498">
        <w:trPr>
          <w:tblHeader/>
        </w:trPr>
        <w:tc>
          <w:tcPr>
            <w:tcW w:w="1827" w:type="dxa"/>
          </w:tcPr>
          <w:p w14:paraId="65D42065" w14:textId="1AAC6811" w:rsidR="0080199F" w:rsidRPr="00F879CC" w:rsidRDefault="00871A6C" w:rsidP="00DE180F">
            <w:pPr>
              <w:spacing w:line="240" w:lineRule="auto"/>
              <w:jc w:val="both"/>
              <w:rPr>
                <w:rFonts w:asciiTheme="minorHAnsi" w:eastAsia="Times New Roman" w:hAnsiTheme="minorHAnsi" w:cstheme="minorHAnsi"/>
                <w:b/>
                <w:iCs/>
                <w:szCs w:val="24"/>
                <w:lang w:val="pl-PL" w:eastAsia="en-GB"/>
              </w:rPr>
            </w:pPr>
            <w:r w:rsidRPr="00F879CC">
              <w:rPr>
                <w:rFonts w:asciiTheme="minorHAnsi" w:eastAsia="Times New Roman" w:hAnsiTheme="minorHAnsi" w:cstheme="minorHAnsi"/>
                <w:b/>
                <w:iCs/>
                <w:szCs w:val="24"/>
                <w:lang w:val="pl-PL" w:eastAsia="en-GB"/>
              </w:rPr>
              <w:t>Nr priorytetu</w:t>
            </w:r>
          </w:p>
        </w:tc>
        <w:tc>
          <w:tcPr>
            <w:tcW w:w="1614" w:type="dxa"/>
          </w:tcPr>
          <w:p w14:paraId="15EBA021" w14:textId="1C6E6488" w:rsidR="0080199F" w:rsidRPr="00F879CC" w:rsidRDefault="00871A6C" w:rsidP="00DE180F">
            <w:pPr>
              <w:spacing w:line="240" w:lineRule="auto"/>
              <w:jc w:val="both"/>
              <w:rPr>
                <w:rFonts w:asciiTheme="minorHAnsi" w:eastAsia="Times New Roman" w:hAnsiTheme="minorHAnsi" w:cstheme="minorHAnsi"/>
                <w:b/>
                <w:iCs/>
                <w:szCs w:val="24"/>
                <w:lang w:val="pl-PL" w:eastAsia="en-GB"/>
              </w:rPr>
            </w:pPr>
            <w:r w:rsidRPr="00F879CC">
              <w:rPr>
                <w:rFonts w:asciiTheme="minorHAnsi" w:eastAsia="Times New Roman" w:hAnsiTheme="minorHAnsi" w:cstheme="minorHAnsi"/>
                <w:b/>
                <w:iCs/>
                <w:szCs w:val="24"/>
                <w:lang w:val="pl-PL" w:eastAsia="en-GB"/>
              </w:rPr>
              <w:t>Fundusz</w:t>
            </w:r>
          </w:p>
        </w:tc>
        <w:tc>
          <w:tcPr>
            <w:tcW w:w="1858" w:type="dxa"/>
          </w:tcPr>
          <w:p w14:paraId="0B6AD8E0" w14:textId="7AF170E8" w:rsidR="0080199F" w:rsidRPr="00F879CC" w:rsidRDefault="00871A6C" w:rsidP="00DE180F">
            <w:pPr>
              <w:spacing w:line="240" w:lineRule="auto"/>
              <w:jc w:val="both"/>
              <w:rPr>
                <w:rFonts w:asciiTheme="minorHAnsi" w:eastAsia="Times New Roman" w:hAnsiTheme="minorHAnsi" w:cstheme="minorHAnsi"/>
                <w:b/>
                <w:iCs/>
                <w:szCs w:val="24"/>
                <w:lang w:val="pl-PL" w:eastAsia="en-GB"/>
              </w:rPr>
            </w:pPr>
            <w:r w:rsidRPr="00F879CC">
              <w:rPr>
                <w:rFonts w:asciiTheme="minorHAnsi" w:eastAsia="Times New Roman" w:hAnsiTheme="minorHAnsi" w:cstheme="minorHAnsi"/>
                <w:b/>
                <w:iCs/>
                <w:szCs w:val="24"/>
                <w:lang w:val="pl-PL" w:eastAsia="en-GB"/>
              </w:rPr>
              <w:t>Cel szczegółowy</w:t>
            </w:r>
          </w:p>
        </w:tc>
        <w:tc>
          <w:tcPr>
            <w:tcW w:w="1180" w:type="dxa"/>
          </w:tcPr>
          <w:p w14:paraId="1D0EB669" w14:textId="1DEA6DEC" w:rsidR="0080199F" w:rsidRPr="00F879CC" w:rsidRDefault="00871A6C" w:rsidP="00DE180F">
            <w:pPr>
              <w:spacing w:line="240" w:lineRule="auto"/>
              <w:jc w:val="both"/>
              <w:rPr>
                <w:rFonts w:asciiTheme="minorHAnsi" w:eastAsia="Times New Roman" w:hAnsiTheme="minorHAnsi" w:cstheme="minorHAnsi"/>
                <w:b/>
                <w:iCs/>
                <w:szCs w:val="24"/>
                <w:lang w:val="pl-PL" w:eastAsia="en-GB"/>
              </w:rPr>
            </w:pPr>
            <w:r w:rsidRPr="00F879CC">
              <w:rPr>
                <w:rFonts w:asciiTheme="minorHAnsi" w:eastAsia="Times New Roman" w:hAnsiTheme="minorHAnsi" w:cstheme="minorHAnsi"/>
                <w:b/>
                <w:iCs/>
                <w:szCs w:val="24"/>
                <w:lang w:val="pl-PL" w:eastAsia="en-GB"/>
              </w:rPr>
              <w:t>Kod</w:t>
            </w:r>
            <w:r w:rsidR="0080199F" w:rsidRPr="00F879CC">
              <w:rPr>
                <w:rFonts w:asciiTheme="minorHAnsi" w:eastAsia="Times New Roman" w:hAnsiTheme="minorHAnsi" w:cstheme="minorHAnsi"/>
                <w:b/>
                <w:iCs/>
                <w:szCs w:val="24"/>
                <w:lang w:val="pl-PL" w:eastAsia="en-GB"/>
              </w:rPr>
              <w:t xml:space="preserve"> </w:t>
            </w:r>
          </w:p>
        </w:tc>
        <w:tc>
          <w:tcPr>
            <w:tcW w:w="2583" w:type="dxa"/>
          </w:tcPr>
          <w:p w14:paraId="587893FD" w14:textId="11BF1AE0" w:rsidR="0080199F" w:rsidRPr="00F879CC" w:rsidRDefault="00871A6C" w:rsidP="00DE180F">
            <w:pPr>
              <w:spacing w:line="240" w:lineRule="auto"/>
              <w:jc w:val="both"/>
              <w:rPr>
                <w:rFonts w:asciiTheme="minorHAnsi" w:eastAsia="Times New Roman" w:hAnsiTheme="minorHAnsi" w:cstheme="minorHAnsi"/>
                <w:b/>
                <w:iCs/>
                <w:szCs w:val="24"/>
                <w:lang w:val="pl-PL" w:eastAsia="en-GB"/>
              </w:rPr>
            </w:pPr>
            <w:r w:rsidRPr="00F879CC">
              <w:rPr>
                <w:rFonts w:asciiTheme="minorHAnsi" w:eastAsia="Times New Roman" w:hAnsiTheme="minorHAnsi" w:cstheme="minorHAnsi"/>
                <w:b/>
                <w:iCs/>
                <w:szCs w:val="24"/>
                <w:lang w:val="pl-PL" w:eastAsia="en-GB"/>
              </w:rPr>
              <w:t>Kwota</w:t>
            </w:r>
            <w:r w:rsidR="0080199F" w:rsidRPr="00F879CC">
              <w:rPr>
                <w:rFonts w:asciiTheme="minorHAnsi" w:eastAsia="Times New Roman" w:hAnsiTheme="minorHAnsi" w:cstheme="minorHAnsi"/>
                <w:b/>
                <w:iCs/>
                <w:szCs w:val="24"/>
                <w:lang w:val="pl-PL" w:eastAsia="en-GB"/>
              </w:rPr>
              <w:t xml:space="preserve"> (EUR)</w:t>
            </w:r>
          </w:p>
        </w:tc>
      </w:tr>
      <w:tr w:rsidR="0080199F" w:rsidRPr="00372F4C" w14:paraId="023F26DD" w14:textId="77777777" w:rsidTr="00CC222E">
        <w:tc>
          <w:tcPr>
            <w:tcW w:w="1827" w:type="dxa"/>
          </w:tcPr>
          <w:p w14:paraId="2F0C4A6C" w14:textId="77777777" w:rsidR="0080199F" w:rsidRPr="00F879CC" w:rsidRDefault="0080199F" w:rsidP="00DE180F">
            <w:pPr>
              <w:spacing w:line="240" w:lineRule="auto"/>
              <w:jc w:val="both"/>
              <w:rPr>
                <w:rFonts w:asciiTheme="minorHAnsi" w:eastAsia="Times New Roman" w:hAnsiTheme="minorHAnsi" w:cstheme="minorHAnsi"/>
                <w:iCs/>
                <w:szCs w:val="24"/>
                <w:lang w:val="pl-PL" w:eastAsia="en-GB"/>
              </w:rPr>
            </w:pPr>
          </w:p>
        </w:tc>
        <w:tc>
          <w:tcPr>
            <w:tcW w:w="1614" w:type="dxa"/>
          </w:tcPr>
          <w:p w14:paraId="058FD8F2" w14:textId="77777777" w:rsidR="0080199F" w:rsidRPr="00F879CC" w:rsidRDefault="0080199F" w:rsidP="00DE180F">
            <w:pPr>
              <w:spacing w:line="240" w:lineRule="auto"/>
              <w:jc w:val="both"/>
              <w:rPr>
                <w:rFonts w:asciiTheme="minorHAnsi" w:eastAsia="Times New Roman" w:hAnsiTheme="minorHAnsi" w:cstheme="minorHAnsi"/>
                <w:b/>
                <w:iCs/>
                <w:szCs w:val="24"/>
                <w:lang w:val="pl-PL" w:eastAsia="en-GB"/>
              </w:rPr>
            </w:pPr>
          </w:p>
        </w:tc>
        <w:tc>
          <w:tcPr>
            <w:tcW w:w="1858" w:type="dxa"/>
          </w:tcPr>
          <w:p w14:paraId="7A8268DE" w14:textId="77777777" w:rsidR="0080199F" w:rsidRPr="00F879CC" w:rsidRDefault="0080199F" w:rsidP="00DE180F">
            <w:pPr>
              <w:spacing w:line="240" w:lineRule="auto"/>
              <w:jc w:val="both"/>
              <w:rPr>
                <w:rFonts w:asciiTheme="minorHAnsi" w:eastAsia="Times New Roman" w:hAnsiTheme="minorHAnsi" w:cstheme="minorHAnsi"/>
                <w:b/>
                <w:iCs/>
                <w:szCs w:val="24"/>
                <w:lang w:val="pl-PL" w:eastAsia="en-GB"/>
              </w:rPr>
            </w:pPr>
          </w:p>
        </w:tc>
        <w:tc>
          <w:tcPr>
            <w:tcW w:w="1180" w:type="dxa"/>
          </w:tcPr>
          <w:p w14:paraId="77FE0C40" w14:textId="77777777" w:rsidR="0080199F" w:rsidRPr="00F879CC" w:rsidRDefault="0080199F" w:rsidP="00DE180F">
            <w:pPr>
              <w:spacing w:line="240" w:lineRule="auto"/>
              <w:jc w:val="both"/>
              <w:rPr>
                <w:rFonts w:asciiTheme="minorHAnsi" w:eastAsia="Times New Roman" w:hAnsiTheme="minorHAnsi" w:cstheme="minorHAnsi"/>
                <w:b/>
                <w:iCs/>
                <w:szCs w:val="24"/>
                <w:lang w:val="pl-PL" w:eastAsia="en-GB"/>
              </w:rPr>
            </w:pPr>
          </w:p>
        </w:tc>
        <w:tc>
          <w:tcPr>
            <w:tcW w:w="2583" w:type="dxa"/>
          </w:tcPr>
          <w:p w14:paraId="6828D9F9" w14:textId="77777777" w:rsidR="0080199F" w:rsidRPr="00F879CC" w:rsidRDefault="0080199F" w:rsidP="00DE180F">
            <w:pPr>
              <w:spacing w:line="240" w:lineRule="auto"/>
              <w:jc w:val="both"/>
              <w:rPr>
                <w:rFonts w:asciiTheme="minorHAnsi" w:eastAsia="Times New Roman" w:hAnsiTheme="minorHAnsi" w:cstheme="minorHAnsi"/>
                <w:b/>
                <w:iCs/>
                <w:szCs w:val="24"/>
                <w:lang w:val="pl-PL" w:eastAsia="en-GB"/>
              </w:rPr>
            </w:pPr>
          </w:p>
        </w:tc>
      </w:tr>
    </w:tbl>
    <w:p w14:paraId="4BC293FF" w14:textId="77777777" w:rsidR="0080199F" w:rsidRPr="00F879CC" w:rsidRDefault="0080199F" w:rsidP="0080199F">
      <w:pPr>
        <w:spacing w:after="200" w:line="276" w:lineRule="auto"/>
        <w:rPr>
          <w:rFonts w:asciiTheme="minorHAnsi" w:eastAsia="Times New Roman" w:hAnsiTheme="minorHAnsi" w:cstheme="minorHAnsi"/>
          <w:iCs/>
          <w:szCs w:val="24"/>
          <w:lang w:val="en-IE" w:eastAsia="en-GB"/>
        </w:rPr>
      </w:pPr>
    </w:p>
    <w:p w14:paraId="02B481D2" w14:textId="02F871C0" w:rsidR="0080199F" w:rsidRPr="00F879CC" w:rsidRDefault="00CC0F52" w:rsidP="00F879CC">
      <w:pPr>
        <w:spacing w:after="200" w:line="276" w:lineRule="auto"/>
        <w:rPr>
          <w:rFonts w:asciiTheme="minorHAnsi" w:eastAsia="Times New Roman" w:hAnsiTheme="minorHAnsi" w:cstheme="minorHAnsi"/>
          <w:i/>
          <w:szCs w:val="24"/>
          <w:lang w:val="pl-PL" w:eastAsia="en-GB"/>
        </w:rPr>
      </w:pPr>
      <w:r w:rsidRPr="00F879CC">
        <w:rPr>
          <w:rFonts w:asciiTheme="minorHAnsi" w:eastAsia="Times New Roman" w:hAnsiTheme="minorHAnsi" w:cstheme="minorHAnsi"/>
          <w:iCs/>
          <w:szCs w:val="24"/>
          <w:lang w:val="pl-PL" w:eastAsia="en-GB"/>
        </w:rPr>
        <w:t>Tabela</w:t>
      </w:r>
      <w:r w:rsidR="0080199F" w:rsidRPr="00F879CC">
        <w:rPr>
          <w:rFonts w:asciiTheme="minorHAnsi" w:eastAsia="Times New Roman" w:hAnsiTheme="minorHAnsi" w:cstheme="minorHAnsi"/>
          <w:iCs/>
          <w:szCs w:val="24"/>
          <w:lang w:val="pl-PL" w:eastAsia="en-GB"/>
        </w:rPr>
        <w:t xml:space="preserve"> 5: </w:t>
      </w:r>
      <w:r w:rsidR="00871A6C" w:rsidRPr="00F879CC">
        <w:rPr>
          <w:rFonts w:asciiTheme="minorHAnsi" w:eastAsia="Times New Roman" w:hAnsiTheme="minorHAnsi" w:cstheme="minorHAnsi"/>
          <w:iCs/>
          <w:szCs w:val="24"/>
          <w:lang w:val="pl-PL" w:eastAsia="en-GB"/>
        </w:rPr>
        <w:t>Wymiar</w:t>
      </w:r>
      <w:r w:rsidR="0080199F" w:rsidRPr="00F879CC">
        <w:rPr>
          <w:rFonts w:asciiTheme="minorHAnsi" w:eastAsia="Times New Roman" w:hAnsiTheme="minorHAnsi" w:cstheme="minorHAnsi"/>
          <w:iCs/>
          <w:szCs w:val="24"/>
          <w:lang w:val="pl-PL" w:eastAsia="en-GB"/>
        </w:rPr>
        <w:t xml:space="preserve"> 2 – </w:t>
      </w:r>
      <w:r w:rsidR="00871A6C" w:rsidRPr="00F879CC">
        <w:rPr>
          <w:rFonts w:asciiTheme="minorHAnsi" w:eastAsia="Times New Roman" w:hAnsiTheme="minorHAnsi" w:cstheme="minorHAnsi"/>
          <w:iCs/>
          <w:szCs w:val="24"/>
          <w:lang w:val="pl-PL" w:eastAsia="en-GB"/>
        </w:rPr>
        <w:t>forma finansowania</w:t>
      </w:r>
      <w:r w:rsidR="00F54FDB" w:rsidRPr="00F879CC">
        <w:rPr>
          <w:rFonts w:asciiTheme="minorHAnsi" w:eastAsia="Times New Roman" w:hAnsiTheme="minorHAnsi" w:cstheme="minorHAnsi"/>
          <w:iCs/>
          <w:szCs w:val="24"/>
          <w:lang w:val="pl-PL" w:eastAsia="en-GB"/>
        </w:rPr>
        <w:t xml:space="preserve"> </w:t>
      </w:r>
      <w:r w:rsidR="00F54FDB" w:rsidRPr="00F879CC">
        <w:rPr>
          <w:rFonts w:asciiTheme="minorHAnsi" w:eastAsia="Times New Roman" w:hAnsiTheme="minorHAnsi" w:cstheme="minorHAnsi"/>
          <w:szCs w:val="24"/>
          <w:lang w:val="pl-PL" w:eastAsia="en-GB"/>
        </w:rPr>
        <w:t>(</w:t>
      </w:r>
      <w:r w:rsidR="00871A6C" w:rsidRPr="00F879CC">
        <w:rPr>
          <w:rFonts w:asciiTheme="minorHAnsi" w:hAnsiTheme="minorHAnsi" w:cstheme="minorHAnsi"/>
          <w:lang w:val="pl-PL"/>
        </w:rPr>
        <w:t>do wypełnienia/uwzględnienia w kolejnych krokach</w:t>
      </w:r>
      <w:r w:rsidR="00F54FDB" w:rsidRPr="00F879CC">
        <w:rPr>
          <w:rFonts w:asciiTheme="minorHAnsi" w:eastAsia="Times New Roman" w:hAnsiTheme="minorHAnsi" w:cstheme="minorHAnsi"/>
          <w:szCs w:val="24"/>
          <w:lang w:val="pl-PL" w:eastAsia="en-GB"/>
        </w:rPr>
        <w:t>)</w:t>
      </w:r>
    </w:p>
    <w:tbl>
      <w:tblPr>
        <w:tblStyle w:val="TableGrid1"/>
        <w:tblW w:w="0" w:type="auto"/>
        <w:tblLook w:val="04A0" w:firstRow="1" w:lastRow="0" w:firstColumn="1" w:lastColumn="0" w:noHBand="0" w:noVBand="1"/>
        <w:tblCaption w:val="Tabela dotycząca wymiaru 2 - formy finansowania"/>
      </w:tblPr>
      <w:tblGrid>
        <w:gridCol w:w="1870"/>
        <w:gridCol w:w="1657"/>
        <w:gridCol w:w="1898"/>
        <w:gridCol w:w="1204"/>
        <w:gridCol w:w="2659"/>
      </w:tblGrid>
      <w:tr w:rsidR="0080199F" w:rsidRPr="00372F4C" w14:paraId="7B3DD2FF" w14:textId="77777777" w:rsidTr="00000498">
        <w:trPr>
          <w:tblHeader/>
        </w:trPr>
        <w:tc>
          <w:tcPr>
            <w:tcW w:w="1870" w:type="dxa"/>
          </w:tcPr>
          <w:p w14:paraId="61E51A25" w14:textId="08FAF7A2" w:rsidR="0080199F" w:rsidRPr="00F879CC" w:rsidRDefault="00871A6C" w:rsidP="00DE180F">
            <w:pPr>
              <w:spacing w:line="240" w:lineRule="auto"/>
              <w:jc w:val="both"/>
              <w:rPr>
                <w:rFonts w:asciiTheme="minorHAnsi" w:eastAsia="Times New Roman" w:hAnsiTheme="minorHAnsi" w:cstheme="minorHAnsi"/>
                <w:b/>
                <w:iCs/>
                <w:szCs w:val="24"/>
                <w:lang w:val="pl-PL" w:eastAsia="en-GB"/>
              </w:rPr>
            </w:pPr>
            <w:r w:rsidRPr="00F879CC">
              <w:rPr>
                <w:rFonts w:asciiTheme="minorHAnsi" w:eastAsia="Times New Roman" w:hAnsiTheme="minorHAnsi" w:cstheme="minorHAnsi"/>
                <w:b/>
                <w:iCs/>
                <w:szCs w:val="24"/>
                <w:lang w:val="pl-PL" w:eastAsia="en-GB"/>
              </w:rPr>
              <w:t>Nr priorytetu</w:t>
            </w:r>
          </w:p>
        </w:tc>
        <w:tc>
          <w:tcPr>
            <w:tcW w:w="1657" w:type="dxa"/>
          </w:tcPr>
          <w:p w14:paraId="2D28FAE0" w14:textId="4F188759" w:rsidR="0080199F" w:rsidRPr="00F879CC" w:rsidRDefault="00871A6C" w:rsidP="00DE180F">
            <w:pPr>
              <w:spacing w:line="240" w:lineRule="auto"/>
              <w:jc w:val="both"/>
              <w:rPr>
                <w:rFonts w:asciiTheme="minorHAnsi" w:eastAsia="Times New Roman" w:hAnsiTheme="minorHAnsi" w:cstheme="minorHAnsi"/>
                <w:b/>
                <w:iCs/>
                <w:szCs w:val="24"/>
                <w:lang w:val="pl-PL" w:eastAsia="en-GB"/>
              </w:rPr>
            </w:pPr>
            <w:r w:rsidRPr="00F879CC">
              <w:rPr>
                <w:rFonts w:asciiTheme="minorHAnsi" w:eastAsia="Times New Roman" w:hAnsiTheme="minorHAnsi" w:cstheme="minorHAnsi"/>
                <w:b/>
                <w:iCs/>
                <w:szCs w:val="24"/>
                <w:lang w:val="pl-PL" w:eastAsia="en-GB"/>
              </w:rPr>
              <w:t>Fundusz</w:t>
            </w:r>
          </w:p>
        </w:tc>
        <w:tc>
          <w:tcPr>
            <w:tcW w:w="1898" w:type="dxa"/>
          </w:tcPr>
          <w:p w14:paraId="182D3067" w14:textId="696B0F72" w:rsidR="0080199F" w:rsidRPr="00F879CC" w:rsidRDefault="00871A6C" w:rsidP="00DE180F">
            <w:pPr>
              <w:spacing w:line="240" w:lineRule="auto"/>
              <w:jc w:val="both"/>
              <w:rPr>
                <w:rFonts w:asciiTheme="minorHAnsi" w:eastAsia="Times New Roman" w:hAnsiTheme="minorHAnsi" w:cstheme="minorHAnsi"/>
                <w:b/>
                <w:iCs/>
                <w:szCs w:val="24"/>
                <w:lang w:val="pl-PL" w:eastAsia="en-GB"/>
              </w:rPr>
            </w:pPr>
            <w:r w:rsidRPr="00F879CC">
              <w:rPr>
                <w:rFonts w:asciiTheme="minorHAnsi" w:eastAsia="Times New Roman" w:hAnsiTheme="minorHAnsi" w:cstheme="minorHAnsi"/>
                <w:b/>
                <w:iCs/>
                <w:szCs w:val="24"/>
                <w:lang w:val="pl-PL" w:eastAsia="en-GB"/>
              </w:rPr>
              <w:t>Cel szczegółowy</w:t>
            </w:r>
          </w:p>
        </w:tc>
        <w:tc>
          <w:tcPr>
            <w:tcW w:w="1204" w:type="dxa"/>
          </w:tcPr>
          <w:p w14:paraId="18A6AEC5" w14:textId="01D5DD11" w:rsidR="0080199F" w:rsidRPr="00F879CC" w:rsidRDefault="00871A6C" w:rsidP="00DE180F">
            <w:pPr>
              <w:spacing w:line="240" w:lineRule="auto"/>
              <w:jc w:val="both"/>
              <w:rPr>
                <w:rFonts w:asciiTheme="minorHAnsi" w:eastAsia="Times New Roman" w:hAnsiTheme="minorHAnsi" w:cstheme="minorHAnsi"/>
                <w:b/>
                <w:iCs/>
                <w:szCs w:val="24"/>
                <w:lang w:val="pl-PL" w:eastAsia="en-GB"/>
              </w:rPr>
            </w:pPr>
            <w:r w:rsidRPr="00F879CC">
              <w:rPr>
                <w:rFonts w:asciiTheme="minorHAnsi" w:eastAsia="Times New Roman" w:hAnsiTheme="minorHAnsi" w:cstheme="minorHAnsi"/>
                <w:b/>
                <w:iCs/>
                <w:szCs w:val="24"/>
                <w:lang w:val="pl-PL" w:eastAsia="en-GB"/>
              </w:rPr>
              <w:t>Kod</w:t>
            </w:r>
            <w:r w:rsidR="0080199F" w:rsidRPr="00F879CC">
              <w:rPr>
                <w:rFonts w:asciiTheme="minorHAnsi" w:eastAsia="Times New Roman" w:hAnsiTheme="minorHAnsi" w:cstheme="minorHAnsi"/>
                <w:b/>
                <w:iCs/>
                <w:szCs w:val="24"/>
                <w:lang w:val="pl-PL" w:eastAsia="en-GB"/>
              </w:rPr>
              <w:t xml:space="preserve"> </w:t>
            </w:r>
          </w:p>
        </w:tc>
        <w:tc>
          <w:tcPr>
            <w:tcW w:w="2659" w:type="dxa"/>
          </w:tcPr>
          <w:p w14:paraId="4D8B7CC1" w14:textId="45E408C3" w:rsidR="0080199F" w:rsidRPr="00F879CC" w:rsidRDefault="00871A6C" w:rsidP="00DE180F">
            <w:pPr>
              <w:spacing w:line="240" w:lineRule="auto"/>
              <w:jc w:val="both"/>
              <w:rPr>
                <w:rFonts w:asciiTheme="minorHAnsi" w:eastAsia="Times New Roman" w:hAnsiTheme="minorHAnsi" w:cstheme="minorHAnsi"/>
                <w:b/>
                <w:iCs/>
                <w:szCs w:val="24"/>
                <w:lang w:val="pl-PL" w:eastAsia="en-GB"/>
              </w:rPr>
            </w:pPr>
            <w:r w:rsidRPr="00F879CC">
              <w:rPr>
                <w:rFonts w:asciiTheme="minorHAnsi" w:eastAsia="Times New Roman" w:hAnsiTheme="minorHAnsi" w:cstheme="minorHAnsi"/>
                <w:b/>
                <w:iCs/>
                <w:szCs w:val="24"/>
                <w:lang w:val="pl-PL" w:eastAsia="en-GB"/>
              </w:rPr>
              <w:t>Kwota</w:t>
            </w:r>
            <w:r w:rsidR="0080199F" w:rsidRPr="00F879CC">
              <w:rPr>
                <w:rFonts w:asciiTheme="minorHAnsi" w:eastAsia="Times New Roman" w:hAnsiTheme="minorHAnsi" w:cstheme="minorHAnsi"/>
                <w:b/>
                <w:iCs/>
                <w:szCs w:val="24"/>
                <w:lang w:val="pl-PL" w:eastAsia="en-GB"/>
              </w:rPr>
              <w:t xml:space="preserve"> (EUR)</w:t>
            </w:r>
          </w:p>
        </w:tc>
      </w:tr>
      <w:tr w:rsidR="0080199F" w:rsidRPr="00372F4C" w14:paraId="2E594B3D" w14:textId="77777777" w:rsidTr="00DE180F">
        <w:tc>
          <w:tcPr>
            <w:tcW w:w="1870" w:type="dxa"/>
          </w:tcPr>
          <w:p w14:paraId="0DD48D81" w14:textId="77777777" w:rsidR="0080199F" w:rsidRPr="00F879CC" w:rsidRDefault="0080199F" w:rsidP="00DE180F">
            <w:pPr>
              <w:spacing w:line="240" w:lineRule="auto"/>
              <w:jc w:val="both"/>
              <w:rPr>
                <w:rFonts w:asciiTheme="minorHAnsi" w:eastAsia="Times New Roman" w:hAnsiTheme="minorHAnsi" w:cstheme="minorHAnsi"/>
                <w:b/>
                <w:iCs/>
                <w:szCs w:val="24"/>
                <w:lang w:val="pl-PL" w:eastAsia="en-GB"/>
              </w:rPr>
            </w:pPr>
          </w:p>
        </w:tc>
        <w:tc>
          <w:tcPr>
            <w:tcW w:w="1657" w:type="dxa"/>
          </w:tcPr>
          <w:p w14:paraId="2E4553EC" w14:textId="77777777" w:rsidR="0080199F" w:rsidRPr="00F879CC" w:rsidRDefault="0080199F" w:rsidP="00DE180F">
            <w:pPr>
              <w:spacing w:line="240" w:lineRule="auto"/>
              <w:jc w:val="both"/>
              <w:rPr>
                <w:rFonts w:asciiTheme="minorHAnsi" w:eastAsia="Times New Roman" w:hAnsiTheme="minorHAnsi" w:cstheme="minorHAnsi"/>
                <w:b/>
                <w:iCs/>
                <w:szCs w:val="24"/>
                <w:lang w:val="pl-PL" w:eastAsia="en-GB"/>
              </w:rPr>
            </w:pPr>
          </w:p>
        </w:tc>
        <w:tc>
          <w:tcPr>
            <w:tcW w:w="1898" w:type="dxa"/>
          </w:tcPr>
          <w:p w14:paraId="34B15835" w14:textId="77777777" w:rsidR="0080199F" w:rsidRPr="00F879CC" w:rsidRDefault="0080199F" w:rsidP="00DE180F">
            <w:pPr>
              <w:spacing w:line="240" w:lineRule="auto"/>
              <w:jc w:val="both"/>
              <w:rPr>
                <w:rFonts w:asciiTheme="minorHAnsi" w:eastAsia="Times New Roman" w:hAnsiTheme="minorHAnsi" w:cstheme="minorHAnsi"/>
                <w:b/>
                <w:iCs/>
                <w:szCs w:val="24"/>
                <w:lang w:val="pl-PL" w:eastAsia="en-GB"/>
              </w:rPr>
            </w:pPr>
          </w:p>
        </w:tc>
        <w:tc>
          <w:tcPr>
            <w:tcW w:w="1204" w:type="dxa"/>
          </w:tcPr>
          <w:p w14:paraId="1291AA12" w14:textId="77777777" w:rsidR="0080199F" w:rsidRPr="00F879CC" w:rsidRDefault="0080199F" w:rsidP="00DE180F">
            <w:pPr>
              <w:spacing w:line="240" w:lineRule="auto"/>
              <w:jc w:val="both"/>
              <w:rPr>
                <w:rFonts w:asciiTheme="minorHAnsi" w:eastAsia="Times New Roman" w:hAnsiTheme="minorHAnsi" w:cstheme="minorHAnsi"/>
                <w:b/>
                <w:iCs/>
                <w:szCs w:val="24"/>
                <w:lang w:val="pl-PL" w:eastAsia="en-GB"/>
              </w:rPr>
            </w:pPr>
          </w:p>
        </w:tc>
        <w:tc>
          <w:tcPr>
            <w:tcW w:w="2659" w:type="dxa"/>
          </w:tcPr>
          <w:p w14:paraId="79362C95" w14:textId="77777777" w:rsidR="0080199F" w:rsidRPr="00F879CC" w:rsidRDefault="0080199F" w:rsidP="00DE180F">
            <w:pPr>
              <w:spacing w:line="240" w:lineRule="auto"/>
              <w:jc w:val="both"/>
              <w:rPr>
                <w:rFonts w:asciiTheme="minorHAnsi" w:eastAsia="Times New Roman" w:hAnsiTheme="minorHAnsi" w:cstheme="minorHAnsi"/>
                <w:b/>
                <w:iCs/>
                <w:szCs w:val="24"/>
                <w:lang w:val="pl-PL" w:eastAsia="en-GB"/>
              </w:rPr>
            </w:pPr>
          </w:p>
        </w:tc>
      </w:tr>
    </w:tbl>
    <w:p w14:paraId="32A8276C" w14:textId="77777777" w:rsidR="0080199F" w:rsidRPr="00F879CC" w:rsidRDefault="0080199F" w:rsidP="0080199F">
      <w:pPr>
        <w:spacing w:after="200" w:line="276" w:lineRule="auto"/>
        <w:jc w:val="center"/>
        <w:rPr>
          <w:rFonts w:asciiTheme="minorHAnsi" w:eastAsia="Times New Roman" w:hAnsiTheme="minorHAnsi" w:cstheme="minorHAnsi"/>
          <w:iCs/>
          <w:szCs w:val="24"/>
          <w:lang w:val="en-IE" w:eastAsia="en-GB"/>
        </w:rPr>
      </w:pPr>
    </w:p>
    <w:p w14:paraId="77FD1FEA" w14:textId="7C267A9B" w:rsidR="0080199F" w:rsidRPr="00F879CC" w:rsidRDefault="00A05A16" w:rsidP="00F879CC">
      <w:pPr>
        <w:spacing w:after="200" w:line="276" w:lineRule="auto"/>
        <w:rPr>
          <w:rFonts w:asciiTheme="minorHAnsi" w:eastAsia="Times New Roman" w:hAnsiTheme="minorHAnsi" w:cstheme="minorHAnsi"/>
          <w:iCs/>
          <w:szCs w:val="24"/>
          <w:lang w:val="pl-PL" w:eastAsia="en-GB"/>
        </w:rPr>
      </w:pPr>
      <w:r w:rsidRPr="00F879CC">
        <w:rPr>
          <w:rFonts w:asciiTheme="minorHAnsi" w:eastAsia="Times New Roman" w:hAnsiTheme="minorHAnsi" w:cstheme="minorHAnsi"/>
          <w:iCs/>
          <w:szCs w:val="24"/>
          <w:lang w:val="pl-PL" w:eastAsia="en-GB"/>
        </w:rPr>
        <w:t>Tabela</w:t>
      </w:r>
      <w:r w:rsidR="0080199F" w:rsidRPr="00F879CC">
        <w:rPr>
          <w:rFonts w:asciiTheme="minorHAnsi" w:eastAsia="Times New Roman" w:hAnsiTheme="minorHAnsi" w:cstheme="minorHAnsi"/>
          <w:iCs/>
          <w:szCs w:val="24"/>
          <w:lang w:val="pl-PL" w:eastAsia="en-GB"/>
        </w:rPr>
        <w:t xml:space="preserve"> 6: </w:t>
      </w:r>
      <w:r w:rsidR="00871A6C" w:rsidRPr="00F879CC">
        <w:rPr>
          <w:rFonts w:asciiTheme="minorHAnsi" w:eastAsia="Times New Roman" w:hAnsiTheme="minorHAnsi" w:cstheme="minorHAnsi"/>
          <w:iCs/>
          <w:szCs w:val="24"/>
          <w:lang w:val="pl-PL" w:eastAsia="en-GB"/>
        </w:rPr>
        <w:t>Wymiar</w:t>
      </w:r>
      <w:r w:rsidR="0080199F" w:rsidRPr="00F879CC">
        <w:rPr>
          <w:rFonts w:asciiTheme="minorHAnsi" w:eastAsia="Times New Roman" w:hAnsiTheme="minorHAnsi" w:cstheme="minorHAnsi"/>
          <w:iCs/>
          <w:szCs w:val="24"/>
          <w:lang w:val="pl-PL" w:eastAsia="en-GB"/>
        </w:rPr>
        <w:t xml:space="preserve"> 3 – </w:t>
      </w:r>
      <w:r w:rsidR="00871A6C" w:rsidRPr="00F879CC">
        <w:rPr>
          <w:rFonts w:asciiTheme="minorHAnsi" w:eastAsia="Times New Roman" w:hAnsiTheme="minorHAnsi" w:cstheme="minorHAnsi"/>
          <w:iCs/>
          <w:szCs w:val="24"/>
          <w:lang w:val="pl-PL" w:eastAsia="en-GB"/>
        </w:rPr>
        <w:t xml:space="preserve">terytorialny mechanizm realizacji i skupienie </w:t>
      </w:r>
      <w:r w:rsidR="0096482A" w:rsidRPr="00F879CC">
        <w:rPr>
          <w:rFonts w:asciiTheme="minorHAnsi" w:eastAsia="Times New Roman" w:hAnsiTheme="minorHAnsi" w:cstheme="minorHAnsi"/>
          <w:iCs/>
          <w:szCs w:val="24"/>
          <w:lang w:val="pl-PL" w:eastAsia="en-GB"/>
        </w:rPr>
        <w:t xml:space="preserve">uwagi </w:t>
      </w:r>
      <w:r w:rsidR="00871A6C" w:rsidRPr="00F879CC">
        <w:rPr>
          <w:rFonts w:asciiTheme="minorHAnsi" w:eastAsia="Times New Roman" w:hAnsiTheme="minorHAnsi" w:cstheme="minorHAnsi"/>
          <w:iCs/>
          <w:szCs w:val="24"/>
          <w:lang w:val="pl-PL" w:eastAsia="en-GB"/>
        </w:rPr>
        <w:t>na terytorium</w:t>
      </w:r>
    </w:p>
    <w:p w14:paraId="1E153077" w14:textId="413BE2B9" w:rsidR="00F54FDB" w:rsidRPr="00F879CC" w:rsidRDefault="00F54FDB" w:rsidP="00F879CC">
      <w:pPr>
        <w:spacing w:after="200" w:line="276" w:lineRule="auto"/>
        <w:rPr>
          <w:rFonts w:asciiTheme="minorHAnsi" w:eastAsia="Times New Roman" w:hAnsiTheme="minorHAnsi" w:cstheme="minorHAnsi"/>
          <w:i/>
          <w:szCs w:val="24"/>
          <w:lang w:val="pl-PL" w:eastAsia="en-GB"/>
        </w:rPr>
      </w:pPr>
      <w:r w:rsidRPr="00F879CC">
        <w:rPr>
          <w:rFonts w:asciiTheme="minorHAnsi" w:eastAsia="Times New Roman" w:hAnsiTheme="minorHAnsi" w:cstheme="minorHAnsi"/>
          <w:szCs w:val="24"/>
          <w:lang w:val="pl-PL" w:eastAsia="en-GB"/>
        </w:rPr>
        <w:t>(</w:t>
      </w:r>
      <w:bookmarkStart w:id="88" w:name="OLE_LINK171"/>
      <w:bookmarkStart w:id="89" w:name="OLE_LINK172"/>
      <w:r w:rsidR="00871A6C" w:rsidRPr="00F879CC">
        <w:rPr>
          <w:rFonts w:asciiTheme="minorHAnsi" w:hAnsiTheme="minorHAnsi" w:cstheme="minorHAnsi"/>
          <w:lang w:val="pl-PL"/>
        </w:rPr>
        <w:t>do wypełnienia/uwzględnienia w kolejnych krokach</w:t>
      </w:r>
      <w:bookmarkEnd w:id="88"/>
      <w:bookmarkEnd w:id="89"/>
      <w:r w:rsidRPr="00F879CC">
        <w:rPr>
          <w:rFonts w:asciiTheme="minorHAnsi" w:eastAsia="Times New Roman" w:hAnsiTheme="minorHAnsi" w:cstheme="minorHAnsi"/>
          <w:szCs w:val="24"/>
          <w:lang w:val="pl-PL" w:eastAsia="en-GB"/>
        </w:rPr>
        <w:t>)</w:t>
      </w:r>
    </w:p>
    <w:tbl>
      <w:tblPr>
        <w:tblStyle w:val="TableGrid1"/>
        <w:tblW w:w="0" w:type="auto"/>
        <w:tblLook w:val="04A0" w:firstRow="1" w:lastRow="0" w:firstColumn="1" w:lastColumn="0" w:noHBand="0" w:noVBand="1"/>
        <w:tblCaption w:val="Tabela dotycząca wymiaru 3 - terytorialnego mechanizmu realizacji i skupienia uwagi na terytorium"/>
      </w:tblPr>
      <w:tblGrid>
        <w:gridCol w:w="1870"/>
        <w:gridCol w:w="1657"/>
        <w:gridCol w:w="1898"/>
        <w:gridCol w:w="1204"/>
        <w:gridCol w:w="2659"/>
      </w:tblGrid>
      <w:tr w:rsidR="0080199F" w:rsidRPr="00372F4C" w14:paraId="018E7BED" w14:textId="77777777" w:rsidTr="00000498">
        <w:trPr>
          <w:tblHeader/>
        </w:trPr>
        <w:tc>
          <w:tcPr>
            <w:tcW w:w="1870" w:type="dxa"/>
          </w:tcPr>
          <w:p w14:paraId="44BE515D" w14:textId="60BFE026" w:rsidR="0080199F" w:rsidRPr="00F879CC" w:rsidRDefault="00871A6C" w:rsidP="00DE180F">
            <w:pPr>
              <w:spacing w:line="240" w:lineRule="auto"/>
              <w:jc w:val="both"/>
              <w:rPr>
                <w:rFonts w:asciiTheme="minorHAnsi" w:eastAsia="Times New Roman" w:hAnsiTheme="minorHAnsi" w:cstheme="minorHAnsi"/>
                <w:b/>
                <w:iCs/>
                <w:szCs w:val="24"/>
                <w:lang w:val="pl-PL" w:eastAsia="en-GB"/>
              </w:rPr>
            </w:pPr>
            <w:r w:rsidRPr="00F879CC">
              <w:rPr>
                <w:rFonts w:asciiTheme="minorHAnsi" w:eastAsia="Times New Roman" w:hAnsiTheme="minorHAnsi" w:cstheme="minorHAnsi"/>
                <w:b/>
                <w:iCs/>
                <w:szCs w:val="24"/>
                <w:lang w:val="pl-PL" w:eastAsia="en-GB"/>
              </w:rPr>
              <w:t>Nr priorytetu</w:t>
            </w:r>
          </w:p>
        </w:tc>
        <w:tc>
          <w:tcPr>
            <w:tcW w:w="1657" w:type="dxa"/>
          </w:tcPr>
          <w:p w14:paraId="54443247" w14:textId="208F46D2" w:rsidR="0080199F" w:rsidRPr="00F879CC" w:rsidRDefault="00871A6C" w:rsidP="00DE180F">
            <w:pPr>
              <w:spacing w:line="240" w:lineRule="auto"/>
              <w:jc w:val="both"/>
              <w:rPr>
                <w:rFonts w:asciiTheme="minorHAnsi" w:eastAsia="Times New Roman" w:hAnsiTheme="minorHAnsi" w:cstheme="minorHAnsi"/>
                <w:b/>
                <w:iCs/>
                <w:szCs w:val="24"/>
                <w:lang w:val="pl-PL" w:eastAsia="en-GB"/>
              </w:rPr>
            </w:pPr>
            <w:r w:rsidRPr="00F879CC">
              <w:rPr>
                <w:rFonts w:asciiTheme="minorHAnsi" w:eastAsia="Times New Roman" w:hAnsiTheme="minorHAnsi" w:cstheme="minorHAnsi"/>
                <w:b/>
                <w:iCs/>
                <w:szCs w:val="24"/>
                <w:lang w:val="pl-PL" w:eastAsia="en-GB"/>
              </w:rPr>
              <w:t>Fundusz</w:t>
            </w:r>
          </w:p>
        </w:tc>
        <w:tc>
          <w:tcPr>
            <w:tcW w:w="1898" w:type="dxa"/>
          </w:tcPr>
          <w:p w14:paraId="5749B14C" w14:textId="6C88849C" w:rsidR="0080199F" w:rsidRPr="00F879CC" w:rsidRDefault="00871A6C" w:rsidP="00DE180F">
            <w:pPr>
              <w:spacing w:line="240" w:lineRule="auto"/>
              <w:jc w:val="both"/>
              <w:rPr>
                <w:rFonts w:asciiTheme="minorHAnsi" w:eastAsia="Times New Roman" w:hAnsiTheme="minorHAnsi" w:cstheme="minorHAnsi"/>
                <w:b/>
                <w:iCs/>
                <w:szCs w:val="24"/>
                <w:lang w:val="pl-PL" w:eastAsia="en-GB"/>
              </w:rPr>
            </w:pPr>
            <w:r w:rsidRPr="00F879CC">
              <w:rPr>
                <w:rFonts w:asciiTheme="minorHAnsi" w:eastAsia="Times New Roman" w:hAnsiTheme="minorHAnsi" w:cstheme="minorHAnsi"/>
                <w:b/>
                <w:iCs/>
                <w:szCs w:val="24"/>
                <w:lang w:val="pl-PL" w:eastAsia="en-GB"/>
              </w:rPr>
              <w:t>Cel szczegółowy</w:t>
            </w:r>
          </w:p>
        </w:tc>
        <w:tc>
          <w:tcPr>
            <w:tcW w:w="1204" w:type="dxa"/>
          </w:tcPr>
          <w:p w14:paraId="412392D7" w14:textId="6C1A34F6" w:rsidR="0080199F" w:rsidRPr="00F879CC" w:rsidRDefault="00871A6C" w:rsidP="00DE180F">
            <w:pPr>
              <w:spacing w:line="240" w:lineRule="auto"/>
              <w:jc w:val="both"/>
              <w:rPr>
                <w:rFonts w:asciiTheme="minorHAnsi" w:eastAsia="Times New Roman" w:hAnsiTheme="minorHAnsi" w:cstheme="minorHAnsi"/>
                <w:b/>
                <w:iCs/>
                <w:szCs w:val="24"/>
                <w:lang w:val="pl-PL" w:eastAsia="en-GB"/>
              </w:rPr>
            </w:pPr>
            <w:r w:rsidRPr="00F879CC">
              <w:rPr>
                <w:rFonts w:asciiTheme="minorHAnsi" w:eastAsia="Times New Roman" w:hAnsiTheme="minorHAnsi" w:cstheme="minorHAnsi"/>
                <w:b/>
                <w:iCs/>
                <w:szCs w:val="24"/>
                <w:lang w:val="pl-PL" w:eastAsia="en-GB"/>
              </w:rPr>
              <w:t>Kod</w:t>
            </w:r>
            <w:r w:rsidR="0080199F" w:rsidRPr="00F879CC">
              <w:rPr>
                <w:rFonts w:asciiTheme="minorHAnsi" w:eastAsia="Times New Roman" w:hAnsiTheme="minorHAnsi" w:cstheme="minorHAnsi"/>
                <w:b/>
                <w:iCs/>
                <w:szCs w:val="24"/>
                <w:lang w:val="pl-PL" w:eastAsia="en-GB"/>
              </w:rPr>
              <w:t xml:space="preserve"> </w:t>
            </w:r>
          </w:p>
        </w:tc>
        <w:tc>
          <w:tcPr>
            <w:tcW w:w="2659" w:type="dxa"/>
          </w:tcPr>
          <w:p w14:paraId="0CC520F8" w14:textId="69C8B9FC" w:rsidR="0080199F" w:rsidRPr="00F879CC" w:rsidRDefault="00871A6C" w:rsidP="00DE180F">
            <w:pPr>
              <w:spacing w:line="240" w:lineRule="auto"/>
              <w:jc w:val="both"/>
              <w:rPr>
                <w:rFonts w:asciiTheme="minorHAnsi" w:eastAsia="Times New Roman" w:hAnsiTheme="minorHAnsi" w:cstheme="minorHAnsi"/>
                <w:b/>
                <w:iCs/>
                <w:szCs w:val="24"/>
                <w:lang w:val="pl-PL" w:eastAsia="en-GB"/>
              </w:rPr>
            </w:pPr>
            <w:r w:rsidRPr="00F879CC">
              <w:rPr>
                <w:rFonts w:asciiTheme="minorHAnsi" w:eastAsia="Times New Roman" w:hAnsiTheme="minorHAnsi" w:cstheme="minorHAnsi"/>
                <w:b/>
                <w:iCs/>
                <w:szCs w:val="24"/>
                <w:lang w:val="pl-PL" w:eastAsia="en-GB"/>
              </w:rPr>
              <w:t>Kwota</w:t>
            </w:r>
            <w:r w:rsidR="0080199F" w:rsidRPr="00F879CC">
              <w:rPr>
                <w:rFonts w:asciiTheme="minorHAnsi" w:eastAsia="Times New Roman" w:hAnsiTheme="minorHAnsi" w:cstheme="minorHAnsi"/>
                <w:b/>
                <w:iCs/>
                <w:szCs w:val="24"/>
                <w:lang w:val="pl-PL" w:eastAsia="en-GB"/>
              </w:rPr>
              <w:t xml:space="preserve"> (EUR)</w:t>
            </w:r>
          </w:p>
        </w:tc>
      </w:tr>
      <w:tr w:rsidR="0080199F" w:rsidRPr="00372F4C" w14:paraId="12715722" w14:textId="77777777" w:rsidTr="00DE180F">
        <w:tc>
          <w:tcPr>
            <w:tcW w:w="1870" w:type="dxa"/>
          </w:tcPr>
          <w:p w14:paraId="5234DE8E" w14:textId="77777777" w:rsidR="0080199F" w:rsidRPr="00F879CC" w:rsidRDefault="0080199F" w:rsidP="00DE180F">
            <w:pPr>
              <w:spacing w:line="240" w:lineRule="auto"/>
              <w:jc w:val="both"/>
              <w:rPr>
                <w:rFonts w:asciiTheme="minorHAnsi" w:eastAsia="Times New Roman" w:hAnsiTheme="minorHAnsi" w:cstheme="minorHAnsi"/>
                <w:b/>
                <w:iCs/>
                <w:szCs w:val="24"/>
                <w:lang w:val="pl-PL" w:eastAsia="en-GB"/>
              </w:rPr>
            </w:pPr>
          </w:p>
        </w:tc>
        <w:tc>
          <w:tcPr>
            <w:tcW w:w="1657" w:type="dxa"/>
          </w:tcPr>
          <w:p w14:paraId="514AD4EA" w14:textId="77777777" w:rsidR="0080199F" w:rsidRPr="00F879CC" w:rsidRDefault="0080199F" w:rsidP="00DE180F">
            <w:pPr>
              <w:spacing w:line="240" w:lineRule="auto"/>
              <w:jc w:val="both"/>
              <w:rPr>
                <w:rFonts w:asciiTheme="minorHAnsi" w:eastAsia="Times New Roman" w:hAnsiTheme="minorHAnsi" w:cstheme="minorHAnsi"/>
                <w:b/>
                <w:iCs/>
                <w:szCs w:val="24"/>
                <w:lang w:val="pl-PL" w:eastAsia="en-GB"/>
              </w:rPr>
            </w:pPr>
          </w:p>
        </w:tc>
        <w:tc>
          <w:tcPr>
            <w:tcW w:w="1898" w:type="dxa"/>
          </w:tcPr>
          <w:p w14:paraId="3ED6E675" w14:textId="77777777" w:rsidR="0080199F" w:rsidRPr="00F879CC" w:rsidRDefault="0080199F" w:rsidP="00DE180F">
            <w:pPr>
              <w:spacing w:line="240" w:lineRule="auto"/>
              <w:jc w:val="both"/>
              <w:rPr>
                <w:rFonts w:asciiTheme="minorHAnsi" w:eastAsia="Times New Roman" w:hAnsiTheme="minorHAnsi" w:cstheme="minorHAnsi"/>
                <w:b/>
                <w:iCs/>
                <w:szCs w:val="24"/>
                <w:lang w:val="pl-PL" w:eastAsia="en-GB"/>
              </w:rPr>
            </w:pPr>
          </w:p>
        </w:tc>
        <w:tc>
          <w:tcPr>
            <w:tcW w:w="1204" w:type="dxa"/>
          </w:tcPr>
          <w:p w14:paraId="5553DAFD" w14:textId="77777777" w:rsidR="0080199F" w:rsidRPr="00F879CC" w:rsidRDefault="0080199F" w:rsidP="00DE180F">
            <w:pPr>
              <w:spacing w:line="240" w:lineRule="auto"/>
              <w:jc w:val="both"/>
              <w:rPr>
                <w:rFonts w:asciiTheme="minorHAnsi" w:eastAsia="Times New Roman" w:hAnsiTheme="minorHAnsi" w:cstheme="minorHAnsi"/>
                <w:b/>
                <w:iCs/>
                <w:szCs w:val="24"/>
                <w:lang w:val="pl-PL" w:eastAsia="en-GB"/>
              </w:rPr>
            </w:pPr>
          </w:p>
        </w:tc>
        <w:tc>
          <w:tcPr>
            <w:tcW w:w="2659" w:type="dxa"/>
          </w:tcPr>
          <w:p w14:paraId="0D04F680" w14:textId="77777777" w:rsidR="0080199F" w:rsidRPr="00F879CC" w:rsidRDefault="0080199F" w:rsidP="00DE180F">
            <w:pPr>
              <w:spacing w:line="240" w:lineRule="auto"/>
              <w:jc w:val="both"/>
              <w:rPr>
                <w:rFonts w:asciiTheme="minorHAnsi" w:eastAsia="Times New Roman" w:hAnsiTheme="minorHAnsi" w:cstheme="minorHAnsi"/>
                <w:b/>
                <w:iCs/>
                <w:szCs w:val="24"/>
                <w:lang w:val="pl-PL" w:eastAsia="en-GB"/>
              </w:rPr>
            </w:pPr>
          </w:p>
        </w:tc>
      </w:tr>
    </w:tbl>
    <w:p w14:paraId="4B0D2003" w14:textId="5191F4DF" w:rsidR="0000136E" w:rsidRPr="00F879CC" w:rsidRDefault="0000136E" w:rsidP="001165AD">
      <w:pPr>
        <w:spacing w:before="240" w:after="240" w:line="240" w:lineRule="auto"/>
        <w:jc w:val="both"/>
        <w:rPr>
          <w:rFonts w:asciiTheme="minorHAnsi" w:eastAsia="Times New Roman" w:hAnsiTheme="minorHAnsi" w:cstheme="minorHAnsi"/>
          <w:b/>
          <w:iCs/>
          <w:szCs w:val="24"/>
          <w:lang w:val="en-IE" w:eastAsia="en-GB"/>
        </w:rPr>
      </w:pPr>
    </w:p>
    <w:p w14:paraId="082C2779" w14:textId="383E892C" w:rsidR="009C472A" w:rsidRPr="00F879CC" w:rsidRDefault="00871A6C" w:rsidP="00F879CC">
      <w:pPr>
        <w:numPr>
          <w:ilvl w:val="1"/>
          <w:numId w:val="3"/>
        </w:numPr>
        <w:spacing w:before="240" w:after="240" w:line="276" w:lineRule="auto"/>
        <w:ind w:left="431" w:hanging="431"/>
        <w:rPr>
          <w:rFonts w:asciiTheme="minorHAnsi" w:eastAsia="Times New Roman" w:hAnsiTheme="minorHAnsi" w:cstheme="minorHAnsi"/>
          <w:b/>
          <w:szCs w:val="24"/>
          <w:lang w:val="pl-PL" w:eastAsia="en-GB"/>
        </w:rPr>
      </w:pPr>
      <w:r w:rsidRPr="00000498">
        <w:rPr>
          <w:rFonts w:asciiTheme="minorHAnsi" w:eastAsia="Times New Roman" w:hAnsiTheme="minorHAnsi" w:cstheme="minorHAnsi"/>
          <w:b/>
          <w:sz w:val="26"/>
          <w:szCs w:val="26"/>
          <w:lang w:val="pl-PL" w:eastAsia="en-GB"/>
        </w:rPr>
        <w:lastRenderedPageBreak/>
        <w:t>Nazwa priorytetu</w:t>
      </w:r>
      <w:r w:rsidRPr="00F879CC">
        <w:rPr>
          <w:rFonts w:asciiTheme="minorHAnsi" w:eastAsia="Times New Roman" w:hAnsiTheme="minorHAnsi" w:cstheme="minorHAnsi"/>
          <w:b/>
          <w:szCs w:val="24"/>
          <w:lang w:val="pl-PL" w:eastAsia="en-GB"/>
        </w:rPr>
        <w:t xml:space="preserve"> </w:t>
      </w:r>
      <w:r w:rsidR="009C472A" w:rsidRPr="00F879CC">
        <w:rPr>
          <w:rFonts w:asciiTheme="minorHAnsi" w:eastAsia="Times New Roman" w:hAnsiTheme="minorHAnsi" w:cstheme="minorHAnsi"/>
          <w:szCs w:val="24"/>
          <w:lang w:val="pl-PL" w:eastAsia="en-GB"/>
        </w:rPr>
        <w:t>(</w:t>
      </w:r>
      <w:r w:rsidRPr="00F879CC">
        <w:rPr>
          <w:rFonts w:asciiTheme="minorHAnsi" w:eastAsia="Times New Roman" w:hAnsiTheme="minorHAnsi" w:cstheme="minorHAnsi"/>
          <w:szCs w:val="24"/>
          <w:lang w:val="pl-PL" w:eastAsia="en-GB"/>
        </w:rPr>
        <w:t>powtórzona dla każdego priorytetu</w:t>
      </w:r>
      <w:r w:rsidR="009C472A" w:rsidRPr="00F879CC">
        <w:rPr>
          <w:rFonts w:asciiTheme="minorHAnsi" w:eastAsia="Times New Roman" w:hAnsiTheme="minorHAnsi" w:cstheme="minorHAnsi"/>
          <w:szCs w:val="24"/>
          <w:lang w:val="pl-PL" w:eastAsia="en-GB"/>
        </w:rPr>
        <w:t>)</w:t>
      </w:r>
    </w:p>
    <w:p w14:paraId="20F31531" w14:textId="56A390BA" w:rsidR="009C472A" w:rsidRPr="00F879CC" w:rsidRDefault="006F72C4" w:rsidP="00F879CC">
      <w:pPr>
        <w:spacing w:after="200" w:line="276" w:lineRule="auto"/>
        <w:rPr>
          <w:rFonts w:asciiTheme="minorHAnsi" w:eastAsia="Times New Roman" w:hAnsiTheme="minorHAnsi" w:cstheme="minorHAnsi"/>
          <w:szCs w:val="24"/>
          <w:lang w:val="pl-PL" w:eastAsia="en-GB"/>
        </w:rPr>
      </w:pPr>
      <w:bookmarkStart w:id="90" w:name="OLE_LINK253"/>
      <w:bookmarkStart w:id="91" w:name="OLE_LINK254"/>
      <w:r w:rsidRPr="00F879CC">
        <w:rPr>
          <w:rFonts w:asciiTheme="minorHAnsi" w:eastAsia="Times New Roman" w:hAnsiTheme="minorHAnsi" w:cstheme="minorHAnsi"/>
          <w:szCs w:val="24"/>
          <w:lang w:val="pl-PL" w:eastAsia="en-GB"/>
        </w:rPr>
        <w:t>Dotyczy: art. 17 ust. 4 lit. d)</w:t>
      </w:r>
      <w:bookmarkEnd w:id="90"/>
      <w:bookmarkEnd w:id="91"/>
    </w:p>
    <w:p w14:paraId="2880B02D" w14:textId="400C6F8F" w:rsidR="009C472A" w:rsidRPr="00F42A23" w:rsidRDefault="009C472A" w:rsidP="000C22D9">
      <w:pPr>
        <w:pStyle w:val="Nagwek2"/>
        <w:rPr>
          <w:rFonts w:eastAsia="Times New Roman"/>
          <w:color w:val="auto"/>
          <w:sz w:val="28"/>
          <w:lang w:val="en-IE" w:eastAsia="en-GB"/>
        </w:rPr>
      </w:pPr>
      <w:bookmarkStart w:id="92" w:name="_Toc73432982"/>
      <w:r w:rsidRPr="000C22D9">
        <w:rPr>
          <w:rFonts w:eastAsia="Times New Roman"/>
          <w:color w:val="auto"/>
          <w:sz w:val="28"/>
          <w:lang w:val="en-IE" w:eastAsia="en-GB"/>
        </w:rPr>
        <w:t xml:space="preserve">2. </w:t>
      </w:r>
      <w:r w:rsidR="006F72C4" w:rsidRPr="00F42A23">
        <w:rPr>
          <w:rFonts w:eastAsia="Times New Roman"/>
          <w:color w:val="auto"/>
          <w:sz w:val="28"/>
          <w:lang w:val="en-IE" w:eastAsia="en-GB"/>
        </w:rPr>
        <w:t xml:space="preserve">Społeczeństwa </w:t>
      </w:r>
      <w:r w:rsidR="00A56C60" w:rsidRPr="00F42A23">
        <w:rPr>
          <w:rFonts w:eastAsia="Times New Roman"/>
          <w:color w:val="auto"/>
          <w:sz w:val="28"/>
          <w:lang w:val="en-IE" w:eastAsia="en-GB"/>
        </w:rPr>
        <w:t xml:space="preserve">rozważnie </w:t>
      </w:r>
      <w:r w:rsidR="006F72C4" w:rsidRPr="00F42A23">
        <w:rPr>
          <w:rFonts w:eastAsia="Times New Roman"/>
          <w:color w:val="auto"/>
          <w:sz w:val="28"/>
          <w:lang w:val="en-IE" w:eastAsia="en-GB"/>
        </w:rPr>
        <w:t>korzystające z wody</w:t>
      </w:r>
      <w:bookmarkEnd w:id="92"/>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9C472A" w:rsidRPr="00A56C60" w14:paraId="7452BDEE" w14:textId="77777777" w:rsidTr="00DE180F">
        <w:tc>
          <w:tcPr>
            <w:tcW w:w="9322" w:type="dxa"/>
          </w:tcPr>
          <w:p w14:paraId="6BF36ABD" w14:textId="012A42B9" w:rsidR="009C472A" w:rsidRPr="00F879CC" w:rsidRDefault="009C472A" w:rsidP="00E53E1B">
            <w:pPr>
              <w:spacing w:line="276" w:lineRule="auto"/>
              <w:rPr>
                <w:rFonts w:asciiTheme="minorHAnsi" w:eastAsia="Calibri" w:hAnsiTheme="minorHAnsi" w:cstheme="minorHAnsi"/>
                <w:sz w:val="20"/>
                <w:szCs w:val="20"/>
                <w:lang w:val="pl-PL" w:eastAsia="en-GB"/>
              </w:rPr>
            </w:pPr>
            <w:r w:rsidRPr="00F42A23">
              <w:rPr>
                <w:rFonts w:asciiTheme="minorHAnsi" w:eastAsia="Calibri" w:hAnsiTheme="minorHAnsi" w:cstheme="minorHAnsi"/>
                <w:sz w:val="20"/>
                <w:szCs w:val="20"/>
                <w:lang w:val="en-IE" w:eastAsia="en-GB"/>
              </w:rPr>
              <w:fldChar w:fldCharType="begin">
                <w:ffData>
                  <w:name w:val="Check1"/>
                  <w:enabled/>
                  <w:calcOnExit w:val="0"/>
                  <w:checkBox>
                    <w:sizeAuto/>
                    <w:default w:val="0"/>
                  </w:checkBox>
                </w:ffData>
              </w:fldChar>
            </w:r>
            <w:r w:rsidRPr="00F42A23">
              <w:rPr>
                <w:rFonts w:asciiTheme="minorHAnsi" w:eastAsia="Calibri" w:hAnsiTheme="minorHAnsi" w:cstheme="minorHAnsi"/>
                <w:sz w:val="20"/>
                <w:szCs w:val="20"/>
                <w:lang w:val="pl-PL" w:eastAsia="en-GB"/>
              </w:rPr>
              <w:instrText xml:space="preserve"> FORMCHECKBOX </w:instrText>
            </w:r>
            <w:r w:rsidR="00C93217">
              <w:rPr>
                <w:rFonts w:asciiTheme="minorHAnsi" w:eastAsia="Calibri" w:hAnsiTheme="minorHAnsi" w:cstheme="minorHAnsi"/>
                <w:sz w:val="20"/>
                <w:szCs w:val="20"/>
                <w:lang w:val="en-IE" w:eastAsia="en-GB"/>
              </w:rPr>
            </w:r>
            <w:r w:rsidR="00C93217">
              <w:rPr>
                <w:rFonts w:asciiTheme="minorHAnsi" w:eastAsia="Calibri" w:hAnsiTheme="minorHAnsi" w:cstheme="minorHAnsi"/>
                <w:sz w:val="20"/>
                <w:szCs w:val="20"/>
                <w:lang w:val="en-IE" w:eastAsia="en-GB"/>
              </w:rPr>
              <w:fldChar w:fldCharType="separate"/>
            </w:r>
            <w:r w:rsidRPr="00F42A23">
              <w:rPr>
                <w:rFonts w:asciiTheme="minorHAnsi" w:eastAsia="Calibri" w:hAnsiTheme="minorHAnsi" w:cstheme="minorHAnsi"/>
                <w:sz w:val="20"/>
                <w:szCs w:val="20"/>
                <w:lang w:val="en-IE" w:eastAsia="en-GB"/>
              </w:rPr>
              <w:fldChar w:fldCharType="end"/>
            </w:r>
            <w:r w:rsidRPr="00F42A23">
              <w:rPr>
                <w:rFonts w:asciiTheme="minorHAnsi" w:eastAsia="Calibri" w:hAnsiTheme="minorHAnsi" w:cstheme="minorHAnsi"/>
                <w:sz w:val="20"/>
                <w:szCs w:val="20"/>
                <w:lang w:val="pl-PL" w:eastAsia="en-GB"/>
              </w:rPr>
              <w:t xml:space="preserve"> </w:t>
            </w:r>
            <w:bookmarkStart w:id="93" w:name="OLE_LINK259"/>
            <w:bookmarkStart w:id="94" w:name="OLE_LINK260"/>
            <w:r w:rsidR="00E53E1B" w:rsidRPr="00F42A23">
              <w:rPr>
                <w:rFonts w:asciiTheme="minorHAnsi" w:eastAsia="Calibri" w:hAnsiTheme="minorHAnsi" w:cstheme="minorHAnsi"/>
                <w:sz w:val="20"/>
                <w:szCs w:val="20"/>
                <w:lang w:val="pl-PL" w:eastAsia="en-GB"/>
              </w:rPr>
              <w:t>A</w:t>
            </w:r>
            <w:r w:rsidR="006F72C4" w:rsidRPr="00F42A23">
              <w:rPr>
                <w:rFonts w:asciiTheme="minorHAnsi" w:eastAsia="Calibri" w:hAnsiTheme="minorHAnsi" w:cstheme="minorHAnsi"/>
                <w:szCs w:val="24"/>
                <w:lang w:val="pl-PL" w:eastAsia="en-GB"/>
              </w:rPr>
              <w:t>rt. 17 ust. 3</w:t>
            </w:r>
            <w:bookmarkEnd w:id="93"/>
            <w:bookmarkEnd w:id="94"/>
          </w:p>
        </w:tc>
      </w:tr>
    </w:tbl>
    <w:p w14:paraId="254D5B9C" w14:textId="33250CB2" w:rsidR="009C472A" w:rsidRPr="00F879CC" w:rsidRDefault="009C472A" w:rsidP="00F879CC">
      <w:pPr>
        <w:spacing w:before="240" w:after="240" w:line="276" w:lineRule="auto"/>
        <w:ind w:left="709" w:hanging="709"/>
        <w:rPr>
          <w:rFonts w:asciiTheme="minorHAnsi" w:eastAsia="Times New Roman" w:hAnsiTheme="minorHAnsi" w:cstheme="minorHAnsi"/>
          <w:iCs/>
          <w:szCs w:val="24"/>
          <w:lang w:val="pl-PL" w:eastAsia="en-GB"/>
        </w:rPr>
      </w:pPr>
      <w:r w:rsidRPr="00F879CC">
        <w:rPr>
          <w:rFonts w:asciiTheme="minorHAnsi" w:eastAsia="Times New Roman" w:hAnsiTheme="minorHAnsi" w:cstheme="minorHAnsi"/>
          <w:b/>
          <w:iCs/>
          <w:szCs w:val="24"/>
          <w:lang w:val="pl-PL" w:eastAsia="en-GB"/>
        </w:rPr>
        <w:t>2.2.1.</w:t>
      </w:r>
      <w:r w:rsidRPr="00F879CC">
        <w:rPr>
          <w:rFonts w:asciiTheme="minorHAnsi" w:eastAsia="Times New Roman" w:hAnsiTheme="minorHAnsi" w:cstheme="minorHAnsi"/>
          <w:b/>
          <w:iCs/>
          <w:szCs w:val="24"/>
          <w:lang w:val="pl-PL" w:eastAsia="en-GB"/>
        </w:rPr>
        <w:tab/>
      </w:r>
      <w:r w:rsidR="00871A6C" w:rsidRPr="00F879CC">
        <w:rPr>
          <w:rFonts w:asciiTheme="minorHAnsi" w:eastAsia="Times New Roman" w:hAnsiTheme="minorHAnsi" w:cstheme="minorHAnsi"/>
          <w:b/>
          <w:iCs/>
          <w:szCs w:val="24"/>
          <w:lang w:val="pl-PL" w:eastAsia="en-GB"/>
        </w:rPr>
        <w:t>Cel szczegółowy</w:t>
      </w:r>
      <w:r w:rsidRPr="00F879CC">
        <w:rPr>
          <w:rFonts w:asciiTheme="minorHAnsi" w:eastAsia="Times New Roman" w:hAnsiTheme="minorHAnsi" w:cstheme="minorHAnsi"/>
          <w:b/>
          <w:iCs/>
          <w:szCs w:val="24"/>
          <w:lang w:val="pl-PL" w:eastAsia="en-GB"/>
        </w:rPr>
        <w:t xml:space="preserve"> (v) </w:t>
      </w:r>
      <w:r w:rsidR="006F72C4" w:rsidRPr="00F879CC">
        <w:rPr>
          <w:rFonts w:asciiTheme="minorHAnsi" w:eastAsia="Times New Roman" w:hAnsiTheme="minorHAnsi" w:cstheme="minorHAnsi"/>
          <w:b/>
          <w:iCs/>
          <w:szCs w:val="24"/>
          <w:lang w:val="pl-PL" w:eastAsia="en-GB"/>
        </w:rPr>
        <w:t>Promowanie dostępu do wody i zrównoważona gospodarka wodna</w:t>
      </w:r>
    </w:p>
    <w:p w14:paraId="23C024CC" w14:textId="547E310B" w:rsidR="009C472A" w:rsidRPr="00F879CC" w:rsidRDefault="006F72C4" w:rsidP="00F879CC">
      <w:pPr>
        <w:spacing w:after="200" w:line="276" w:lineRule="auto"/>
        <w:rPr>
          <w:rFonts w:asciiTheme="minorHAnsi" w:eastAsia="Times New Roman" w:hAnsiTheme="minorHAnsi" w:cstheme="minorHAnsi"/>
          <w:szCs w:val="24"/>
          <w:lang w:val="pl-PL" w:eastAsia="en-GB"/>
        </w:rPr>
      </w:pPr>
      <w:r w:rsidRPr="00F879CC">
        <w:rPr>
          <w:rFonts w:asciiTheme="minorHAnsi" w:eastAsia="Times New Roman" w:hAnsiTheme="minorHAnsi" w:cstheme="minorHAnsi"/>
          <w:szCs w:val="24"/>
          <w:lang w:val="pl-PL" w:eastAsia="en-GB"/>
        </w:rPr>
        <w:t>Dotyczy: art. 17 ust. 4 lit. e)</w:t>
      </w:r>
    </w:p>
    <w:p w14:paraId="1D5077A2" w14:textId="2855E793" w:rsidR="009C472A" w:rsidRPr="00F879CC" w:rsidRDefault="009C472A" w:rsidP="00F879CC">
      <w:pPr>
        <w:spacing w:before="240" w:after="240" w:line="276" w:lineRule="auto"/>
        <w:ind w:left="709" w:hanging="709"/>
        <w:rPr>
          <w:rFonts w:asciiTheme="minorHAnsi" w:eastAsia="Times New Roman" w:hAnsiTheme="minorHAnsi" w:cstheme="minorHAnsi"/>
          <w:iCs/>
          <w:szCs w:val="24"/>
          <w:lang w:val="pl-PL" w:eastAsia="en-GB"/>
        </w:rPr>
      </w:pPr>
      <w:r w:rsidRPr="00F879CC">
        <w:rPr>
          <w:rFonts w:asciiTheme="minorHAnsi" w:eastAsia="Times New Roman" w:hAnsiTheme="minorHAnsi" w:cstheme="minorHAnsi"/>
          <w:b/>
          <w:iCs/>
          <w:szCs w:val="24"/>
          <w:lang w:val="pl-PL" w:eastAsia="en-GB"/>
        </w:rPr>
        <w:t>2.2.1.1</w:t>
      </w:r>
      <w:r w:rsidRPr="00F879CC">
        <w:rPr>
          <w:rFonts w:asciiTheme="minorHAnsi" w:eastAsia="Times New Roman" w:hAnsiTheme="minorHAnsi" w:cstheme="minorHAnsi"/>
          <w:b/>
          <w:iCs/>
          <w:szCs w:val="24"/>
          <w:lang w:val="pl-PL" w:eastAsia="en-GB"/>
        </w:rPr>
        <w:tab/>
      </w:r>
      <w:r w:rsidR="00FE7B9C">
        <w:rPr>
          <w:rFonts w:asciiTheme="minorHAnsi" w:eastAsia="Times New Roman" w:hAnsiTheme="minorHAnsi" w:cstheme="minorHAnsi"/>
          <w:b/>
          <w:iCs/>
          <w:szCs w:val="24"/>
          <w:lang w:val="pl-PL" w:eastAsia="en-GB"/>
        </w:rPr>
        <w:t xml:space="preserve"> </w:t>
      </w:r>
      <w:r w:rsidR="00B00B47" w:rsidRPr="00F879CC">
        <w:rPr>
          <w:rFonts w:asciiTheme="minorHAnsi" w:eastAsia="Times New Roman" w:hAnsiTheme="minorHAnsi" w:cstheme="minorHAnsi"/>
          <w:b/>
          <w:iCs/>
          <w:szCs w:val="24"/>
          <w:lang w:val="pl-PL" w:eastAsia="en-GB"/>
        </w:rPr>
        <w:t>Powiązane rodzaje działań i ich oczekiwany wkład w realizację tych celów szczegółowych oraz w stosownych przypadkach w strategie makroregionalne i strategie basenów morskich</w:t>
      </w:r>
    </w:p>
    <w:p w14:paraId="330A4D4E" w14:textId="53873167" w:rsidR="009C472A" w:rsidRPr="00F879CC" w:rsidRDefault="00B00B47" w:rsidP="00F879CC">
      <w:pPr>
        <w:spacing w:after="200" w:line="276" w:lineRule="auto"/>
        <w:rPr>
          <w:rFonts w:asciiTheme="minorHAnsi" w:eastAsia="Times New Roman" w:hAnsiTheme="minorHAnsi" w:cstheme="minorHAnsi"/>
          <w:szCs w:val="24"/>
          <w:lang w:val="pl-PL" w:eastAsia="en-GB"/>
        </w:rPr>
      </w:pPr>
      <w:r w:rsidRPr="00F879CC">
        <w:rPr>
          <w:rFonts w:asciiTheme="minorHAnsi" w:eastAsia="Times New Roman" w:hAnsiTheme="minorHAnsi" w:cstheme="minorHAnsi"/>
          <w:szCs w:val="24"/>
          <w:lang w:val="pl-PL" w:eastAsia="en-GB"/>
        </w:rPr>
        <w:t>Dotyczy: art. 17 ust. 4 lit. e) ppkt (i), art. 17 ust. 9 lit. c) ppkt (ii)</w:t>
      </w:r>
    </w:p>
    <w:p w14:paraId="27A4F02A" w14:textId="0670A7AE" w:rsidR="00E04EED" w:rsidRPr="00035701" w:rsidRDefault="00B00B47" w:rsidP="00035701">
      <w:pPr>
        <w:pStyle w:val="Nagwek3"/>
        <w:rPr>
          <w:rFonts w:eastAsia="Times New Roman"/>
          <w:color w:val="auto"/>
          <w:sz w:val="28"/>
          <w:lang w:val="pl-PL" w:eastAsia="en-GB"/>
        </w:rPr>
      </w:pPr>
      <w:bookmarkStart w:id="95" w:name="_Toc73432983"/>
      <w:bookmarkStart w:id="96" w:name="_Hlk58491009"/>
      <w:r w:rsidRPr="00035701">
        <w:rPr>
          <w:rFonts w:eastAsia="Times New Roman"/>
          <w:color w:val="auto"/>
          <w:sz w:val="28"/>
          <w:lang w:val="pl-PL" w:eastAsia="en-GB"/>
        </w:rPr>
        <w:t>Cel</w:t>
      </w:r>
      <w:r w:rsidR="00E04EED" w:rsidRPr="00035701">
        <w:rPr>
          <w:rFonts w:eastAsia="Times New Roman"/>
          <w:color w:val="auto"/>
          <w:sz w:val="28"/>
          <w:lang w:val="pl-PL" w:eastAsia="en-GB"/>
        </w:rPr>
        <w:t xml:space="preserve"> </w:t>
      </w:r>
      <w:r w:rsidR="00A01360" w:rsidRPr="00035701">
        <w:rPr>
          <w:rFonts w:eastAsia="Times New Roman"/>
          <w:color w:val="auto"/>
          <w:sz w:val="28"/>
          <w:lang w:val="pl-PL" w:eastAsia="en-GB"/>
        </w:rPr>
        <w:t xml:space="preserve">szczegółowy </w:t>
      </w:r>
      <w:r w:rsidR="00E04EED" w:rsidRPr="00035701">
        <w:rPr>
          <w:rFonts w:eastAsia="Times New Roman"/>
          <w:color w:val="auto"/>
          <w:sz w:val="28"/>
          <w:lang w:val="pl-PL" w:eastAsia="en-GB"/>
        </w:rPr>
        <w:t xml:space="preserve">2.1 </w:t>
      </w:r>
      <w:r w:rsidRPr="00035701">
        <w:rPr>
          <w:rFonts w:eastAsia="Times New Roman"/>
          <w:color w:val="auto"/>
          <w:sz w:val="28"/>
          <w:lang w:val="pl-PL" w:eastAsia="en-GB"/>
        </w:rPr>
        <w:t>Zrównoważone wody</w:t>
      </w:r>
      <w:bookmarkEnd w:id="95"/>
    </w:p>
    <w:p w14:paraId="7D9E3D0B" w14:textId="22520E0A" w:rsidR="00E04EED" w:rsidRPr="00F879CC" w:rsidRDefault="00871A6C"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b/>
          <w:szCs w:val="24"/>
          <w:lang w:val="pl-PL" w:eastAsia="en-GB"/>
        </w:rPr>
      </w:pPr>
      <w:r w:rsidRPr="00F879CC">
        <w:rPr>
          <w:rFonts w:asciiTheme="minorHAnsi" w:eastAsia="Times New Roman" w:hAnsiTheme="minorHAnsi" w:cstheme="minorHAnsi"/>
          <w:b/>
          <w:szCs w:val="24"/>
          <w:lang w:val="pl-PL" w:eastAsia="en-GB"/>
        </w:rPr>
        <w:t>Wprowadzen</w:t>
      </w:r>
      <w:r w:rsidR="00D23512" w:rsidRPr="00F879CC">
        <w:rPr>
          <w:rFonts w:asciiTheme="minorHAnsi" w:eastAsia="Times New Roman" w:hAnsiTheme="minorHAnsi" w:cstheme="minorHAnsi"/>
          <w:b/>
          <w:szCs w:val="24"/>
          <w:lang w:val="pl-PL" w:eastAsia="en-GB"/>
        </w:rPr>
        <w:t>ie</w:t>
      </w:r>
      <w:r w:rsidRPr="00F879CC">
        <w:rPr>
          <w:rFonts w:asciiTheme="minorHAnsi" w:eastAsia="Times New Roman" w:hAnsiTheme="minorHAnsi" w:cstheme="minorHAnsi"/>
          <w:b/>
          <w:szCs w:val="24"/>
          <w:lang w:val="pl-PL" w:eastAsia="en-GB"/>
        </w:rPr>
        <w:t xml:space="preserve"> do działań</w:t>
      </w:r>
      <w:r w:rsidR="00E04EED" w:rsidRPr="00F879CC">
        <w:rPr>
          <w:rFonts w:asciiTheme="minorHAnsi" w:eastAsia="Times New Roman" w:hAnsiTheme="minorHAnsi" w:cstheme="minorHAnsi"/>
          <w:b/>
          <w:szCs w:val="24"/>
          <w:lang w:val="pl-PL" w:eastAsia="en-GB"/>
        </w:rPr>
        <w:t xml:space="preserve"> </w:t>
      </w:r>
    </w:p>
    <w:p w14:paraId="10550BAE" w14:textId="745E3639" w:rsidR="00E04EED" w:rsidRPr="00F879CC" w:rsidRDefault="00B00B47"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u w:val="single"/>
          <w:lang w:val="pl-PL" w:eastAsia="en-GB"/>
        </w:rPr>
      </w:pPr>
      <w:r w:rsidRPr="00F879CC">
        <w:rPr>
          <w:rFonts w:asciiTheme="minorHAnsi" w:eastAsia="Times New Roman" w:hAnsiTheme="minorHAnsi" w:cstheme="minorHAnsi"/>
          <w:szCs w:val="24"/>
          <w:lang w:val="pl-PL" w:eastAsia="en-GB"/>
        </w:rPr>
        <w:t xml:space="preserve">Program wspiera działania poprawiające </w:t>
      </w:r>
      <w:r w:rsidRPr="00F879CC">
        <w:rPr>
          <w:rFonts w:asciiTheme="minorHAnsi" w:eastAsia="Times New Roman" w:hAnsiTheme="minorHAnsi" w:cstheme="minorHAnsi"/>
          <w:szCs w:val="24"/>
          <w:u w:val="single"/>
          <w:lang w:val="pl-PL" w:eastAsia="en-GB"/>
        </w:rPr>
        <w:t>stan wód</w:t>
      </w:r>
      <w:r w:rsidRPr="00F879CC">
        <w:rPr>
          <w:rFonts w:asciiTheme="minorHAnsi" w:eastAsia="Times New Roman" w:hAnsiTheme="minorHAnsi" w:cstheme="minorHAnsi"/>
          <w:szCs w:val="24"/>
          <w:lang w:val="pl-PL" w:eastAsia="en-GB"/>
        </w:rPr>
        <w:t xml:space="preserve"> w regionie i czyniące </w:t>
      </w:r>
      <w:r w:rsidRPr="00F879CC">
        <w:rPr>
          <w:rFonts w:asciiTheme="minorHAnsi" w:eastAsia="Times New Roman" w:hAnsiTheme="minorHAnsi" w:cstheme="minorHAnsi"/>
          <w:szCs w:val="24"/>
          <w:u w:val="single"/>
          <w:lang w:val="pl-PL" w:eastAsia="en-GB"/>
        </w:rPr>
        <w:t>gospodarkę bardziej zrównoważoną</w:t>
      </w:r>
      <w:r w:rsidRPr="00F879CC">
        <w:rPr>
          <w:rFonts w:asciiTheme="minorHAnsi" w:eastAsia="Times New Roman" w:hAnsiTheme="minorHAnsi" w:cstheme="minorHAnsi"/>
          <w:szCs w:val="24"/>
          <w:lang w:val="pl-PL" w:eastAsia="en-GB"/>
        </w:rPr>
        <w:t xml:space="preserve">. Wody te obejmują </w:t>
      </w:r>
      <w:r w:rsidRPr="00F879CC">
        <w:rPr>
          <w:rFonts w:asciiTheme="minorHAnsi" w:eastAsia="Times New Roman" w:hAnsiTheme="minorHAnsi" w:cstheme="minorHAnsi"/>
          <w:szCs w:val="24"/>
          <w:u w:val="single"/>
          <w:lang w:val="pl-PL" w:eastAsia="en-GB"/>
        </w:rPr>
        <w:t xml:space="preserve">Morze Bałtyckie, wody przybrzeżne i śródlądowe takie, jak rzeki, jeziora </w:t>
      </w:r>
      <w:r w:rsidR="00185C08">
        <w:rPr>
          <w:rFonts w:asciiTheme="minorHAnsi" w:eastAsia="Times New Roman" w:hAnsiTheme="minorHAnsi" w:cstheme="minorHAnsi"/>
          <w:szCs w:val="24"/>
          <w:u w:val="single"/>
          <w:lang w:val="pl-PL" w:eastAsia="en-GB"/>
        </w:rPr>
        <w:t>oraz</w:t>
      </w:r>
      <w:r w:rsidRPr="00F879CC">
        <w:rPr>
          <w:rFonts w:asciiTheme="minorHAnsi" w:eastAsia="Times New Roman" w:hAnsiTheme="minorHAnsi" w:cstheme="minorHAnsi"/>
          <w:szCs w:val="24"/>
          <w:u w:val="single"/>
          <w:lang w:val="pl-PL" w:eastAsia="en-GB"/>
        </w:rPr>
        <w:t xml:space="preserve"> wody gruntowe.</w:t>
      </w:r>
      <w:r w:rsidR="00E04EED" w:rsidRPr="00F879CC">
        <w:rPr>
          <w:rFonts w:asciiTheme="minorHAnsi" w:eastAsia="Times New Roman" w:hAnsiTheme="minorHAnsi" w:cstheme="minorHAnsi"/>
          <w:szCs w:val="24"/>
          <w:lang w:val="pl-PL" w:eastAsia="en-GB"/>
        </w:rPr>
        <w:t xml:space="preserve"> </w:t>
      </w:r>
    </w:p>
    <w:p w14:paraId="428F808A" w14:textId="48D8200D" w:rsidR="00B00B47" w:rsidRPr="00F879CC" w:rsidRDefault="00B00B47"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F879CC">
        <w:rPr>
          <w:rFonts w:asciiTheme="minorHAnsi" w:eastAsia="Times New Roman" w:hAnsiTheme="minorHAnsi" w:cstheme="minorHAnsi"/>
          <w:szCs w:val="24"/>
          <w:lang w:val="pl-PL" w:eastAsia="en-GB"/>
        </w:rPr>
        <w:t xml:space="preserve">Program zachęca do </w:t>
      </w:r>
      <w:r w:rsidR="00185C08">
        <w:rPr>
          <w:rFonts w:asciiTheme="minorHAnsi" w:eastAsia="Times New Roman" w:hAnsiTheme="minorHAnsi" w:cstheme="minorHAnsi"/>
          <w:szCs w:val="24"/>
          <w:lang w:val="pl-PL" w:eastAsia="en-GB"/>
        </w:rPr>
        <w:t xml:space="preserve">prowadzenia </w:t>
      </w:r>
      <w:r w:rsidRPr="00F879CC">
        <w:rPr>
          <w:rFonts w:asciiTheme="minorHAnsi" w:eastAsia="Times New Roman" w:hAnsiTheme="minorHAnsi" w:cstheme="minorHAnsi"/>
          <w:szCs w:val="24"/>
          <w:lang w:val="pl-PL" w:eastAsia="en-GB"/>
        </w:rPr>
        <w:t xml:space="preserve">działań </w:t>
      </w:r>
      <w:r w:rsidRPr="00F879CC">
        <w:rPr>
          <w:rFonts w:asciiTheme="minorHAnsi" w:eastAsia="Times New Roman" w:hAnsiTheme="minorHAnsi" w:cstheme="minorHAnsi"/>
          <w:szCs w:val="24"/>
          <w:u w:val="single"/>
          <w:lang w:val="pl-PL" w:eastAsia="en-GB"/>
        </w:rPr>
        <w:t>wdrażających dostępne rozwiązania</w:t>
      </w:r>
      <w:r w:rsidRPr="00F879CC">
        <w:rPr>
          <w:rFonts w:asciiTheme="minorHAnsi" w:eastAsia="Times New Roman" w:hAnsiTheme="minorHAnsi" w:cstheme="minorHAnsi"/>
          <w:szCs w:val="24"/>
          <w:lang w:val="pl-PL" w:eastAsia="en-GB"/>
        </w:rPr>
        <w:t xml:space="preserve"> w celu zapobiegania i zmniejszania zanieczyszczenia wód na różnych drogach wodnych. </w:t>
      </w:r>
      <w:r w:rsidR="00185C08">
        <w:rPr>
          <w:rFonts w:asciiTheme="minorHAnsi" w:eastAsia="Times New Roman" w:hAnsiTheme="minorHAnsi" w:cstheme="minorHAnsi"/>
          <w:szCs w:val="24"/>
          <w:lang w:val="pl-PL" w:eastAsia="en-GB"/>
        </w:rPr>
        <w:t>Dzięki tym d</w:t>
      </w:r>
      <w:r w:rsidRPr="00F879CC">
        <w:rPr>
          <w:rFonts w:asciiTheme="minorHAnsi" w:eastAsia="Times New Roman" w:hAnsiTheme="minorHAnsi" w:cstheme="minorHAnsi"/>
          <w:szCs w:val="24"/>
          <w:lang w:val="pl-PL" w:eastAsia="en-GB"/>
        </w:rPr>
        <w:t>ziałani</w:t>
      </w:r>
      <w:r w:rsidR="00185C08">
        <w:rPr>
          <w:rFonts w:asciiTheme="minorHAnsi" w:eastAsia="Times New Roman" w:hAnsiTheme="minorHAnsi" w:cstheme="minorHAnsi"/>
          <w:szCs w:val="24"/>
          <w:lang w:val="pl-PL" w:eastAsia="en-GB"/>
        </w:rPr>
        <w:t>om</w:t>
      </w:r>
      <w:r w:rsidRPr="00F879CC">
        <w:rPr>
          <w:rFonts w:asciiTheme="minorHAnsi" w:eastAsia="Times New Roman" w:hAnsiTheme="minorHAnsi" w:cstheme="minorHAnsi"/>
          <w:szCs w:val="24"/>
          <w:lang w:val="pl-PL" w:eastAsia="en-GB"/>
        </w:rPr>
        <w:t xml:space="preserve"> mogą </w:t>
      </w:r>
      <w:r w:rsidR="00185C08">
        <w:rPr>
          <w:rFonts w:asciiTheme="minorHAnsi" w:eastAsia="Times New Roman" w:hAnsiTheme="minorHAnsi" w:cstheme="minorHAnsi"/>
          <w:szCs w:val="24"/>
          <w:lang w:val="pl-PL" w:eastAsia="en-GB"/>
        </w:rPr>
        <w:t xml:space="preserve">zostać </w:t>
      </w:r>
      <w:r w:rsidRPr="00F879CC">
        <w:rPr>
          <w:rFonts w:asciiTheme="minorHAnsi" w:eastAsia="Times New Roman" w:hAnsiTheme="minorHAnsi" w:cstheme="minorHAnsi"/>
          <w:szCs w:val="24"/>
          <w:u w:val="single"/>
          <w:lang w:val="pl-PL" w:eastAsia="en-GB"/>
        </w:rPr>
        <w:t>wypracowa</w:t>
      </w:r>
      <w:r w:rsidR="00185C08">
        <w:rPr>
          <w:rFonts w:asciiTheme="minorHAnsi" w:eastAsia="Times New Roman" w:hAnsiTheme="minorHAnsi" w:cstheme="minorHAnsi"/>
          <w:szCs w:val="24"/>
          <w:u w:val="single"/>
          <w:lang w:val="pl-PL" w:eastAsia="en-GB"/>
        </w:rPr>
        <w:t>ne</w:t>
      </w:r>
      <w:r w:rsidRPr="00F879CC">
        <w:rPr>
          <w:rFonts w:asciiTheme="minorHAnsi" w:eastAsia="Times New Roman" w:hAnsiTheme="minorHAnsi" w:cstheme="minorHAnsi"/>
          <w:szCs w:val="24"/>
          <w:u w:val="single"/>
          <w:lang w:val="pl-PL" w:eastAsia="en-GB"/>
        </w:rPr>
        <w:t xml:space="preserve"> nowe rozwiązania</w:t>
      </w:r>
      <w:r w:rsidR="00E26C2E">
        <w:rPr>
          <w:rFonts w:asciiTheme="minorHAnsi" w:eastAsia="Times New Roman" w:hAnsiTheme="minorHAnsi" w:cstheme="minorHAnsi"/>
          <w:szCs w:val="24"/>
          <w:lang w:val="pl-PL" w:eastAsia="en-GB"/>
        </w:rPr>
        <w:t>, które można</w:t>
      </w:r>
      <w:r w:rsidRPr="00F879CC">
        <w:rPr>
          <w:rFonts w:asciiTheme="minorHAnsi" w:eastAsia="Times New Roman" w:hAnsiTheme="minorHAnsi" w:cstheme="minorHAnsi"/>
          <w:szCs w:val="24"/>
          <w:lang w:val="pl-PL" w:eastAsia="en-GB"/>
        </w:rPr>
        <w:t xml:space="preserve"> zastosować w regionie na szeroką skalę; mo</w:t>
      </w:r>
      <w:r w:rsidR="00E26C2E">
        <w:rPr>
          <w:rFonts w:asciiTheme="minorHAnsi" w:eastAsia="Times New Roman" w:hAnsiTheme="minorHAnsi" w:cstheme="minorHAnsi"/>
          <w:szCs w:val="24"/>
          <w:lang w:val="pl-PL" w:eastAsia="en-GB"/>
        </w:rPr>
        <w:t>żna</w:t>
      </w:r>
      <w:r w:rsidRPr="00F879CC">
        <w:rPr>
          <w:rFonts w:asciiTheme="minorHAnsi" w:eastAsia="Times New Roman" w:hAnsiTheme="minorHAnsi" w:cstheme="minorHAnsi"/>
          <w:szCs w:val="24"/>
          <w:lang w:val="pl-PL" w:eastAsia="en-GB"/>
        </w:rPr>
        <w:t xml:space="preserve"> także </w:t>
      </w:r>
      <w:r w:rsidRPr="00F879CC">
        <w:rPr>
          <w:rFonts w:asciiTheme="minorHAnsi" w:eastAsia="Times New Roman" w:hAnsiTheme="minorHAnsi" w:cstheme="minorHAnsi"/>
          <w:szCs w:val="24"/>
          <w:u w:val="single"/>
          <w:lang w:val="pl-PL" w:eastAsia="en-GB"/>
        </w:rPr>
        <w:t>dostosowywać</w:t>
      </w:r>
      <w:r w:rsidRPr="00F879CC">
        <w:rPr>
          <w:rFonts w:asciiTheme="minorHAnsi" w:eastAsia="Times New Roman" w:hAnsiTheme="minorHAnsi" w:cstheme="minorHAnsi"/>
          <w:szCs w:val="24"/>
          <w:lang w:val="pl-PL" w:eastAsia="en-GB"/>
        </w:rPr>
        <w:t xml:space="preserve"> praktyki </w:t>
      </w:r>
      <w:r w:rsidR="00E26C2E">
        <w:rPr>
          <w:rFonts w:asciiTheme="minorHAnsi" w:eastAsia="Times New Roman" w:hAnsiTheme="minorHAnsi" w:cstheme="minorHAnsi"/>
          <w:szCs w:val="24"/>
          <w:lang w:val="pl-PL" w:eastAsia="en-GB"/>
        </w:rPr>
        <w:t xml:space="preserve">w zakresie </w:t>
      </w:r>
      <w:r w:rsidRPr="00F879CC">
        <w:rPr>
          <w:rFonts w:asciiTheme="minorHAnsi" w:eastAsia="Times New Roman" w:hAnsiTheme="minorHAnsi" w:cstheme="minorHAnsi"/>
          <w:szCs w:val="24"/>
          <w:lang w:val="pl-PL" w:eastAsia="en-GB"/>
        </w:rPr>
        <w:t xml:space="preserve">gospodarki wodnej do </w:t>
      </w:r>
      <w:r w:rsidRPr="00F879CC">
        <w:rPr>
          <w:rFonts w:asciiTheme="minorHAnsi" w:eastAsia="Times New Roman" w:hAnsiTheme="minorHAnsi" w:cstheme="minorHAnsi"/>
          <w:szCs w:val="24"/>
          <w:u w:val="single"/>
          <w:lang w:val="pl-PL" w:eastAsia="en-GB"/>
        </w:rPr>
        <w:t>zmieniających się warunków klimatycznych</w:t>
      </w:r>
      <w:r w:rsidRPr="00F879CC">
        <w:rPr>
          <w:rFonts w:asciiTheme="minorHAnsi" w:eastAsia="Times New Roman" w:hAnsiTheme="minorHAnsi" w:cstheme="minorHAnsi"/>
          <w:szCs w:val="24"/>
          <w:lang w:val="pl-PL" w:eastAsia="en-GB"/>
        </w:rPr>
        <w:t xml:space="preserve"> na obszarach miejskich, wiejskich i przybrzeżnych </w:t>
      </w:r>
      <w:r w:rsidR="006F5EBC">
        <w:rPr>
          <w:rFonts w:asciiTheme="minorHAnsi" w:eastAsia="Times New Roman" w:hAnsiTheme="minorHAnsi" w:cstheme="minorHAnsi"/>
          <w:szCs w:val="24"/>
          <w:lang w:val="pl-PL" w:eastAsia="en-GB"/>
        </w:rPr>
        <w:t>w postaci</w:t>
      </w:r>
      <w:r w:rsidRPr="00F879CC">
        <w:rPr>
          <w:rFonts w:asciiTheme="minorHAnsi" w:eastAsia="Times New Roman" w:hAnsiTheme="minorHAnsi" w:cstheme="minorHAnsi"/>
          <w:szCs w:val="24"/>
          <w:lang w:val="pl-PL" w:eastAsia="en-GB"/>
        </w:rPr>
        <w:t xml:space="preserve"> burz, powodzi lub susz</w:t>
      </w:r>
      <w:r w:rsidR="006F5EBC">
        <w:rPr>
          <w:rFonts w:asciiTheme="minorHAnsi" w:eastAsia="Times New Roman" w:hAnsiTheme="minorHAnsi" w:cstheme="minorHAnsi"/>
          <w:szCs w:val="24"/>
          <w:lang w:val="pl-PL" w:eastAsia="en-GB"/>
        </w:rPr>
        <w:t>y</w:t>
      </w:r>
      <w:r w:rsidRPr="00F879CC">
        <w:rPr>
          <w:rFonts w:asciiTheme="minorHAnsi" w:eastAsia="Times New Roman" w:hAnsiTheme="minorHAnsi" w:cstheme="minorHAnsi"/>
          <w:szCs w:val="24"/>
          <w:lang w:val="pl-PL" w:eastAsia="en-GB"/>
        </w:rPr>
        <w:t xml:space="preserve">. Działania mogą wspierać dostosowanie strategii gospodarki wodnej do </w:t>
      </w:r>
      <w:r w:rsidRPr="00F879CC">
        <w:rPr>
          <w:rFonts w:asciiTheme="minorHAnsi" w:eastAsia="Times New Roman" w:hAnsiTheme="minorHAnsi" w:cstheme="minorHAnsi"/>
          <w:szCs w:val="24"/>
          <w:u w:val="single"/>
          <w:lang w:val="pl-PL" w:eastAsia="en-GB"/>
        </w:rPr>
        <w:t>pojawiających się wyzwań</w:t>
      </w:r>
      <w:r w:rsidR="00FF50C4" w:rsidRPr="00F879CC">
        <w:rPr>
          <w:rFonts w:asciiTheme="minorHAnsi" w:eastAsia="Times New Roman" w:hAnsiTheme="minorHAnsi" w:cstheme="minorHAnsi"/>
          <w:szCs w:val="24"/>
          <w:u w:val="single"/>
          <w:lang w:val="pl-PL" w:eastAsia="en-GB"/>
        </w:rPr>
        <w:t>.</w:t>
      </w:r>
    </w:p>
    <w:p w14:paraId="29ADBBDF" w14:textId="26526106" w:rsidR="00E04EED" w:rsidRPr="00F879CC" w:rsidRDefault="00FF50C4"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F879CC">
        <w:rPr>
          <w:rFonts w:asciiTheme="minorHAnsi" w:eastAsia="Times New Roman" w:hAnsiTheme="minorHAnsi" w:cstheme="minorHAnsi"/>
          <w:szCs w:val="24"/>
          <w:lang w:val="pl-PL" w:eastAsia="en-GB"/>
        </w:rPr>
        <w:t>Tam gdzie to możliwe</w:t>
      </w:r>
      <w:r w:rsidR="006F5EBC">
        <w:rPr>
          <w:rFonts w:asciiTheme="minorHAnsi" w:eastAsia="Times New Roman" w:hAnsiTheme="minorHAnsi" w:cstheme="minorHAnsi"/>
          <w:szCs w:val="24"/>
          <w:lang w:val="pl-PL" w:eastAsia="en-GB"/>
        </w:rPr>
        <w:t>,</w:t>
      </w:r>
      <w:r w:rsidRPr="00F879CC">
        <w:rPr>
          <w:rFonts w:asciiTheme="minorHAnsi" w:eastAsia="Times New Roman" w:hAnsiTheme="minorHAnsi" w:cstheme="minorHAnsi"/>
          <w:szCs w:val="24"/>
          <w:lang w:val="pl-PL" w:eastAsia="en-GB"/>
        </w:rPr>
        <w:t xml:space="preserve"> działania powinny mieć charakter </w:t>
      </w:r>
      <w:r w:rsidR="00A05A16" w:rsidRPr="00F879CC">
        <w:rPr>
          <w:rFonts w:asciiTheme="minorHAnsi" w:eastAsia="Times New Roman" w:hAnsiTheme="minorHAnsi" w:cstheme="minorHAnsi"/>
          <w:szCs w:val="24"/>
          <w:u w:val="single"/>
          <w:lang w:val="pl-PL" w:eastAsia="en-GB"/>
        </w:rPr>
        <w:t>międzysektorowy</w:t>
      </w:r>
      <w:r w:rsidR="00A05A16" w:rsidRPr="00F879CC">
        <w:rPr>
          <w:rFonts w:asciiTheme="minorHAnsi" w:eastAsia="Times New Roman" w:hAnsiTheme="minorHAnsi" w:cstheme="minorHAnsi"/>
          <w:szCs w:val="24"/>
          <w:lang w:val="pl-PL" w:eastAsia="en-GB"/>
        </w:rPr>
        <w:t>, ponieważ</w:t>
      </w:r>
      <w:r w:rsidRPr="00F879CC">
        <w:rPr>
          <w:rFonts w:asciiTheme="minorHAnsi" w:eastAsia="Times New Roman" w:hAnsiTheme="minorHAnsi" w:cstheme="minorHAnsi"/>
          <w:szCs w:val="24"/>
          <w:lang w:val="pl-PL" w:eastAsia="en-GB"/>
        </w:rPr>
        <w:t xml:space="preserve"> zasoby wodne i zlewnie są wspóln</w:t>
      </w:r>
      <w:r w:rsidR="006F5EBC">
        <w:rPr>
          <w:rFonts w:asciiTheme="minorHAnsi" w:eastAsia="Times New Roman" w:hAnsiTheme="minorHAnsi" w:cstheme="minorHAnsi"/>
          <w:szCs w:val="24"/>
          <w:lang w:val="pl-PL" w:eastAsia="en-GB"/>
        </w:rPr>
        <w:t>ym dobrem</w:t>
      </w:r>
      <w:r w:rsidRPr="00F879CC">
        <w:rPr>
          <w:rFonts w:asciiTheme="minorHAnsi" w:eastAsia="Times New Roman" w:hAnsiTheme="minorHAnsi" w:cstheme="minorHAnsi"/>
          <w:szCs w:val="24"/>
          <w:lang w:val="pl-PL" w:eastAsia="en-GB"/>
        </w:rPr>
        <w:t xml:space="preserve"> dla wielu sektorów i interesariuszy. Odpowiednie </w:t>
      </w:r>
      <w:r w:rsidRPr="00F879CC">
        <w:rPr>
          <w:rFonts w:asciiTheme="minorHAnsi" w:eastAsia="Times New Roman" w:hAnsiTheme="minorHAnsi" w:cstheme="minorHAnsi"/>
          <w:szCs w:val="24"/>
          <w:u w:val="single"/>
          <w:lang w:val="pl-PL" w:eastAsia="en-GB"/>
        </w:rPr>
        <w:t>sektory</w:t>
      </w:r>
      <w:r w:rsidRPr="00F879CC">
        <w:rPr>
          <w:rFonts w:asciiTheme="minorHAnsi" w:eastAsia="Times New Roman" w:hAnsiTheme="minorHAnsi" w:cstheme="minorHAnsi"/>
          <w:szCs w:val="24"/>
          <w:lang w:val="pl-PL" w:eastAsia="en-GB"/>
        </w:rPr>
        <w:t xml:space="preserve"> obejmują gminną i regionalną gospodarkę wodną, ​​rolnictwo, akwakulturę, rybołówstwo, leśnictwo, gospodarkę odpadami, przemysł i gospodarstwa domowe</w:t>
      </w:r>
      <w:r w:rsidR="00E04EED" w:rsidRPr="00F879CC">
        <w:rPr>
          <w:rFonts w:asciiTheme="minorHAnsi" w:eastAsia="Times New Roman" w:hAnsiTheme="minorHAnsi" w:cstheme="minorHAnsi"/>
          <w:szCs w:val="24"/>
          <w:lang w:val="pl-PL" w:eastAsia="en-GB"/>
        </w:rPr>
        <w:t xml:space="preserve">. </w:t>
      </w:r>
    </w:p>
    <w:p w14:paraId="090D338E" w14:textId="2D830EAA" w:rsidR="00E04EED" w:rsidRPr="00F879CC" w:rsidRDefault="002827BD"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b/>
          <w:szCs w:val="24"/>
          <w:lang w:val="pl-PL" w:eastAsia="en-GB"/>
        </w:rPr>
      </w:pPr>
      <w:r w:rsidRPr="00F879CC">
        <w:rPr>
          <w:rFonts w:asciiTheme="minorHAnsi" w:eastAsia="Times New Roman" w:hAnsiTheme="minorHAnsi" w:cstheme="minorHAnsi"/>
          <w:b/>
          <w:szCs w:val="24"/>
          <w:lang w:val="pl-PL" w:eastAsia="en-GB"/>
        </w:rPr>
        <w:t>Przykłady działań (</w:t>
      </w:r>
      <w:r w:rsidRPr="00F42A23">
        <w:rPr>
          <w:rFonts w:asciiTheme="minorHAnsi" w:eastAsia="Times New Roman" w:hAnsiTheme="minorHAnsi" w:cstheme="minorHAnsi"/>
          <w:b/>
          <w:szCs w:val="24"/>
          <w:lang w:val="pl-PL" w:eastAsia="en-GB"/>
        </w:rPr>
        <w:t xml:space="preserve">lista nie jest </w:t>
      </w:r>
      <w:r w:rsidR="00305E0A" w:rsidRPr="00F42A23">
        <w:rPr>
          <w:rFonts w:asciiTheme="minorHAnsi" w:eastAsia="Times New Roman" w:hAnsiTheme="minorHAnsi" w:cstheme="minorHAnsi"/>
          <w:b/>
          <w:szCs w:val="24"/>
          <w:lang w:val="pl-PL" w:eastAsia="en-GB"/>
        </w:rPr>
        <w:t>zamknięta</w:t>
      </w:r>
      <w:r w:rsidRPr="00F42A23">
        <w:rPr>
          <w:rFonts w:asciiTheme="minorHAnsi" w:eastAsia="Times New Roman" w:hAnsiTheme="minorHAnsi" w:cstheme="minorHAnsi"/>
          <w:b/>
          <w:szCs w:val="24"/>
          <w:lang w:val="pl-PL" w:eastAsia="en-GB"/>
        </w:rPr>
        <w:t>)</w:t>
      </w:r>
      <w:r w:rsidR="00E04EED" w:rsidRPr="00F42A23">
        <w:rPr>
          <w:rFonts w:asciiTheme="minorHAnsi" w:eastAsia="Times New Roman" w:hAnsiTheme="minorHAnsi" w:cstheme="minorHAnsi"/>
          <w:b/>
          <w:szCs w:val="24"/>
          <w:lang w:val="pl-PL" w:eastAsia="en-GB"/>
        </w:rPr>
        <w:t>:</w:t>
      </w:r>
    </w:p>
    <w:p w14:paraId="797B0ADD" w14:textId="3FC666C6" w:rsidR="00FF50C4" w:rsidRPr="00F879CC" w:rsidRDefault="00FF50C4" w:rsidP="00000498">
      <w:pPr>
        <w:pStyle w:val="Akapitzlist"/>
        <w:numPr>
          <w:ilvl w:val="0"/>
          <w:numId w:val="34"/>
        </w:numPr>
        <w:pBdr>
          <w:top w:val="single" w:sz="4" w:space="1" w:color="auto"/>
          <w:left w:val="single" w:sz="4" w:space="4" w:color="auto"/>
          <w:bottom w:val="single" w:sz="4" w:space="1" w:color="auto"/>
          <w:right w:val="single" w:sz="4" w:space="4" w:color="auto"/>
        </w:pBdr>
        <w:ind w:left="431" w:hanging="431"/>
        <w:rPr>
          <w:rFonts w:eastAsia="Times New Roman" w:cstheme="minorHAnsi"/>
          <w:sz w:val="24"/>
          <w:szCs w:val="24"/>
          <w:lang w:val="pl-PL" w:eastAsia="en-GB"/>
        </w:rPr>
      </w:pPr>
      <w:r w:rsidRPr="00F879CC">
        <w:rPr>
          <w:rFonts w:eastAsia="Times New Roman" w:cstheme="minorHAnsi"/>
          <w:sz w:val="24"/>
          <w:szCs w:val="24"/>
          <w:lang w:val="pl-PL" w:eastAsia="en-GB"/>
        </w:rPr>
        <w:t xml:space="preserve">zaangażowanie władz firm i doradców </w:t>
      </w:r>
      <w:r w:rsidR="00E26C2E">
        <w:rPr>
          <w:rFonts w:eastAsia="Times New Roman" w:cstheme="minorHAnsi"/>
          <w:sz w:val="24"/>
          <w:szCs w:val="24"/>
          <w:lang w:val="pl-PL" w:eastAsia="en-GB"/>
        </w:rPr>
        <w:t>na rzecz</w:t>
      </w:r>
      <w:r w:rsidRPr="00F879CC">
        <w:rPr>
          <w:rFonts w:eastAsia="Times New Roman" w:cstheme="minorHAnsi"/>
          <w:sz w:val="24"/>
          <w:szCs w:val="24"/>
          <w:lang w:val="pl-PL" w:eastAsia="en-GB"/>
        </w:rPr>
        <w:t xml:space="preserve"> wprowadzenia dobrych praktyk w celu zapobiegania emisjom substancji odżywczych i niebezpiecznych do wody, m.in. interakcje między sektorami oraz testowanie rozwiązań w zakresie recyklingu składników odżywczych lub modeli płatności za usługi ekosystemowe;</w:t>
      </w:r>
    </w:p>
    <w:p w14:paraId="005CC7FC" w14:textId="708B516F" w:rsidR="00FF50C4" w:rsidRPr="00F879CC" w:rsidRDefault="00FF50C4" w:rsidP="00000498">
      <w:pPr>
        <w:pStyle w:val="Akapitzlist"/>
        <w:numPr>
          <w:ilvl w:val="0"/>
          <w:numId w:val="34"/>
        </w:numPr>
        <w:pBdr>
          <w:top w:val="single" w:sz="4" w:space="1" w:color="auto"/>
          <w:left w:val="single" w:sz="4" w:space="4" w:color="auto"/>
          <w:bottom w:val="single" w:sz="4" w:space="1" w:color="auto"/>
          <w:right w:val="single" w:sz="4" w:space="4" w:color="auto"/>
        </w:pBdr>
        <w:ind w:left="431" w:hanging="431"/>
        <w:rPr>
          <w:rFonts w:eastAsia="Times New Roman" w:cstheme="minorHAnsi"/>
          <w:sz w:val="24"/>
          <w:szCs w:val="24"/>
          <w:lang w:val="pl-PL" w:eastAsia="en-GB"/>
        </w:rPr>
      </w:pPr>
      <w:r w:rsidRPr="00F879CC">
        <w:rPr>
          <w:rFonts w:eastAsia="Times New Roman" w:cstheme="minorHAnsi"/>
          <w:sz w:val="24"/>
          <w:szCs w:val="24"/>
          <w:lang w:val="pl-PL" w:eastAsia="en-GB"/>
        </w:rPr>
        <w:lastRenderedPageBreak/>
        <w:t>wprowadzenie procedur usuwania substancji biogennych i niebezpiecznych z dróg wodnych i oczyszczania ścieków, m.in. mikroplastik, śmieci, niebezpieczne przedmioty</w:t>
      </w:r>
      <w:r w:rsidR="005560F4">
        <w:rPr>
          <w:rFonts w:eastAsia="Times New Roman" w:cstheme="minorHAnsi"/>
          <w:sz w:val="24"/>
          <w:szCs w:val="24"/>
          <w:lang w:val="pl-PL" w:eastAsia="en-GB"/>
        </w:rPr>
        <w:t xml:space="preserve"> znajdujące się pod wodą</w:t>
      </w:r>
      <w:r w:rsidRPr="00F879CC">
        <w:rPr>
          <w:rFonts w:eastAsia="Times New Roman" w:cstheme="minorHAnsi"/>
          <w:sz w:val="24"/>
          <w:szCs w:val="24"/>
          <w:lang w:val="pl-PL" w:eastAsia="en-GB"/>
        </w:rPr>
        <w:t>, wycieki oleju;</w:t>
      </w:r>
    </w:p>
    <w:p w14:paraId="0270C03A" w14:textId="2BBFF6BA" w:rsidR="00FF50C4" w:rsidRPr="00F879CC" w:rsidRDefault="00FF50C4" w:rsidP="00000498">
      <w:pPr>
        <w:pStyle w:val="Akapitzlist"/>
        <w:numPr>
          <w:ilvl w:val="0"/>
          <w:numId w:val="34"/>
        </w:numPr>
        <w:pBdr>
          <w:top w:val="single" w:sz="4" w:space="1" w:color="auto"/>
          <w:left w:val="single" w:sz="4" w:space="4" w:color="auto"/>
          <w:bottom w:val="single" w:sz="4" w:space="1" w:color="auto"/>
          <w:right w:val="single" w:sz="4" w:space="4" w:color="auto"/>
        </w:pBdr>
        <w:ind w:left="431" w:hanging="431"/>
        <w:rPr>
          <w:rFonts w:eastAsia="Times New Roman" w:cstheme="minorHAnsi"/>
          <w:sz w:val="24"/>
          <w:szCs w:val="24"/>
          <w:lang w:val="pl-PL" w:eastAsia="en-GB"/>
        </w:rPr>
      </w:pPr>
      <w:r w:rsidRPr="00F879CC">
        <w:rPr>
          <w:rFonts w:eastAsia="Times New Roman" w:cstheme="minorHAnsi"/>
          <w:sz w:val="24"/>
          <w:szCs w:val="24"/>
          <w:lang w:val="pl-PL" w:eastAsia="en-GB"/>
        </w:rPr>
        <w:t>dostosowywanie gospodarki wodnej i innych strategii do pojawiających się zanieczyszczeń lub nowych rozwiązań w zakresie eutrofizacji;</w:t>
      </w:r>
    </w:p>
    <w:p w14:paraId="11B4FC34" w14:textId="7E690A85" w:rsidR="00E04EED" w:rsidRPr="00F879CC" w:rsidRDefault="00FF50C4" w:rsidP="00000498">
      <w:pPr>
        <w:pStyle w:val="Akapitzlist"/>
        <w:numPr>
          <w:ilvl w:val="0"/>
          <w:numId w:val="34"/>
        </w:numPr>
        <w:pBdr>
          <w:top w:val="single" w:sz="4" w:space="1" w:color="auto"/>
          <w:left w:val="single" w:sz="4" w:space="4" w:color="auto"/>
          <w:bottom w:val="single" w:sz="4" w:space="1" w:color="auto"/>
          <w:right w:val="single" w:sz="4" w:space="4" w:color="auto"/>
        </w:pBdr>
        <w:ind w:left="431" w:hanging="431"/>
        <w:rPr>
          <w:rFonts w:eastAsia="Times New Roman" w:cstheme="minorHAnsi"/>
          <w:sz w:val="24"/>
          <w:szCs w:val="24"/>
          <w:lang w:val="pl-PL" w:eastAsia="en-GB"/>
        </w:rPr>
      </w:pPr>
      <w:r w:rsidRPr="00F879CC">
        <w:rPr>
          <w:rFonts w:eastAsia="Times New Roman" w:cstheme="minorHAnsi"/>
          <w:sz w:val="24"/>
          <w:szCs w:val="24"/>
          <w:lang w:val="pl-PL" w:eastAsia="en-GB"/>
        </w:rPr>
        <w:t>dostosowanie praktyk zarządzania wodą w różnych sektorach w celu racjonalnego wykorzystania wody (np. ponowne wykorzystanie, retencja, recyrkulacja)</w:t>
      </w:r>
      <w:r w:rsidR="00E04EED" w:rsidRPr="00F879CC">
        <w:rPr>
          <w:rFonts w:eastAsia="Times New Roman" w:cstheme="minorHAnsi"/>
          <w:sz w:val="24"/>
          <w:szCs w:val="24"/>
          <w:lang w:val="pl-PL" w:eastAsia="en-GB"/>
        </w:rPr>
        <w:t>;</w:t>
      </w:r>
    </w:p>
    <w:p w14:paraId="497637F0" w14:textId="1EC57F10" w:rsidR="0038166E" w:rsidRPr="00F879CC" w:rsidRDefault="0038166E" w:rsidP="00000498">
      <w:pPr>
        <w:pStyle w:val="Akapitzlist"/>
        <w:numPr>
          <w:ilvl w:val="0"/>
          <w:numId w:val="34"/>
        </w:numPr>
        <w:pBdr>
          <w:top w:val="single" w:sz="4" w:space="1" w:color="auto"/>
          <w:left w:val="single" w:sz="4" w:space="4" w:color="auto"/>
          <w:bottom w:val="single" w:sz="4" w:space="1" w:color="auto"/>
          <w:right w:val="single" w:sz="4" w:space="4" w:color="auto"/>
        </w:pBdr>
        <w:ind w:left="431" w:hanging="431"/>
        <w:rPr>
          <w:rFonts w:eastAsia="Times New Roman" w:cstheme="minorHAnsi"/>
          <w:sz w:val="24"/>
          <w:szCs w:val="24"/>
          <w:lang w:val="pl-PL" w:eastAsia="en-GB"/>
        </w:rPr>
      </w:pPr>
      <w:r w:rsidRPr="00F879CC">
        <w:rPr>
          <w:rFonts w:eastAsia="Times New Roman" w:cstheme="minorHAnsi"/>
          <w:sz w:val="24"/>
          <w:szCs w:val="24"/>
          <w:lang w:val="pl-PL" w:eastAsia="en-GB"/>
        </w:rPr>
        <w:t>ponowne przemyślenie procesów planowania w celu bardziej efektywnego zarządzania wodą (np. podczas burz, powodzi, susz i niedoborów wód gruntowych), a także opracowanie planów zazieleniania, rozwiązań opartych na przyrodzie i rozwiązaniach cyfrowych;</w:t>
      </w:r>
    </w:p>
    <w:p w14:paraId="574CDEE8" w14:textId="19A84E46" w:rsidR="0038166E" w:rsidRPr="00F879CC" w:rsidRDefault="0038166E" w:rsidP="00000498">
      <w:pPr>
        <w:pStyle w:val="Akapitzlist"/>
        <w:numPr>
          <w:ilvl w:val="0"/>
          <w:numId w:val="34"/>
        </w:numPr>
        <w:pBdr>
          <w:top w:val="single" w:sz="4" w:space="1" w:color="auto"/>
          <w:left w:val="single" w:sz="4" w:space="4" w:color="auto"/>
          <w:bottom w:val="single" w:sz="4" w:space="1" w:color="auto"/>
          <w:right w:val="single" w:sz="4" w:space="4" w:color="auto"/>
        </w:pBdr>
        <w:ind w:left="431" w:hanging="431"/>
        <w:rPr>
          <w:rFonts w:eastAsia="Times New Roman" w:cstheme="minorHAnsi"/>
          <w:sz w:val="24"/>
          <w:szCs w:val="24"/>
          <w:lang w:val="pl-PL" w:eastAsia="en-GB"/>
        </w:rPr>
      </w:pPr>
      <w:r w:rsidRPr="00F879CC">
        <w:rPr>
          <w:rFonts w:eastAsia="Times New Roman" w:cstheme="minorHAnsi"/>
          <w:sz w:val="24"/>
          <w:szCs w:val="24"/>
          <w:lang w:val="pl-PL" w:eastAsia="en-GB"/>
        </w:rPr>
        <w:t xml:space="preserve">poprawa praktyk zarządzania wodą w różnych sektorach w celu zmniejszenia ryzyka zanieczyszczenia </w:t>
      </w:r>
      <w:r w:rsidR="00A05A16" w:rsidRPr="00F879CC">
        <w:rPr>
          <w:rFonts w:eastAsia="Times New Roman" w:cstheme="minorHAnsi"/>
          <w:sz w:val="24"/>
          <w:szCs w:val="24"/>
          <w:lang w:val="pl-PL" w:eastAsia="en-GB"/>
        </w:rPr>
        <w:t>wody, które</w:t>
      </w:r>
      <w:r w:rsidRPr="00F879CC">
        <w:rPr>
          <w:rFonts w:eastAsia="Times New Roman" w:cstheme="minorHAnsi"/>
          <w:sz w:val="24"/>
          <w:szCs w:val="24"/>
          <w:lang w:val="pl-PL" w:eastAsia="en-GB"/>
        </w:rPr>
        <w:t xml:space="preserve"> nasiliły zmiany klimatu (np. erozja wybrzeża);</w:t>
      </w:r>
    </w:p>
    <w:p w14:paraId="55C70098" w14:textId="68CF9584" w:rsidR="00E04EED" w:rsidRPr="006F5EBC" w:rsidRDefault="0038166E" w:rsidP="00000498">
      <w:pPr>
        <w:pStyle w:val="Akapitzlist"/>
        <w:numPr>
          <w:ilvl w:val="0"/>
          <w:numId w:val="34"/>
        </w:numPr>
        <w:pBdr>
          <w:top w:val="single" w:sz="4" w:space="1" w:color="auto"/>
          <w:left w:val="single" w:sz="4" w:space="4" w:color="auto"/>
          <w:bottom w:val="single" w:sz="4" w:space="1" w:color="auto"/>
          <w:right w:val="single" w:sz="4" w:space="4" w:color="auto"/>
        </w:pBdr>
        <w:ind w:left="431" w:hanging="431"/>
        <w:rPr>
          <w:rFonts w:eastAsia="Times New Roman" w:cstheme="minorHAnsi"/>
          <w:szCs w:val="24"/>
          <w:lang w:val="pl-PL" w:eastAsia="en-GB"/>
        </w:rPr>
      </w:pPr>
      <w:r w:rsidRPr="00F879CC">
        <w:rPr>
          <w:rFonts w:eastAsia="Times New Roman" w:cstheme="minorHAnsi"/>
          <w:sz w:val="24"/>
          <w:szCs w:val="24"/>
          <w:lang w:val="pl-PL" w:eastAsia="en-GB"/>
        </w:rPr>
        <w:t>działania pilotażowe mające na celu zmianę wzorców konsumentów i produkcji w celu zapobiegania zanieczyszczeniu wody, np. zmniejszenie zużycia plastiku, postępowanie z lekami</w:t>
      </w:r>
      <w:r w:rsidR="00E04EED" w:rsidRPr="006F5EBC">
        <w:rPr>
          <w:rFonts w:eastAsia="Times New Roman" w:cstheme="minorHAnsi"/>
          <w:szCs w:val="24"/>
          <w:lang w:val="pl-PL" w:eastAsia="en-GB"/>
        </w:rPr>
        <w:t>.</w:t>
      </w:r>
    </w:p>
    <w:p w14:paraId="4E6EB955" w14:textId="2A03B895" w:rsidR="00E04EED" w:rsidRPr="00F879CC" w:rsidRDefault="002827BD"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b/>
          <w:szCs w:val="24"/>
          <w:lang w:val="pl-PL" w:eastAsia="en-GB"/>
        </w:rPr>
      </w:pPr>
      <w:r w:rsidRPr="00F879CC">
        <w:rPr>
          <w:rFonts w:asciiTheme="minorHAnsi" w:eastAsia="Times New Roman" w:hAnsiTheme="minorHAnsi" w:cstheme="minorHAnsi"/>
          <w:b/>
          <w:szCs w:val="24"/>
          <w:lang w:val="pl-PL" w:eastAsia="en-GB"/>
        </w:rPr>
        <w:t>Wkład do wybranego celu</w:t>
      </w:r>
    </w:p>
    <w:p w14:paraId="08C8E439" w14:textId="5BE4AA5A" w:rsidR="00E04EED" w:rsidRPr="00F879CC" w:rsidRDefault="0038166E"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F879CC">
        <w:rPr>
          <w:rFonts w:asciiTheme="minorHAnsi" w:eastAsia="Times New Roman" w:hAnsiTheme="minorHAnsi" w:cstheme="minorHAnsi"/>
          <w:szCs w:val="24"/>
          <w:lang w:val="pl-PL" w:eastAsia="en-GB"/>
        </w:rPr>
        <w:t>Działania te przyczyniają się do realizacji tego celu szczegółowego poprzez ułatwianie opracowywania, testowania i stosowania dobrych praktyk w zakresie gospodarowania wodą na rzecz zmniejszenia zanieczyszczenia wód i usuwania z nich zanieczyszczeń. Działania wspierają poprawę procesów planowania na obszarach miejskich i wiejskich w celu lepszego gospodarowania wodą oraz dostosowywania strategii i planów działania w zakresie gospodarki wodnej do pojawiających się wyzwań</w:t>
      </w:r>
      <w:r w:rsidR="00E04EED" w:rsidRPr="00F879CC">
        <w:rPr>
          <w:rFonts w:asciiTheme="minorHAnsi" w:eastAsia="Times New Roman" w:hAnsiTheme="minorHAnsi" w:cstheme="minorHAnsi"/>
          <w:szCs w:val="24"/>
          <w:lang w:val="pl-PL" w:eastAsia="en-GB"/>
        </w:rPr>
        <w:t xml:space="preserve">. </w:t>
      </w:r>
    </w:p>
    <w:p w14:paraId="1DE8193A" w14:textId="616609CC" w:rsidR="00E04EED" w:rsidRPr="00F879CC" w:rsidRDefault="002827BD"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b/>
          <w:szCs w:val="24"/>
          <w:lang w:val="pl-PL" w:eastAsia="en-GB"/>
        </w:rPr>
      </w:pPr>
      <w:r w:rsidRPr="00F879CC">
        <w:rPr>
          <w:rFonts w:asciiTheme="minorHAnsi" w:eastAsia="Times New Roman" w:hAnsiTheme="minorHAnsi" w:cstheme="minorHAnsi"/>
          <w:b/>
          <w:szCs w:val="24"/>
          <w:lang w:val="pl-PL" w:eastAsia="en-GB"/>
        </w:rPr>
        <w:t xml:space="preserve">Wkład w </w:t>
      </w:r>
      <w:r w:rsidR="00333FCB">
        <w:rPr>
          <w:rFonts w:asciiTheme="minorHAnsi" w:eastAsia="Times New Roman" w:hAnsiTheme="minorHAnsi" w:cstheme="minorHAnsi"/>
          <w:b/>
          <w:szCs w:val="24"/>
          <w:lang w:val="pl-PL" w:eastAsia="en-GB"/>
        </w:rPr>
        <w:t>S</w:t>
      </w:r>
      <w:r w:rsidRPr="00F879CC">
        <w:rPr>
          <w:rFonts w:asciiTheme="minorHAnsi" w:eastAsia="Times New Roman" w:hAnsiTheme="minorHAnsi" w:cstheme="minorHAnsi"/>
          <w:b/>
          <w:szCs w:val="24"/>
          <w:lang w:val="pl-PL" w:eastAsia="en-GB"/>
        </w:rPr>
        <w:t>trategię UE dla regionu Morza Bałtyckiego</w:t>
      </w:r>
    </w:p>
    <w:p w14:paraId="6C1C9A96" w14:textId="613316CA" w:rsidR="00E04EED" w:rsidRPr="00F879CC" w:rsidRDefault="0038166E"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F879CC">
        <w:rPr>
          <w:rFonts w:asciiTheme="minorHAnsi" w:eastAsia="Times New Roman" w:hAnsiTheme="minorHAnsi" w:cstheme="minorHAnsi"/>
          <w:szCs w:val="24"/>
          <w:lang w:val="pl-PL" w:eastAsia="en-GB"/>
        </w:rPr>
        <w:t xml:space="preserve">Działania te przyczyniają się do realizacji celu SUE </w:t>
      </w:r>
      <w:r w:rsidR="00A05A16" w:rsidRPr="00F879CC">
        <w:rPr>
          <w:rFonts w:asciiTheme="minorHAnsi" w:eastAsia="Times New Roman" w:hAnsiTheme="minorHAnsi" w:cstheme="minorHAnsi"/>
          <w:szCs w:val="24"/>
          <w:lang w:val="pl-PL" w:eastAsia="en-GB"/>
        </w:rPr>
        <w:t>RMB, jakim</w:t>
      </w:r>
      <w:r w:rsidRPr="00F879CC">
        <w:rPr>
          <w:rFonts w:asciiTheme="minorHAnsi" w:eastAsia="Times New Roman" w:hAnsiTheme="minorHAnsi" w:cstheme="minorHAnsi"/>
          <w:szCs w:val="24"/>
          <w:lang w:val="pl-PL" w:eastAsia="en-GB"/>
        </w:rPr>
        <w:t xml:space="preserve"> jest </w:t>
      </w:r>
      <w:r w:rsidR="000A22C1">
        <w:rPr>
          <w:rFonts w:asciiTheme="minorHAnsi" w:eastAsia="Times New Roman" w:hAnsiTheme="minorHAnsi" w:cstheme="minorHAnsi"/>
          <w:szCs w:val="24"/>
          <w:lang w:val="pl-PL" w:eastAsia="en-GB"/>
        </w:rPr>
        <w:t>poprawa jakości ekosystemu Bałtyku</w:t>
      </w:r>
      <w:r w:rsidRPr="00F879CC">
        <w:rPr>
          <w:rFonts w:asciiTheme="minorHAnsi" w:eastAsia="Times New Roman" w:hAnsiTheme="minorHAnsi" w:cstheme="minorHAnsi"/>
          <w:szCs w:val="24"/>
          <w:lang w:val="pl-PL" w:eastAsia="en-GB"/>
        </w:rPr>
        <w:t>. Zapobiegając i ograniczając zanieczyszczenie wód ws</w:t>
      </w:r>
      <w:r w:rsidR="00A63434" w:rsidRPr="00F879CC">
        <w:rPr>
          <w:rFonts w:asciiTheme="minorHAnsi" w:eastAsia="Times New Roman" w:hAnsiTheme="minorHAnsi" w:cstheme="minorHAnsi"/>
          <w:szCs w:val="24"/>
          <w:lang w:val="pl-PL" w:eastAsia="en-GB"/>
        </w:rPr>
        <w:t xml:space="preserve">pierają </w:t>
      </w:r>
      <w:r w:rsidR="000C5539">
        <w:rPr>
          <w:rFonts w:asciiTheme="minorHAnsi" w:eastAsia="Times New Roman" w:hAnsiTheme="minorHAnsi" w:cstheme="minorHAnsi"/>
          <w:szCs w:val="24"/>
          <w:lang w:val="pl-PL" w:eastAsia="en-GB"/>
        </w:rPr>
        <w:t>Obszary Tematyczne</w:t>
      </w:r>
      <w:r w:rsidR="00A63434" w:rsidRPr="00F879CC">
        <w:rPr>
          <w:rFonts w:asciiTheme="minorHAnsi" w:eastAsia="Times New Roman" w:hAnsiTheme="minorHAnsi" w:cstheme="minorHAnsi"/>
          <w:szCs w:val="24"/>
          <w:lang w:val="pl-PL" w:eastAsia="en-GB"/>
        </w:rPr>
        <w:t xml:space="preserve"> (</w:t>
      </w:r>
      <w:r w:rsidR="000C5539">
        <w:rPr>
          <w:rFonts w:asciiTheme="minorHAnsi" w:eastAsia="Times New Roman" w:hAnsiTheme="minorHAnsi" w:cstheme="minorHAnsi"/>
          <w:szCs w:val="24"/>
          <w:lang w:val="pl-PL" w:eastAsia="en-GB"/>
        </w:rPr>
        <w:t>OT</w:t>
      </w:r>
      <w:r w:rsidR="00A63434" w:rsidRPr="00F879CC">
        <w:rPr>
          <w:rFonts w:asciiTheme="minorHAnsi" w:eastAsia="Times New Roman" w:hAnsiTheme="minorHAnsi" w:cstheme="minorHAnsi"/>
          <w:szCs w:val="24"/>
          <w:lang w:val="pl-PL" w:eastAsia="en-GB"/>
        </w:rPr>
        <w:t xml:space="preserve">) </w:t>
      </w:r>
      <w:r w:rsidR="000C5539">
        <w:rPr>
          <w:rFonts w:asciiTheme="minorHAnsi" w:eastAsia="Times New Roman" w:hAnsiTheme="minorHAnsi" w:cstheme="minorHAnsi"/>
          <w:szCs w:val="24"/>
          <w:lang w:val="pl-PL" w:eastAsia="en-GB"/>
        </w:rPr>
        <w:t>Biogeny</w:t>
      </w:r>
      <w:r w:rsidR="006F5EBC">
        <w:rPr>
          <w:rFonts w:asciiTheme="minorHAnsi" w:eastAsia="Times New Roman" w:hAnsiTheme="minorHAnsi" w:cstheme="minorHAnsi"/>
          <w:szCs w:val="24"/>
          <w:lang w:val="pl-PL" w:eastAsia="en-GB"/>
        </w:rPr>
        <w:t xml:space="preserve"> </w:t>
      </w:r>
      <w:r w:rsidR="00A63434" w:rsidRPr="00F879CC">
        <w:rPr>
          <w:rFonts w:asciiTheme="minorHAnsi" w:eastAsia="Times New Roman" w:hAnsiTheme="minorHAnsi" w:cstheme="minorHAnsi"/>
          <w:szCs w:val="24"/>
          <w:lang w:val="pl-PL" w:eastAsia="en-GB"/>
        </w:rPr>
        <w:t>i Biogospodarka</w:t>
      </w:r>
      <w:r w:rsidRPr="00F879CC">
        <w:rPr>
          <w:rFonts w:asciiTheme="minorHAnsi" w:eastAsia="Times New Roman" w:hAnsiTheme="minorHAnsi" w:cstheme="minorHAnsi"/>
          <w:szCs w:val="24"/>
          <w:lang w:val="pl-PL" w:eastAsia="en-GB"/>
        </w:rPr>
        <w:t xml:space="preserve"> zajmując się</w:t>
      </w:r>
      <w:r w:rsidR="006F5EBC">
        <w:rPr>
          <w:rFonts w:asciiTheme="minorHAnsi" w:eastAsia="Times New Roman" w:hAnsiTheme="minorHAnsi" w:cstheme="minorHAnsi"/>
          <w:szCs w:val="24"/>
          <w:lang w:val="pl-PL" w:eastAsia="en-GB"/>
        </w:rPr>
        <w:t xml:space="preserve"> problemem</w:t>
      </w:r>
      <w:r w:rsidRPr="00F879CC">
        <w:rPr>
          <w:rFonts w:asciiTheme="minorHAnsi" w:eastAsia="Times New Roman" w:hAnsiTheme="minorHAnsi" w:cstheme="minorHAnsi"/>
          <w:szCs w:val="24"/>
          <w:lang w:val="pl-PL" w:eastAsia="en-GB"/>
        </w:rPr>
        <w:t xml:space="preserve"> substancj</w:t>
      </w:r>
      <w:r w:rsidR="006F5EBC">
        <w:rPr>
          <w:rFonts w:asciiTheme="minorHAnsi" w:eastAsia="Times New Roman" w:hAnsiTheme="minorHAnsi" w:cstheme="minorHAnsi"/>
          <w:szCs w:val="24"/>
          <w:lang w:val="pl-PL" w:eastAsia="en-GB"/>
        </w:rPr>
        <w:t>i</w:t>
      </w:r>
      <w:r w:rsidRPr="00F879CC">
        <w:rPr>
          <w:rFonts w:asciiTheme="minorHAnsi" w:eastAsia="Times New Roman" w:hAnsiTheme="minorHAnsi" w:cstheme="minorHAnsi"/>
          <w:szCs w:val="24"/>
          <w:lang w:val="pl-PL" w:eastAsia="en-GB"/>
        </w:rPr>
        <w:t xml:space="preserve"> odżywczy</w:t>
      </w:r>
      <w:r w:rsidR="006F5EBC">
        <w:rPr>
          <w:rFonts w:asciiTheme="minorHAnsi" w:eastAsia="Times New Roman" w:hAnsiTheme="minorHAnsi" w:cstheme="minorHAnsi"/>
          <w:szCs w:val="24"/>
          <w:lang w:val="pl-PL" w:eastAsia="en-GB"/>
        </w:rPr>
        <w:t>ch</w:t>
      </w:r>
      <w:r w:rsidRPr="00F879CC">
        <w:rPr>
          <w:rFonts w:asciiTheme="minorHAnsi" w:eastAsia="Times New Roman" w:hAnsiTheme="minorHAnsi" w:cstheme="minorHAnsi"/>
          <w:szCs w:val="24"/>
          <w:lang w:val="pl-PL" w:eastAsia="en-GB"/>
        </w:rPr>
        <w:t xml:space="preserve"> z miast, rolnictwa, akwakultury i leś</w:t>
      </w:r>
      <w:r w:rsidR="00A63434" w:rsidRPr="00F879CC">
        <w:rPr>
          <w:rFonts w:asciiTheme="minorHAnsi" w:eastAsia="Times New Roman" w:hAnsiTheme="minorHAnsi" w:cstheme="minorHAnsi"/>
          <w:szCs w:val="24"/>
          <w:lang w:val="pl-PL" w:eastAsia="en-GB"/>
        </w:rPr>
        <w:t xml:space="preserve">nictwa, a także zagrożeniami </w:t>
      </w:r>
      <w:r w:rsidR="006F5EBC">
        <w:rPr>
          <w:rFonts w:asciiTheme="minorHAnsi" w:eastAsia="Times New Roman" w:hAnsiTheme="minorHAnsi" w:cstheme="minorHAnsi"/>
          <w:szCs w:val="24"/>
          <w:lang w:val="pl-PL" w:eastAsia="en-GB"/>
        </w:rPr>
        <w:t xml:space="preserve">w zakresie </w:t>
      </w:r>
      <w:r w:rsidR="000C5539">
        <w:rPr>
          <w:rFonts w:asciiTheme="minorHAnsi" w:eastAsia="Times New Roman" w:hAnsiTheme="minorHAnsi" w:cstheme="minorHAnsi"/>
          <w:szCs w:val="24"/>
          <w:lang w:val="pl-PL" w:eastAsia="en-GB"/>
        </w:rPr>
        <w:t>OT</w:t>
      </w:r>
      <w:r w:rsidR="00A63434" w:rsidRPr="00F879CC">
        <w:rPr>
          <w:rFonts w:asciiTheme="minorHAnsi" w:eastAsia="Times New Roman" w:hAnsiTheme="minorHAnsi" w:cstheme="minorHAnsi"/>
          <w:szCs w:val="24"/>
          <w:lang w:val="pl-PL" w:eastAsia="en-GB"/>
        </w:rPr>
        <w:t xml:space="preserve"> Bezpieczeństwo i </w:t>
      </w:r>
      <w:r w:rsidR="0070721F" w:rsidRPr="00F879CC">
        <w:rPr>
          <w:rFonts w:asciiTheme="minorHAnsi" w:eastAsia="Times New Roman" w:hAnsiTheme="minorHAnsi" w:cstheme="minorHAnsi"/>
          <w:szCs w:val="24"/>
          <w:lang w:val="pl-PL" w:eastAsia="en-GB"/>
        </w:rPr>
        <w:t>Zdrowie</w:t>
      </w:r>
      <w:r w:rsidRPr="00F879CC">
        <w:rPr>
          <w:rFonts w:asciiTheme="minorHAnsi" w:eastAsia="Times New Roman" w:hAnsiTheme="minorHAnsi" w:cstheme="minorHAnsi"/>
          <w:szCs w:val="24"/>
          <w:lang w:val="pl-PL" w:eastAsia="en-GB"/>
        </w:rPr>
        <w:t xml:space="preserve"> zajmując się </w:t>
      </w:r>
      <w:r w:rsidR="006F5EBC">
        <w:rPr>
          <w:rFonts w:asciiTheme="minorHAnsi" w:eastAsia="Times New Roman" w:hAnsiTheme="minorHAnsi" w:cstheme="minorHAnsi"/>
          <w:szCs w:val="24"/>
          <w:lang w:val="pl-PL" w:eastAsia="en-GB"/>
        </w:rPr>
        <w:t xml:space="preserve">problemem </w:t>
      </w:r>
      <w:r w:rsidRPr="00F879CC">
        <w:rPr>
          <w:rFonts w:asciiTheme="minorHAnsi" w:eastAsia="Times New Roman" w:hAnsiTheme="minorHAnsi" w:cstheme="minorHAnsi"/>
          <w:szCs w:val="24"/>
          <w:lang w:val="pl-PL" w:eastAsia="en-GB"/>
        </w:rPr>
        <w:t>chemikali</w:t>
      </w:r>
      <w:r w:rsidR="006F5EBC">
        <w:rPr>
          <w:rFonts w:asciiTheme="minorHAnsi" w:eastAsia="Times New Roman" w:hAnsiTheme="minorHAnsi" w:cstheme="minorHAnsi"/>
          <w:szCs w:val="24"/>
          <w:lang w:val="pl-PL" w:eastAsia="en-GB"/>
        </w:rPr>
        <w:t>ów</w:t>
      </w:r>
      <w:r w:rsidRPr="00F879CC">
        <w:rPr>
          <w:rFonts w:asciiTheme="minorHAnsi" w:eastAsia="Times New Roman" w:hAnsiTheme="minorHAnsi" w:cstheme="minorHAnsi"/>
          <w:szCs w:val="24"/>
          <w:lang w:val="pl-PL" w:eastAsia="en-GB"/>
        </w:rPr>
        <w:t xml:space="preserve"> i substancj</w:t>
      </w:r>
      <w:r w:rsidR="006F5EBC">
        <w:rPr>
          <w:rFonts w:asciiTheme="minorHAnsi" w:eastAsia="Times New Roman" w:hAnsiTheme="minorHAnsi" w:cstheme="minorHAnsi"/>
          <w:szCs w:val="24"/>
          <w:lang w:val="pl-PL" w:eastAsia="en-GB"/>
        </w:rPr>
        <w:t>i</w:t>
      </w:r>
      <w:r w:rsidRPr="00F879CC">
        <w:rPr>
          <w:rFonts w:asciiTheme="minorHAnsi" w:eastAsia="Times New Roman" w:hAnsiTheme="minorHAnsi" w:cstheme="minorHAnsi"/>
          <w:szCs w:val="24"/>
          <w:lang w:val="pl-PL" w:eastAsia="en-GB"/>
        </w:rPr>
        <w:t xml:space="preserve"> niebezpiecznymi w morzu i wodach śródlądowych. Działania są zgodne z celem </w:t>
      </w:r>
      <w:r w:rsidR="000C5539">
        <w:rPr>
          <w:rFonts w:asciiTheme="minorHAnsi" w:eastAsia="Times New Roman" w:hAnsiTheme="minorHAnsi" w:cstheme="minorHAnsi"/>
          <w:szCs w:val="24"/>
          <w:lang w:val="pl-PL" w:eastAsia="en-GB"/>
        </w:rPr>
        <w:t>OT</w:t>
      </w:r>
      <w:r w:rsidR="00A05A16" w:rsidRPr="00F879CC">
        <w:rPr>
          <w:rFonts w:asciiTheme="minorHAnsi" w:eastAsia="Times New Roman" w:hAnsiTheme="minorHAnsi" w:cstheme="minorHAnsi"/>
          <w:szCs w:val="24"/>
          <w:lang w:val="pl-PL" w:eastAsia="en-GB"/>
        </w:rPr>
        <w:t>, jakim</w:t>
      </w:r>
      <w:r w:rsidRPr="00F879CC">
        <w:rPr>
          <w:rFonts w:asciiTheme="minorHAnsi" w:eastAsia="Times New Roman" w:hAnsiTheme="minorHAnsi" w:cstheme="minorHAnsi"/>
          <w:szCs w:val="24"/>
          <w:lang w:val="pl-PL" w:eastAsia="en-GB"/>
        </w:rPr>
        <w:t xml:space="preserve"> jest przystosowanie się do zmian klimatu</w:t>
      </w:r>
      <w:r w:rsidR="00E04EED" w:rsidRPr="00F879CC">
        <w:rPr>
          <w:rFonts w:asciiTheme="minorHAnsi" w:eastAsia="Times New Roman" w:hAnsiTheme="minorHAnsi" w:cstheme="minorHAnsi"/>
          <w:szCs w:val="24"/>
          <w:lang w:val="pl-PL" w:eastAsia="en-GB"/>
        </w:rPr>
        <w:t xml:space="preserve">. </w:t>
      </w:r>
    </w:p>
    <w:p w14:paraId="20636880" w14:textId="67D47594" w:rsidR="00E04EED" w:rsidRPr="00F879CC" w:rsidRDefault="002827BD"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b/>
          <w:szCs w:val="24"/>
          <w:lang w:val="pl-PL" w:eastAsia="en-GB"/>
        </w:rPr>
      </w:pPr>
      <w:r w:rsidRPr="00F879CC">
        <w:rPr>
          <w:rFonts w:asciiTheme="minorHAnsi" w:eastAsia="Times New Roman" w:hAnsiTheme="minorHAnsi" w:cstheme="minorHAnsi"/>
          <w:b/>
          <w:szCs w:val="24"/>
          <w:lang w:val="pl-PL" w:eastAsia="en-GB"/>
        </w:rPr>
        <w:t>Oczekiwany rezultat</w:t>
      </w:r>
    </w:p>
    <w:p w14:paraId="20ACC1A8" w14:textId="5B23A586" w:rsidR="00E04EED" w:rsidRPr="00F879CC" w:rsidRDefault="002B6C25"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F879CC">
        <w:rPr>
          <w:rFonts w:asciiTheme="minorHAnsi" w:eastAsia="Times New Roman" w:hAnsiTheme="minorHAnsi" w:cstheme="minorHAnsi"/>
          <w:szCs w:val="24"/>
          <w:lang w:val="pl-PL" w:eastAsia="en-GB"/>
        </w:rPr>
        <w:t xml:space="preserve">Działania te intensyfikują stosowanie dostępnych oraz rozwój i testowanie nowych rozwiązań </w:t>
      </w:r>
      <w:r w:rsidR="00333FCB">
        <w:rPr>
          <w:rFonts w:asciiTheme="minorHAnsi" w:eastAsia="Times New Roman" w:hAnsiTheme="minorHAnsi" w:cstheme="minorHAnsi"/>
          <w:szCs w:val="24"/>
          <w:lang w:val="pl-PL" w:eastAsia="en-GB"/>
        </w:rPr>
        <w:t xml:space="preserve">w zarządzaniu zasobami wodnymi </w:t>
      </w:r>
      <w:r w:rsidRPr="00F879CC">
        <w:rPr>
          <w:rFonts w:asciiTheme="minorHAnsi" w:eastAsia="Times New Roman" w:hAnsiTheme="minorHAnsi" w:cstheme="minorHAnsi"/>
          <w:szCs w:val="24"/>
          <w:lang w:val="pl-PL" w:eastAsia="en-GB"/>
        </w:rPr>
        <w:t xml:space="preserve">lub </w:t>
      </w:r>
      <w:r w:rsidR="00E77064">
        <w:rPr>
          <w:rFonts w:asciiTheme="minorHAnsi" w:eastAsia="Times New Roman" w:hAnsiTheme="minorHAnsi" w:cstheme="minorHAnsi"/>
          <w:szCs w:val="24"/>
          <w:lang w:val="pl-PL" w:eastAsia="en-GB"/>
        </w:rPr>
        <w:t>rozwiązań</w:t>
      </w:r>
      <w:r w:rsidRPr="00F879CC">
        <w:rPr>
          <w:rFonts w:asciiTheme="minorHAnsi" w:eastAsia="Times New Roman" w:hAnsiTheme="minorHAnsi" w:cstheme="minorHAnsi"/>
          <w:szCs w:val="24"/>
          <w:lang w:val="pl-PL" w:eastAsia="en-GB"/>
        </w:rPr>
        <w:t xml:space="preserve"> w różnych sektorach poprawiających jakość wody. W rezultacie, główne grupy docelowe Programu zwiększają swoją zdolność do zarządzania wodą i połączonymi sektorami w bardziej „kompetentny, zrównoważony i efektywny sposób w warunkach zmieniającego się klimatu</w:t>
      </w:r>
      <w:r w:rsidR="006F5EBC">
        <w:rPr>
          <w:rFonts w:asciiTheme="minorHAnsi" w:eastAsia="Times New Roman" w:hAnsiTheme="minorHAnsi" w:cstheme="minorHAnsi"/>
          <w:szCs w:val="24"/>
          <w:lang w:val="pl-PL" w:eastAsia="en-GB"/>
        </w:rPr>
        <w:t>”</w:t>
      </w:r>
      <w:r w:rsidR="00E04EED" w:rsidRPr="00F879CC">
        <w:rPr>
          <w:rFonts w:asciiTheme="minorHAnsi" w:eastAsia="Times New Roman" w:hAnsiTheme="minorHAnsi" w:cstheme="minorHAnsi"/>
          <w:szCs w:val="24"/>
          <w:lang w:val="pl-PL" w:eastAsia="en-GB"/>
        </w:rPr>
        <w:t xml:space="preserve">. </w:t>
      </w:r>
    </w:p>
    <w:p w14:paraId="1E8E04A1" w14:textId="57C72AEC" w:rsidR="00E04EED" w:rsidRPr="00035701" w:rsidRDefault="002B6C25" w:rsidP="00035701">
      <w:pPr>
        <w:pStyle w:val="Nagwek3"/>
        <w:rPr>
          <w:rFonts w:eastAsia="Times New Roman"/>
          <w:color w:val="auto"/>
          <w:sz w:val="28"/>
          <w:lang w:val="pl-PL" w:eastAsia="en-GB"/>
        </w:rPr>
      </w:pPr>
      <w:bookmarkStart w:id="97" w:name="_Toc73432984"/>
      <w:r w:rsidRPr="00035701">
        <w:rPr>
          <w:rFonts w:eastAsia="Times New Roman"/>
          <w:color w:val="auto"/>
          <w:sz w:val="28"/>
          <w:lang w:val="pl-PL" w:eastAsia="en-GB"/>
        </w:rPr>
        <w:lastRenderedPageBreak/>
        <w:t>Cel</w:t>
      </w:r>
      <w:r w:rsidR="00E04EED" w:rsidRPr="00035701">
        <w:rPr>
          <w:rFonts w:eastAsia="Times New Roman"/>
          <w:color w:val="auto"/>
          <w:sz w:val="28"/>
          <w:lang w:val="pl-PL" w:eastAsia="en-GB"/>
        </w:rPr>
        <w:t xml:space="preserve"> </w:t>
      </w:r>
      <w:r w:rsidR="00A01360" w:rsidRPr="00035701">
        <w:rPr>
          <w:rFonts w:eastAsia="Times New Roman"/>
          <w:color w:val="auto"/>
          <w:sz w:val="28"/>
          <w:lang w:val="pl-PL" w:eastAsia="en-GB"/>
        </w:rPr>
        <w:t xml:space="preserve">szczegółowy </w:t>
      </w:r>
      <w:r w:rsidR="00E04EED" w:rsidRPr="00035701">
        <w:rPr>
          <w:rFonts w:eastAsia="Times New Roman"/>
          <w:color w:val="auto"/>
          <w:sz w:val="28"/>
          <w:lang w:val="pl-PL" w:eastAsia="en-GB"/>
        </w:rPr>
        <w:t xml:space="preserve">2.2 </w:t>
      </w:r>
      <w:r w:rsidRPr="00035701">
        <w:rPr>
          <w:rFonts w:eastAsia="Times New Roman"/>
          <w:color w:val="auto"/>
          <w:sz w:val="28"/>
          <w:lang w:val="pl-PL" w:eastAsia="en-GB"/>
        </w:rPr>
        <w:t>Niebieska gospodarka</w:t>
      </w:r>
      <w:bookmarkEnd w:id="97"/>
      <w:r w:rsidR="00E04EED" w:rsidRPr="00035701">
        <w:rPr>
          <w:rFonts w:eastAsia="Times New Roman"/>
          <w:color w:val="auto"/>
          <w:sz w:val="28"/>
          <w:lang w:val="pl-PL" w:eastAsia="en-GB"/>
        </w:rPr>
        <w:t xml:space="preserve"> </w:t>
      </w:r>
    </w:p>
    <w:p w14:paraId="4954499D" w14:textId="7C2698F8" w:rsidR="00E04EED" w:rsidRPr="00F879CC" w:rsidRDefault="00871A6C"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b/>
          <w:szCs w:val="24"/>
          <w:lang w:val="pl-PL" w:eastAsia="en-GB"/>
        </w:rPr>
      </w:pPr>
      <w:r w:rsidRPr="00F879CC">
        <w:rPr>
          <w:rFonts w:asciiTheme="minorHAnsi" w:eastAsia="Times New Roman" w:hAnsiTheme="minorHAnsi" w:cstheme="minorHAnsi"/>
          <w:b/>
          <w:szCs w:val="24"/>
          <w:lang w:val="pl-PL" w:eastAsia="en-GB"/>
        </w:rPr>
        <w:t>Wprowadzen</w:t>
      </w:r>
      <w:r w:rsidR="00A05A16" w:rsidRPr="00F879CC">
        <w:rPr>
          <w:rFonts w:asciiTheme="minorHAnsi" w:eastAsia="Times New Roman" w:hAnsiTheme="minorHAnsi" w:cstheme="minorHAnsi"/>
          <w:b/>
          <w:szCs w:val="24"/>
          <w:lang w:val="pl-PL" w:eastAsia="en-GB"/>
        </w:rPr>
        <w:t>ie</w:t>
      </w:r>
      <w:r w:rsidRPr="00F879CC">
        <w:rPr>
          <w:rFonts w:asciiTheme="minorHAnsi" w:eastAsia="Times New Roman" w:hAnsiTheme="minorHAnsi" w:cstheme="minorHAnsi"/>
          <w:b/>
          <w:szCs w:val="24"/>
          <w:lang w:val="pl-PL" w:eastAsia="en-GB"/>
        </w:rPr>
        <w:t xml:space="preserve"> do działań</w:t>
      </w:r>
      <w:r w:rsidR="00E04EED" w:rsidRPr="00F879CC">
        <w:rPr>
          <w:rFonts w:asciiTheme="minorHAnsi" w:eastAsia="Times New Roman" w:hAnsiTheme="minorHAnsi" w:cstheme="minorHAnsi"/>
          <w:b/>
          <w:szCs w:val="24"/>
          <w:lang w:val="pl-PL" w:eastAsia="en-GB"/>
        </w:rPr>
        <w:t xml:space="preserve"> </w:t>
      </w:r>
    </w:p>
    <w:p w14:paraId="10AECA12" w14:textId="1EB386F9" w:rsidR="00136E87" w:rsidRPr="00D10A15" w:rsidRDefault="00136E87"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u w:val="single"/>
          <w:lang w:val="pl-PL" w:eastAsia="en-GB"/>
        </w:rPr>
      </w:pPr>
      <w:r w:rsidRPr="00F879CC">
        <w:rPr>
          <w:rFonts w:asciiTheme="minorHAnsi" w:eastAsia="Times New Roman" w:hAnsiTheme="minorHAnsi" w:cstheme="minorHAnsi"/>
          <w:szCs w:val="24"/>
          <w:lang w:val="pl-PL" w:eastAsia="en-GB"/>
        </w:rPr>
        <w:t xml:space="preserve">Region Morza Bałtyckiego posiada bogate </w:t>
      </w:r>
      <w:r w:rsidRPr="00F879CC">
        <w:rPr>
          <w:rFonts w:asciiTheme="minorHAnsi" w:eastAsia="Times New Roman" w:hAnsiTheme="minorHAnsi" w:cstheme="minorHAnsi"/>
          <w:szCs w:val="24"/>
          <w:u w:val="single"/>
          <w:lang w:val="pl-PL" w:eastAsia="en-GB"/>
        </w:rPr>
        <w:t>zasoby wodne i know-how</w:t>
      </w:r>
      <w:r w:rsidRPr="00F879CC">
        <w:rPr>
          <w:rFonts w:asciiTheme="minorHAnsi" w:eastAsia="Times New Roman" w:hAnsiTheme="minorHAnsi" w:cstheme="minorHAnsi"/>
          <w:szCs w:val="24"/>
          <w:lang w:val="pl-PL" w:eastAsia="en-GB"/>
        </w:rPr>
        <w:t xml:space="preserve"> w zakresie rozwoju niebieskiej gospodarki</w:t>
      </w:r>
      <w:r w:rsidR="003F1ECD">
        <w:rPr>
          <w:rFonts w:asciiTheme="minorHAnsi" w:eastAsia="Times New Roman" w:hAnsiTheme="minorHAnsi" w:cstheme="minorHAnsi"/>
          <w:szCs w:val="24"/>
          <w:lang w:val="pl-PL" w:eastAsia="en-GB"/>
        </w:rPr>
        <w:t>. T</w:t>
      </w:r>
      <w:r w:rsidR="00D10A15">
        <w:rPr>
          <w:rFonts w:asciiTheme="minorHAnsi" w:eastAsia="Times New Roman" w:hAnsiTheme="minorHAnsi" w:cstheme="minorHAnsi"/>
          <w:szCs w:val="24"/>
          <w:lang w:val="pl-PL" w:eastAsia="en-GB"/>
        </w:rPr>
        <w:t xml:space="preserve">roszczy się </w:t>
      </w:r>
      <w:r w:rsidR="003F1ECD">
        <w:rPr>
          <w:rFonts w:asciiTheme="minorHAnsi" w:eastAsia="Times New Roman" w:hAnsiTheme="minorHAnsi" w:cstheme="minorHAnsi"/>
          <w:szCs w:val="24"/>
          <w:lang w:val="pl-PL" w:eastAsia="en-GB"/>
        </w:rPr>
        <w:t xml:space="preserve">również </w:t>
      </w:r>
      <w:r w:rsidRPr="00D10A15">
        <w:rPr>
          <w:rFonts w:asciiTheme="minorHAnsi" w:eastAsia="Times New Roman" w:hAnsiTheme="minorHAnsi" w:cstheme="minorHAnsi"/>
          <w:szCs w:val="24"/>
          <w:u w:val="single"/>
          <w:lang w:val="pl-PL" w:eastAsia="en-GB"/>
        </w:rPr>
        <w:t>o środowisko</w:t>
      </w:r>
      <w:r w:rsidRPr="00D10A15">
        <w:rPr>
          <w:rFonts w:asciiTheme="minorHAnsi" w:eastAsia="Times New Roman" w:hAnsiTheme="minorHAnsi" w:cstheme="minorHAnsi"/>
          <w:szCs w:val="24"/>
          <w:lang w:val="pl-PL" w:eastAsia="en-GB"/>
        </w:rPr>
        <w:t xml:space="preserve"> w odniesieniu do zdrowych ekosystemów w </w:t>
      </w:r>
      <w:r w:rsidRPr="00D10A15">
        <w:rPr>
          <w:rFonts w:asciiTheme="minorHAnsi" w:eastAsia="Times New Roman" w:hAnsiTheme="minorHAnsi" w:cstheme="minorHAnsi"/>
          <w:szCs w:val="24"/>
          <w:u w:val="single"/>
          <w:lang w:val="pl-PL" w:eastAsia="en-GB"/>
        </w:rPr>
        <w:t>morzu i wodach śródlądowych.</w:t>
      </w:r>
    </w:p>
    <w:p w14:paraId="1C8ABF7A" w14:textId="77777777" w:rsidR="00136E87" w:rsidRPr="00D10A15" w:rsidRDefault="00136E87"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D10A15">
        <w:rPr>
          <w:rFonts w:asciiTheme="minorHAnsi" w:eastAsia="Times New Roman" w:hAnsiTheme="minorHAnsi" w:cstheme="minorHAnsi"/>
          <w:szCs w:val="24"/>
          <w:lang w:val="pl-PL" w:eastAsia="en-GB"/>
        </w:rPr>
        <w:t xml:space="preserve">Program wspiera działania na rzecz </w:t>
      </w:r>
      <w:r w:rsidRPr="00D10A15">
        <w:rPr>
          <w:rFonts w:asciiTheme="minorHAnsi" w:eastAsia="Times New Roman" w:hAnsiTheme="minorHAnsi" w:cstheme="minorHAnsi"/>
          <w:szCs w:val="24"/>
          <w:u w:val="single"/>
          <w:lang w:val="pl-PL" w:eastAsia="en-GB"/>
        </w:rPr>
        <w:t>zrównoważonego wykorzystania wód słodkich i morskich</w:t>
      </w:r>
      <w:r w:rsidRPr="00D10A15">
        <w:rPr>
          <w:rFonts w:asciiTheme="minorHAnsi" w:eastAsia="Times New Roman" w:hAnsiTheme="minorHAnsi" w:cstheme="minorHAnsi"/>
          <w:szCs w:val="24"/>
          <w:lang w:val="pl-PL" w:eastAsia="en-GB"/>
        </w:rPr>
        <w:t xml:space="preserve"> oraz </w:t>
      </w:r>
      <w:r w:rsidRPr="00D10A15">
        <w:rPr>
          <w:rFonts w:asciiTheme="minorHAnsi" w:eastAsia="Times New Roman" w:hAnsiTheme="minorHAnsi" w:cstheme="minorHAnsi"/>
          <w:szCs w:val="24"/>
          <w:u w:val="single"/>
          <w:lang w:val="pl-PL" w:eastAsia="en-GB"/>
        </w:rPr>
        <w:t>zasobów morskich</w:t>
      </w:r>
      <w:r w:rsidRPr="00D10A15">
        <w:rPr>
          <w:rFonts w:asciiTheme="minorHAnsi" w:eastAsia="Times New Roman" w:hAnsiTheme="minorHAnsi" w:cstheme="minorHAnsi"/>
          <w:szCs w:val="24"/>
          <w:lang w:val="pl-PL" w:eastAsia="en-GB"/>
        </w:rPr>
        <w:t xml:space="preserve"> w rozwoju innowacyjnego biznesu w całym regionie, w sektorach wschodzących i tych już ugruntowanych. Obejmują one akwakulturę, niebieską biotechnologię, żeglugę, rybołówstwo oraz turystykę przybrzeżną i morską.</w:t>
      </w:r>
    </w:p>
    <w:p w14:paraId="0E65B52F" w14:textId="684DCE2E" w:rsidR="00136E87" w:rsidRPr="00D10A15" w:rsidRDefault="00136E87"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D10A15">
        <w:rPr>
          <w:rFonts w:asciiTheme="minorHAnsi" w:eastAsia="Times New Roman" w:hAnsiTheme="minorHAnsi" w:cstheme="minorHAnsi"/>
          <w:szCs w:val="24"/>
          <w:lang w:val="pl-PL" w:eastAsia="en-GB"/>
        </w:rPr>
        <w:t xml:space="preserve">Ponieważ różne sektory mogą korzystać z tych samych zasobów działania powinny pomóc </w:t>
      </w:r>
      <w:r w:rsidRPr="00D10A15">
        <w:rPr>
          <w:rFonts w:asciiTheme="minorHAnsi" w:eastAsia="Times New Roman" w:hAnsiTheme="minorHAnsi" w:cstheme="minorHAnsi"/>
          <w:szCs w:val="24"/>
          <w:u w:val="single"/>
          <w:lang w:val="pl-PL" w:eastAsia="en-GB"/>
        </w:rPr>
        <w:t>złagodzić potencjalne konflikty</w:t>
      </w:r>
      <w:r w:rsidRPr="00D10A15">
        <w:rPr>
          <w:rFonts w:asciiTheme="minorHAnsi" w:eastAsia="Times New Roman" w:hAnsiTheme="minorHAnsi" w:cstheme="minorHAnsi"/>
          <w:szCs w:val="24"/>
          <w:lang w:val="pl-PL" w:eastAsia="en-GB"/>
        </w:rPr>
        <w:t xml:space="preserve"> między użytkownikami przestrzeni morskiej i ułatwić jej </w:t>
      </w:r>
      <w:r w:rsidRPr="00D10A15">
        <w:rPr>
          <w:rFonts w:asciiTheme="minorHAnsi" w:eastAsia="Times New Roman" w:hAnsiTheme="minorHAnsi" w:cstheme="minorHAnsi"/>
          <w:szCs w:val="24"/>
          <w:u w:val="single"/>
          <w:lang w:val="pl-PL" w:eastAsia="en-GB"/>
        </w:rPr>
        <w:t>wspólne użytkowanie</w:t>
      </w:r>
      <w:r w:rsidRPr="00D10A15">
        <w:rPr>
          <w:rFonts w:asciiTheme="minorHAnsi" w:eastAsia="Times New Roman" w:hAnsiTheme="minorHAnsi" w:cstheme="minorHAnsi"/>
          <w:szCs w:val="24"/>
          <w:lang w:val="pl-PL" w:eastAsia="en-GB"/>
        </w:rPr>
        <w:t xml:space="preserve">. Ponadto, Program zachęca do podejmowania działań na rzecz niebieskich firm, które </w:t>
      </w:r>
      <w:r w:rsidRPr="00D10A15">
        <w:rPr>
          <w:rFonts w:asciiTheme="minorHAnsi" w:eastAsia="Times New Roman" w:hAnsiTheme="minorHAnsi" w:cstheme="minorHAnsi"/>
          <w:szCs w:val="24"/>
          <w:u w:val="single"/>
          <w:lang w:val="pl-PL" w:eastAsia="en-GB"/>
        </w:rPr>
        <w:t>wzmacniają ich odporność</w:t>
      </w:r>
      <w:r w:rsidRPr="00D10A15">
        <w:rPr>
          <w:rFonts w:asciiTheme="minorHAnsi" w:eastAsia="Times New Roman" w:hAnsiTheme="minorHAnsi" w:cstheme="minorHAnsi"/>
          <w:szCs w:val="24"/>
          <w:lang w:val="pl-PL" w:eastAsia="en-GB"/>
        </w:rPr>
        <w:t xml:space="preserve"> i </w:t>
      </w:r>
      <w:r w:rsidRPr="00D10A15">
        <w:rPr>
          <w:rFonts w:asciiTheme="minorHAnsi" w:eastAsia="Times New Roman" w:hAnsiTheme="minorHAnsi" w:cstheme="minorHAnsi"/>
          <w:szCs w:val="24"/>
          <w:u w:val="single"/>
          <w:lang w:val="pl-PL" w:eastAsia="en-GB"/>
        </w:rPr>
        <w:t>łagodzą</w:t>
      </w:r>
      <w:r w:rsidRPr="00D10A15">
        <w:rPr>
          <w:rFonts w:asciiTheme="minorHAnsi" w:eastAsia="Times New Roman" w:hAnsiTheme="minorHAnsi" w:cstheme="minorHAnsi"/>
          <w:szCs w:val="24"/>
          <w:lang w:val="pl-PL" w:eastAsia="en-GB"/>
        </w:rPr>
        <w:t xml:space="preserve"> wpływ na zmianę klimatu.</w:t>
      </w:r>
    </w:p>
    <w:p w14:paraId="1B49F278" w14:textId="1644F3C7" w:rsidR="00E04EED" w:rsidRPr="00D10A15" w:rsidRDefault="002827BD"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b/>
          <w:szCs w:val="24"/>
          <w:lang w:val="pl-PL" w:eastAsia="en-GB"/>
        </w:rPr>
      </w:pPr>
      <w:r w:rsidRPr="00D10A15">
        <w:rPr>
          <w:rFonts w:asciiTheme="minorHAnsi" w:eastAsia="Times New Roman" w:hAnsiTheme="minorHAnsi" w:cstheme="minorHAnsi"/>
          <w:b/>
          <w:szCs w:val="24"/>
          <w:lang w:val="pl-PL" w:eastAsia="en-GB"/>
        </w:rPr>
        <w:t xml:space="preserve">Przykłady działań (lista </w:t>
      </w:r>
      <w:r w:rsidRPr="00F42A23">
        <w:rPr>
          <w:rFonts w:asciiTheme="minorHAnsi" w:eastAsia="Times New Roman" w:hAnsiTheme="minorHAnsi" w:cstheme="minorHAnsi"/>
          <w:b/>
          <w:szCs w:val="24"/>
          <w:lang w:val="pl-PL" w:eastAsia="en-GB"/>
        </w:rPr>
        <w:t xml:space="preserve">nie jest </w:t>
      </w:r>
      <w:r w:rsidR="00305E0A" w:rsidRPr="00F42A23">
        <w:rPr>
          <w:rFonts w:asciiTheme="minorHAnsi" w:eastAsia="Times New Roman" w:hAnsiTheme="minorHAnsi" w:cstheme="minorHAnsi"/>
          <w:b/>
          <w:szCs w:val="24"/>
          <w:lang w:val="pl-PL" w:eastAsia="en-GB"/>
        </w:rPr>
        <w:t>zamknięta</w:t>
      </w:r>
      <w:r w:rsidRPr="00F42A23">
        <w:rPr>
          <w:rFonts w:asciiTheme="minorHAnsi" w:eastAsia="Times New Roman" w:hAnsiTheme="minorHAnsi" w:cstheme="minorHAnsi"/>
          <w:b/>
          <w:szCs w:val="24"/>
          <w:lang w:val="pl-PL" w:eastAsia="en-GB"/>
        </w:rPr>
        <w:t>)</w:t>
      </w:r>
      <w:r w:rsidR="00E04EED" w:rsidRPr="00F42A23">
        <w:rPr>
          <w:rFonts w:asciiTheme="minorHAnsi" w:eastAsia="Times New Roman" w:hAnsiTheme="minorHAnsi" w:cstheme="minorHAnsi"/>
          <w:b/>
          <w:szCs w:val="24"/>
          <w:lang w:val="pl-PL" w:eastAsia="en-GB"/>
        </w:rPr>
        <w:t>:</w:t>
      </w:r>
    </w:p>
    <w:p w14:paraId="63F67DF4" w14:textId="6AEEE17D" w:rsidR="00136E87" w:rsidRPr="00000498" w:rsidRDefault="00136E87" w:rsidP="00000498">
      <w:pPr>
        <w:pStyle w:val="Akapitzlist"/>
        <w:numPr>
          <w:ilvl w:val="0"/>
          <w:numId w:val="35"/>
        </w:numPr>
        <w:pBdr>
          <w:top w:val="single" w:sz="4" w:space="1" w:color="auto"/>
          <w:left w:val="single" w:sz="4" w:space="4" w:color="auto"/>
          <w:bottom w:val="single" w:sz="4" w:space="1" w:color="auto"/>
          <w:right w:val="single" w:sz="4" w:space="4" w:color="auto"/>
        </w:pBdr>
        <w:ind w:left="431" w:hanging="431"/>
        <w:rPr>
          <w:rFonts w:eastAsia="Times New Roman" w:cstheme="minorHAnsi"/>
          <w:sz w:val="24"/>
          <w:szCs w:val="24"/>
          <w:lang w:val="pl-PL" w:eastAsia="en-GB"/>
        </w:rPr>
      </w:pPr>
      <w:r w:rsidRPr="00000498">
        <w:rPr>
          <w:rFonts w:eastAsia="Times New Roman" w:cstheme="minorHAnsi"/>
          <w:sz w:val="24"/>
          <w:szCs w:val="24"/>
          <w:lang w:val="pl-PL" w:eastAsia="en-GB"/>
        </w:rPr>
        <w:t xml:space="preserve">tworzenie nowych możliwości biznesowych poprzez rozwijanie łańcuchów wartości dla zrównoważonych produktów i usług słodkowodnych </w:t>
      </w:r>
      <w:r w:rsidR="00311291" w:rsidRPr="00000498">
        <w:rPr>
          <w:rFonts w:eastAsia="Times New Roman" w:cstheme="minorHAnsi"/>
          <w:sz w:val="24"/>
          <w:szCs w:val="24"/>
          <w:lang w:val="pl-PL" w:eastAsia="en-GB"/>
        </w:rPr>
        <w:t>oraz</w:t>
      </w:r>
      <w:r w:rsidRPr="00E77064">
        <w:rPr>
          <w:rFonts w:eastAsia="Times New Roman" w:cstheme="minorHAnsi"/>
          <w:sz w:val="24"/>
          <w:szCs w:val="24"/>
          <w:lang w:val="pl-PL" w:eastAsia="en-GB"/>
        </w:rPr>
        <w:t xml:space="preserve"> </w:t>
      </w:r>
      <w:r w:rsidRPr="00000498">
        <w:rPr>
          <w:rFonts w:eastAsia="Times New Roman" w:cstheme="minorHAnsi"/>
          <w:sz w:val="24"/>
          <w:szCs w:val="24"/>
          <w:lang w:val="pl-PL" w:eastAsia="en-GB"/>
        </w:rPr>
        <w:t>morskich zgodnie ze strategiami inteligentnej specjalizacji i marketing tychże;</w:t>
      </w:r>
    </w:p>
    <w:p w14:paraId="024AEC23" w14:textId="0191F314" w:rsidR="00136E87" w:rsidRPr="00000498" w:rsidRDefault="00136E87" w:rsidP="00000498">
      <w:pPr>
        <w:pStyle w:val="Akapitzlist"/>
        <w:numPr>
          <w:ilvl w:val="0"/>
          <w:numId w:val="35"/>
        </w:numPr>
        <w:pBdr>
          <w:top w:val="single" w:sz="4" w:space="1" w:color="auto"/>
          <w:left w:val="single" w:sz="4" w:space="4" w:color="auto"/>
          <w:bottom w:val="single" w:sz="4" w:space="1" w:color="auto"/>
          <w:right w:val="single" w:sz="4" w:space="4" w:color="auto"/>
        </w:pBdr>
        <w:ind w:left="431" w:hanging="431"/>
        <w:rPr>
          <w:rFonts w:eastAsia="Times New Roman" w:cstheme="minorHAnsi"/>
          <w:sz w:val="24"/>
          <w:szCs w:val="24"/>
          <w:lang w:val="pl-PL" w:eastAsia="en-GB"/>
        </w:rPr>
      </w:pPr>
      <w:r w:rsidRPr="00000498">
        <w:rPr>
          <w:rFonts w:eastAsia="Times New Roman" w:cstheme="minorHAnsi"/>
          <w:sz w:val="24"/>
          <w:szCs w:val="24"/>
          <w:lang w:val="pl-PL" w:eastAsia="en-GB"/>
        </w:rPr>
        <w:t xml:space="preserve">opracowanie modeli zarządzania, komunikacji i współpracy między władzami publicznymi i przemysłem w celu łagodzenia konfliktów </w:t>
      </w:r>
      <w:r w:rsidR="00E77064">
        <w:rPr>
          <w:rFonts w:eastAsia="Times New Roman" w:cstheme="minorHAnsi"/>
          <w:sz w:val="24"/>
          <w:szCs w:val="24"/>
          <w:lang w:val="pl-PL" w:eastAsia="en-GB"/>
        </w:rPr>
        <w:t>oraz</w:t>
      </w:r>
      <w:r w:rsidRPr="00000498">
        <w:rPr>
          <w:rFonts w:eastAsia="Times New Roman" w:cstheme="minorHAnsi"/>
          <w:sz w:val="24"/>
          <w:szCs w:val="24"/>
          <w:lang w:val="pl-PL" w:eastAsia="en-GB"/>
        </w:rPr>
        <w:t xml:space="preserve"> promowania wspólnego użytkowania przestrzeni morskiej i lądowej poprzez planowanie przestrzenne obszarów morskich i interakcje między lądem a morzem;</w:t>
      </w:r>
    </w:p>
    <w:p w14:paraId="0F519CCF" w14:textId="5BFC3213" w:rsidR="00136E87" w:rsidRPr="00000498" w:rsidRDefault="00136E87" w:rsidP="00000498">
      <w:pPr>
        <w:pStyle w:val="Akapitzlist"/>
        <w:numPr>
          <w:ilvl w:val="0"/>
          <w:numId w:val="35"/>
        </w:numPr>
        <w:pBdr>
          <w:top w:val="single" w:sz="4" w:space="1" w:color="auto"/>
          <w:left w:val="single" w:sz="4" w:space="4" w:color="auto"/>
          <w:bottom w:val="single" w:sz="4" w:space="1" w:color="auto"/>
          <w:right w:val="single" w:sz="4" w:space="4" w:color="auto"/>
        </w:pBdr>
        <w:ind w:left="431" w:hanging="431"/>
        <w:rPr>
          <w:rFonts w:eastAsia="Times New Roman" w:cstheme="minorHAnsi"/>
          <w:sz w:val="24"/>
          <w:szCs w:val="24"/>
          <w:lang w:val="pl-PL" w:eastAsia="en-GB"/>
        </w:rPr>
      </w:pPr>
      <w:r w:rsidRPr="00000498">
        <w:rPr>
          <w:rFonts w:eastAsia="Times New Roman" w:cstheme="minorHAnsi"/>
          <w:sz w:val="24"/>
          <w:szCs w:val="24"/>
          <w:lang w:val="pl-PL" w:eastAsia="en-GB"/>
        </w:rPr>
        <w:t>włączanie środków łagodzących zmiany klimatu do planów rozwoju niebieskiej gospodarki;</w:t>
      </w:r>
    </w:p>
    <w:p w14:paraId="48F97D7A" w14:textId="7519E61B" w:rsidR="00136E87" w:rsidRPr="00000498" w:rsidRDefault="00136E87" w:rsidP="00000498">
      <w:pPr>
        <w:pStyle w:val="Akapitzlist"/>
        <w:numPr>
          <w:ilvl w:val="0"/>
          <w:numId w:val="35"/>
        </w:numPr>
        <w:pBdr>
          <w:top w:val="single" w:sz="4" w:space="1" w:color="auto"/>
          <w:left w:val="single" w:sz="4" w:space="4" w:color="auto"/>
          <w:bottom w:val="single" w:sz="4" w:space="1" w:color="auto"/>
          <w:right w:val="single" w:sz="4" w:space="4" w:color="auto"/>
        </w:pBdr>
        <w:ind w:left="431" w:hanging="431"/>
        <w:rPr>
          <w:rFonts w:eastAsia="Times New Roman" w:cstheme="minorHAnsi"/>
          <w:sz w:val="24"/>
          <w:szCs w:val="24"/>
          <w:lang w:val="pl-PL" w:eastAsia="en-GB"/>
        </w:rPr>
      </w:pPr>
      <w:r w:rsidRPr="00000498">
        <w:rPr>
          <w:rFonts w:eastAsia="Times New Roman" w:cstheme="minorHAnsi"/>
          <w:sz w:val="24"/>
          <w:szCs w:val="24"/>
          <w:lang w:val="pl-PL" w:eastAsia="en-GB"/>
        </w:rPr>
        <w:t>wprowadzenie wspólnych norm środowiskowych i czystych, cyfrowych, wydajnych ekologicznie rozwiązań na statkach i w portach w celu ograniczenia emisji, przetwarzania i recyklingu odpadów i ścieków oraz zapobiegania przedostawaniu się gatunków do zbiorników wodnych;</w:t>
      </w:r>
    </w:p>
    <w:p w14:paraId="264F9EB8" w14:textId="7D9D8687" w:rsidR="00136E87" w:rsidRPr="00000498" w:rsidRDefault="00136E87" w:rsidP="00000498">
      <w:pPr>
        <w:pStyle w:val="Akapitzlist"/>
        <w:numPr>
          <w:ilvl w:val="0"/>
          <w:numId w:val="35"/>
        </w:numPr>
        <w:pBdr>
          <w:top w:val="single" w:sz="4" w:space="1" w:color="auto"/>
          <w:left w:val="single" w:sz="4" w:space="4" w:color="auto"/>
          <w:bottom w:val="single" w:sz="4" w:space="1" w:color="auto"/>
          <w:right w:val="single" w:sz="4" w:space="4" w:color="auto"/>
        </w:pBdr>
        <w:ind w:left="431" w:hanging="431"/>
        <w:rPr>
          <w:rFonts w:eastAsia="Times New Roman" w:cstheme="minorHAnsi"/>
          <w:sz w:val="24"/>
          <w:szCs w:val="24"/>
          <w:lang w:val="pl-PL" w:eastAsia="en-GB"/>
        </w:rPr>
      </w:pPr>
      <w:r w:rsidRPr="00000498">
        <w:rPr>
          <w:rFonts w:eastAsia="Times New Roman" w:cstheme="minorHAnsi"/>
          <w:sz w:val="24"/>
          <w:szCs w:val="24"/>
          <w:lang w:val="pl-PL" w:eastAsia="en-GB"/>
        </w:rPr>
        <w:t>poprawa zarządzania ruchem morskim i śródlądowym oraz wprowadzenie rozwiązań do zdalnego wsparcia nawigacyjnego i automatyzacji na statkach i w portach;</w:t>
      </w:r>
    </w:p>
    <w:p w14:paraId="5788B3D0" w14:textId="1F3ED877" w:rsidR="00136E87" w:rsidRPr="00000498" w:rsidRDefault="00136E87" w:rsidP="00000498">
      <w:pPr>
        <w:pStyle w:val="Akapitzlist"/>
        <w:numPr>
          <w:ilvl w:val="0"/>
          <w:numId w:val="35"/>
        </w:numPr>
        <w:pBdr>
          <w:top w:val="single" w:sz="4" w:space="1" w:color="auto"/>
          <w:left w:val="single" w:sz="4" w:space="4" w:color="auto"/>
          <w:bottom w:val="single" w:sz="4" w:space="1" w:color="auto"/>
          <w:right w:val="single" w:sz="4" w:space="4" w:color="auto"/>
        </w:pBdr>
        <w:ind w:left="431" w:hanging="431"/>
        <w:rPr>
          <w:rFonts w:eastAsia="Times New Roman" w:cstheme="minorHAnsi"/>
          <w:sz w:val="24"/>
          <w:szCs w:val="24"/>
          <w:lang w:val="pl-PL" w:eastAsia="en-GB"/>
        </w:rPr>
      </w:pPr>
      <w:r w:rsidRPr="00000498">
        <w:rPr>
          <w:rFonts w:eastAsia="Times New Roman" w:cstheme="minorHAnsi"/>
          <w:sz w:val="24"/>
          <w:szCs w:val="24"/>
          <w:lang w:val="pl-PL" w:eastAsia="en-GB"/>
        </w:rPr>
        <w:t xml:space="preserve">dywersyfikacja produktów turystyki przybrzeżnej, morskiej i śródlądowej oraz łączenie ich z innymi sektorami, np. </w:t>
      </w:r>
      <w:r w:rsidR="00A63434" w:rsidRPr="00000498">
        <w:rPr>
          <w:rFonts w:eastAsia="Times New Roman" w:cstheme="minorHAnsi"/>
          <w:sz w:val="24"/>
          <w:szCs w:val="24"/>
          <w:lang w:val="pl-PL" w:eastAsia="en-GB"/>
        </w:rPr>
        <w:t>produkcji żywności</w:t>
      </w:r>
      <w:r w:rsidRPr="00000498">
        <w:rPr>
          <w:rFonts w:eastAsia="Times New Roman" w:cstheme="minorHAnsi"/>
          <w:sz w:val="24"/>
          <w:szCs w:val="24"/>
          <w:lang w:val="pl-PL" w:eastAsia="en-GB"/>
        </w:rPr>
        <w:t xml:space="preserve"> i </w:t>
      </w:r>
      <w:r w:rsidR="00A63434" w:rsidRPr="00000498">
        <w:rPr>
          <w:rFonts w:eastAsia="Times New Roman" w:cstheme="minorHAnsi"/>
          <w:sz w:val="24"/>
          <w:szCs w:val="24"/>
          <w:lang w:val="pl-PL" w:eastAsia="en-GB"/>
        </w:rPr>
        <w:t>ochrony zdrowia</w:t>
      </w:r>
      <w:r w:rsidRPr="00000498">
        <w:rPr>
          <w:rFonts w:eastAsia="Times New Roman" w:cstheme="minorHAnsi"/>
          <w:sz w:val="24"/>
          <w:szCs w:val="24"/>
          <w:lang w:val="pl-PL" w:eastAsia="en-GB"/>
        </w:rPr>
        <w:t>, aby walczyć z sezonowością;</w:t>
      </w:r>
    </w:p>
    <w:p w14:paraId="0AEA7367" w14:textId="4903049A" w:rsidR="00E04EED" w:rsidRPr="00000498" w:rsidRDefault="00136E87" w:rsidP="00000498">
      <w:pPr>
        <w:pStyle w:val="Akapitzlist"/>
        <w:numPr>
          <w:ilvl w:val="0"/>
          <w:numId w:val="35"/>
        </w:numPr>
        <w:pBdr>
          <w:top w:val="single" w:sz="4" w:space="1" w:color="auto"/>
          <w:left w:val="single" w:sz="4" w:space="4" w:color="auto"/>
          <w:bottom w:val="single" w:sz="4" w:space="1" w:color="auto"/>
          <w:right w:val="single" w:sz="4" w:space="4" w:color="auto"/>
        </w:pBdr>
        <w:ind w:left="431" w:hanging="431"/>
        <w:rPr>
          <w:rFonts w:eastAsia="Times New Roman" w:cstheme="minorHAnsi"/>
          <w:sz w:val="24"/>
          <w:szCs w:val="24"/>
          <w:lang w:val="pl-PL" w:eastAsia="en-GB"/>
        </w:rPr>
      </w:pPr>
      <w:r w:rsidRPr="00000498">
        <w:rPr>
          <w:rFonts w:eastAsia="Times New Roman" w:cstheme="minorHAnsi"/>
          <w:sz w:val="24"/>
          <w:szCs w:val="24"/>
          <w:lang w:val="pl-PL" w:eastAsia="en-GB"/>
        </w:rPr>
        <w:t>testowanie modeli płatności dla usług ekosystemów świadczonych przez niebieskie firmy</w:t>
      </w:r>
      <w:r w:rsidR="00E04EED" w:rsidRPr="00000498">
        <w:rPr>
          <w:rFonts w:eastAsia="Times New Roman" w:cstheme="minorHAnsi"/>
          <w:sz w:val="24"/>
          <w:szCs w:val="24"/>
          <w:lang w:val="pl-PL" w:eastAsia="en-GB"/>
        </w:rPr>
        <w:t>.</w:t>
      </w:r>
    </w:p>
    <w:p w14:paraId="5F59ED6A" w14:textId="324E3992" w:rsidR="00E04EED" w:rsidRPr="00F879CC" w:rsidRDefault="002827BD"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b/>
          <w:szCs w:val="24"/>
          <w:lang w:val="pl-PL" w:eastAsia="en-GB"/>
        </w:rPr>
      </w:pPr>
      <w:r w:rsidRPr="00F879CC">
        <w:rPr>
          <w:rFonts w:asciiTheme="minorHAnsi" w:eastAsia="Times New Roman" w:hAnsiTheme="minorHAnsi" w:cstheme="minorHAnsi"/>
          <w:b/>
          <w:szCs w:val="24"/>
          <w:lang w:val="pl-PL" w:eastAsia="en-GB"/>
        </w:rPr>
        <w:t>Wkład do wybranego celu</w:t>
      </w:r>
    </w:p>
    <w:p w14:paraId="17F5E1CA" w14:textId="13D46AB4" w:rsidR="00E04EED" w:rsidRPr="00F879CC" w:rsidRDefault="00237B45"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F879CC">
        <w:rPr>
          <w:rFonts w:asciiTheme="minorHAnsi" w:eastAsia="Times New Roman" w:hAnsiTheme="minorHAnsi" w:cstheme="minorHAnsi"/>
          <w:szCs w:val="24"/>
          <w:lang w:val="pl-PL" w:eastAsia="en-GB"/>
        </w:rPr>
        <w:t xml:space="preserve">Działania te przyczyniają się do realizacji tego celu szczegółowego ułatwiając dostęp do zrównoważonego użytkowania wód morskich i słodkich oraz powiązanych zasobów morskich na potrzeby przedsiębiorstw. Działania wspierają grupy docelowe w zrównoważonym </w:t>
      </w:r>
      <w:r w:rsidRPr="00F879CC">
        <w:rPr>
          <w:rFonts w:asciiTheme="minorHAnsi" w:eastAsia="Times New Roman" w:hAnsiTheme="minorHAnsi" w:cstheme="minorHAnsi"/>
          <w:szCs w:val="24"/>
          <w:lang w:val="pl-PL" w:eastAsia="en-GB"/>
        </w:rPr>
        <w:lastRenderedPageBreak/>
        <w:t>rozwoju lokalnej niebieskiej gospodarki poprzez ułatwianie wspólnego korzystania z morza i innych wód. Działania pomagają zapobiegać zanieczyszczaniu wód, które może być spowodowane działaniami niebieskiej gospodarki poprzez rozwiązania na rzecz czystego transportu lub waloryzacji usług ekosystemowych czystej wody w akwakulturze</w:t>
      </w:r>
      <w:r w:rsidR="00E04EED" w:rsidRPr="00F879CC">
        <w:rPr>
          <w:rFonts w:asciiTheme="minorHAnsi" w:eastAsia="Times New Roman" w:hAnsiTheme="minorHAnsi" w:cstheme="minorHAnsi"/>
          <w:szCs w:val="24"/>
          <w:lang w:val="pl-PL" w:eastAsia="en-GB"/>
        </w:rPr>
        <w:t xml:space="preserve">.  </w:t>
      </w:r>
    </w:p>
    <w:p w14:paraId="4EE3B389" w14:textId="2292C87B" w:rsidR="00E04EED" w:rsidRPr="00F879CC" w:rsidRDefault="002827BD"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b/>
          <w:szCs w:val="24"/>
          <w:lang w:val="pl-PL" w:eastAsia="en-GB"/>
        </w:rPr>
      </w:pPr>
      <w:r w:rsidRPr="00F879CC">
        <w:rPr>
          <w:rFonts w:asciiTheme="minorHAnsi" w:eastAsia="Times New Roman" w:hAnsiTheme="minorHAnsi" w:cstheme="minorHAnsi"/>
          <w:b/>
          <w:szCs w:val="24"/>
          <w:lang w:val="pl-PL" w:eastAsia="en-GB"/>
        </w:rPr>
        <w:t xml:space="preserve">Wkład w </w:t>
      </w:r>
      <w:r w:rsidR="00862621">
        <w:rPr>
          <w:rFonts w:asciiTheme="minorHAnsi" w:eastAsia="Times New Roman" w:hAnsiTheme="minorHAnsi" w:cstheme="minorHAnsi"/>
          <w:b/>
          <w:szCs w:val="24"/>
          <w:lang w:val="pl-PL" w:eastAsia="en-GB"/>
        </w:rPr>
        <w:t>S</w:t>
      </w:r>
      <w:r w:rsidRPr="00F879CC">
        <w:rPr>
          <w:rFonts w:asciiTheme="minorHAnsi" w:eastAsia="Times New Roman" w:hAnsiTheme="minorHAnsi" w:cstheme="minorHAnsi"/>
          <w:b/>
          <w:szCs w:val="24"/>
          <w:lang w:val="pl-PL" w:eastAsia="en-GB"/>
        </w:rPr>
        <w:t>trategię UE dla regionu Morza Bałtyckiego</w:t>
      </w:r>
    </w:p>
    <w:p w14:paraId="106B6E9B" w14:textId="7E529BBD" w:rsidR="00E04EED" w:rsidRPr="00F879CC" w:rsidRDefault="00237B45"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F879CC">
        <w:rPr>
          <w:rFonts w:asciiTheme="minorHAnsi" w:eastAsia="Times New Roman" w:hAnsiTheme="minorHAnsi" w:cstheme="minorHAnsi"/>
          <w:szCs w:val="24"/>
          <w:lang w:val="pl-PL" w:eastAsia="en-GB"/>
        </w:rPr>
        <w:t xml:space="preserve">Działania te przyczyniają się do realizacji celów SUE RMB, jakim jest </w:t>
      </w:r>
      <w:r w:rsidR="002C70F0">
        <w:rPr>
          <w:rFonts w:asciiTheme="minorHAnsi" w:eastAsia="Times New Roman" w:hAnsiTheme="minorHAnsi" w:cstheme="minorHAnsi"/>
          <w:szCs w:val="24"/>
          <w:lang w:val="pl-PL" w:eastAsia="en-GB"/>
        </w:rPr>
        <w:t>ochrona</w:t>
      </w:r>
      <w:r w:rsidRPr="00F879CC">
        <w:rPr>
          <w:rFonts w:asciiTheme="minorHAnsi" w:eastAsia="Times New Roman" w:hAnsiTheme="minorHAnsi" w:cstheme="minorHAnsi"/>
          <w:szCs w:val="24"/>
          <w:lang w:val="pl-PL" w:eastAsia="en-GB"/>
        </w:rPr>
        <w:t xml:space="preserve"> morza i zwiększenie dobrobytu.  Wspierają </w:t>
      </w:r>
      <w:r w:rsidR="000C5539">
        <w:rPr>
          <w:rFonts w:asciiTheme="minorHAnsi" w:eastAsia="Times New Roman" w:hAnsiTheme="minorHAnsi" w:cstheme="minorHAnsi"/>
          <w:szCs w:val="24"/>
          <w:lang w:val="pl-PL" w:eastAsia="en-GB"/>
        </w:rPr>
        <w:t>Obszary Tematyczne</w:t>
      </w:r>
      <w:r w:rsidRPr="00F879CC">
        <w:rPr>
          <w:rFonts w:asciiTheme="minorHAnsi" w:eastAsia="Times New Roman" w:hAnsiTheme="minorHAnsi" w:cstheme="minorHAnsi"/>
          <w:szCs w:val="24"/>
          <w:lang w:val="pl-PL" w:eastAsia="en-GB"/>
        </w:rPr>
        <w:t xml:space="preserve"> (</w:t>
      </w:r>
      <w:r w:rsidR="000C5539">
        <w:rPr>
          <w:rFonts w:asciiTheme="minorHAnsi" w:eastAsia="Times New Roman" w:hAnsiTheme="minorHAnsi" w:cstheme="minorHAnsi"/>
          <w:szCs w:val="24"/>
          <w:lang w:val="pl-PL" w:eastAsia="en-GB"/>
        </w:rPr>
        <w:t>OT</w:t>
      </w:r>
      <w:r w:rsidRPr="00F879CC">
        <w:rPr>
          <w:rFonts w:asciiTheme="minorHAnsi" w:eastAsia="Times New Roman" w:hAnsiTheme="minorHAnsi" w:cstheme="minorHAnsi"/>
          <w:szCs w:val="24"/>
          <w:lang w:val="pl-PL" w:eastAsia="en-GB"/>
        </w:rPr>
        <w:t xml:space="preserve">) Innowacje, Biogospodarka i </w:t>
      </w:r>
      <w:r w:rsidR="000C5539">
        <w:rPr>
          <w:rFonts w:asciiTheme="minorHAnsi" w:eastAsia="Times New Roman" w:hAnsiTheme="minorHAnsi" w:cstheme="minorHAnsi"/>
          <w:szCs w:val="24"/>
          <w:lang w:val="pl-PL" w:eastAsia="en-GB"/>
        </w:rPr>
        <w:t>Biogeny</w:t>
      </w:r>
      <w:r w:rsidRPr="00F879CC">
        <w:rPr>
          <w:rFonts w:asciiTheme="minorHAnsi" w:eastAsia="Times New Roman" w:hAnsiTheme="minorHAnsi" w:cstheme="minorHAnsi"/>
          <w:szCs w:val="24"/>
          <w:lang w:val="pl-PL" w:eastAsia="en-GB"/>
        </w:rPr>
        <w:t xml:space="preserve"> w rozwijaniu niebieskiej gospodarki poprzez zrównoważone wykorzystanie zasobów wodnych i morskich. Wspierają </w:t>
      </w:r>
      <w:r w:rsidR="000C5539">
        <w:rPr>
          <w:rFonts w:asciiTheme="minorHAnsi" w:eastAsia="Times New Roman" w:hAnsiTheme="minorHAnsi" w:cstheme="minorHAnsi"/>
          <w:szCs w:val="24"/>
          <w:lang w:val="pl-PL" w:eastAsia="en-GB"/>
        </w:rPr>
        <w:t>OT</w:t>
      </w:r>
      <w:r w:rsidRPr="00F879CC">
        <w:rPr>
          <w:rFonts w:asciiTheme="minorHAnsi" w:eastAsia="Times New Roman" w:hAnsiTheme="minorHAnsi" w:cstheme="minorHAnsi"/>
          <w:szCs w:val="24"/>
          <w:lang w:val="pl-PL" w:eastAsia="en-GB"/>
        </w:rPr>
        <w:t xml:space="preserve"> Statki, Bezpieczeństwo, Ochrona i Transport w rozwijaniu niezawodnej i czystej żeglugi oraz </w:t>
      </w:r>
      <w:r w:rsidR="000C5539">
        <w:rPr>
          <w:rFonts w:asciiTheme="minorHAnsi" w:eastAsia="Times New Roman" w:hAnsiTheme="minorHAnsi" w:cstheme="minorHAnsi"/>
          <w:szCs w:val="24"/>
          <w:lang w:val="pl-PL" w:eastAsia="en-GB"/>
        </w:rPr>
        <w:t>OT</w:t>
      </w:r>
      <w:r w:rsidRPr="00F879CC">
        <w:rPr>
          <w:rFonts w:asciiTheme="minorHAnsi" w:eastAsia="Times New Roman" w:hAnsiTheme="minorHAnsi" w:cstheme="minorHAnsi"/>
          <w:szCs w:val="24"/>
          <w:lang w:val="pl-PL" w:eastAsia="en-GB"/>
        </w:rPr>
        <w:t xml:space="preserve"> Planowanie Przestrzenne w łagodzeniu konfliktów i wspólnym korzystaniu z przestrzeni morskiej. Wspierają </w:t>
      </w:r>
      <w:r w:rsidR="000C5539">
        <w:rPr>
          <w:rFonts w:asciiTheme="minorHAnsi" w:eastAsia="Times New Roman" w:hAnsiTheme="minorHAnsi" w:cstheme="minorHAnsi"/>
          <w:szCs w:val="24"/>
          <w:lang w:val="pl-PL" w:eastAsia="en-GB"/>
        </w:rPr>
        <w:t>OT</w:t>
      </w:r>
      <w:r w:rsidRPr="00F879CC">
        <w:rPr>
          <w:rFonts w:asciiTheme="minorHAnsi" w:eastAsia="Times New Roman" w:hAnsiTheme="minorHAnsi" w:cstheme="minorHAnsi"/>
          <w:szCs w:val="24"/>
          <w:lang w:val="pl-PL" w:eastAsia="en-GB"/>
        </w:rPr>
        <w:t xml:space="preserve"> Turystyka i Kultura w wykorzystywaniu społecznych i kulturowych wartości ekosystemów morskich i zasobów wodnych, jako szans biznesowych w sektorze turystycznym</w:t>
      </w:r>
      <w:r w:rsidR="00E04EED" w:rsidRPr="00F879CC">
        <w:rPr>
          <w:rFonts w:asciiTheme="minorHAnsi" w:eastAsia="Times New Roman" w:hAnsiTheme="minorHAnsi" w:cstheme="minorHAnsi"/>
          <w:szCs w:val="24"/>
          <w:lang w:val="pl-PL" w:eastAsia="en-GB"/>
        </w:rPr>
        <w:t>.</w:t>
      </w:r>
    </w:p>
    <w:p w14:paraId="047EF000" w14:textId="57575A1D" w:rsidR="00E04EED" w:rsidRPr="00F879CC" w:rsidRDefault="002827BD" w:rsidP="00F879CC">
      <w:pPr>
        <w:pBdr>
          <w:top w:val="single" w:sz="4" w:space="1" w:color="auto"/>
          <w:left w:val="single" w:sz="4" w:space="4" w:color="auto"/>
          <w:bottom w:val="single" w:sz="4" w:space="1" w:color="auto"/>
          <w:right w:val="single" w:sz="4" w:space="4" w:color="auto"/>
        </w:pBdr>
        <w:spacing w:after="200" w:line="276" w:lineRule="auto"/>
        <w:rPr>
          <w:rFonts w:asciiTheme="minorHAnsi" w:hAnsiTheme="minorHAnsi" w:cstheme="minorHAnsi"/>
          <w:szCs w:val="24"/>
          <w:lang w:val="pl-PL"/>
        </w:rPr>
      </w:pPr>
      <w:r w:rsidRPr="00F879CC">
        <w:rPr>
          <w:rFonts w:asciiTheme="minorHAnsi" w:eastAsia="Times New Roman" w:hAnsiTheme="minorHAnsi" w:cstheme="minorHAnsi"/>
          <w:b/>
          <w:szCs w:val="24"/>
          <w:lang w:val="pl-PL" w:eastAsia="en-GB"/>
        </w:rPr>
        <w:t>Oczekiwany rezultat</w:t>
      </w:r>
      <w:r w:rsidR="00E04EED" w:rsidRPr="00F879CC">
        <w:rPr>
          <w:rFonts w:asciiTheme="minorHAnsi" w:hAnsiTheme="minorHAnsi" w:cstheme="minorHAnsi"/>
          <w:szCs w:val="24"/>
          <w:lang w:val="pl-PL"/>
        </w:rPr>
        <w:t xml:space="preserve"> </w:t>
      </w:r>
    </w:p>
    <w:p w14:paraId="473446AA" w14:textId="422DADC7" w:rsidR="009C472A" w:rsidRPr="00F879CC" w:rsidRDefault="00A63434"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F879CC">
        <w:rPr>
          <w:rFonts w:asciiTheme="minorHAnsi" w:eastAsia="Times New Roman" w:hAnsiTheme="minorHAnsi" w:cstheme="minorHAnsi"/>
          <w:szCs w:val="24"/>
          <w:lang w:val="pl-PL" w:eastAsia="en-GB"/>
        </w:rPr>
        <w:t>W ramach tych działań opracowywane są rozwiązania w zakresie zrównoważonego wykorzystania wód morskich i słodkich oraz zasobów morskich w rozwoju biznesu. Tym samym, główne grupy docelowe Programów zwiększają swoją zdolność do rozwijania niebieskiej gospodarki w bardziej całościowy, zrównoważony i skuteczny sposób uwzględniając zmieniający się klimat i kwestie środowiskowe dotyczące zdrowego morza i wód śródlądowych.</w:t>
      </w:r>
      <w:bookmarkEnd w:id="96"/>
    </w:p>
    <w:p w14:paraId="3B87CD70" w14:textId="31E8BA63" w:rsidR="009C472A" w:rsidRPr="00F879CC" w:rsidRDefault="009C472A" w:rsidP="00F879CC">
      <w:pPr>
        <w:spacing w:before="240" w:after="240" w:line="276" w:lineRule="auto"/>
        <w:ind w:left="709" w:hanging="709"/>
        <w:rPr>
          <w:rFonts w:asciiTheme="minorHAnsi" w:eastAsia="Times New Roman" w:hAnsiTheme="minorHAnsi" w:cstheme="minorHAnsi"/>
          <w:b/>
          <w:iCs/>
          <w:szCs w:val="24"/>
          <w:lang w:val="pl-PL" w:eastAsia="en-GB"/>
        </w:rPr>
      </w:pPr>
      <w:r w:rsidRPr="00F879CC">
        <w:rPr>
          <w:rFonts w:asciiTheme="minorHAnsi" w:eastAsia="Times New Roman" w:hAnsiTheme="minorHAnsi" w:cstheme="minorHAnsi"/>
          <w:b/>
          <w:iCs/>
          <w:szCs w:val="24"/>
          <w:lang w:val="pl-PL" w:eastAsia="en-GB"/>
        </w:rPr>
        <w:t>2.</w:t>
      </w:r>
      <w:r w:rsidR="005909CB" w:rsidRPr="00F879CC">
        <w:rPr>
          <w:rFonts w:asciiTheme="minorHAnsi" w:eastAsia="Times New Roman" w:hAnsiTheme="minorHAnsi" w:cstheme="minorHAnsi"/>
          <w:b/>
          <w:iCs/>
          <w:szCs w:val="24"/>
          <w:lang w:val="pl-PL" w:eastAsia="en-GB"/>
        </w:rPr>
        <w:t>2</w:t>
      </w:r>
      <w:r w:rsidRPr="00F879CC">
        <w:rPr>
          <w:rFonts w:asciiTheme="minorHAnsi" w:eastAsia="Times New Roman" w:hAnsiTheme="minorHAnsi" w:cstheme="minorHAnsi"/>
          <w:b/>
          <w:iCs/>
          <w:szCs w:val="24"/>
          <w:lang w:val="pl-PL" w:eastAsia="en-GB"/>
        </w:rPr>
        <w:t>.1.2</w:t>
      </w:r>
      <w:r w:rsidRPr="00F879CC">
        <w:rPr>
          <w:rFonts w:asciiTheme="minorHAnsi" w:eastAsia="Times New Roman" w:hAnsiTheme="minorHAnsi" w:cstheme="minorHAnsi"/>
          <w:b/>
          <w:iCs/>
          <w:szCs w:val="24"/>
          <w:lang w:val="pl-PL" w:eastAsia="en-GB"/>
        </w:rPr>
        <w:tab/>
      </w:r>
      <w:r w:rsidR="00862621">
        <w:rPr>
          <w:rFonts w:asciiTheme="minorHAnsi" w:eastAsia="Times New Roman" w:hAnsiTheme="minorHAnsi" w:cstheme="minorHAnsi"/>
          <w:b/>
          <w:iCs/>
          <w:szCs w:val="24"/>
          <w:lang w:val="pl-PL" w:eastAsia="en-GB"/>
        </w:rPr>
        <w:t xml:space="preserve"> </w:t>
      </w:r>
      <w:r w:rsidR="00A63434" w:rsidRPr="00F879CC">
        <w:rPr>
          <w:rFonts w:asciiTheme="minorHAnsi" w:eastAsia="Times New Roman" w:hAnsiTheme="minorHAnsi" w:cstheme="minorHAnsi"/>
          <w:b/>
          <w:iCs/>
          <w:szCs w:val="24"/>
          <w:lang w:val="pl-PL" w:eastAsia="en-GB"/>
        </w:rPr>
        <w:t>Wskaźniki</w:t>
      </w:r>
    </w:p>
    <w:p w14:paraId="63E107D2" w14:textId="0C2B1610" w:rsidR="009C472A" w:rsidRPr="00F879CC" w:rsidRDefault="00A63434" w:rsidP="00F879CC">
      <w:pPr>
        <w:spacing w:after="200" w:line="276" w:lineRule="auto"/>
        <w:rPr>
          <w:rFonts w:asciiTheme="minorHAnsi" w:eastAsia="Times New Roman" w:hAnsiTheme="minorHAnsi" w:cstheme="minorHAnsi"/>
          <w:szCs w:val="24"/>
          <w:lang w:val="pl-PL" w:eastAsia="en-GB"/>
        </w:rPr>
      </w:pPr>
      <w:r w:rsidRPr="00F879CC">
        <w:rPr>
          <w:rFonts w:asciiTheme="minorHAnsi" w:eastAsia="Times New Roman" w:hAnsiTheme="minorHAnsi" w:cstheme="minorHAnsi"/>
          <w:szCs w:val="24"/>
          <w:lang w:val="pl-PL" w:eastAsia="en-GB"/>
        </w:rPr>
        <w:t>Dotyczy: art. 17 ust. 4 lit. e) ppkt (ii), art. 17 ust. 9 lit. c) ppkt (iii)</w:t>
      </w:r>
    </w:p>
    <w:p w14:paraId="4B74E4E5" w14:textId="0CAFFE7F" w:rsidR="00932BA9" w:rsidRPr="00F879CC" w:rsidRDefault="00871A6C" w:rsidP="00F879CC">
      <w:pPr>
        <w:spacing w:before="240" w:after="240" w:line="276" w:lineRule="auto"/>
        <w:rPr>
          <w:rFonts w:asciiTheme="minorHAnsi" w:eastAsia="Times New Roman" w:hAnsiTheme="minorHAnsi" w:cstheme="minorHAnsi"/>
          <w:iCs/>
          <w:szCs w:val="24"/>
          <w:lang w:val="pl-PL" w:eastAsia="en-GB"/>
        </w:rPr>
      </w:pPr>
      <w:r w:rsidRPr="00F879CC">
        <w:rPr>
          <w:rFonts w:asciiTheme="minorHAnsi" w:eastAsia="Times New Roman" w:hAnsiTheme="minorHAnsi" w:cstheme="minorHAnsi"/>
          <w:iCs/>
          <w:szCs w:val="24"/>
          <w:lang w:val="pl-PL" w:eastAsia="en-GB"/>
        </w:rPr>
        <w:t>Tabela</w:t>
      </w:r>
      <w:r w:rsidR="00932BA9" w:rsidRPr="00F879CC">
        <w:rPr>
          <w:rFonts w:asciiTheme="minorHAnsi" w:eastAsia="Times New Roman" w:hAnsiTheme="minorHAnsi" w:cstheme="minorHAnsi"/>
          <w:iCs/>
          <w:szCs w:val="24"/>
          <w:lang w:val="pl-PL" w:eastAsia="en-GB"/>
        </w:rPr>
        <w:t xml:space="preserve"> 2: </w:t>
      </w:r>
      <w:r w:rsidR="00813365" w:rsidRPr="00F879CC">
        <w:rPr>
          <w:rFonts w:asciiTheme="minorHAnsi" w:eastAsia="Times New Roman" w:hAnsiTheme="minorHAnsi" w:cstheme="minorHAnsi"/>
          <w:iCs/>
          <w:szCs w:val="24"/>
          <w:lang w:val="pl-PL" w:eastAsia="en-GB"/>
        </w:rPr>
        <w:t>Wskaźniki produktu wyjściowego</w:t>
      </w:r>
      <w:r w:rsidR="00932BA9" w:rsidRPr="00F879CC">
        <w:rPr>
          <w:rFonts w:asciiTheme="minorHAnsi" w:eastAsia="Times New Roman" w:hAnsiTheme="minorHAnsi" w:cstheme="minorHAnsi"/>
          <w:iCs/>
          <w:szCs w:val="24"/>
          <w:lang w:val="pl-PL" w:eastAsia="en-GB"/>
        </w:rPr>
        <w:t xml:space="preserve"> </w:t>
      </w:r>
    </w:p>
    <w:tbl>
      <w:tblPr>
        <w:tblW w:w="39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ela dotycząca wskaźników produktu wyjściowego"/>
      </w:tblPr>
      <w:tblGrid>
        <w:gridCol w:w="1104"/>
        <w:gridCol w:w="1452"/>
        <w:gridCol w:w="999"/>
        <w:gridCol w:w="1740"/>
        <w:gridCol w:w="1420"/>
        <w:gridCol w:w="970"/>
        <w:gridCol w:w="1285"/>
      </w:tblGrid>
      <w:tr w:rsidR="00802AE7" w:rsidRPr="00763A2D" w14:paraId="50843A9F" w14:textId="316BE343" w:rsidTr="00F879CC">
        <w:trPr>
          <w:trHeight w:val="836"/>
          <w:tblHeader/>
        </w:trPr>
        <w:tc>
          <w:tcPr>
            <w:tcW w:w="536" w:type="pct"/>
          </w:tcPr>
          <w:p w14:paraId="5E7E0F97" w14:textId="447DF812" w:rsidR="00802AE7" w:rsidRPr="00763A2D" w:rsidRDefault="00813365" w:rsidP="006A6B69">
            <w:pPr>
              <w:spacing w:before="120" w:after="120" w:line="240" w:lineRule="auto"/>
              <w:jc w:val="both"/>
              <w:rPr>
                <w:rFonts w:asciiTheme="minorHAnsi" w:hAnsiTheme="minorHAnsi" w:cstheme="minorHAnsi"/>
                <w:b/>
                <w:szCs w:val="24"/>
                <w:lang w:val="pl-PL"/>
              </w:rPr>
            </w:pPr>
            <w:r w:rsidRPr="00763A2D">
              <w:rPr>
                <w:rFonts w:asciiTheme="minorHAnsi" w:hAnsiTheme="minorHAnsi" w:cstheme="minorHAnsi"/>
                <w:b/>
                <w:szCs w:val="24"/>
                <w:lang w:val="pl-PL"/>
              </w:rPr>
              <w:t>Priorytet</w:t>
            </w:r>
            <w:r w:rsidR="00802AE7" w:rsidRPr="00763A2D">
              <w:rPr>
                <w:rFonts w:asciiTheme="minorHAnsi" w:hAnsiTheme="minorHAnsi" w:cstheme="minorHAnsi"/>
                <w:b/>
                <w:szCs w:val="24"/>
                <w:lang w:val="pl-PL"/>
              </w:rPr>
              <w:t xml:space="preserve"> </w:t>
            </w:r>
          </w:p>
        </w:tc>
        <w:tc>
          <w:tcPr>
            <w:tcW w:w="587" w:type="pct"/>
          </w:tcPr>
          <w:p w14:paraId="2528EB00" w14:textId="1A60578C" w:rsidR="00802AE7" w:rsidRPr="00763A2D" w:rsidRDefault="00871A6C" w:rsidP="006A6B69">
            <w:pPr>
              <w:spacing w:before="120" w:after="120" w:line="240" w:lineRule="auto"/>
              <w:jc w:val="both"/>
              <w:rPr>
                <w:rFonts w:asciiTheme="minorHAnsi" w:hAnsiTheme="minorHAnsi" w:cstheme="minorHAnsi"/>
                <w:b/>
                <w:szCs w:val="24"/>
                <w:lang w:val="pl-PL"/>
              </w:rPr>
            </w:pPr>
            <w:r w:rsidRPr="00763A2D">
              <w:rPr>
                <w:rFonts w:asciiTheme="minorHAnsi" w:hAnsiTheme="minorHAnsi" w:cstheme="minorHAnsi"/>
                <w:b/>
                <w:szCs w:val="24"/>
                <w:lang w:val="pl-PL"/>
              </w:rPr>
              <w:t>Cel szczegółowy</w:t>
            </w:r>
          </w:p>
        </w:tc>
        <w:tc>
          <w:tcPr>
            <w:tcW w:w="705" w:type="pct"/>
          </w:tcPr>
          <w:p w14:paraId="2DCC1BFE" w14:textId="77777777" w:rsidR="00802AE7" w:rsidRPr="00763A2D" w:rsidRDefault="00802AE7" w:rsidP="006A6B69">
            <w:pPr>
              <w:spacing w:before="120" w:after="120" w:line="240" w:lineRule="auto"/>
              <w:jc w:val="both"/>
              <w:rPr>
                <w:rFonts w:asciiTheme="minorHAnsi" w:hAnsiTheme="minorHAnsi" w:cstheme="minorHAnsi"/>
                <w:b/>
                <w:szCs w:val="24"/>
                <w:lang w:val="pl-PL"/>
              </w:rPr>
            </w:pPr>
            <w:r w:rsidRPr="00763A2D">
              <w:rPr>
                <w:rFonts w:asciiTheme="minorHAnsi" w:hAnsiTheme="minorHAnsi" w:cstheme="minorHAnsi"/>
                <w:b/>
                <w:szCs w:val="24"/>
                <w:lang w:val="pl-PL"/>
              </w:rPr>
              <w:t>ID</w:t>
            </w:r>
          </w:p>
          <w:p w14:paraId="0A5AB392" w14:textId="77777777" w:rsidR="00802AE7" w:rsidRPr="00763A2D" w:rsidRDefault="00802AE7" w:rsidP="006A6B69">
            <w:pPr>
              <w:spacing w:before="120" w:after="120" w:line="240" w:lineRule="auto"/>
              <w:jc w:val="both"/>
              <w:rPr>
                <w:rFonts w:asciiTheme="minorHAnsi" w:hAnsiTheme="minorHAnsi" w:cstheme="minorHAnsi"/>
                <w:b/>
                <w:szCs w:val="24"/>
                <w:lang w:val="pl-PL"/>
              </w:rPr>
            </w:pPr>
            <w:r w:rsidRPr="00763A2D">
              <w:rPr>
                <w:rFonts w:asciiTheme="minorHAnsi" w:hAnsiTheme="minorHAnsi" w:cstheme="minorHAnsi"/>
                <w:b/>
                <w:szCs w:val="24"/>
                <w:lang w:val="pl-PL"/>
              </w:rPr>
              <w:t>[5]</w:t>
            </w:r>
          </w:p>
        </w:tc>
        <w:tc>
          <w:tcPr>
            <w:tcW w:w="1016" w:type="pct"/>
            <w:shd w:val="clear" w:color="auto" w:fill="auto"/>
          </w:tcPr>
          <w:p w14:paraId="54A7A8C7" w14:textId="088D0273" w:rsidR="00802AE7" w:rsidRPr="00763A2D" w:rsidRDefault="00813365" w:rsidP="006A6B69">
            <w:pPr>
              <w:spacing w:before="120" w:after="120" w:line="240" w:lineRule="auto"/>
              <w:jc w:val="both"/>
              <w:rPr>
                <w:rFonts w:asciiTheme="minorHAnsi" w:hAnsiTheme="minorHAnsi" w:cstheme="minorHAnsi"/>
                <w:b/>
                <w:szCs w:val="24"/>
                <w:lang w:val="pl-PL"/>
              </w:rPr>
            </w:pPr>
            <w:r w:rsidRPr="00763A2D">
              <w:rPr>
                <w:rFonts w:asciiTheme="minorHAnsi" w:hAnsiTheme="minorHAnsi" w:cstheme="minorHAnsi"/>
                <w:b/>
                <w:szCs w:val="24"/>
                <w:lang w:val="pl-PL"/>
              </w:rPr>
              <w:t>Wskaźnik</w:t>
            </w:r>
            <w:r w:rsidR="00802AE7" w:rsidRPr="00763A2D">
              <w:rPr>
                <w:rFonts w:asciiTheme="minorHAnsi" w:hAnsiTheme="minorHAnsi" w:cstheme="minorHAnsi"/>
                <w:b/>
                <w:szCs w:val="24"/>
                <w:lang w:val="pl-PL"/>
              </w:rPr>
              <w:t xml:space="preserve"> </w:t>
            </w:r>
          </w:p>
        </w:tc>
        <w:tc>
          <w:tcPr>
            <w:tcW w:w="955" w:type="pct"/>
          </w:tcPr>
          <w:p w14:paraId="3F02B1BC" w14:textId="370D20FA" w:rsidR="00802AE7" w:rsidRPr="00763A2D" w:rsidRDefault="00813365" w:rsidP="006A6B69">
            <w:pPr>
              <w:spacing w:before="120" w:after="120" w:line="240" w:lineRule="auto"/>
              <w:jc w:val="both"/>
              <w:rPr>
                <w:rFonts w:asciiTheme="minorHAnsi" w:hAnsiTheme="minorHAnsi" w:cstheme="minorHAnsi"/>
                <w:b/>
                <w:szCs w:val="24"/>
                <w:lang w:val="pl-PL"/>
              </w:rPr>
            </w:pPr>
            <w:r w:rsidRPr="00763A2D">
              <w:rPr>
                <w:rFonts w:asciiTheme="minorHAnsi" w:hAnsiTheme="minorHAnsi" w:cstheme="minorHAnsi"/>
                <w:b/>
                <w:szCs w:val="24"/>
                <w:lang w:val="pl-PL"/>
              </w:rPr>
              <w:t>Jednostka miary</w:t>
            </w:r>
          </w:p>
          <w:p w14:paraId="65695229" w14:textId="77777777" w:rsidR="00802AE7" w:rsidRPr="00763A2D" w:rsidRDefault="00802AE7" w:rsidP="006A6B69">
            <w:pPr>
              <w:spacing w:before="120" w:after="120" w:line="240" w:lineRule="auto"/>
              <w:jc w:val="both"/>
              <w:rPr>
                <w:rFonts w:asciiTheme="minorHAnsi" w:hAnsiTheme="minorHAnsi" w:cstheme="minorHAnsi"/>
                <w:b/>
                <w:szCs w:val="24"/>
                <w:lang w:val="pl-PL"/>
              </w:rPr>
            </w:pPr>
            <w:r w:rsidRPr="00763A2D">
              <w:rPr>
                <w:rFonts w:asciiTheme="minorHAnsi" w:hAnsiTheme="minorHAnsi" w:cstheme="minorHAnsi"/>
                <w:b/>
                <w:szCs w:val="24"/>
                <w:lang w:val="pl-PL"/>
              </w:rPr>
              <w:t>[255]</w:t>
            </w:r>
          </w:p>
        </w:tc>
        <w:tc>
          <w:tcPr>
            <w:tcW w:w="623" w:type="pct"/>
            <w:shd w:val="clear" w:color="auto" w:fill="auto"/>
          </w:tcPr>
          <w:p w14:paraId="1481D912" w14:textId="0E0C9623" w:rsidR="00802AE7" w:rsidRPr="00763A2D" w:rsidRDefault="00813365" w:rsidP="006A6B69">
            <w:pPr>
              <w:spacing w:before="120" w:after="120" w:line="240" w:lineRule="auto"/>
              <w:jc w:val="both"/>
              <w:rPr>
                <w:rFonts w:asciiTheme="minorHAnsi" w:hAnsiTheme="minorHAnsi" w:cstheme="minorHAnsi"/>
                <w:b/>
                <w:szCs w:val="24"/>
                <w:lang w:val="pl-PL"/>
              </w:rPr>
            </w:pPr>
            <w:r w:rsidRPr="00763A2D">
              <w:rPr>
                <w:rFonts w:asciiTheme="minorHAnsi" w:hAnsiTheme="minorHAnsi" w:cstheme="minorHAnsi"/>
                <w:b/>
                <w:szCs w:val="24"/>
                <w:lang w:val="pl-PL"/>
              </w:rPr>
              <w:t>Kamień milowy</w:t>
            </w:r>
            <w:r w:rsidR="00802AE7" w:rsidRPr="00763A2D">
              <w:rPr>
                <w:rFonts w:asciiTheme="minorHAnsi" w:hAnsiTheme="minorHAnsi" w:cstheme="minorHAnsi"/>
                <w:b/>
                <w:szCs w:val="24"/>
                <w:lang w:val="pl-PL"/>
              </w:rPr>
              <w:t xml:space="preserve"> (2024)</w:t>
            </w:r>
          </w:p>
          <w:p w14:paraId="547149C6" w14:textId="77777777" w:rsidR="00802AE7" w:rsidRPr="00763A2D" w:rsidRDefault="00802AE7" w:rsidP="006A6B69">
            <w:pPr>
              <w:spacing w:before="120" w:after="120" w:line="240" w:lineRule="auto"/>
              <w:jc w:val="both"/>
              <w:rPr>
                <w:rFonts w:asciiTheme="minorHAnsi" w:hAnsiTheme="minorHAnsi" w:cstheme="minorHAnsi"/>
                <w:b/>
                <w:szCs w:val="24"/>
                <w:lang w:val="pl-PL"/>
              </w:rPr>
            </w:pPr>
            <w:r w:rsidRPr="00763A2D">
              <w:rPr>
                <w:rFonts w:asciiTheme="minorHAnsi" w:hAnsiTheme="minorHAnsi" w:cstheme="minorHAnsi"/>
                <w:b/>
                <w:szCs w:val="24"/>
                <w:lang w:val="pl-PL"/>
              </w:rPr>
              <w:t>[200]</w:t>
            </w:r>
          </w:p>
        </w:tc>
        <w:tc>
          <w:tcPr>
            <w:tcW w:w="578" w:type="pct"/>
            <w:shd w:val="clear" w:color="auto" w:fill="auto"/>
          </w:tcPr>
          <w:p w14:paraId="192820A7" w14:textId="04114632" w:rsidR="00802AE7" w:rsidRPr="00763A2D" w:rsidRDefault="00813365" w:rsidP="006A6B69">
            <w:pPr>
              <w:spacing w:before="120" w:after="120" w:line="240" w:lineRule="auto"/>
              <w:jc w:val="both"/>
              <w:rPr>
                <w:rFonts w:asciiTheme="minorHAnsi" w:hAnsiTheme="minorHAnsi" w:cstheme="minorHAnsi"/>
                <w:b/>
                <w:szCs w:val="24"/>
                <w:lang w:val="pl-PL"/>
              </w:rPr>
            </w:pPr>
            <w:r w:rsidRPr="00763A2D">
              <w:rPr>
                <w:rFonts w:asciiTheme="minorHAnsi" w:hAnsiTheme="minorHAnsi" w:cstheme="minorHAnsi"/>
                <w:b/>
                <w:szCs w:val="24"/>
                <w:lang w:val="pl-PL"/>
              </w:rPr>
              <w:t>Cel ostateczny</w:t>
            </w:r>
            <w:r w:rsidR="00802AE7" w:rsidRPr="00763A2D">
              <w:rPr>
                <w:rFonts w:asciiTheme="minorHAnsi" w:hAnsiTheme="minorHAnsi" w:cstheme="minorHAnsi"/>
                <w:b/>
                <w:szCs w:val="24"/>
                <w:lang w:val="pl-PL"/>
              </w:rPr>
              <w:t xml:space="preserve"> (2029)</w:t>
            </w:r>
          </w:p>
          <w:p w14:paraId="3379537A" w14:textId="77777777" w:rsidR="00802AE7" w:rsidRPr="00763A2D" w:rsidRDefault="00802AE7" w:rsidP="006A6B69">
            <w:pPr>
              <w:spacing w:before="120" w:after="120" w:line="240" w:lineRule="auto"/>
              <w:jc w:val="both"/>
              <w:rPr>
                <w:rFonts w:asciiTheme="minorHAnsi" w:hAnsiTheme="minorHAnsi" w:cstheme="minorHAnsi"/>
                <w:b/>
                <w:szCs w:val="24"/>
                <w:lang w:val="pl-PL"/>
              </w:rPr>
            </w:pPr>
            <w:r w:rsidRPr="00763A2D">
              <w:rPr>
                <w:rFonts w:asciiTheme="minorHAnsi" w:hAnsiTheme="minorHAnsi" w:cstheme="minorHAnsi"/>
                <w:b/>
                <w:szCs w:val="24"/>
                <w:lang w:val="pl-PL"/>
              </w:rPr>
              <w:t>[200]</w:t>
            </w:r>
          </w:p>
        </w:tc>
      </w:tr>
      <w:tr w:rsidR="00802AE7" w:rsidRPr="00763A2D" w14:paraId="6DD11DD1" w14:textId="2A0A1F91" w:rsidTr="00802AE7">
        <w:trPr>
          <w:trHeight w:val="579"/>
        </w:trPr>
        <w:tc>
          <w:tcPr>
            <w:tcW w:w="536" w:type="pct"/>
          </w:tcPr>
          <w:p w14:paraId="7BC9D4A7" w14:textId="4203FB05" w:rsidR="00802AE7" w:rsidRPr="00000498" w:rsidRDefault="00802AE7" w:rsidP="00893A9B">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2</w:t>
            </w:r>
          </w:p>
        </w:tc>
        <w:tc>
          <w:tcPr>
            <w:tcW w:w="587" w:type="pct"/>
          </w:tcPr>
          <w:p w14:paraId="08F00448" w14:textId="2DC1B699" w:rsidR="00802AE7" w:rsidRPr="00000498" w:rsidRDefault="00802AE7" w:rsidP="00893A9B">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v</w:t>
            </w:r>
          </w:p>
        </w:tc>
        <w:tc>
          <w:tcPr>
            <w:tcW w:w="705" w:type="pct"/>
          </w:tcPr>
          <w:p w14:paraId="7AE0EA23" w14:textId="6B09278C" w:rsidR="00802AE7" w:rsidRPr="00000498" w:rsidRDefault="00802AE7" w:rsidP="00893A9B">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RCO84</w:t>
            </w:r>
          </w:p>
        </w:tc>
        <w:tc>
          <w:tcPr>
            <w:tcW w:w="1016" w:type="pct"/>
            <w:shd w:val="clear" w:color="auto" w:fill="auto"/>
          </w:tcPr>
          <w:p w14:paraId="21833275" w14:textId="4CE2E828" w:rsidR="00802AE7" w:rsidRPr="00000498" w:rsidRDefault="002827BD" w:rsidP="00893A9B">
            <w:pPr>
              <w:spacing w:before="120" w:after="120" w:line="240" w:lineRule="auto"/>
              <w:rPr>
                <w:rFonts w:asciiTheme="minorHAnsi" w:hAnsiTheme="minorHAnsi" w:cstheme="minorHAnsi"/>
                <w:szCs w:val="24"/>
                <w:lang w:val="pl-PL"/>
              </w:rPr>
            </w:pPr>
            <w:r w:rsidRPr="00000498">
              <w:rPr>
                <w:rFonts w:asciiTheme="minorHAnsi" w:hAnsiTheme="minorHAnsi" w:cstheme="minorHAnsi"/>
                <w:szCs w:val="24"/>
                <w:lang w:val="pl-PL"/>
              </w:rPr>
              <w:t>Działania pilotażowe opracowywane wspólnie i wdrażane w projektach</w:t>
            </w:r>
          </w:p>
        </w:tc>
        <w:tc>
          <w:tcPr>
            <w:tcW w:w="955" w:type="pct"/>
          </w:tcPr>
          <w:p w14:paraId="41338227" w14:textId="10010B97" w:rsidR="00802AE7" w:rsidRPr="00000498" w:rsidRDefault="00FC7429" w:rsidP="00893A9B">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Działanie pilotażowe</w:t>
            </w:r>
          </w:p>
        </w:tc>
        <w:tc>
          <w:tcPr>
            <w:tcW w:w="623" w:type="pct"/>
            <w:shd w:val="clear" w:color="auto" w:fill="auto"/>
          </w:tcPr>
          <w:p w14:paraId="7014EF3A" w14:textId="713DB57A" w:rsidR="00802AE7" w:rsidRPr="00000498" w:rsidRDefault="00802AE7" w:rsidP="00893A9B">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1</w:t>
            </w:r>
          </w:p>
        </w:tc>
        <w:tc>
          <w:tcPr>
            <w:tcW w:w="578" w:type="pct"/>
            <w:shd w:val="clear" w:color="auto" w:fill="auto"/>
          </w:tcPr>
          <w:p w14:paraId="6E2A74D6" w14:textId="1BB29EDA" w:rsidR="00802AE7" w:rsidRPr="00000498" w:rsidRDefault="00802AE7" w:rsidP="00893A9B">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68</w:t>
            </w:r>
          </w:p>
        </w:tc>
      </w:tr>
      <w:tr w:rsidR="00802AE7" w:rsidRPr="00763A2D" w14:paraId="27F3F353" w14:textId="2FA10CA0" w:rsidTr="00802AE7">
        <w:trPr>
          <w:trHeight w:val="579"/>
        </w:trPr>
        <w:tc>
          <w:tcPr>
            <w:tcW w:w="536" w:type="pct"/>
          </w:tcPr>
          <w:p w14:paraId="1D26D83A" w14:textId="24703608" w:rsidR="00802AE7" w:rsidRPr="00000498" w:rsidRDefault="00802AE7" w:rsidP="00893A9B">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2</w:t>
            </w:r>
          </w:p>
        </w:tc>
        <w:tc>
          <w:tcPr>
            <w:tcW w:w="587" w:type="pct"/>
          </w:tcPr>
          <w:p w14:paraId="7641F100" w14:textId="7FD59FE1" w:rsidR="00802AE7" w:rsidRPr="00000498" w:rsidRDefault="00802AE7" w:rsidP="00893A9B">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v</w:t>
            </w:r>
          </w:p>
        </w:tc>
        <w:tc>
          <w:tcPr>
            <w:tcW w:w="705" w:type="pct"/>
          </w:tcPr>
          <w:p w14:paraId="5AC77539" w14:textId="416365D0" w:rsidR="00802AE7" w:rsidRPr="00000498" w:rsidRDefault="00802AE7" w:rsidP="00893A9B">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RCO87</w:t>
            </w:r>
          </w:p>
        </w:tc>
        <w:tc>
          <w:tcPr>
            <w:tcW w:w="1016" w:type="pct"/>
            <w:shd w:val="clear" w:color="auto" w:fill="auto"/>
          </w:tcPr>
          <w:p w14:paraId="30E8FF06" w14:textId="48C645E9" w:rsidR="00802AE7" w:rsidRPr="00000498" w:rsidRDefault="00223EB0" w:rsidP="00893A9B">
            <w:pPr>
              <w:spacing w:before="120" w:after="120" w:line="240" w:lineRule="auto"/>
              <w:rPr>
                <w:rFonts w:asciiTheme="minorHAnsi" w:hAnsiTheme="minorHAnsi" w:cstheme="minorHAnsi"/>
                <w:szCs w:val="24"/>
                <w:lang w:val="pl-PL"/>
              </w:rPr>
            </w:pPr>
            <w:r w:rsidRPr="00000498">
              <w:rPr>
                <w:rFonts w:asciiTheme="minorHAnsi" w:hAnsiTheme="minorHAnsi" w:cstheme="minorHAnsi"/>
                <w:szCs w:val="24"/>
                <w:lang w:val="pl-PL"/>
              </w:rPr>
              <w:t>Organizacje współpracujące transgranicznie</w:t>
            </w:r>
          </w:p>
        </w:tc>
        <w:tc>
          <w:tcPr>
            <w:tcW w:w="955" w:type="pct"/>
          </w:tcPr>
          <w:p w14:paraId="758C518F" w14:textId="34BDEDA8" w:rsidR="00802AE7" w:rsidRPr="00000498" w:rsidRDefault="00802AE7" w:rsidP="00FC7429">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Organ</w:t>
            </w:r>
            <w:r w:rsidR="00FC7429" w:rsidRPr="00000498">
              <w:rPr>
                <w:rFonts w:asciiTheme="minorHAnsi" w:hAnsiTheme="minorHAnsi" w:cstheme="minorHAnsi"/>
                <w:szCs w:val="24"/>
                <w:lang w:val="pl-PL"/>
              </w:rPr>
              <w:t>izacja</w:t>
            </w:r>
          </w:p>
        </w:tc>
        <w:tc>
          <w:tcPr>
            <w:tcW w:w="623" w:type="pct"/>
            <w:shd w:val="clear" w:color="auto" w:fill="auto"/>
          </w:tcPr>
          <w:p w14:paraId="2321C6A0" w14:textId="14F82FCB" w:rsidR="00802AE7" w:rsidRPr="00000498" w:rsidRDefault="00802AE7" w:rsidP="00893A9B">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42</w:t>
            </w:r>
          </w:p>
        </w:tc>
        <w:tc>
          <w:tcPr>
            <w:tcW w:w="578" w:type="pct"/>
            <w:shd w:val="clear" w:color="auto" w:fill="auto"/>
          </w:tcPr>
          <w:p w14:paraId="61CD9C59" w14:textId="5A32CA0B" w:rsidR="00802AE7" w:rsidRPr="00000498" w:rsidRDefault="00802AE7" w:rsidP="00893A9B">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691</w:t>
            </w:r>
          </w:p>
        </w:tc>
      </w:tr>
      <w:tr w:rsidR="00802AE7" w:rsidRPr="00763A2D" w14:paraId="111C1795" w14:textId="2B55E962" w:rsidTr="00802AE7">
        <w:trPr>
          <w:trHeight w:val="579"/>
        </w:trPr>
        <w:tc>
          <w:tcPr>
            <w:tcW w:w="536" w:type="pct"/>
          </w:tcPr>
          <w:p w14:paraId="0A71C04F" w14:textId="1D505975" w:rsidR="00802AE7" w:rsidRPr="00000498" w:rsidRDefault="00802AE7" w:rsidP="00893A9B">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lastRenderedPageBreak/>
              <w:t>2</w:t>
            </w:r>
          </w:p>
        </w:tc>
        <w:tc>
          <w:tcPr>
            <w:tcW w:w="587" w:type="pct"/>
          </w:tcPr>
          <w:p w14:paraId="48EB4109" w14:textId="2E849314" w:rsidR="00802AE7" w:rsidRPr="00000498" w:rsidRDefault="00802AE7" w:rsidP="00893A9B">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v</w:t>
            </w:r>
          </w:p>
        </w:tc>
        <w:tc>
          <w:tcPr>
            <w:tcW w:w="705" w:type="pct"/>
          </w:tcPr>
          <w:p w14:paraId="042AC1CD" w14:textId="77777777" w:rsidR="00802AE7" w:rsidRPr="00000498" w:rsidRDefault="00802AE7" w:rsidP="00893A9B">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RCO116</w:t>
            </w:r>
          </w:p>
        </w:tc>
        <w:tc>
          <w:tcPr>
            <w:tcW w:w="1016" w:type="pct"/>
            <w:shd w:val="clear" w:color="auto" w:fill="auto"/>
          </w:tcPr>
          <w:p w14:paraId="77598C8B" w14:textId="79C1991A" w:rsidR="00802AE7" w:rsidRPr="00000498" w:rsidRDefault="00223EB0" w:rsidP="00893A9B">
            <w:pPr>
              <w:spacing w:before="120" w:after="120" w:line="240" w:lineRule="auto"/>
              <w:rPr>
                <w:rFonts w:asciiTheme="minorHAnsi" w:hAnsiTheme="minorHAnsi" w:cstheme="minorHAnsi"/>
                <w:szCs w:val="24"/>
                <w:lang w:val="pl-PL"/>
              </w:rPr>
            </w:pPr>
            <w:r w:rsidRPr="00000498">
              <w:rPr>
                <w:rFonts w:asciiTheme="minorHAnsi" w:hAnsiTheme="minorHAnsi" w:cstheme="minorHAnsi"/>
                <w:szCs w:val="24"/>
                <w:lang w:val="pl-PL"/>
              </w:rPr>
              <w:t>Wspólnie opracowane rozwiązania</w:t>
            </w:r>
          </w:p>
        </w:tc>
        <w:tc>
          <w:tcPr>
            <w:tcW w:w="955" w:type="pct"/>
          </w:tcPr>
          <w:p w14:paraId="41719DBE" w14:textId="7AC06512" w:rsidR="00802AE7" w:rsidRPr="00000498" w:rsidRDefault="00FC7429" w:rsidP="00893A9B">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Rozwiązanie</w:t>
            </w:r>
          </w:p>
        </w:tc>
        <w:tc>
          <w:tcPr>
            <w:tcW w:w="623" w:type="pct"/>
            <w:shd w:val="clear" w:color="auto" w:fill="auto"/>
          </w:tcPr>
          <w:p w14:paraId="3EBD5592" w14:textId="6767F464" w:rsidR="00802AE7" w:rsidRPr="00000498" w:rsidRDefault="00802AE7" w:rsidP="00893A9B">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1</w:t>
            </w:r>
          </w:p>
        </w:tc>
        <w:tc>
          <w:tcPr>
            <w:tcW w:w="578" w:type="pct"/>
            <w:shd w:val="clear" w:color="auto" w:fill="auto"/>
          </w:tcPr>
          <w:p w14:paraId="008889D3" w14:textId="1E2AF675" w:rsidR="00802AE7" w:rsidRPr="00000498" w:rsidRDefault="00802AE7" w:rsidP="00893A9B">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36</w:t>
            </w:r>
          </w:p>
        </w:tc>
      </w:tr>
    </w:tbl>
    <w:p w14:paraId="7DC15DE2" w14:textId="0C44C2AC" w:rsidR="00932BA9" w:rsidRPr="00F879CC" w:rsidRDefault="00871A6C" w:rsidP="00F879CC">
      <w:pPr>
        <w:spacing w:before="240" w:after="240" w:line="276" w:lineRule="auto"/>
        <w:rPr>
          <w:rFonts w:asciiTheme="minorHAnsi" w:eastAsia="Times New Roman" w:hAnsiTheme="minorHAnsi" w:cstheme="minorHAnsi"/>
          <w:iCs/>
          <w:szCs w:val="24"/>
          <w:lang w:val="pl-PL" w:eastAsia="en-GB"/>
        </w:rPr>
      </w:pPr>
      <w:r w:rsidRPr="00F879CC">
        <w:rPr>
          <w:rFonts w:asciiTheme="minorHAnsi" w:eastAsia="Times New Roman" w:hAnsiTheme="minorHAnsi" w:cstheme="minorHAnsi"/>
          <w:iCs/>
          <w:szCs w:val="24"/>
          <w:lang w:val="pl-PL" w:eastAsia="en-GB"/>
        </w:rPr>
        <w:t>Tabela</w:t>
      </w:r>
      <w:r w:rsidR="00932BA9" w:rsidRPr="00F879CC">
        <w:rPr>
          <w:rFonts w:asciiTheme="minorHAnsi" w:eastAsia="Times New Roman" w:hAnsiTheme="minorHAnsi" w:cstheme="minorHAnsi"/>
          <w:iCs/>
          <w:szCs w:val="24"/>
          <w:lang w:val="pl-PL" w:eastAsia="en-GB"/>
        </w:rPr>
        <w:t xml:space="preserve"> 3: </w:t>
      </w:r>
      <w:r w:rsidR="00813365" w:rsidRPr="00F879CC">
        <w:rPr>
          <w:rFonts w:asciiTheme="minorHAnsi" w:eastAsia="Times New Roman" w:hAnsiTheme="minorHAnsi" w:cstheme="minorHAnsi"/>
          <w:iCs/>
          <w:szCs w:val="24"/>
          <w:lang w:val="pl-PL" w:eastAsia="en-GB"/>
        </w:rPr>
        <w:t>Wskaźniki rezultatu</w:t>
      </w:r>
      <w:r w:rsidR="00932BA9" w:rsidRPr="00F879CC">
        <w:rPr>
          <w:rFonts w:asciiTheme="minorHAnsi" w:eastAsia="Times New Roman" w:hAnsiTheme="minorHAnsi" w:cstheme="minorHAnsi"/>
          <w:iCs/>
          <w:szCs w:val="24"/>
          <w:lang w:val="pl-PL" w:eastAsia="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ela dotycząca wskaźników rezultatu"/>
      </w:tblPr>
      <w:tblGrid>
        <w:gridCol w:w="741"/>
        <w:gridCol w:w="945"/>
        <w:gridCol w:w="503"/>
        <w:gridCol w:w="1228"/>
        <w:gridCol w:w="926"/>
        <w:gridCol w:w="706"/>
        <w:gridCol w:w="894"/>
        <w:gridCol w:w="847"/>
        <w:gridCol w:w="1022"/>
        <w:gridCol w:w="1476"/>
      </w:tblGrid>
      <w:tr w:rsidR="00FC7429" w:rsidRPr="00763A2D" w14:paraId="35A94B2B" w14:textId="77777777" w:rsidTr="00305E0A">
        <w:trPr>
          <w:trHeight w:val="947"/>
          <w:tblHeader/>
        </w:trPr>
        <w:tc>
          <w:tcPr>
            <w:tcW w:w="414" w:type="pct"/>
          </w:tcPr>
          <w:p w14:paraId="7E3B99A0" w14:textId="4A9BBBEC" w:rsidR="00932BA9" w:rsidRPr="00763A2D" w:rsidRDefault="00813365" w:rsidP="006A6B69">
            <w:pPr>
              <w:spacing w:before="120" w:after="120" w:line="240" w:lineRule="auto"/>
              <w:jc w:val="both"/>
              <w:rPr>
                <w:rFonts w:asciiTheme="minorHAnsi" w:hAnsiTheme="minorHAnsi" w:cstheme="minorHAnsi"/>
                <w:b/>
                <w:szCs w:val="24"/>
                <w:lang w:val="pl-PL"/>
              </w:rPr>
            </w:pPr>
            <w:r w:rsidRPr="00763A2D">
              <w:rPr>
                <w:rFonts w:asciiTheme="minorHAnsi" w:hAnsiTheme="minorHAnsi" w:cstheme="minorHAnsi"/>
                <w:b/>
                <w:szCs w:val="24"/>
                <w:lang w:val="pl-PL"/>
              </w:rPr>
              <w:t>Priorytet</w:t>
            </w:r>
            <w:r w:rsidR="00932BA9" w:rsidRPr="00763A2D">
              <w:rPr>
                <w:rFonts w:asciiTheme="minorHAnsi" w:hAnsiTheme="minorHAnsi" w:cstheme="minorHAnsi"/>
                <w:b/>
                <w:szCs w:val="24"/>
                <w:lang w:val="pl-PL"/>
              </w:rPr>
              <w:t xml:space="preserve"> </w:t>
            </w:r>
          </w:p>
        </w:tc>
        <w:tc>
          <w:tcPr>
            <w:tcW w:w="351" w:type="pct"/>
          </w:tcPr>
          <w:p w14:paraId="4F8194B9" w14:textId="39140B5C" w:rsidR="00932BA9" w:rsidRPr="00763A2D" w:rsidRDefault="00871A6C" w:rsidP="006A6B69">
            <w:pPr>
              <w:spacing w:before="120" w:after="120" w:line="240" w:lineRule="auto"/>
              <w:jc w:val="both"/>
              <w:rPr>
                <w:rFonts w:asciiTheme="minorHAnsi" w:hAnsiTheme="minorHAnsi" w:cstheme="minorHAnsi"/>
                <w:b/>
                <w:szCs w:val="24"/>
                <w:lang w:val="pl-PL"/>
              </w:rPr>
            </w:pPr>
            <w:r w:rsidRPr="00763A2D">
              <w:rPr>
                <w:rFonts w:asciiTheme="minorHAnsi" w:hAnsiTheme="minorHAnsi" w:cstheme="minorHAnsi"/>
                <w:b/>
                <w:szCs w:val="24"/>
                <w:lang w:val="pl-PL"/>
              </w:rPr>
              <w:t>Cel szczegółowy</w:t>
            </w:r>
          </w:p>
        </w:tc>
        <w:tc>
          <w:tcPr>
            <w:tcW w:w="417" w:type="pct"/>
          </w:tcPr>
          <w:p w14:paraId="393351F4" w14:textId="77777777" w:rsidR="00932BA9" w:rsidRPr="00763A2D" w:rsidRDefault="00932BA9" w:rsidP="006A6B69">
            <w:pPr>
              <w:spacing w:before="120" w:after="120" w:line="240" w:lineRule="auto"/>
              <w:jc w:val="both"/>
              <w:rPr>
                <w:rFonts w:asciiTheme="minorHAnsi" w:hAnsiTheme="minorHAnsi" w:cstheme="minorHAnsi"/>
                <w:b/>
                <w:szCs w:val="24"/>
                <w:lang w:val="pl-PL"/>
              </w:rPr>
            </w:pPr>
            <w:r w:rsidRPr="00763A2D">
              <w:rPr>
                <w:rFonts w:asciiTheme="minorHAnsi" w:hAnsiTheme="minorHAnsi" w:cstheme="minorHAnsi"/>
                <w:b/>
                <w:szCs w:val="24"/>
                <w:lang w:val="pl-PL"/>
              </w:rPr>
              <w:t>ID</w:t>
            </w:r>
          </w:p>
        </w:tc>
        <w:tc>
          <w:tcPr>
            <w:tcW w:w="624" w:type="pct"/>
            <w:shd w:val="clear" w:color="auto" w:fill="auto"/>
          </w:tcPr>
          <w:p w14:paraId="00DBC1D4" w14:textId="3308F229" w:rsidR="00932BA9" w:rsidRPr="00763A2D" w:rsidRDefault="00813365" w:rsidP="006A6B69">
            <w:pPr>
              <w:spacing w:before="120" w:after="120" w:line="240" w:lineRule="auto"/>
              <w:jc w:val="both"/>
              <w:rPr>
                <w:rFonts w:asciiTheme="minorHAnsi" w:hAnsiTheme="minorHAnsi" w:cstheme="minorHAnsi"/>
                <w:b/>
                <w:szCs w:val="24"/>
                <w:lang w:val="pl-PL"/>
              </w:rPr>
            </w:pPr>
            <w:r w:rsidRPr="00763A2D">
              <w:rPr>
                <w:rFonts w:asciiTheme="minorHAnsi" w:hAnsiTheme="minorHAnsi" w:cstheme="minorHAnsi"/>
                <w:b/>
                <w:szCs w:val="24"/>
                <w:lang w:val="pl-PL"/>
              </w:rPr>
              <w:t>Wskaźnik</w:t>
            </w:r>
            <w:r w:rsidR="00932BA9" w:rsidRPr="00763A2D">
              <w:rPr>
                <w:rFonts w:asciiTheme="minorHAnsi" w:hAnsiTheme="minorHAnsi" w:cstheme="minorHAnsi"/>
                <w:b/>
                <w:szCs w:val="24"/>
                <w:lang w:val="pl-PL"/>
              </w:rPr>
              <w:t xml:space="preserve"> </w:t>
            </w:r>
          </w:p>
        </w:tc>
        <w:tc>
          <w:tcPr>
            <w:tcW w:w="417" w:type="pct"/>
          </w:tcPr>
          <w:p w14:paraId="09A7A0BC" w14:textId="3BB77209" w:rsidR="00932BA9" w:rsidRPr="00763A2D" w:rsidRDefault="00813365" w:rsidP="006A6B69">
            <w:pPr>
              <w:spacing w:before="120" w:after="120" w:line="240" w:lineRule="auto"/>
              <w:jc w:val="both"/>
              <w:rPr>
                <w:rFonts w:asciiTheme="minorHAnsi" w:hAnsiTheme="minorHAnsi" w:cstheme="minorHAnsi"/>
                <w:b/>
                <w:szCs w:val="24"/>
                <w:lang w:val="pl-PL"/>
              </w:rPr>
            </w:pPr>
            <w:r w:rsidRPr="00763A2D">
              <w:rPr>
                <w:rFonts w:asciiTheme="minorHAnsi" w:hAnsiTheme="minorHAnsi" w:cstheme="minorHAnsi"/>
                <w:b/>
                <w:szCs w:val="24"/>
                <w:lang w:val="pl-PL"/>
              </w:rPr>
              <w:t>Jednostka miary</w:t>
            </w:r>
          </w:p>
        </w:tc>
        <w:tc>
          <w:tcPr>
            <w:tcW w:w="417" w:type="pct"/>
          </w:tcPr>
          <w:p w14:paraId="7ECE010B" w14:textId="2876A2FB" w:rsidR="00932BA9" w:rsidRPr="00763A2D" w:rsidRDefault="00813365" w:rsidP="006A6B69">
            <w:pPr>
              <w:spacing w:before="120" w:after="120" w:line="240" w:lineRule="auto"/>
              <w:jc w:val="both"/>
              <w:rPr>
                <w:rFonts w:asciiTheme="minorHAnsi" w:hAnsiTheme="minorHAnsi" w:cstheme="minorHAnsi"/>
                <w:b/>
                <w:szCs w:val="24"/>
                <w:lang w:val="pl-PL"/>
              </w:rPr>
            </w:pPr>
            <w:r w:rsidRPr="00763A2D">
              <w:rPr>
                <w:rFonts w:asciiTheme="minorHAnsi" w:hAnsiTheme="minorHAnsi" w:cstheme="minorHAnsi"/>
                <w:b/>
                <w:szCs w:val="24"/>
                <w:lang w:val="pl-PL"/>
              </w:rPr>
              <w:t>Wartość bazowa</w:t>
            </w:r>
          </w:p>
        </w:tc>
        <w:tc>
          <w:tcPr>
            <w:tcW w:w="348" w:type="pct"/>
          </w:tcPr>
          <w:p w14:paraId="400B09E8" w14:textId="77A655F9" w:rsidR="00932BA9" w:rsidRPr="00763A2D" w:rsidRDefault="00813365" w:rsidP="006A6B69">
            <w:pPr>
              <w:spacing w:before="120" w:after="120" w:line="240" w:lineRule="auto"/>
              <w:jc w:val="both"/>
              <w:rPr>
                <w:rFonts w:asciiTheme="minorHAnsi" w:hAnsiTheme="minorHAnsi" w:cstheme="minorHAnsi"/>
                <w:b/>
                <w:szCs w:val="24"/>
                <w:lang w:val="pl-PL"/>
              </w:rPr>
            </w:pPr>
            <w:r w:rsidRPr="00763A2D">
              <w:rPr>
                <w:rFonts w:asciiTheme="minorHAnsi" w:hAnsiTheme="minorHAnsi" w:cstheme="minorHAnsi"/>
                <w:b/>
                <w:szCs w:val="24"/>
                <w:lang w:val="pl-PL"/>
              </w:rPr>
              <w:t>Rok odniesienia</w:t>
            </w:r>
          </w:p>
        </w:tc>
        <w:tc>
          <w:tcPr>
            <w:tcW w:w="347" w:type="pct"/>
            <w:shd w:val="clear" w:color="auto" w:fill="auto"/>
          </w:tcPr>
          <w:p w14:paraId="0287D1BE" w14:textId="1D94A187" w:rsidR="00932BA9" w:rsidRPr="00763A2D" w:rsidRDefault="00813365" w:rsidP="006A6B69">
            <w:pPr>
              <w:spacing w:before="120" w:after="120" w:line="240" w:lineRule="auto"/>
              <w:jc w:val="both"/>
              <w:rPr>
                <w:rFonts w:asciiTheme="minorHAnsi" w:hAnsiTheme="minorHAnsi" w:cstheme="minorHAnsi"/>
                <w:b/>
                <w:szCs w:val="24"/>
                <w:lang w:val="pl-PL"/>
              </w:rPr>
            </w:pPr>
            <w:r w:rsidRPr="00763A2D">
              <w:rPr>
                <w:rFonts w:asciiTheme="minorHAnsi" w:hAnsiTheme="minorHAnsi" w:cstheme="minorHAnsi"/>
                <w:b/>
                <w:szCs w:val="24"/>
                <w:lang w:val="pl-PL"/>
              </w:rPr>
              <w:t>Cel ostateczny</w:t>
            </w:r>
            <w:r w:rsidR="00932BA9" w:rsidRPr="00763A2D">
              <w:rPr>
                <w:rFonts w:asciiTheme="minorHAnsi" w:hAnsiTheme="minorHAnsi" w:cstheme="minorHAnsi"/>
                <w:b/>
                <w:szCs w:val="24"/>
                <w:lang w:val="pl-PL"/>
              </w:rPr>
              <w:t xml:space="preserve"> (2029)</w:t>
            </w:r>
          </w:p>
        </w:tc>
        <w:tc>
          <w:tcPr>
            <w:tcW w:w="417" w:type="pct"/>
            <w:shd w:val="clear" w:color="auto" w:fill="auto"/>
          </w:tcPr>
          <w:p w14:paraId="2F860BF0" w14:textId="1D58E15C" w:rsidR="00932BA9" w:rsidRPr="00763A2D" w:rsidRDefault="00813365" w:rsidP="004056FF">
            <w:pPr>
              <w:spacing w:before="120" w:after="120" w:line="240" w:lineRule="auto"/>
              <w:jc w:val="both"/>
              <w:rPr>
                <w:rFonts w:asciiTheme="minorHAnsi" w:hAnsiTheme="minorHAnsi" w:cstheme="minorHAnsi"/>
                <w:b/>
                <w:szCs w:val="24"/>
                <w:lang w:val="pl-PL"/>
              </w:rPr>
            </w:pPr>
            <w:r w:rsidRPr="00763A2D">
              <w:rPr>
                <w:rFonts w:asciiTheme="minorHAnsi" w:hAnsiTheme="minorHAnsi" w:cstheme="minorHAnsi"/>
                <w:b/>
                <w:szCs w:val="24"/>
                <w:lang w:val="pl-PL"/>
              </w:rPr>
              <w:t>Źródło danych</w:t>
            </w:r>
          </w:p>
        </w:tc>
        <w:tc>
          <w:tcPr>
            <w:tcW w:w="1248" w:type="pct"/>
          </w:tcPr>
          <w:p w14:paraId="4484CC95" w14:textId="13F6EDAF" w:rsidR="00932BA9" w:rsidRPr="00763A2D" w:rsidRDefault="00813365" w:rsidP="006A6B69">
            <w:pPr>
              <w:spacing w:before="120" w:after="120" w:line="480" w:lineRule="auto"/>
              <w:jc w:val="both"/>
              <w:rPr>
                <w:rFonts w:asciiTheme="minorHAnsi" w:hAnsiTheme="minorHAnsi" w:cstheme="minorHAnsi"/>
                <w:b/>
                <w:szCs w:val="24"/>
                <w:lang w:val="pl-PL"/>
              </w:rPr>
            </w:pPr>
            <w:r w:rsidRPr="00763A2D">
              <w:rPr>
                <w:rFonts w:asciiTheme="minorHAnsi" w:hAnsiTheme="minorHAnsi" w:cstheme="minorHAnsi"/>
                <w:b/>
                <w:szCs w:val="24"/>
                <w:lang w:val="pl-PL"/>
              </w:rPr>
              <w:t>Uwagi</w:t>
            </w:r>
          </w:p>
        </w:tc>
      </w:tr>
      <w:tr w:rsidR="00FC7429" w:rsidRPr="00367EF1" w14:paraId="0C948456" w14:textId="77777777" w:rsidTr="00305E0A">
        <w:trPr>
          <w:trHeight w:val="629"/>
        </w:trPr>
        <w:tc>
          <w:tcPr>
            <w:tcW w:w="414" w:type="pct"/>
          </w:tcPr>
          <w:p w14:paraId="3AB57EB2" w14:textId="5CEC45E3" w:rsidR="00893A9B" w:rsidRPr="00000498" w:rsidRDefault="00893A9B" w:rsidP="00893A9B">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2</w:t>
            </w:r>
          </w:p>
        </w:tc>
        <w:tc>
          <w:tcPr>
            <w:tcW w:w="351" w:type="pct"/>
          </w:tcPr>
          <w:p w14:paraId="5FCA56D7" w14:textId="6F41EE2D" w:rsidR="00893A9B" w:rsidRPr="00000498" w:rsidRDefault="00893A9B" w:rsidP="00893A9B">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v</w:t>
            </w:r>
          </w:p>
        </w:tc>
        <w:tc>
          <w:tcPr>
            <w:tcW w:w="417" w:type="pct"/>
          </w:tcPr>
          <w:p w14:paraId="707270AF" w14:textId="77777777" w:rsidR="00893A9B" w:rsidRPr="00000498" w:rsidRDefault="00893A9B" w:rsidP="00893A9B">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PSR1</w:t>
            </w:r>
          </w:p>
        </w:tc>
        <w:tc>
          <w:tcPr>
            <w:tcW w:w="624" w:type="pct"/>
            <w:shd w:val="clear" w:color="auto" w:fill="auto"/>
          </w:tcPr>
          <w:p w14:paraId="7159F011" w14:textId="564830A7" w:rsidR="00893A9B" w:rsidRPr="00000498" w:rsidRDefault="003E22FB" w:rsidP="00893A9B">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Organizacje o zwiększonych zdolnościach instytucjonalnych ze względu na udział we współpracy transgranicznej</w:t>
            </w:r>
          </w:p>
        </w:tc>
        <w:tc>
          <w:tcPr>
            <w:tcW w:w="417" w:type="pct"/>
          </w:tcPr>
          <w:p w14:paraId="225BBE2E" w14:textId="3ED70568" w:rsidR="00893A9B" w:rsidRPr="00000498" w:rsidRDefault="00893A9B" w:rsidP="00FC7429">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Organ</w:t>
            </w:r>
            <w:r w:rsidR="00FC7429" w:rsidRPr="00000498">
              <w:rPr>
                <w:rFonts w:asciiTheme="minorHAnsi" w:hAnsiTheme="minorHAnsi" w:cstheme="minorHAnsi"/>
                <w:szCs w:val="24"/>
                <w:lang w:val="pl-PL"/>
              </w:rPr>
              <w:t>izacja</w:t>
            </w:r>
          </w:p>
        </w:tc>
        <w:tc>
          <w:tcPr>
            <w:tcW w:w="417" w:type="pct"/>
          </w:tcPr>
          <w:p w14:paraId="349BA3E2" w14:textId="635736EE" w:rsidR="00893A9B" w:rsidRPr="00000498" w:rsidRDefault="00893A9B" w:rsidP="00893A9B">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0</w:t>
            </w:r>
          </w:p>
        </w:tc>
        <w:tc>
          <w:tcPr>
            <w:tcW w:w="348" w:type="pct"/>
          </w:tcPr>
          <w:p w14:paraId="51EADF48" w14:textId="23E33D47" w:rsidR="00893A9B" w:rsidRPr="00000498" w:rsidRDefault="00893A9B" w:rsidP="00893A9B">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szCs w:val="24"/>
                <w:lang w:val="pl-PL"/>
              </w:rPr>
              <w:t>2022</w:t>
            </w:r>
          </w:p>
        </w:tc>
        <w:tc>
          <w:tcPr>
            <w:tcW w:w="347" w:type="pct"/>
            <w:shd w:val="clear" w:color="auto" w:fill="auto"/>
          </w:tcPr>
          <w:p w14:paraId="3A84A041" w14:textId="3AE16DAF" w:rsidR="00893A9B" w:rsidRPr="00000498" w:rsidRDefault="00893A9B" w:rsidP="00893A9B">
            <w:pPr>
              <w:spacing w:before="120" w:after="120" w:line="240" w:lineRule="auto"/>
              <w:jc w:val="center"/>
              <w:rPr>
                <w:rFonts w:asciiTheme="minorHAnsi" w:hAnsiTheme="minorHAnsi" w:cstheme="minorHAnsi"/>
                <w:b/>
                <w:szCs w:val="24"/>
                <w:lang w:val="pl-PL"/>
              </w:rPr>
            </w:pPr>
            <w:r w:rsidRPr="00000498">
              <w:rPr>
                <w:rFonts w:asciiTheme="minorHAnsi" w:hAnsiTheme="minorHAnsi" w:cstheme="minorHAnsi"/>
                <w:szCs w:val="24"/>
                <w:lang w:val="pl-PL"/>
              </w:rPr>
              <w:t>941</w:t>
            </w:r>
          </w:p>
        </w:tc>
        <w:tc>
          <w:tcPr>
            <w:tcW w:w="417" w:type="pct"/>
            <w:shd w:val="clear" w:color="auto" w:fill="auto"/>
          </w:tcPr>
          <w:p w14:paraId="0D04A1F4" w14:textId="2C6C5AEE" w:rsidR="00893A9B" w:rsidRPr="00000498" w:rsidRDefault="00813365" w:rsidP="00893A9B">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Sprawozdania z postępów projektów</w:t>
            </w:r>
          </w:p>
        </w:tc>
        <w:tc>
          <w:tcPr>
            <w:tcW w:w="1248" w:type="pct"/>
          </w:tcPr>
          <w:p w14:paraId="5129138D" w14:textId="62DBC136" w:rsidR="00893A9B" w:rsidRPr="00000498" w:rsidRDefault="00FC7429" w:rsidP="00893A9B">
            <w:pPr>
              <w:spacing w:before="120" w:after="120" w:line="240" w:lineRule="auto"/>
              <w:rPr>
                <w:rFonts w:asciiTheme="minorHAnsi" w:hAnsiTheme="minorHAnsi" w:cstheme="minorHAnsi"/>
                <w:b/>
                <w:szCs w:val="24"/>
                <w:lang w:val="pl-PL"/>
              </w:rPr>
            </w:pPr>
            <w:r w:rsidRPr="00000498">
              <w:rPr>
                <w:rFonts w:asciiTheme="minorHAnsi" w:hAnsiTheme="minorHAnsi" w:cstheme="minorHAnsi"/>
                <w:b/>
                <w:szCs w:val="24"/>
                <w:lang w:val="pl-PL"/>
              </w:rPr>
              <w:t>Regularne projekty</w:t>
            </w:r>
          </w:p>
          <w:p w14:paraId="5ED17877" w14:textId="782A87EE" w:rsidR="00FC7429" w:rsidRPr="00000498" w:rsidRDefault="00FC7429" w:rsidP="00FC7429">
            <w:pPr>
              <w:spacing w:before="120" w:after="120" w:line="240" w:lineRule="auto"/>
              <w:ind w:right="638"/>
              <w:rPr>
                <w:rFonts w:asciiTheme="minorHAnsi" w:hAnsiTheme="minorHAnsi" w:cstheme="minorHAnsi"/>
                <w:szCs w:val="24"/>
                <w:lang w:val="pl-PL"/>
              </w:rPr>
            </w:pPr>
            <w:r w:rsidRPr="00000498">
              <w:rPr>
                <w:rFonts w:asciiTheme="minorHAnsi" w:hAnsiTheme="minorHAnsi" w:cstheme="minorHAnsi"/>
                <w:szCs w:val="24"/>
                <w:lang w:val="pl-PL"/>
              </w:rPr>
              <w:t xml:space="preserve">Szacuje </w:t>
            </w:r>
            <w:r w:rsidR="00A05A16" w:rsidRPr="00000498">
              <w:rPr>
                <w:rFonts w:asciiTheme="minorHAnsi" w:hAnsiTheme="minorHAnsi" w:cstheme="minorHAnsi"/>
                <w:szCs w:val="24"/>
                <w:lang w:val="pl-PL"/>
              </w:rPr>
              <w:t>się, że</w:t>
            </w:r>
            <w:r w:rsidRPr="00000498">
              <w:rPr>
                <w:rFonts w:asciiTheme="minorHAnsi" w:hAnsiTheme="minorHAnsi" w:cstheme="minorHAnsi"/>
                <w:szCs w:val="24"/>
                <w:lang w:val="pl-PL"/>
              </w:rPr>
              <w:t xml:space="preserve"> poza organizacjami obliczonymi dla RCO87, 10 organizacji spoza partnerstwa na projekt zwiększy swoje możliwości instytucjonalne (łączn</w:t>
            </w:r>
            <w:r w:rsidRPr="00000498">
              <w:rPr>
                <w:rFonts w:asciiTheme="minorHAnsi" w:hAnsiTheme="minorHAnsi" w:cstheme="minorHAnsi"/>
                <w:szCs w:val="24"/>
                <w:lang w:val="pl-PL"/>
              </w:rPr>
              <w:lastRenderedPageBreak/>
              <w:t>ie do 841 organizacji).</w:t>
            </w:r>
          </w:p>
          <w:p w14:paraId="3CD33BC2" w14:textId="6CE0746F" w:rsidR="00893A9B" w:rsidRPr="00000498" w:rsidRDefault="00FC7429" w:rsidP="00893A9B">
            <w:pPr>
              <w:spacing w:before="120" w:after="120" w:line="240" w:lineRule="auto"/>
              <w:rPr>
                <w:rFonts w:asciiTheme="minorHAnsi" w:hAnsiTheme="minorHAnsi" w:cstheme="minorHAnsi"/>
                <w:b/>
                <w:szCs w:val="24"/>
                <w:lang w:val="pl-PL"/>
              </w:rPr>
            </w:pPr>
            <w:r w:rsidRPr="00000498">
              <w:rPr>
                <w:rFonts w:asciiTheme="minorHAnsi" w:hAnsiTheme="minorHAnsi" w:cstheme="minorHAnsi"/>
                <w:b/>
                <w:szCs w:val="24"/>
                <w:lang w:val="pl-PL"/>
              </w:rPr>
              <w:t>Małe projekty</w:t>
            </w:r>
          </w:p>
          <w:p w14:paraId="05C5B3EF" w14:textId="386BC526" w:rsidR="00893A9B" w:rsidRPr="00763A2D" w:rsidRDefault="00FC7429" w:rsidP="00FC7429">
            <w:pPr>
              <w:spacing w:after="200" w:line="276" w:lineRule="auto"/>
              <w:ind w:right="496"/>
              <w:rPr>
                <w:rFonts w:asciiTheme="minorHAnsi" w:hAnsiTheme="minorHAnsi" w:cstheme="minorHAnsi"/>
                <w:szCs w:val="24"/>
                <w:lang w:val="pl-PL"/>
              </w:rPr>
            </w:pPr>
            <w:r w:rsidRPr="00000498">
              <w:rPr>
                <w:rFonts w:asciiTheme="minorHAnsi" w:hAnsiTheme="minorHAnsi" w:cstheme="minorHAnsi"/>
                <w:szCs w:val="24"/>
                <w:lang w:val="pl-PL"/>
              </w:rPr>
              <w:t>Szacuje się, że oprócz organizacji obliczonych dla RCO87, 5 organizacji spoza partnerstwa na projekt zwiększy swoje możliwości instytucjonalne (łącznie</w:t>
            </w:r>
            <w:r w:rsidRPr="00763A2D">
              <w:rPr>
                <w:rFonts w:asciiTheme="minorHAnsi" w:hAnsiTheme="minorHAnsi" w:cstheme="minorHAnsi"/>
                <w:szCs w:val="24"/>
                <w:lang w:val="pl-PL"/>
              </w:rPr>
              <w:t xml:space="preserve"> </w:t>
            </w:r>
            <w:r w:rsidRPr="00000498">
              <w:rPr>
                <w:rFonts w:asciiTheme="minorHAnsi" w:hAnsiTheme="minorHAnsi" w:cstheme="minorHAnsi"/>
                <w:szCs w:val="24"/>
                <w:lang w:val="pl-PL"/>
              </w:rPr>
              <w:t>100 organizacji</w:t>
            </w:r>
            <w:r w:rsidR="00893A9B" w:rsidRPr="00000498">
              <w:rPr>
                <w:rFonts w:asciiTheme="minorHAnsi" w:hAnsiTheme="minorHAnsi" w:cstheme="minorHAnsi"/>
                <w:szCs w:val="24"/>
                <w:lang w:val="pl-PL"/>
              </w:rPr>
              <w:t>).</w:t>
            </w:r>
          </w:p>
        </w:tc>
      </w:tr>
      <w:tr w:rsidR="00FC7429" w:rsidRPr="00367EF1" w14:paraId="382DE5C1" w14:textId="77777777" w:rsidTr="00305E0A">
        <w:trPr>
          <w:trHeight w:val="629"/>
        </w:trPr>
        <w:tc>
          <w:tcPr>
            <w:tcW w:w="414" w:type="pct"/>
          </w:tcPr>
          <w:p w14:paraId="38A586AC" w14:textId="7957D2D4" w:rsidR="00D06AD1" w:rsidRPr="00763A2D" w:rsidRDefault="00D06AD1" w:rsidP="00D06AD1">
            <w:pPr>
              <w:spacing w:before="120" w:after="120" w:line="240" w:lineRule="auto"/>
              <w:jc w:val="both"/>
              <w:rPr>
                <w:rFonts w:asciiTheme="minorHAnsi" w:hAnsiTheme="minorHAnsi" w:cstheme="minorHAnsi"/>
                <w:szCs w:val="24"/>
                <w:lang w:val="pl-PL"/>
              </w:rPr>
            </w:pPr>
            <w:r w:rsidRPr="00763A2D">
              <w:rPr>
                <w:rFonts w:asciiTheme="minorHAnsi" w:hAnsiTheme="minorHAnsi" w:cstheme="minorHAnsi"/>
                <w:szCs w:val="24"/>
                <w:lang w:val="pl-PL"/>
              </w:rPr>
              <w:lastRenderedPageBreak/>
              <w:t>2</w:t>
            </w:r>
          </w:p>
        </w:tc>
        <w:tc>
          <w:tcPr>
            <w:tcW w:w="351" w:type="pct"/>
          </w:tcPr>
          <w:p w14:paraId="412C4D80" w14:textId="394004F4" w:rsidR="00D06AD1" w:rsidRPr="00763A2D" w:rsidRDefault="00D06AD1" w:rsidP="00D06AD1">
            <w:pPr>
              <w:spacing w:before="120" w:after="120" w:line="240" w:lineRule="auto"/>
              <w:jc w:val="both"/>
              <w:rPr>
                <w:rFonts w:asciiTheme="minorHAnsi" w:hAnsiTheme="minorHAnsi" w:cstheme="minorHAnsi"/>
                <w:szCs w:val="24"/>
                <w:lang w:val="pl-PL"/>
              </w:rPr>
            </w:pPr>
            <w:r w:rsidRPr="00763A2D">
              <w:rPr>
                <w:rFonts w:asciiTheme="minorHAnsi" w:hAnsiTheme="minorHAnsi" w:cstheme="minorHAnsi"/>
                <w:szCs w:val="24"/>
                <w:lang w:val="pl-PL"/>
              </w:rPr>
              <w:t>v</w:t>
            </w:r>
          </w:p>
        </w:tc>
        <w:tc>
          <w:tcPr>
            <w:tcW w:w="417" w:type="pct"/>
          </w:tcPr>
          <w:p w14:paraId="5BA5F93F" w14:textId="77777777" w:rsidR="00D06AD1" w:rsidRPr="00000498" w:rsidRDefault="00D06AD1" w:rsidP="00D06AD1">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RCR</w:t>
            </w:r>
            <w:r w:rsidRPr="00000498">
              <w:rPr>
                <w:rFonts w:asciiTheme="minorHAnsi" w:hAnsiTheme="minorHAnsi" w:cstheme="minorHAnsi"/>
                <w:szCs w:val="24"/>
                <w:lang w:val="pl-PL"/>
              </w:rPr>
              <w:br/>
              <w:t>104</w:t>
            </w:r>
          </w:p>
        </w:tc>
        <w:tc>
          <w:tcPr>
            <w:tcW w:w="624" w:type="pct"/>
            <w:shd w:val="clear" w:color="auto" w:fill="auto"/>
          </w:tcPr>
          <w:p w14:paraId="0957C640" w14:textId="517DD71D" w:rsidR="00D06AD1" w:rsidRPr="00000498" w:rsidRDefault="003E22FB" w:rsidP="00D06AD1">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 xml:space="preserve">Rozwiązania przyjęte lub </w:t>
            </w:r>
            <w:r w:rsidRPr="00000498">
              <w:rPr>
                <w:rFonts w:asciiTheme="minorHAnsi" w:hAnsiTheme="minorHAnsi" w:cstheme="minorHAnsi"/>
                <w:szCs w:val="24"/>
                <w:lang w:val="pl-PL"/>
              </w:rPr>
              <w:lastRenderedPageBreak/>
              <w:t>rozbudowane przez organizacje</w:t>
            </w:r>
          </w:p>
        </w:tc>
        <w:tc>
          <w:tcPr>
            <w:tcW w:w="417" w:type="pct"/>
          </w:tcPr>
          <w:p w14:paraId="075D28FF" w14:textId="5727013C" w:rsidR="00D06AD1" w:rsidRPr="00000498" w:rsidRDefault="002D7C81" w:rsidP="00D06AD1">
            <w:pPr>
              <w:spacing w:before="120" w:after="120" w:line="240" w:lineRule="auto"/>
              <w:jc w:val="both"/>
              <w:rPr>
                <w:rFonts w:asciiTheme="minorHAnsi" w:hAnsiTheme="minorHAnsi" w:cstheme="minorHAnsi"/>
                <w:szCs w:val="24"/>
                <w:lang w:val="pl-PL"/>
              </w:rPr>
            </w:pPr>
            <w:r>
              <w:rPr>
                <w:rFonts w:asciiTheme="minorHAnsi" w:hAnsiTheme="minorHAnsi" w:cstheme="minorHAnsi"/>
                <w:szCs w:val="24"/>
                <w:lang w:val="pl-PL"/>
              </w:rPr>
              <w:lastRenderedPageBreak/>
              <w:t>Rozwiązanie</w:t>
            </w:r>
          </w:p>
        </w:tc>
        <w:tc>
          <w:tcPr>
            <w:tcW w:w="417" w:type="pct"/>
          </w:tcPr>
          <w:p w14:paraId="1BFA6467" w14:textId="0130D81B" w:rsidR="00D06AD1" w:rsidRPr="00000498" w:rsidRDefault="00D06AD1" w:rsidP="00D06AD1">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0</w:t>
            </w:r>
          </w:p>
        </w:tc>
        <w:tc>
          <w:tcPr>
            <w:tcW w:w="348" w:type="pct"/>
          </w:tcPr>
          <w:p w14:paraId="6FEA8BDF" w14:textId="49DF2766" w:rsidR="00D06AD1" w:rsidRPr="00000498" w:rsidRDefault="00D06AD1" w:rsidP="00D06AD1">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szCs w:val="24"/>
                <w:lang w:val="pl-PL"/>
              </w:rPr>
              <w:t>2022</w:t>
            </w:r>
          </w:p>
        </w:tc>
        <w:tc>
          <w:tcPr>
            <w:tcW w:w="347" w:type="pct"/>
            <w:shd w:val="clear" w:color="auto" w:fill="auto"/>
          </w:tcPr>
          <w:p w14:paraId="1404DCA8" w14:textId="6E3AE548" w:rsidR="00D06AD1" w:rsidRPr="00000498" w:rsidRDefault="00D06AD1" w:rsidP="00D06AD1">
            <w:pPr>
              <w:spacing w:before="120" w:after="120" w:line="240" w:lineRule="auto"/>
              <w:jc w:val="center"/>
              <w:rPr>
                <w:rFonts w:asciiTheme="minorHAnsi" w:hAnsiTheme="minorHAnsi" w:cstheme="minorHAnsi"/>
                <w:szCs w:val="24"/>
                <w:lang w:val="pl-PL"/>
              </w:rPr>
            </w:pPr>
            <w:r w:rsidRPr="00000498">
              <w:rPr>
                <w:rFonts w:asciiTheme="minorHAnsi" w:hAnsiTheme="minorHAnsi" w:cstheme="minorHAnsi"/>
                <w:szCs w:val="24"/>
                <w:lang w:val="pl-PL"/>
              </w:rPr>
              <w:t>24</w:t>
            </w:r>
          </w:p>
        </w:tc>
        <w:tc>
          <w:tcPr>
            <w:tcW w:w="417" w:type="pct"/>
            <w:shd w:val="clear" w:color="auto" w:fill="auto"/>
          </w:tcPr>
          <w:p w14:paraId="1991C936" w14:textId="2FE4328D" w:rsidR="00D06AD1" w:rsidRPr="00000498" w:rsidRDefault="00813365" w:rsidP="00D06AD1">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 xml:space="preserve">Sprawozdania z postępów </w:t>
            </w:r>
            <w:r w:rsidRPr="00000498">
              <w:rPr>
                <w:rFonts w:asciiTheme="minorHAnsi" w:hAnsiTheme="minorHAnsi" w:cstheme="minorHAnsi"/>
                <w:szCs w:val="24"/>
                <w:lang w:val="pl-PL"/>
              </w:rPr>
              <w:lastRenderedPageBreak/>
              <w:t>projektów</w:t>
            </w:r>
          </w:p>
        </w:tc>
        <w:tc>
          <w:tcPr>
            <w:tcW w:w="1248" w:type="pct"/>
          </w:tcPr>
          <w:p w14:paraId="09090CB0" w14:textId="4C1706F1" w:rsidR="00D06AD1" w:rsidRPr="00000498" w:rsidRDefault="00FC7429" w:rsidP="00D06AD1">
            <w:pPr>
              <w:spacing w:before="120" w:after="120" w:line="240" w:lineRule="auto"/>
              <w:rPr>
                <w:rFonts w:asciiTheme="minorHAnsi" w:hAnsiTheme="minorHAnsi" w:cstheme="minorHAnsi"/>
                <w:b/>
                <w:szCs w:val="24"/>
                <w:lang w:val="pl-PL"/>
              </w:rPr>
            </w:pPr>
            <w:r w:rsidRPr="00000498">
              <w:rPr>
                <w:rFonts w:asciiTheme="minorHAnsi" w:hAnsiTheme="minorHAnsi" w:cstheme="minorHAnsi"/>
                <w:b/>
                <w:szCs w:val="24"/>
                <w:lang w:val="pl-PL"/>
              </w:rPr>
              <w:lastRenderedPageBreak/>
              <w:t>Regularne projekty</w:t>
            </w:r>
          </w:p>
          <w:p w14:paraId="3B386EE4" w14:textId="53157CC0" w:rsidR="00D06AD1" w:rsidRPr="00000498" w:rsidRDefault="00FC7429" w:rsidP="00FC7429">
            <w:pPr>
              <w:spacing w:before="120" w:after="120" w:line="240" w:lineRule="auto"/>
              <w:ind w:right="496"/>
              <w:rPr>
                <w:rFonts w:asciiTheme="minorHAnsi" w:hAnsiTheme="minorHAnsi" w:cstheme="minorHAnsi"/>
                <w:szCs w:val="24"/>
                <w:lang w:val="pl-PL"/>
              </w:rPr>
            </w:pPr>
            <w:r w:rsidRPr="00000498">
              <w:rPr>
                <w:rFonts w:asciiTheme="minorHAnsi" w:hAnsiTheme="minorHAnsi" w:cstheme="minorHAnsi"/>
                <w:szCs w:val="24"/>
                <w:lang w:val="pl-PL"/>
              </w:rPr>
              <w:t xml:space="preserve">Średnio, w </w:t>
            </w:r>
            <w:r w:rsidRPr="00000498">
              <w:rPr>
                <w:rFonts w:asciiTheme="minorHAnsi" w:hAnsiTheme="minorHAnsi" w:cstheme="minorHAnsi"/>
                <w:szCs w:val="24"/>
                <w:lang w:val="pl-PL"/>
              </w:rPr>
              <w:lastRenderedPageBreak/>
              <w:t>ramach każdego projektu zostanie opracowane 1 rozwiązanie, które zostanie zastosowane lub rozbudowane (łącznie 22 rozwiązania</w:t>
            </w:r>
            <w:r w:rsidR="00D06AD1" w:rsidRPr="00000498">
              <w:rPr>
                <w:rFonts w:asciiTheme="minorHAnsi" w:hAnsiTheme="minorHAnsi" w:cstheme="minorHAnsi"/>
                <w:szCs w:val="24"/>
                <w:lang w:val="pl-PL"/>
              </w:rPr>
              <w:t>)</w:t>
            </w:r>
          </w:p>
          <w:p w14:paraId="7F02E815" w14:textId="7ADCD587" w:rsidR="00D06AD1" w:rsidRPr="00000498" w:rsidRDefault="00FC7429" w:rsidP="00D06AD1">
            <w:pPr>
              <w:spacing w:before="120" w:after="120" w:line="240" w:lineRule="auto"/>
              <w:rPr>
                <w:rFonts w:asciiTheme="minorHAnsi" w:hAnsiTheme="minorHAnsi" w:cstheme="minorHAnsi"/>
                <w:b/>
                <w:szCs w:val="24"/>
                <w:lang w:val="pl-PL"/>
              </w:rPr>
            </w:pPr>
            <w:r w:rsidRPr="00000498">
              <w:rPr>
                <w:rFonts w:asciiTheme="minorHAnsi" w:hAnsiTheme="minorHAnsi" w:cstheme="minorHAnsi"/>
                <w:b/>
                <w:szCs w:val="24"/>
                <w:lang w:val="pl-PL"/>
              </w:rPr>
              <w:t>Małe projekty</w:t>
            </w:r>
          </w:p>
          <w:p w14:paraId="08E0EE98" w14:textId="296D5721" w:rsidR="00D06AD1" w:rsidRPr="00763A2D" w:rsidRDefault="00FC7429" w:rsidP="007B3113">
            <w:pPr>
              <w:spacing w:after="200" w:line="276" w:lineRule="auto"/>
              <w:ind w:right="638"/>
              <w:rPr>
                <w:rFonts w:asciiTheme="minorHAnsi" w:hAnsiTheme="minorHAnsi" w:cstheme="minorHAnsi"/>
                <w:szCs w:val="24"/>
                <w:lang w:val="pl-PL"/>
              </w:rPr>
            </w:pPr>
            <w:r w:rsidRPr="00000498">
              <w:rPr>
                <w:rFonts w:asciiTheme="minorHAnsi" w:hAnsiTheme="minorHAnsi" w:cstheme="minorHAnsi"/>
                <w:szCs w:val="24"/>
                <w:lang w:val="pl-PL"/>
              </w:rPr>
              <w:t xml:space="preserve">Oczekuje się, że w ramach </w:t>
            </w:r>
            <w:r w:rsidR="007B3113" w:rsidRPr="00000498">
              <w:rPr>
                <w:rFonts w:asciiTheme="minorHAnsi" w:hAnsiTheme="minorHAnsi" w:cstheme="minorHAnsi"/>
                <w:szCs w:val="24"/>
                <w:lang w:val="pl-PL"/>
              </w:rPr>
              <w:t xml:space="preserve">(średnio) </w:t>
            </w:r>
            <w:r w:rsidRPr="00000498">
              <w:rPr>
                <w:rFonts w:asciiTheme="minorHAnsi" w:hAnsiTheme="minorHAnsi" w:cstheme="minorHAnsi"/>
                <w:szCs w:val="24"/>
                <w:lang w:val="pl-PL"/>
              </w:rPr>
              <w:t>20% projektów zostanie opracowan</w:t>
            </w:r>
            <w:r w:rsidRPr="00000498">
              <w:rPr>
                <w:rFonts w:asciiTheme="minorHAnsi" w:hAnsiTheme="minorHAnsi" w:cstheme="minorHAnsi"/>
                <w:szCs w:val="24"/>
                <w:lang w:val="pl-PL"/>
              </w:rPr>
              <w:lastRenderedPageBreak/>
              <w:t xml:space="preserve">e 1 rozwiązanie, które zostanie zastosowane lub rozbudowane (2 rozwiązania </w:t>
            </w:r>
            <w:r w:rsidR="00A05A16" w:rsidRPr="00000498">
              <w:rPr>
                <w:rFonts w:asciiTheme="minorHAnsi" w:hAnsiTheme="minorHAnsi" w:cstheme="minorHAnsi"/>
                <w:szCs w:val="24"/>
                <w:lang w:val="pl-PL"/>
              </w:rPr>
              <w:t>łącznie</w:t>
            </w:r>
            <w:r w:rsidR="00D06AD1" w:rsidRPr="00000498">
              <w:rPr>
                <w:rFonts w:asciiTheme="minorHAnsi" w:hAnsiTheme="minorHAnsi" w:cstheme="minorHAnsi"/>
                <w:szCs w:val="24"/>
                <w:lang w:val="pl-PL"/>
              </w:rPr>
              <w:t>).</w:t>
            </w:r>
          </w:p>
        </w:tc>
      </w:tr>
    </w:tbl>
    <w:p w14:paraId="6FEA6AFD" w14:textId="59F727C4" w:rsidR="009C472A" w:rsidRPr="00F879CC" w:rsidRDefault="009C472A" w:rsidP="00F879CC">
      <w:pPr>
        <w:spacing w:before="240" w:after="240" w:line="276" w:lineRule="auto"/>
        <w:rPr>
          <w:rFonts w:asciiTheme="minorHAnsi" w:eastAsia="Times New Roman" w:hAnsiTheme="minorHAnsi" w:cstheme="minorHAnsi"/>
          <w:b/>
          <w:iCs/>
          <w:szCs w:val="24"/>
          <w:lang w:val="pl-PL" w:eastAsia="en-GB"/>
        </w:rPr>
      </w:pPr>
      <w:r w:rsidRPr="00F879CC">
        <w:rPr>
          <w:rFonts w:asciiTheme="minorHAnsi" w:eastAsia="Times New Roman" w:hAnsiTheme="minorHAnsi" w:cstheme="minorHAnsi"/>
          <w:b/>
          <w:iCs/>
          <w:szCs w:val="24"/>
          <w:lang w:val="pl-PL" w:eastAsia="en-GB"/>
        </w:rPr>
        <w:lastRenderedPageBreak/>
        <w:t>2.</w:t>
      </w:r>
      <w:r w:rsidR="005909CB" w:rsidRPr="00F879CC">
        <w:rPr>
          <w:rFonts w:asciiTheme="minorHAnsi" w:eastAsia="Times New Roman" w:hAnsiTheme="minorHAnsi" w:cstheme="minorHAnsi"/>
          <w:b/>
          <w:iCs/>
          <w:szCs w:val="24"/>
          <w:lang w:val="pl-PL" w:eastAsia="en-GB"/>
        </w:rPr>
        <w:t>2</w:t>
      </w:r>
      <w:r w:rsidRPr="00F879CC">
        <w:rPr>
          <w:rFonts w:asciiTheme="minorHAnsi" w:eastAsia="Times New Roman" w:hAnsiTheme="minorHAnsi" w:cstheme="minorHAnsi"/>
          <w:b/>
          <w:iCs/>
          <w:szCs w:val="24"/>
          <w:lang w:val="pl-PL" w:eastAsia="en-GB"/>
        </w:rPr>
        <w:t>.1.3</w:t>
      </w:r>
      <w:r w:rsidRPr="00F879CC">
        <w:rPr>
          <w:rFonts w:asciiTheme="minorHAnsi" w:eastAsia="Times New Roman" w:hAnsiTheme="minorHAnsi" w:cstheme="minorHAnsi"/>
          <w:b/>
          <w:iCs/>
          <w:szCs w:val="24"/>
          <w:lang w:val="pl-PL" w:eastAsia="en-GB"/>
        </w:rPr>
        <w:tab/>
      </w:r>
      <w:r w:rsidR="00763A2D">
        <w:rPr>
          <w:rFonts w:asciiTheme="minorHAnsi" w:eastAsia="Times New Roman" w:hAnsiTheme="minorHAnsi" w:cstheme="minorHAnsi"/>
          <w:b/>
          <w:iCs/>
          <w:szCs w:val="24"/>
          <w:lang w:val="pl-PL" w:eastAsia="en-GB"/>
        </w:rPr>
        <w:t xml:space="preserve"> </w:t>
      </w:r>
      <w:r w:rsidR="00813365" w:rsidRPr="00F879CC">
        <w:rPr>
          <w:rFonts w:asciiTheme="minorHAnsi" w:eastAsia="Times New Roman" w:hAnsiTheme="minorHAnsi" w:cstheme="minorHAnsi"/>
          <w:b/>
          <w:iCs/>
          <w:szCs w:val="24"/>
          <w:lang w:val="pl-PL" w:eastAsia="en-GB"/>
        </w:rPr>
        <w:t>Podstawowe grupy docelowe</w:t>
      </w:r>
    </w:p>
    <w:p w14:paraId="0F1754F7" w14:textId="049C27CD" w:rsidR="009C472A" w:rsidRPr="00F879CC" w:rsidRDefault="00565BE8" w:rsidP="00F879CC">
      <w:pPr>
        <w:spacing w:after="200" w:line="276" w:lineRule="auto"/>
        <w:rPr>
          <w:rFonts w:asciiTheme="minorHAnsi" w:eastAsia="Times New Roman" w:hAnsiTheme="minorHAnsi" w:cstheme="minorHAnsi"/>
          <w:szCs w:val="24"/>
          <w:lang w:val="pl-PL" w:eastAsia="en-GB"/>
        </w:rPr>
      </w:pPr>
      <w:r w:rsidRPr="00F879CC">
        <w:rPr>
          <w:rFonts w:asciiTheme="minorHAnsi" w:eastAsia="Times New Roman" w:hAnsiTheme="minorHAnsi" w:cstheme="minorHAnsi"/>
          <w:szCs w:val="24"/>
          <w:lang w:val="pl-PL" w:eastAsia="en-GB"/>
        </w:rPr>
        <w:t>Dotyczy: art. 17 ust. 4 lit. e) ppkt (iii), art. 17 ust. 9 lit. c) ppkt (iv)</w:t>
      </w:r>
    </w:p>
    <w:p w14:paraId="0D232E52" w14:textId="241D90AF" w:rsidR="009C472A" w:rsidRPr="00F879CC" w:rsidRDefault="00565BE8"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F879CC">
        <w:rPr>
          <w:rFonts w:asciiTheme="minorHAnsi" w:eastAsia="Times New Roman" w:hAnsiTheme="minorHAnsi" w:cstheme="minorHAnsi"/>
          <w:szCs w:val="24"/>
          <w:lang w:val="pl-PL" w:eastAsia="en-GB"/>
        </w:rPr>
        <w:t>Program jest skierowany do władz publicznych na szczeblu lokalnym, regionalnym i krajowym, jako głównych sił napędowych postępów w zakresie zrównoważonej gospodarki wodnej i wspierania rozwoju niebieskiej gospodarki w regionie. Gminy, rady regionalne, ministerstwa i agencje rządowe odgrywają ważną rolę w zarządzaniu wodą i wykorzystani</w:t>
      </w:r>
      <w:r w:rsidR="00261480">
        <w:rPr>
          <w:rFonts w:asciiTheme="minorHAnsi" w:eastAsia="Times New Roman" w:hAnsiTheme="minorHAnsi" w:cstheme="minorHAnsi"/>
          <w:szCs w:val="24"/>
          <w:lang w:val="pl-PL" w:eastAsia="en-GB"/>
        </w:rPr>
        <w:t>u</w:t>
      </w:r>
      <w:r w:rsidRPr="00F879CC">
        <w:rPr>
          <w:rFonts w:asciiTheme="minorHAnsi" w:eastAsia="Times New Roman" w:hAnsiTheme="minorHAnsi" w:cstheme="minorHAnsi"/>
          <w:szCs w:val="24"/>
          <w:lang w:val="pl-PL" w:eastAsia="en-GB"/>
        </w:rPr>
        <w:t xml:space="preserve"> zasobów. Ponadto, program skierowany jest do organizacji w sektorach wpływających na jakość wody takich, jak rolnictwo, akwakultura, niebieska biotechnologia, rybołówstwo, leśnictwo, żegluga oraz turystyka przybrzeżna i morska. Są to agencje branżowe, ośrodki i rady doradcze, organizacje wspierające biznes, dostawcy infrastruktury i usług oraz przedsiębiorstwa. Zaangażowanie obywateli jest wspierane przez stowarzyszenia lub organizacje pozarządowe. Instytucje szkolnictwa wyższego i badawcze, a także ośrodki edukacyjne i szkoleniowe mogą również się przyłączyć, ponieważ ich wiedza jest ważna dla opracowania wykonalnych i skutecznych rozwiązań w zakresie gospodarki wodnej i zrównoważonej niebieskiej gospodarki</w:t>
      </w:r>
      <w:r w:rsidR="005909CB" w:rsidRPr="00F879CC">
        <w:rPr>
          <w:rFonts w:asciiTheme="minorHAnsi" w:eastAsia="Times New Roman" w:hAnsiTheme="minorHAnsi" w:cstheme="minorHAnsi"/>
          <w:szCs w:val="24"/>
          <w:lang w:val="pl-PL" w:eastAsia="en-GB"/>
        </w:rPr>
        <w:t>.</w:t>
      </w:r>
    </w:p>
    <w:p w14:paraId="19B4C82C" w14:textId="79BD5F05" w:rsidR="009C472A" w:rsidRPr="00F879CC" w:rsidRDefault="009C472A" w:rsidP="00F879CC">
      <w:pPr>
        <w:spacing w:before="240" w:after="240" w:line="276" w:lineRule="auto"/>
        <w:ind w:left="709" w:hanging="709"/>
        <w:rPr>
          <w:rFonts w:asciiTheme="minorHAnsi" w:eastAsia="Times New Roman" w:hAnsiTheme="minorHAnsi" w:cstheme="minorHAnsi"/>
          <w:b/>
          <w:iCs/>
          <w:szCs w:val="24"/>
          <w:lang w:val="pl-PL" w:eastAsia="en-GB"/>
        </w:rPr>
      </w:pPr>
      <w:r w:rsidRPr="00F879CC">
        <w:rPr>
          <w:rFonts w:asciiTheme="minorHAnsi" w:eastAsia="Times New Roman" w:hAnsiTheme="minorHAnsi" w:cstheme="minorHAnsi"/>
          <w:b/>
          <w:iCs/>
          <w:szCs w:val="24"/>
          <w:lang w:val="pl-PL" w:eastAsia="en-GB"/>
        </w:rPr>
        <w:t>2.</w:t>
      </w:r>
      <w:r w:rsidR="005909CB" w:rsidRPr="00F879CC">
        <w:rPr>
          <w:rFonts w:asciiTheme="minorHAnsi" w:eastAsia="Times New Roman" w:hAnsiTheme="minorHAnsi" w:cstheme="minorHAnsi"/>
          <w:b/>
          <w:iCs/>
          <w:szCs w:val="24"/>
          <w:lang w:val="pl-PL" w:eastAsia="en-GB"/>
        </w:rPr>
        <w:t>2</w:t>
      </w:r>
      <w:r w:rsidRPr="00F879CC">
        <w:rPr>
          <w:rFonts w:asciiTheme="minorHAnsi" w:eastAsia="Times New Roman" w:hAnsiTheme="minorHAnsi" w:cstheme="minorHAnsi"/>
          <w:b/>
          <w:iCs/>
          <w:szCs w:val="24"/>
          <w:lang w:val="pl-PL" w:eastAsia="en-GB"/>
        </w:rPr>
        <w:t>.1.4</w:t>
      </w:r>
      <w:r w:rsidRPr="00F879CC">
        <w:rPr>
          <w:rFonts w:asciiTheme="minorHAnsi" w:eastAsia="Times New Roman" w:hAnsiTheme="minorHAnsi" w:cstheme="minorHAnsi"/>
          <w:b/>
          <w:iCs/>
          <w:szCs w:val="24"/>
          <w:lang w:val="pl-PL" w:eastAsia="en-GB"/>
        </w:rPr>
        <w:tab/>
      </w:r>
      <w:r w:rsidR="00763A2D">
        <w:rPr>
          <w:rFonts w:asciiTheme="minorHAnsi" w:eastAsia="Times New Roman" w:hAnsiTheme="minorHAnsi" w:cstheme="minorHAnsi"/>
          <w:b/>
          <w:iCs/>
          <w:szCs w:val="24"/>
          <w:lang w:val="pl-PL" w:eastAsia="en-GB"/>
        </w:rPr>
        <w:t xml:space="preserve"> </w:t>
      </w:r>
      <w:r w:rsidR="00813365" w:rsidRPr="00F879CC">
        <w:rPr>
          <w:rFonts w:asciiTheme="minorHAnsi" w:eastAsia="Times New Roman" w:hAnsiTheme="minorHAnsi" w:cstheme="minorHAnsi"/>
          <w:b/>
          <w:iCs/>
          <w:szCs w:val="24"/>
          <w:lang w:val="pl-PL" w:eastAsia="en-GB"/>
        </w:rPr>
        <w:t>Wskazanie konkretnych terytoriów docelowych w tym planowane wykorzystanie ZIT, RLKS lub innych narzędzi terytorialnych</w:t>
      </w:r>
    </w:p>
    <w:p w14:paraId="4770054B" w14:textId="15DB3E36" w:rsidR="009C472A" w:rsidRPr="00F879CC" w:rsidRDefault="00565BE8" w:rsidP="00F879CC">
      <w:pPr>
        <w:spacing w:after="200" w:line="276" w:lineRule="auto"/>
        <w:rPr>
          <w:rFonts w:asciiTheme="minorHAnsi" w:eastAsia="Times New Roman" w:hAnsiTheme="minorHAnsi" w:cstheme="minorHAnsi"/>
          <w:szCs w:val="24"/>
          <w:lang w:val="pl-PL" w:eastAsia="en-GB"/>
        </w:rPr>
      </w:pPr>
      <w:r w:rsidRPr="00F879CC">
        <w:rPr>
          <w:rFonts w:asciiTheme="minorHAnsi" w:eastAsia="Times New Roman" w:hAnsiTheme="minorHAnsi" w:cstheme="minorHAnsi"/>
          <w:szCs w:val="24"/>
          <w:lang w:val="pl-PL" w:eastAsia="en-GB"/>
        </w:rPr>
        <w:lastRenderedPageBreak/>
        <w:t>Dotyczy: art. 17 ust. 4 lit. e) ppkt (iv)</w:t>
      </w:r>
    </w:p>
    <w:p w14:paraId="2F87E8C3" w14:textId="5E51489C" w:rsidR="009C472A" w:rsidRPr="00F879CC" w:rsidRDefault="00565BE8"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F879CC">
        <w:rPr>
          <w:rFonts w:asciiTheme="minorHAnsi" w:eastAsia="Times New Roman" w:hAnsiTheme="minorHAnsi" w:cstheme="minorHAnsi"/>
          <w:szCs w:val="24"/>
          <w:lang w:val="pl-PL" w:eastAsia="en-GB"/>
        </w:rPr>
        <w:t xml:space="preserve">Program nie przewiduje wykorzystania jakichkolwiek narzędzi </w:t>
      </w:r>
      <w:r w:rsidR="00A05A16" w:rsidRPr="00F879CC">
        <w:rPr>
          <w:rFonts w:asciiTheme="minorHAnsi" w:eastAsia="Times New Roman" w:hAnsiTheme="minorHAnsi" w:cstheme="minorHAnsi"/>
          <w:szCs w:val="24"/>
          <w:lang w:val="pl-PL" w:eastAsia="en-GB"/>
        </w:rPr>
        <w:t>terytorialnych, o których</w:t>
      </w:r>
      <w:r w:rsidRPr="00F879CC">
        <w:rPr>
          <w:rFonts w:asciiTheme="minorHAnsi" w:eastAsia="Times New Roman" w:hAnsiTheme="minorHAnsi" w:cstheme="minorHAnsi"/>
          <w:szCs w:val="24"/>
          <w:lang w:val="pl-PL" w:eastAsia="en-GB"/>
        </w:rPr>
        <w:t xml:space="preserve"> mowa powyżej. Działania w ramach tego celu szczegółowego dotyczą wyzwań i szans dla całego regionu Morza Bałtyckiego. Różne działania skupiają się na potrzebach określonych obszarów Morza Bałtyckiego lub jego części, obszarów przybrzeżnych, śródlądowych obszarów miejskich i wiejskich. Gospodarka wodna na różnych terytoriach wymaga dostosowania w podejściu i zaangażowania określonych grup docelowych. Podobnie podejścia do zrównoważonego wykorzystania zasobów wodnych i morskich na różnych obszarach mogą wymagać dostosowania lub zaangażowania określonych grup docelowych</w:t>
      </w:r>
      <w:r w:rsidR="005909CB" w:rsidRPr="00F879CC">
        <w:rPr>
          <w:rFonts w:asciiTheme="minorHAnsi" w:eastAsia="Times New Roman" w:hAnsiTheme="minorHAnsi" w:cstheme="minorHAnsi"/>
          <w:szCs w:val="24"/>
          <w:lang w:val="pl-PL" w:eastAsia="en-GB"/>
        </w:rPr>
        <w:t>.</w:t>
      </w:r>
    </w:p>
    <w:p w14:paraId="0BF94481" w14:textId="01D09A9F" w:rsidR="009C472A" w:rsidRPr="00F879CC" w:rsidRDefault="009C472A" w:rsidP="00F879CC">
      <w:pPr>
        <w:spacing w:before="240" w:after="240" w:line="276" w:lineRule="auto"/>
        <w:ind w:left="709" w:hanging="709"/>
        <w:rPr>
          <w:rFonts w:asciiTheme="minorHAnsi" w:eastAsia="Times New Roman" w:hAnsiTheme="minorHAnsi" w:cstheme="minorHAnsi"/>
          <w:b/>
          <w:iCs/>
          <w:szCs w:val="24"/>
          <w:lang w:val="pl-PL" w:eastAsia="en-GB"/>
        </w:rPr>
      </w:pPr>
      <w:r w:rsidRPr="00F879CC">
        <w:rPr>
          <w:rFonts w:asciiTheme="minorHAnsi" w:eastAsia="Times New Roman" w:hAnsiTheme="minorHAnsi" w:cstheme="minorHAnsi"/>
          <w:b/>
          <w:iCs/>
          <w:szCs w:val="24"/>
          <w:lang w:val="pl-PL" w:eastAsia="en-GB"/>
        </w:rPr>
        <w:t>2.</w:t>
      </w:r>
      <w:r w:rsidR="005909CB" w:rsidRPr="00F879CC">
        <w:rPr>
          <w:rFonts w:asciiTheme="minorHAnsi" w:eastAsia="Times New Roman" w:hAnsiTheme="minorHAnsi" w:cstheme="minorHAnsi"/>
          <w:b/>
          <w:iCs/>
          <w:szCs w:val="24"/>
          <w:lang w:val="pl-PL" w:eastAsia="en-GB"/>
        </w:rPr>
        <w:t>2</w:t>
      </w:r>
      <w:r w:rsidRPr="00F879CC">
        <w:rPr>
          <w:rFonts w:asciiTheme="minorHAnsi" w:eastAsia="Times New Roman" w:hAnsiTheme="minorHAnsi" w:cstheme="minorHAnsi"/>
          <w:b/>
          <w:iCs/>
          <w:szCs w:val="24"/>
          <w:lang w:val="pl-PL" w:eastAsia="en-GB"/>
        </w:rPr>
        <w:t>.1.5</w:t>
      </w:r>
      <w:r w:rsidRPr="00F879CC">
        <w:rPr>
          <w:rFonts w:asciiTheme="minorHAnsi" w:eastAsia="Times New Roman" w:hAnsiTheme="minorHAnsi" w:cstheme="minorHAnsi"/>
          <w:b/>
          <w:iCs/>
          <w:szCs w:val="24"/>
          <w:lang w:val="pl-PL" w:eastAsia="en-GB"/>
        </w:rPr>
        <w:tab/>
      </w:r>
      <w:r w:rsidR="00763A2D">
        <w:rPr>
          <w:rFonts w:asciiTheme="minorHAnsi" w:eastAsia="Times New Roman" w:hAnsiTheme="minorHAnsi" w:cstheme="minorHAnsi"/>
          <w:b/>
          <w:iCs/>
          <w:szCs w:val="24"/>
          <w:lang w:val="pl-PL" w:eastAsia="en-GB"/>
        </w:rPr>
        <w:t xml:space="preserve"> </w:t>
      </w:r>
      <w:r w:rsidR="00871A6C" w:rsidRPr="00F879CC">
        <w:rPr>
          <w:rFonts w:asciiTheme="minorHAnsi" w:eastAsia="Times New Roman" w:hAnsiTheme="minorHAnsi" w:cstheme="minorHAnsi"/>
          <w:b/>
          <w:iCs/>
          <w:szCs w:val="24"/>
          <w:lang w:val="pl-PL" w:eastAsia="en-GB"/>
        </w:rPr>
        <w:t>Planowane wykorzystanie instrumentów finansowych</w:t>
      </w:r>
    </w:p>
    <w:p w14:paraId="74C5BD29" w14:textId="47D5ABD8" w:rsidR="009C472A" w:rsidRPr="00F879CC" w:rsidRDefault="003B327C" w:rsidP="00F879CC">
      <w:pPr>
        <w:spacing w:after="200" w:line="276" w:lineRule="auto"/>
        <w:rPr>
          <w:rFonts w:asciiTheme="minorHAnsi" w:eastAsia="Times New Roman" w:hAnsiTheme="minorHAnsi" w:cstheme="minorHAnsi"/>
          <w:szCs w:val="24"/>
          <w:lang w:val="pl-PL" w:eastAsia="en-GB"/>
        </w:rPr>
      </w:pPr>
      <w:r w:rsidRPr="00F879CC">
        <w:rPr>
          <w:rFonts w:asciiTheme="minorHAnsi" w:eastAsia="Times New Roman" w:hAnsiTheme="minorHAnsi" w:cstheme="minorHAnsi"/>
          <w:szCs w:val="24"/>
          <w:lang w:val="pl-PL" w:eastAsia="en-GB"/>
        </w:rPr>
        <w:t>Dotyczy: art. 17 ust. 4 lit. e) ppkt (v)</w:t>
      </w:r>
    </w:p>
    <w:p w14:paraId="79384E58" w14:textId="472BDB3B" w:rsidR="00714AD5" w:rsidRPr="00F879CC" w:rsidRDefault="003B327C" w:rsidP="00F879CC">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i/>
          <w:iCs/>
          <w:szCs w:val="24"/>
          <w:lang w:val="pl-PL" w:eastAsia="en-GB"/>
        </w:rPr>
      </w:pPr>
      <w:r w:rsidRPr="00F879CC">
        <w:rPr>
          <w:rFonts w:asciiTheme="minorHAnsi" w:eastAsia="Times New Roman" w:hAnsiTheme="minorHAnsi" w:cstheme="minorHAnsi"/>
          <w:szCs w:val="24"/>
          <w:lang w:val="pl-PL" w:eastAsia="en-GB"/>
        </w:rPr>
        <w:t>Nie dotyczy</w:t>
      </w:r>
    </w:p>
    <w:p w14:paraId="0D2D3367" w14:textId="3AC87FAF" w:rsidR="009C472A" w:rsidRPr="00F879CC" w:rsidRDefault="009C472A" w:rsidP="00F879CC">
      <w:pPr>
        <w:spacing w:before="240" w:after="240" w:line="276" w:lineRule="auto"/>
        <w:rPr>
          <w:rFonts w:asciiTheme="minorHAnsi" w:eastAsia="Times New Roman" w:hAnsiTheme="minorHAnsi" w:cstheme="minorHAnsi"/>
          <w:b/>
          <w:iCs/>
          <w:szCs w:val="24"/>
          <w:lang w:val="pl-PL" w:eastAsia="en-GB"/>
        </w:rPr>
      </w:pPr>
      <w:r w:rsidRPr="00F879CC">
        <w:rPr>
          <w:rFonts w:asciiTheme="minorHAnsi" w:eastAsia="Times New Roman" w:hAnsiTheme="minorHAnsi" w:cstheme="minorHAnsi"/>
          <w:b/>
          <w:iCs/>
          <w:szCs w:val="24"/>
          <w:lang w:val="pl-PL" w:eastAsia="en-GB"/>
        </w:rPr>
        <w:t>2.</w:t>
      </w:r>
      <w:r w:rsidR="005909CB" w:rsidRPr="00F879CC">
        <w:rPr>
          <w:rFonts w:asciiTheme="minorHAnsi" w:eastAsia="Times New Roman" w:hAnsiTheme="minorHAnsi" w:cstheme="minorHAnsi"/>
          <w:b/>
          <w:iCs/>
          <w:szCs w:val="24"/>
          <w:lang w:val="pl-PL" w:eastAsia="en-GB"/>
        </w:rPr>
        <w:t>2</w:t>
      </w:r>
      <w:r w:rsidRPr="00F879CC">
        <w:rPr>
          <w:rFonts w:asciiTheme="minorHAnsi" w:eastAsia="Times New Roman" w:hAnsiTheme="minorHAnsi" w:cstheme="minorHAnsi"/>
          <w:b/>
          <w:iCs/>
          <w:szCs w:val="24"/>
          <w:lang w:val="pl-PL" w:eastAsia="en-GB"/>
        </w:rPr>
        <w:t>.1.6</w:t>
      </w:r>
      <w:r w:rsidRPr="00F879CC">
        <w:rPr>
          <w:rFonts w:asciiTheme="minorHAnsi" w:eastAsia="Times New Roman" w:hAnsiTheme="minorHAnsi" w:cstheme="minorHAnsi"/>
          <w:b/>
          <w:iCs/>
          <w:szCs w:val="24"/>
          <w:lang w:val="pl-PL" w:eastAsia="en-GB"/>
        </w:rPr>
        <w:tab/>
      </w:r>
      <w:r w:rsidR="00763A2D">
        <w:rPr>
          <w:rFonts w:asciiTheme="minorHAnsi" w:eastAsia="Times New Roman" w:hAnsiTheme="minorHAnsi" w:cstheme="minorHAnsi"/>
          <w:b/>
          <w:iCs/>
          <w:szCs w:val="24"/>
          <w:lang w:val="pl-PL" w:eastAsia="en-GB"/>
        </w:rPr>
        <w:t xml:space="preserve"> </w:t>
      </w:r>
      <w:r w:rsidR="00813365" w:rsidRPr="00F879CC">
        <w:rPr>
          <w:rFonts w:asciiTheme="minorHAnsi" w:eastAsia="Times New Roman" w:hAnsiTheme="minorHAnsi" w:cstheme="minorHAnsi"/>
          <w:b/>
          <w:iCs/>
          <w:szCs w:val="24"/>
          <w:lang w:val="pl-PL" w:eastAsia="en-GB"/>
        </w:rPr>
        <w:t>Indykatywny podział środków programu UE według rodzaju interwencji</w:t>
      </w:r>
    </w:p>
    <w:p w14:paraId="1A19BDAD" w14:textId="3ECAC103" w:rsidR="009C472A" w:rsidRPr="00F879CC" w:rsidRDefault="003B327C" w:rsidP="00F879CC">
      <w:pPr>
        <w:spacing w:after="200" w:line="276" w:lineRule="auto"/>
        <w:rPr>
          <w:rFonts w:asciiTheme="minorHAnsi" w:eastAsia="Times New Roman" w:hAnsiTheme="minorHAnsi" w:cstheme="minorHAnsi"/>
          <w:szCs w:val="24"/>
          <w:lang w:val="pl-PL" w:eastAsia="en-GB"/>
        </w:rPr>
      </w:pPr>
      <w:r w:rsidRPr="00F879CC">
        <w:rPr>
          <w:rFonts w:asciiTheme="minorHAnsi" w:eastAsia="Times New Roman" w:hAnsiTheme="minorHAnsi" w:cstheme="minorHAnsi"/>
          <w:szCs w:val="24"/>
          <w:lang w:val="pl-PL" w:eastAsia="en-GB"/>
        </w:rPr>
        <w:t>Dotyczy: art. 17 ust. 4 lit. e) ppkt (vi), art. 17 ust. 9 lit. c) ppkt (v)</w:t>
      </w:r>
    </w:p>
    <w:p w14:paraId="4FC48D6E" w14:textId="0C63C005" w:rsidR="00CC222E" w:rsidRPr="00F879CC" w:rsidRDefault="00CE6947" w:rsidP="00851F62">
      <w:pPr>
        <w:spacing w:after="200" w:line="276" w:lineRule="auto"/>
        <w:rPr>
          <w:rFonts w:asciiTheme="minorHAnsi" w:hAnsiTheme="minorHAnsi" w:cstheme="minorHAnsi"/>
          <w:lang w:val="pl-PL"/>
        </w:rPr>
      </w:pPr>
      <w:r w:rsidRPr="00F879CC">
        <w:rPr>
          <w:rFonts w:asciiTheme="minorHAnsi" w:hAnsiTheme="minorHAnsi" w:cstheme="minorHAnsi"/>
          <w:lang w:val="pl-PL"/>
        </w:rPr>
        <w:t>Kody interwencji zostaną uwzględnione po opublikowaniu ostatecznych wersji przepisów</w:t>
      </w:r>
      <w:r w:rsidR="00CC222E" w:rsidRPr="00F879CC">
        <w:rPr>
          <w:rFonts w:asciiTheme="minorHAnsi" w:hAnsiTheme="minorHAnsi" w:cstheme="minorHAnsi"/>
          <w:lang w:val="pl-PL"/>
        </w:rPr>
        <w:t>.</w:t>
      </w:r>
    </w:p>
    <w:p w14:paraId="688E65B8" w14:textId="2319CA63" w:rsidR="009C472A" w:rsidRPr="00F879CC" w:rsidRDefault="00871A6C" w:rsidP="00F879CC">
      <w:pPr>
        <w:spacing w:after="200" w:line="276" w:lineRule="auto"/>
        <w:rPr>
          <w:rFonts w:asciiTheme="minorHAnsi" w:eastAsia="Times New Roman" w:hAnsiTheme="minorHAnsi" w:cstheme="minorHAnsi"/>
          <w:i/>
          <w:szCs w:val="24"/>
          <w:lang w:val="pl-PL" w:eastAsia="en-GB"/>
        </w:rPr>
      </w:pPr>
      <w:r w:rsidRPr="00F879CC">
        <w:rPr>
          <w:rFonts w:asciiTheme="minorHAnsi" w:eastAsia="Times New Roman" w:hAnsiTheme="minorHAnsi" w:cstheme="minorHAnsi"/>
          <w:iCs/>
          <w:szCs w:val="24"/>
          <w:lang w:val="pl-PL" w:eastAsia="en-GB"/>
        </w:rPr>
        <w:t>Tabela</w:t>
      </w:r>
      <w:r w:rsidR="009C472A" w:rsidRPr="00F879CC">
        <w:rPr>
          <w:rFonts w:asciiTheme="minorHAnsi" w:eastAsia="Times New Roman" w:hAnsiTheme="minorHAnsi" w:cstheme="minorHAnsi"/>
          <w:iCs/>
          <w:szCs w:val="24"/>
          <w:lang w:val="pl-PL" w:eastAsia="en-GB"/>
        </w:rPr>
        <w:t xml:space="preserve"> 4: </w:t>
      </w:r>
      <w:r w:rsidRPr="00F879CC">
        <w:rPr>
          <w:rFonts w:asciiTheme="minorHAnsi" w:eastAsia="Times New Roman" w:hAnsiTheme="minorHAnsi" w:cstheme="minorHAnsi"/>
          <w:iCs/>
          <w:szCs w:val="24"/>
          <w:lang w:val="pl-PL" w:eastAsia="en-GB"/>
        </w:rPr>
        <w:t>Wymiar</w:t>
      </w:r>
      <w:r w:rsidR="009C472A" w:rsidRPr="00F879CC">
        <w:rPr>
          <w:rFonts w:asciiTheme="minorHAnsi" w:eastAsia="Times New Roman" w:hAnsiTheme="minorHAnsi" w:cstheme="minorHAnsi"/>
          <w:iCs/>
          <w:szCs w:val="24"/>
          <w:lang w:val="pl-PL" w:eastAsia="en-GB"/>
        </w:rPr>
        <w:t xml:space="preserve"> 1 – </w:t>
      </w:r>
      <w:r w:rsidRPr="00F879CC">
        <w:rPr>
          <w:rFonts w:asciiTheme="minorHAnsi" w:eastAsia="Times New Roman" w:hAnsiTheme="minorHAnsi" w:cstheme="minorHAnsi"/>
          <w:iCs/>
          <w:szCs w:val="24"/>
          <w:lang w:val="pl-PL" w:eastAsia="en-GB"/>
        </w:rPr>
        <w:t>pole interwencji</w:t>
      </w:r>
      <w:r w:rsidR="00F54FDB" w:rsidRPr="00F879CC">
        <w:rPr>
          <w:rFonts w:asciiTheme="minorHAnsi" w:eastAsia="Times New Roman" w:hAnsiTheme="minorHAnsi" w:cstheme="minorHAnsi"/>
          <w:iCs/>
          <w:szCs w:val="24"/>
          <w:lang w:val="pl-PL" w:eastAsia="en-GB"/>
        </w:rPr>
        <w:t xml:space="preserve"> </w:t>
      </w:r>
      <w:r w:rsidR="00F54FDB" w:rsidRPr="00F879CC">
        <w:rPr>
          <w:rFonts w:asciiTheme="minorHAnsi" w:eastAsia="Times New Roman" w:hAnsiTheme="minorHAnsi" w:cstheme="minorHAnsi"/>
          <w:szCs w:val="24"/>
          <w:lang w:val="pl-PL" w:eastAsia="en-GB"/>
        </w:rPr>
        <w:t>(</w:t>
      </w:r>
      <w:r w:rsidRPr="00F879CC">
        <w:rPr>
          <w:rFonts w:asciiTheme="minorHAnsi" w:hAnsiTheme="minorHAnsi" w:cstheme="minorHAnsi"/>
          <w:lang w:val="pl-PL"/>
        </w:rPr>
        <w:t>do wypełnienia/uwzględnienia w kolejnych krokach</w:t>
      </w:r>
      <w:r w:rsidR="00F54FDB" w:rsidRPr="00F879CC">
        <w:rPr>
          <w:rFonts w:asciiTheme="minorHAnsi" w:eastAsia="Times New Roman" w:hAnsiTheme="minorHAnsi" w:cstheme="minorHAnsi"/>
          <w:szCs w:val="24"/>
          <w:lang w:val="pl-PL" w:eastAsia="en-GB"/>
        </w:rPr>
        <w:t>)</w:t>
      </w:r>
    </w:p>
    <w:tbl>
      <w:tblPr>
        <w:tblStyle w:val="TableGrid1"/>
        <w:tblW w:w="0" w:type="auto"/>
        <w:tblLook w:val="04A0" w:firstRow="1" w:lastRow="0" w:firstColumn="1" w:lastColumn="0" w:noHBand="0" w:noVBand="1"/>
        <w:tblCaption w:val="Tabela dotycząca wymiaru 1 - pola interwencji"/>
      </w:tblPr>
      <w:tblGrid>
        <w:gridCol w:w="1870"/>
        <w:gridCol w:w="1657"/>
        <w:gridCol w:w="1898"/>
        <w:gridCol w:w="1204"/>
        <w:gridCol w:w="2659"/>
      </w:tblGrid>
      <w:tr w:rsidR="009C472A" w:rsidRPr="00851F62" w14:paraId="71231BE3" w14:textId="77777777" w:rsidTr="00000498">
        <w:trPr>
          <w:tblHeader/>
        </w:trPr>
        <w:tc>
          <w:tcPr>
            <w:tcW w:w="1870" w:type="dxa"/>
          </w:tcPr>
          <w:p w14:paraId="39E135CF" w14:textId="711D8404" w:rsidR="009C472A" w:rsidRPr="00F879CC" w:rsidRDefault="00871A6C" w:rsidP="00DE180F">
            <w:pPr>
              <w:spacing w:line="240" w:lineRule="auto"/>
              <w:jc w:val="both"/>
              <w:rPr>
                <w:rFonts w:asciiTheme="minorHAnsi" w:eastAsia="Times New Roman" w:hAnsiTheme="minorHAnsi" w:cstheme="minorHAnsi"/>
                <w:b/>
                <w:iCs/>
                <w:szCs w:val="24"/>
                <w:lang w:val="pl-PL" w:eastAsia="en-GB"/>
              </w:rPr>
            </w:pPr>
            <w:r w:rsidRPr="00F879CC">
              <w:rPr>
                <w:rFonts w:asciiTheme="minorHAnsi" w:eastAsia="Times New Roman" w:hAnsiTheme="minorHAnsi" w:cstheme="minorHAnsi"/>
                <w:b/>
                <w:iCs/>
                <w:szCs w:val="24"/>
                <w:lang w:val="pl-PL" w:eastAsia="en-GB"/>
              </w:rPr>
              <w:t>Nr priorytetu</w:t>
            </w:r>
          </w:p>
        </w:tc>
        <w:tc>
          <w:tcPr>
            <w:tcW w:w="1657" w:type="dxa"/>
          </w:tcPr>
          <w:p w14:paraId="0FDA2A9B" w14:textId="1A8A1CF4" w:rsidR="009C472A" w:rsidRPr="00F879CC" w:rsidRDefault="00871A6C" w:rsidP="00DE180F">
            <w:pPr>
              <w:spacing w:line="240" w:lineRule="auto"/>
              <w:jc w:val="both"/>
              <w:rPr>
                <w:rFonts w:asciiTheme="minorHAnsi" w:eastAsia="Times New Roman" w:hAnsiTheme="minorHAnsi" w:cstheme="minorHAnsi"/>
                <w:b/>
                <w:iCs/>
                <w:szCs w:val="24"/>
                <w:lang w:val="pl-PL" w:eastAsia="en-GB"/>
              </w:rPr>
            </w:pPr>
            <w:r w:rsidRPr="00F879CC">
              <w:rPr>
                <w:rFonts w:asciiTheme="minorHAnsi" w:eastAsia="Times New Roman" w:hAnsiTheme="minorHAnsi" w:cstheme="minorHAnsi"/>
                <w:b/>
                <w:iCs/>
                <w:szCs w:val="24"/>
                <w:lang w:val="pl-PL" w:eastAsia="en-GB"/>
              </w:rPr>
              <w:t>Fundusz</w:t>
            </w:r>
          </w:p>
        </w:tc>
        <w:tc>
          <w:tcPr>
            <w:tcW w:w="1898" w:type="dxa"/>
          </w:tcPr>
          <w:p w14:paraId="3FA13F12" w14:textId="40C60063" w:rsidR="009C472A" w:rsidRPr="00F879CC" w:rsidRDefault="00871A6C" w:rsidP="00DE180F">
            <w:pPr>
              <w:spacing w:line="240" w:lineRule="auto"/>
              <w:jc w:val="both"/>
              <w:rPr>
                <w:rFonts w:asciiTheme="minorHAnsi" w:eastAsia="Times New Roman" w:hAnsiTheme="minorHAnsi" w:cstheme="minorHAnsi"/>
                <w:b/>
                <w:iCs/>
                <w:szCs w:val="24"/>
                <w:lang w:val="pl-PL" w:eastAsia="en-GB"/>
              </w:rPr>
            </w:pPr>
            <w:r w:rsidRPr="00F879CC">
              <w:rPr>
                <w:rFonts w:asciiTheme="minorHAnsi" w:eastAsia="Times New Roman" w:hAnsiTheme="minorHAnsi" w:cstheme="minorHAnsi"/>
                <w:b/>
                <w:iCs/>
                <w:szCs w:val="24"/>
                <w:lang w:val="pl-PL" w:eastAsia="en-GB"/>
              </w:rPr>
              <w:t>Cel szczegółowy</w:t>
            </w:r>
          </w:p>
        </w:tc>
        <w:tc>
          <w:tcPr>
            <w:tcW w:w="1204" w:type="dxa"/>
          </w:tcPr>
          <w:p w14:paraId="27FD6950" w14:textId="630B0D23" w:rsidR="009C472A" w:rsidRPr="00F879CC" w:rsidRDefault="00871A6C" w:rsidP="00DE180F">
            <w:pPr>
              <w:spacing w:line="240" w:lineRule="auto"/>
              <w:jc w:val="both"/>
              <w:rPr>
                <w:rFonts w:asciiTheme="minorHAnsi" w:eastAsia="Times New Roman" w:hAnsiTheme="minorHAnsi" w:cstheme="minorHAnsi"/>
                <w:b/>
                <w:iCs/>
                <w:szCs w:val="24"/>
                <w:lang w:val="pl-PL" w:eastAsia="en-GB"/>
              </w:rPr>
            </w:pPr>
            <w:r w:rsidRPr="00F879CC">
              <w:rPr>
                <w:rFonts w:asciiTheme="minorHAnsi" w:eastAsia="Times New Roman" w:hAnsiTheme="minorHAnsi" w:cstheme="minorHAnsi"/>
                <w:b/>
                <w:iCs/>
                <w:szCs w:val="24"/>
                <w:lang w:val="pl-PL" w:eastAsia="en-GB"/>
              </w:rPr>
              <w:t>Kod</w:t>
            </w:r>
            <w:r w:rsidR="009C472A" w:rsidRPr="00F879CC">
              <w:rPr>
                <w:rFonts w:asciiTheme="minorHAnsi" w:eastAsia="Times New Roman" w:hAnsiTheme="minorHAnsi" w:cstheme="minorHAnsi"/>
                <w:b/>
                <w:iCs/>
                <w:szCs w:val="24"/>
                <w:lang w:val="pl-PL" w:eastAsia="en-GB"/>
              </w:rPr>
              <w:t xml:space="preserve"> </w:t>
            </w:r>
          </w:p>
        </w:tc>
        <w:tc>
          <w:tcPr>
            <w:tcW w:w="2659" w:type="dxa"/>
          </w:tcPr>
          <w:p w14:paraId="3FBDD863" w14:textId="493C8C22" w:rsidR="009C472A" w:rsidRPr="00F879CC" w:rsidRDefault="00871A6C" w:rsidP="00DE180F">
            <w:pPr>
              <w:spacing w:line="240" w:lineRule="auto"/>
              <w:jc w:val="both"/>
              <w:rPr>
                <w:rFonts w:asciiTheme="minorHAnsi" w:eastAsia="Times New Roman" w:hAnsiTheme="minorHAnsi" w:cstheme="minorHAnsi"/>
                <w:b/>
                <w:iCs/>
                <w:szCs w:val="24"/>
                <w:lang w:val="pl-PL" w:eastAsia="en-GB"/>
              </w:rPr>
            </w:pPr>
            <w:r w:rsidRPr="00F879CC">
              <w:rPr>
                <w:rFonts w:asciiTheme="minorHAnsi" w:eastAsia="Times New Roman" w:hAnsiTheme="minorHAnsi" w:cstheme="minorHAnsi"/>
                <w:b/>
                <w:iCs/>
                <w:szCs w:val="24"/>
                <w:lang w:val="pl-PL" w:eastAsia="en-GB"/>
              </w:rPr>
              <w:t>Kwota</w:t>
            </w:r>
            <w:r w:rsidR="009C472A" w:rsidRPr="00F879CC">
              <w:rPr>
                <w:rFonts w:asciiTheme="minorHAnsi" w:eastAsia="Times New Roman" w:hAnsiTheme="minorHAnsi" w:cstheme="minorHAnsi"/>
                <w:b/>
                <w:iCs/>
                <w:szCs w:val="24"/>
                <w:lang w:val="pl-PL" w:eastAsia="en-GB"/>
              </w:rPr>
              <w:t xml:space="preserve"> (EUR)</w:t>
            </w:r>
          </w:p>
        </w:tc>
      </w:tr>
      <w:tr w:rsidR="009C472A" w:rsidRPr="00851F62" w14:paraId="36AEDA1E" w14:textId="77777777" w:rsidTr="00DE180F">
        <w:tc>
          <w:tcPr>
            <w:tcW w:w="1870" w:type="dxa"/>
          </w:tcPr>
          <w:p w14:paraId="6AF1D011" w14:textId="77777777" w:rsidR="009C472A" w:rsidRPr="00F879CC" w:rsidRDefault="009C472A" w:rsidP="00DE180F">
            <w:pPr>
              <w:spacing w:line="240" w:lineRule="auto"/>
              <w:jc w:val="both"/>
              <w:rPr>
                <w:rFonts w:asciiTheme="minorHAnsi" w:eastAsia="Times New Roman" w:hAnsiTheme="minorHAnsi" w:cstheme="minorHAnsi"/>
                <w:iCs/>
                <w:szCs w:val="24"/>
                <w:lang w:val="pl-PL" w:eastAsia="en-GB"/>
              </w:rPr>
            </w:pPr>
          </w:p>
        </w:tc>
        <w:tc>
          <w:tcPr>
            <w:tcW w:w="1657" w:type="dxa"/>
          </w:tcPr>
          <w:p w14:paraId="59C81F13" w14:textId="77777777" w:rsidR="009C472A" w:rsidRPr="00F879CC" w:rsidRDefault="009C472A" w:rsidP="00DE180F">
            <w:pPr>
              <w:spacing w:line="240" w:lineRule="auto"/>
              <w:jc w:val="both"/>
              <w:rPr>
                <w:rFonts w:asciiTheme="minorHAnsi" w:eastAsia="Times New Roman" w:hAnsiTheme="minorHAnsi" w:cstheme="minorHAnsi"/>
                <w:b/>
                <w:iCs/>
                <w:szCs w:val="24"/>
                <w:lang w:val="pl-PL" w:eastAsia="en-GB"/>
              </w:rPr>
            </w:pPr>
          </w:p>
        </w:tc>
        <w:tc>
          <w:tcPr>
            <w:tcW w:w="1898" w:type="dxa"/>
          </w:tcPr>
          <w:p w14:paraId="6D5D0254" w14:textId="77777777" w:rsidR="009C472A" w:rsidRPr="00F879CC" w:rsidRDefault="009C472A" w:rsidP="00DE180F">
            <w:pPr>
              <w:spacing w:line="240" w:lineRule="auto"/>
              <w:jc w:val="both"/>
              <w:rPr>
                <w:rFonts w:asciiTheme="minorHAnsi" w:eastAsia="Times New Roman" w:hAnsiTheme="minorHAnsi" w:cstheme="minorHAnsi"/>
                <w:b/>
                <w:iCs/>
                <w:szCs w:val="24"/>
                <w:lang w:val="pl-PL" w:eastAsia="en-GB"/>
              </w:rPr>
            </w:pPr>
          </w:p>
        </w:tc>
        <w:tc>
          <w:tcPr>
            <w:tcW w:w="1204" w:type="dxa"/>
          </w:tcPr>
          <w:p w14:paraId="242F35F8" w14:textId="77777777" w:rsidR="009C472A" w:rsidRPr="00F879CC" w:rsidRDefault="009C472A" w:rsidP="00DE180F">
            <w:pPr>
              <w:spacing w:line="240" w:lineRule="auto"/>
              <w:jc w:val="both"/>
              <w:rPr>
                <w:rFonts w:asciiTheme="minorHAnsi" w:eastAsia="Times New Roman" w:hAnsiTheme="minorHAnsi" w:cstheme="minorHAnsi"/>
                <w:b/>
                <w:iCs/>
                <w:szCs w:val="24"/>
                <w:lang w:val="pl-PL" w:eastAsia="en-GB"/>
              </w:rPr>
            </w:pPr>
          </w:p>
        </w:tc>
        <w:tc>
          <w:tcPr>
            <w:tcW w:w="2659" w:type="dxa"/>
          </w:tcPr>
          <w:p w14:paraId="423642D6" w14:textId="77777777" w:rsidR="009C472A" w:rsidRPr="00F879CC" w:rsidRDefault="009C472A" w:rsidP="00DE180F">
            <w:pPr>
              <w:spacing w:line="240" w:lineRule="auto"/>
              <w:jc w:val="both"/>
              <w:rPr>
                <w:rFonts w:asciiTheme="minorHAnsi" w:eastAsia="Times New Roman" w:hAnsiTheme="minorHAnsi" w:cstheme="minorHAnsi"/>
                <w:b/>
                <w:iCs/>
                <w:szCs w:val="24"/>
                <w:lang w:val="pl-PL" w:eastAsia="en-GB"/>
              </w:rPr>
            </w:pPr>
          </w:p>
        </w:tc>
      </w:tr>
    </w:tbl>
    <w:p w14:paraId="6CF28A96" w14:textId="77777777" w:rsidR="009C472A" w:rsidRPr="00F879CC" w:rsidRDefault="009C472A" w:rsidP="009C472A">
      <w:pPr>
        <w:spacing w:after="200" w:line="276" w:lineRule="auto"/>
        <w:rPr>
          <w:rFonts w:asciiTheme="minorHAnsi" w:eastAsia="Times New Roman" w:hAnsiTheme="minorHAnsi" w:cstheme="minorHAnsi"/>
          <w:iCs/>
          <w:szCs w:val="24"/>
          <w:lang w:val="en-IE" w:eastAsia="en-GB"/>
        </w:rPr>
      </w:pPr>
    </w:p>
    <w:p w14:paraId="2FBB8698" w14:textId="13B11A0A" w:rsidR="009C472A" w:rsidRPr="00F879CC" w:rsidRDefault="00871A6C" w:rsidP="00F879CC">
      <w:pPr>
        <w:spacing w:after="200" w:line="276" w:lineRule="auto"/>
        <w:rPr>
          <w:rFonts w:asciiTheme="minorHAnsi" w:eastAsia="Times New Roman" w:hAnsiTheme="minorHAnsi" w:cstheme="minorHAnsi"/>
          <w:i/>
          <w:szCs w:val="24"/>
          <w:lang w:val="pl-PL" w:eastAsia="en-GB"/>
        </w:rPr>
      </w:pPr>
      <w:r w:rsidRPr="00F879CC">
        <w:rPr>
          <w:rFonts w:asciiTheme="minorHAnsi" w:eastAsia="Times New Roman" w:hAnsiTheme="minorHAnsi" w:cstheme="minorHAnsi"/>
          <w:iCs/>
          <w:szCs w:val="24"/>
          <w:lang w:val="pl-PL" w:eastAsia="en-GB"/>
        </w:rPr>
        <w:t>Tabela</w:t>
      </w:r>
      <w:r w:rsidR="009C472A" w:rsidRPr="00F879CC">
        <w:rPr>
          <w:rFonts w:asciiTheme="minorHAnsi" w:eastAsia="Times New Roman" w:hAnsiTheme="minorHAnsi" w:cstheme="minorHAnsi"/>
          <w:iCs/>
          <w:szCs w:val="24"/>
          <w:lang w:val="pl-PL" w:eastAsia="en-GB"/>
        </w:rPr>
        <w:t xml:space="preserve"> 5: </w:t>
      </w:r>
      <w:r w:rsidRPr="00F879CC">
        <w:rPr>
          <w:rFonts w:asciiTheme="minorHAnsi" w:eastAsia="Times New Roman" w:hAnsiTheme="minorHAnsi" w:cstheme="minorHAnsi"/>
          <w:iCs/>
          <w:szCs w:val="24"/>
          <w:lang w:val="pl-PL" w:eastAsia="en-GB"/>
        </w:rPr>
        <w:t>Wymiar</w:t>
      </w:r>
      <w:r w:rsidR="009C472A" w:rsidRPr="00F879CC">
        <w:rPr>
          <w:rFonts w:asciiTheme="minorHAnsi" w:eastAsia="Times New Roman" w:hAnsiTheme="minorHAnsi" w:cstheme="minorHAnsi"/>
          <w:iCs/>
          <w:szCs w:val="24"/>
          <w:lang w:val="pl-PL" w:eastAsia="en-GB"/>
        </w:rPr>
        <w:t xml:space="preserve"> 2 – </w:t>
      </w:r>
      <w:r w:rsidRPr="00F879CC">
        <w:rPr>
          <w:rFonts w:asciiTheme="minorHAnsi" w:eastAsia="Times New Roman" w:hAnsiTheme="minorHAnsi" w:cstheme="minorHAnsi"/>
          <w:iCs/>
          <w:szCs w:val="24"/>
          <w:lang w:val="pl-PL" w:eastAsia="en-GB"/>
        </w:rPr>
        <w:t>forma finansowania</w:t>
      </w:r>
      <w:r w:rsidR="00F54FDB" w:rsidRPr="00F879CC">
        <w:rPr>
          <w:rFonts w:asciiTheme="minorHAnsi" w:eastAsia="Times New Roman" w:hAnsiTheme="minorHAnsi" w:cstheme="minorHAnsi"/>
          <w:iCs/>
          <w:szCs w:val="24"/>
          <w:lang w:val="pl-PL" w:eastAsia="en-GB"/>
        </w:rPr>
        <w:t xml:space="preserve"> </w:t>
      </w:r>
      <w:r w:rsidR="00F54FDB" w:rsidRPr="00F879CC">
        <w:rPr>
          <w:rFonts w:asciiTheme="minorHAnsi" w:eastAsia="Times New Roman" w:hAnsiTheme="minorHAnsi" w:cstheme="minorHAnsi"/>
          <w:szCs w:val="24"/>
          <w:lang w:val="pl-PL" w:eastAsia="en-GB"/>
        </w:rPr>
        <w:t>(</w:t>
      </w:r>
      <w:r w:rsidRPr="00F879CC">
        <w:rPr>
          <w:rFonts w:asciiTheme="minorHAnsi" w:hAnsiTheme="minorHAnsi" w:cstheme="minorHAnsi"/>
          <w:lang w:val="pl-PL"/>
        </w:rPr>
        <w:t>do wypełnienia/uwzględnienia w kolejnych krokach</w:t>
      </w:r>
      <w:r w:rsidR="00F54FDB" w:rsidRPr="00F879CC">
        <w:rPr>
          <w:rFonts w:asciiTheme="minorHAnsi" w:eastAsia="Times New Roman" w:hAnsiTheme="minorHAnsi" w:cstheme="minorHAnsi"/>
          <w:szCs w:val="24"/>
          <w:lang w:val="pl-PL" w:eastAsia="en-GB"/>
        </w:rPr>
        <w:t>)</w:t>
      </w:r>
    </w:p>
    <w:tbl>
      <w:tblPr>
        <w:tblStyle w:val="TableGrid1"/>
        <w:tblW w:w="0" w:type="auto"/>
        <w:tblLook w:val="04A0" w:firstRow="1" w:lastRow="0" w:firstColumn="1" w:lastColumn="0" w:noHBand="0" w:noVBand="1"/>
        <w:tblCaption w:val="Tabela dotycząca wymiaru 2 - formy finansowania"/>
      </w:tblPr>
      <w:tblGrid>
        <w:gridCol w:w="1870"/>
        <w:gridCol w:w="1657"/>
        <w:gridCol w:w="1898"/>
        <w:gridCol w:w="1204"/>
        <w:gridCol w:w="2659"/>
      </w:tblGrid>
      <w:tr w:rsidR="009C472A" w:rsidRPr="00851F62" w14:paraId="30068811" w14:textId="77777777" w:rsidTr="00000498">
        <w:trPr>
          <w:tblHeader/>
        </w:trPr>
        <w:tc>
          <w:tcPr>
            <w:tcW w:w="1870" w:type="dxa"/>
          </w:tcPr>
          <w:p w14:paraId="4827307D" w14:textId="079BB82B" w:rsidR="009C472A" w:rsidRPr="00F879CC" w:rsidRDefault="00871A6C" w:rsidP="00DE180F">
            <w:pPr>
              <w:spacing w:line="240" w:lineRule="auto"/>
              <w:jc w:val="both"/>
              <w:rPr>
                <w:rFonts w:asciiTheme="minorHAnsi" w:eastAsia="Times New Roman" w:hAnsiTheme="minorHAnsi" w:cstheme="minorHAnsi"/>
                <w:b/>
                <w:iCs/>
                <w:szCs w:val="24"/>
                <w:lang w:val="pl-PL" w:eastAsia="en-GB"/>
              </w:rPr>
            </w:pPr>
            <w:r w:rsidRPr="00F879CC">
              <w:rPr>
                <w:rFonts w:asciiTheme="minorHAnsi" w:eastAsia="Times New Roman" w:hAnsiTheme="minorHAnsi" w:cstheme="minorHAnsi"/>
                <w:b/>
                <w:iCs/>
                <w:szCs w:val="24"/>
                <w:lang w:val="pl-PL" w:eastAsia="en-GB"/>
              </w:rPr>
              <w:t>Nr priorytetu</w:t>
            </w:r>
          </w:p>
        </w:tc>
        <w:tc>
          <w:tcPr>
            <w:tcW w:w="1657" w:type="dxa"/>
          </w:tcPr>
          <w:p w14:paraId="227BF8E3" w14:textId="007AFA6C" w:rsidR="009C472A" w:rsidRPr="00F879CC" w:rsidRDefault="00871A6C" w:rsidP="00DE180F">
            <w:pPr>
              <w:spacing w:line="240" w:lineRule="auto"/>
              <w:jc w:val="both"/>
              <w:rPr>
                <w:rFonts w:asciiTheme="minorHAnsi" w:eastAsia="Times New Roman" w:hAnsiTheme="minorHAnsi" w:cstheme="minorHAnsi"/>
                <w:b/>
                <w:iCs/>
                <w:szCs w:val="24"/>
                <w:lang w:val="pl-PL" w:eastAsia="en-GB"/>
              </w:rPr>
            </w:pPr>
            <w:r w:rsidRPr="00F879CC">
              <w:rPr>
                <w:rFonts w:asciiTheme="minorHAnsi" w:eastAsia="Times New Roman" w:hAnsiTheme="minorHAnsi" w:cstheme="minorHAnsi"/>
                <w:b/>
                <w:iCs/>
                <w:szCs w:val="24"/>
                <w:lang w:val="pl-PL" w:eastAsia="en-GB"/>
              </w:rPr>
              <w:t>Fundusz</w:t>
            </w:r>
          </w:p>
        </w:tc>
        <w:tc>
          <w:tcPr>
            <w:tcW w:w="1898" w:type="dxa"/>
          </w:tcPr>
          <w:p w14:paraId="0907EF44" w14:textId="193D7021" w:rsidR="009C472A" w:rsidRPr="00F879CC" w:rsidRDefault="00871A6C" w:rsidP="00DE180F">
            <w:pPr>
              <w:spacing w:line="240" w:lineRule="auto"/>
              <w:jc w:val="both"/>
              <w:rPr>
                <w:rFonts w:asciiTheme="minorHAnsi" w:eastAsia="Times New Roman" w:hAnsiTheme="minorHAnsi" w:cstheme="minorHAnsi"/>
                <w:b/>
                <w:iCs/>
                <w:szCs w:val="24"/>
                <w:lang w:val="pl-PL" w:eastAsia="en-GB"/>
              </w:rPr>
            </w:pPr>
            <w:r w:rsidRPr="00F879CC">
              <w:rPr>
                <w:rFonts w:asciiTheme="minorHAnsi" w:eastAsia="Times New Roman" w:hAnsiTheme="minorHAnsi" w:cstheme="minorHAnsi"/>
                <w:b/>
                <w:iCs/>
                <w:szCs w:val="24"/>
                <w:lang w:val="pl-PL" w:eastAsia="en-GB"/>
              </w:rPr>
              <w:t>Cel szczegółowy</w:t>
            </w:r>
          </w:p>
        </w:tc>
        <w:tc>
          <w:tcPr>
            <w:tcW w:w="1204" w:type="dxa"/>
          </w:tcPr>
          <w:p w14:paraId="1072AC2B" w14:textId="44A12BAC" w:rsidR="009C472A" w:rsidRPr="00F879CC" w:rsidRDefault="00871A6C" w:rsidP="00DE180F">
            <w:pPr>
              <w:spacing w:line="240" w:lineRule="auto"/>
              <w:jc w:val="both"/>
              <w:rPr>
                <w:rFonts w:asciiTheme="minorHAnsi" w:eastAsia="Times New Roman" w:hAnsiTheme="minorHAnsi" w:cstheme="minorHAnsi"/>
                <w:b/>
                <w:iCs/>
                <w:szCs w:val="24"/>
                <w:lang w:val="pl-PL" w:eastAsia="en-GB"/>
              </w:rPr>
            </w:pPr>
            <w:r w:rsidRPr="00F879CC">
              <w:rPr>
                <w:rFonts w:asciiTheme="minorHAnsi" w:eastAsia="Times New Roman" w:hAnsiTheme="minorHAnsi" w:cstheme="minorHAnsi"/>
                <w:b/>
                <w:iCs/>
                <w:szCs w:val="24"/>
                <w:lang w:val="pl-PL" w:eastAsia="en-GB"/>
              </w:rPr>
              <w:t>Kod</w:t>
            </w:r>
            <w:r w:rsidR="009C472A" w:rsidRPr="00F879CC">
              <w:rPr>
                <w:rFonts w:asciiTheme="minorHAnsi" w:eastAsia="Times New Roman" w:hAnsiTheme="minorHAnsi" w:cstheme="minorHAnsi"/>
                <w:b/>
                <w:iCs/>
                <w:szCs w:val="24"/>
                <w:lang w:val="pl-PL" w:eastAsia="en-GB"/>
              </w:rPr>
              <w:t xml:space="preserve"> </w:t>
            </w:r>
          </w:p>
        </w:tc>
        <w:tc>
          <w:tcPr>
            <w:tcW w:w="2659" w:type="dxa"/>
          </w:tcPr>
          <w:p w14:paraId="1A43A465" w14:textId="41798A56" w:rsidR="009C472A" w:rsidRPr="00F879CC" w:rsidRDefault="00871A6C" w:rsidP="00DE180F">
            <w:pPr>
              <w:spacing w:line="240" w:lineRule="auto"/>
              <w:jc w:val="both"/>
              <w:rPr>
                <w:rFonts w:asciiTheme="minorHAnsi" w:eastAsia="Times New Roman" w:hAnsiTheme="minorHAnsi" w:cstheme="minorHAnsi"/>
                <w:b/>
                <w:iCs/>
                <w:szCs w:val="24"/>
                <w:lang w:val="pl-PL" w:eastAsia="en-GB"/>
              </w:rPr>
            </w:pPr>
            <w:r w:rsidRPr="00F879CC">
              <w:rPr>
                <w:rFonts w:asciiTheme="minorHAnsi" w:eastAsia="Times New Roman" w:hAnsiTheme="minorHAnsi" w:cstheme="minorHAnsi"/>
                <w:b/>
                <w:iCs/>
                <w:szCs w:val="24"/>
                <w:lang w:val="pl-PL" w:eastAsia="en-GB"/>
              </w:rPr>
              <w:t>Kwota</w:t>
            </w:r>
            <w:r w:rsidR="009C472A" w:rsidRPr="00F879CC">
              <w:rPr>
                <w:rFonts w:asciiTheme="minorHAnsi" w:eastAsia="Times New Roman" w:hAnsiTheme="minorHAnsi" w:cstheme="minorHAnsi"/>
                <w:b/>
                <w:iCs/>
                <w:szCs w:val="24"/>
                <w:lang w:val="pl-PL" w:eastAsia="en-GB"/>
              </w:rPr>
              <w:t xml:space="preserve"> (EUR)</w:t>
            </w:r>
          </w:p>
        </w:tc>
      </w:tr>
      <w:tr w:rsidR="009C472A" w:rsidRPr="00851F62" w14:paraId="546A93D0" w14:textId="77777777" w:rsidTr="00DE180F">
        <w:tc>
          <w:tcPr>
            <w:tcW w:w="1870" w:type="dxa"/>
          </w:tcPr>
          <w:p w14:paraId="059EB1B2" w14:textId="77777777" w:rsidR="009C472A" w:rsidRPr="00F879CC" w:rsidRDefault="009C472A" w:rsidP="00DE180F">
            <w:pPr>
              <w:spacing w:line="240" w:lineRule="auto"/>
              <w:jc w:val="both"/>
              <w:rPr>
                <w:rFonts w:asciiTheme="minorHAnsi" w:eastAsia="Times New Roman" w:hAnsiTheme="minorHAnsi" w:cstheme="minorHAnsi"/>
                <w:b/>
                <w:iCs/>
                <w:szCs w:val="24"/>
                <w:lang w:val="pl-PL" w:eastAsia="en-GB"/>
              </w:rPr>
            </w:pPr>
          </w:p>
        </w:tc>
        <w:tc>
          <w:tcPr>
            <w:tcW w:w="1657" w:type="dxa"/>
          </w:tcPr>
          <w:p w14:paraId="3413B203" w14:textId="77777777" w:rsidR="009C472A" w:rsidRPr="00F879CC" w:rsidRDefault="009C472A" w:rsidP="00DE180F">
            <w:pPr>
              <w:spacing w:line="240" w:lineRule="auto"/>
              <w:jc w:val="both"/>
              <w:rPr>
                <w:rFonts w:asciiTheme="minorHAnsi" w:eastAsia="Times New Roman" w:hAnsiTheme="minorHAnsi" w:cstheme="minorHAnsi"/>
                <w:b/>
                <w:iCs/>
                <w:szCs w:val="24"/>
                <w:lang w:val="pl-PL" w:eastAsia="en-GB"/>
              </w:rPr>
            </w:pPr>
          </w:p>
        </w:tc>
        <w:tc>
          <w:tcPr>
            <w:tcW w:w="1898" w:type="dxa"/>
          </w:tcPr>
          <w:p w14:paraId="72A0E757" w14:textId="77777777" w:rsidR="009C472A" w:rsidRPr="00F879CC" w:rsidRDefault="009C472A" w:rsidP="00DE180F">
            <w:pPr>
              <w:spacing w:line="240" w:lineRule="auto"/>
              <w:jc w:val="both"/>
              <w:rPr>
                <w:rFonts w:asciiTheme="minorHAnsi" w:eastAsia="Times New Roman" w:hAnsiTheme="minorHAnsi" w:cstheme="minorHAnsi"/>
                <w:b/>
                <w:iCs/>
                <w:szCs w:val="24"/>
                <w:lang w:val="pl-PL" w:eastAsia="en-GB"/>
              </w:rPr>
            </w:pPr>
          </w:p>
        </w:tc>
        <w:tc>
          <w:tcPr>
            <w:tcW w:w="1204" w:type="dxa"/>
          </w:tcPr>
          <w:p w14:paraId="21D7F509" w14:textId="77777777" w:rsidR="009C472A" w:rsidRPr="00F879CC" w:rsidRDefault="009C472A" w:rsidP="00DE180F">
            <w:pPr>
              <w:spacing w:line="240" w:lineRule="auto"/>
              <w:jc w:val="both"/>
              <w:rPr>
                <w:rFonts w:asciiTheme="minorHAnsi" w:eastAsia="Times New Roman" w:hAnsiTheme="minorHAnsi" w:cstheme="minorHAnsi"/>
                <w:b/>
                <w:iCs/>
                <w:szCs w:val="24"/>
                <w:lang w:val="pl-PL" w:eastAsia="en-GB"/>
              </w:rPr>
            </w:pPr>
          </w:p>
        </w:tc>
        <w:tc>
          <w:tcPr>
            <w:tcW w:w="2659" w:type="dxa"/>
          </w:tcPr>
          <w:p w14:paraId="74E01AA1" w14:textId="77777777" w:rsidR="009C472A" w:rsidRPr="00F879CC" w:rsidRDefault="009C472A" w:rsidP="00DE180F">
            <w:pPr>
              <w:spacing w:line="240" w:lineRule="auto"/>
              <w:jc w:val="both"/>
              <w:rPr>
                <w:rFonts w:asciiTheme="minorHAnsi" w:eastAsia="Times New Roman" w:hAnsiTheme="minorHAnsi" w:cstheme="minorHAnsi"/>
                <w:b/>
                <w:iCs/>
                <w:szCs w:val="24"/>
                <w:lang w:val="pl-PL" w:eastAsia="en-GB"/>
              </w:rPr>
            </w:pPr>
          </w:p>
        </w:tc>
      </w:tr>
    </w:tbl>
    <w:p w14:paraId="17B5802F" w14:textId="77777777" w:rsidR="009C472A" w:rsidRPr="00F879CC" w:rsidRDefault="009C472A" w:rsidP="009C472A">
      <w:pPr>
        <w:spacing w:after="200" w:line="276" w:lineRule="auto"/>
        <w:jc w:val="center"/>
        <w:rPr>
          <w:rFonts w:asciiTheme="minorHAnsi" w:eastAsia="Times New Roman" w:hAnsiTheme="minorHAnsi" w:cstheme="minorHAnsi"/>
          <w:iCs/>
          <w:szCs w:val="24"/>
          <w:lang w:val="en-IE" w:eastAsia="en-GB"/>
        </w:rPr>
      </w:pPr>
    </w:p>
    <w:p w14:paraId="29035AF3" w14:textId="0313D65A" w:rsidR="009C472A" w:rsidRPr="00F879CC" w:rsidRDefault="00871A6C" w:rsidP="00F879CC">
      <w:pPr>
        <w:spacing w:after="200" w:line="276" w:lineRule="auto"/>
        <w:rPr>
          <w:rFonts w:asciiTheme="minorHAnsi" w:eastAsia="Times New Roman" w:hAnsiTheme="minorHAnsi" w:cstheme="minorHAnsi"/>
          <w:iCs/>
          <w:szCs w:val="24"/>
          <w:lang w:val="pl-PL" w:eastAsia="en-GB"/>
        </w:rPr>
      </w:pPr>
      <w:r w:rsidRPr="00F879CC">
        <w:rPr>
          <w:rFonts w:asciiTheme="minorHAnsi" w:eastAsia="Times New Roman" w:hAnsiTheme="minorHAnsi" w:cstheme="minorHAnsi"/>
          <w:iCs/>
          <w:szCs w:val="24"/>
          <w:lang w:val="pl-PL" w:eastAsia="en-GB"/>
        </w:rPr>
        <w:t>Tabela</w:t>
      </w:r>
      <w:r w:rsidR="009C472A" w:rsidRPr="00F879CC">
        <w:rPr>
          <w:rFonts w:asciiTheme="minorHAnsi" w:eastAsia="Times New Roman" w:hAnsiTheme="minorHAnsi" w:cstheme="minorHAnsi"/>
          <w:iCs/>
          <w:szCs w:val="24"/>
          <w:lang w:val="pl-PL" w:eastAsia="en-GB"/>
        </w:rPr>
        <w:t xml:space="preserve"> 6: </w:t>
      </w:r>
      <w:r w:rsidRPr="00F879CC">
        <w:rPr>
          <w:rFonts w:asciiTheme="minorHAnsi" w:eastAsia="Times New Roman" w:hAnsiTheme="minorHAnsi" w:cstheme="minorHAnsi"/>
          <w:iCs/>
          <w:szCs w:val="24"/>
          <w:lang w:val="pl-PL" w:eastAsia="en-GB"/>
        </w:rPr>
        <w:t>Wymiar</w:t>
      </w:r>
      <w:r w:rsidR="009C472A" w:rsidRPr="00F879CC">
        <w:rPr>
          <w:rFonts w:asciiTheme="minorHAnsi" w:eastAsia="Times New Roman" w:hAnsiTheme="minorHAnsi" w:cstheme="minorHAnsi"/>
          <w:iCs/>
          <w:szCs w:val="24"/>
          <w:lang w:val="pl-PL" w:eastAsia="en-GB"/>
        </w:rPr>
        <w:t xml:space="preserve"> 3 – </w:t>
      </w:r>
      <w:r w:rsidRPr="00F879CC">
        <w:rPr>
          <w:rFonts w:asciiTheme="minorHAnsi" w:eastAsia="Times New Roman" w:hAnsiTheme="minorHAnsi" w:cstheme="minorHAnsi"/>
          <w:iCs/>
          <w:szCs w:val="24"/>
          <w:lang w:val="pl-PL" w:eastAsia="en-GB"/>
        </w:rPr>
        <w:t xml:space="preserve">terytorialny mechanizm realizacji i skupienie </w:t>
      </w:r>
      <w:r w:rsidR="0096482A" w:rsidRPr="00F879CC">
        <w:rPr>
          <w:rFonts w:asciiTheme="minorHAnsi" w:eastAsia="Times New Roman" w:hAnsiTheme="minorHAnsi" w:cstheme="minorHAnsi"/>
          <w:iCs/>
          <w:szCs w:val="24"/>
          <w:lang w:val="pl-PL" w:eastAsia="en-GB"/>
        </w:rPr>
        <w:t xml:space="preserve">uwagi </w:t>
      </w:r>
      <w:r w:rsidRPr="00F879CC">
        <w:rPr>
          <w:rFonts w:asciiTheme="minorHAnsi" w:eastAsia="Times New Roman" w:hAnsiTheme="minorHAnsi" w:cstheme="minorHAnsi"/>
          <w:iCs/>
          <w:szCs w:val="24"/>
          <w:lang w:val="pl-PL" w:eastAsia="en-GB"/>
        </w:rPr>
        <w:t>na terytorium</w:t>
      </w:r>
    </w:p>
    <w:p w14:paraId="70390CAD" w14:textId="1F55F147" w:rsidR="00F54FDB" w:rsidRPr="00F879CC" w:rsidRDefault="00F54FDB" w:rsidP="00F879CC">
      <w:pPr>
        <w:spacing w:after="200" w:line="276" w:lineRule="auto"/>
        <w:rPr>
          <w:rFonts w:asciiTheme="minorHAnsi" w:eastAsia="Times New Roman" w:hAnsiTheme="minorHAnsi" w:cstheme="minorHAnsi"/>
          <w:i/>
          <w:szCs w:val="24"/>
          <w:lang w:val="pl-PL" w:eastAsia="en-GB"/>
        </w:rPr>
      </w:pPr>
      <w:r w:rsidRPr="00F879CC">
        <w:rPr>
          <w:rFonts w:asciiTheme="minorHAnsi" w:eastAsia="Times New Roman" w:hAnsiTheme="minorHAnsi" w:cstheme="minorHAnsi"/>
          <w:szCs w:val="24"/>
          <w:lang w:val="pl-PL" w:eastAsia="en-GB"/>
        </w:rPr>
        <w:t>(</w:t>
      </w:r>
      <w:r w:rsidR="00871A6C" w:rsidRPr="00F879CC">
        <w:rPr>
          <w:rFonts w:asciiTheme="minorHAnsi" w:hAnsiTheme="minorHAnsi" w:cstheme="minorHAnsi"/>
          <w:lang w:val="pl-PL"/>
        </w:rPr>
        <w:t>do wypełnienia/uwzględnienia w kolejnych krokach</w:t>
      </w:r>
      <w:r w:rsidRPr="00F879CC">
        <w:rPr>
          <w:rFonts w:asciiTheme="minorHAnsi" w:eastAsia="Times New Roman" w:hAnsiTheme="minorHAnsi" w:cstheme="minorHAnsi"/>
          <w:szCs w:val="24"/>
          <w:lang w:val="pl-PL" w:eastAsia="en-GB"/>
        </w:rPr>
        <w:t>)</w:t>
      </w:r>
    </w:p>
    <w:tbl>
      <w:tblPr>
        <w:tblStyle w:val="TableGrid1"/>
        <w:tblW w:w="0" w:type="auto"/>
        <w:tblLook w:val="04A0" w:firstRow="1" w:lastRow="0" w:firstColumn="1" w:lastColumn="0" w:noHBand="0" w:noVBand="1"/>
        <w:tblCaption w:val="Tabela dotycząca wymiaru 3 - terytorialnego mechanizmu realizacji i skupienia uwagi na terytorium"/>
      </w:tblPr>
      <w:tblGrid>
        <w:gridCol w:w="1827"/>
        <w:gridCol w:w="1614"/>
        <w:gridCol w:w="1858"/>
        <w:gridCol w:w="1180"/>
        <w:gridCol w:w="2583"/>
      </w:tblGrid>
      <w:tr w:rsidR="009C472A" w:rsidRPr="00851F62" w14:paraId="02273CD7" w14:textId="77777777" w:rsidTr="00000498">
        <w:trPr>
          <w:tblHeader/>
        </w:trPr>
        <w:tc>
          <w:tcPr>
            <w:tcW w:w="1827" w:type="dxa"/>
          </w:tcPr>
          <w:p w14:paraId="00C4E7E2" w14:textId="00569CFE" w:rsidR="009C472A" w:rsidRPr="00F879CC" w:rsidRDefault="00871A6C" w:rsidP="00DE180F">
            <w:pPr>
              <w:spacing w:line="240" w:lineRule="auto"/>
              <w:jc w:val="both"/>
              <w:rPr>
                <w:rFonts w:asciiTheme="minorHAnsi" w:eastAsia="Times New Roman" w:hAnsiTheme="minorHAnsi" w:cstheme="minorHAnsi"/>
                <w:b/>
                <w:iCs/>
                <w:szCs w:val="24"/>
                <w:lang w:val="pl-PL" w:eastAsia="en-GB"/>
              </w:rPr>
            </w:pPr>
            <w:r w:rsidRPr="00F879CC">
              <w:rPr>
                <w:rFonts w:asciiTheme="minorHAnsi" w:eastAsia="Times New Roman" w:hAnsiTheme="minorHAnsi" w:cstheme="minorHAnsi"/>
                <w:b/>
                <w:iCs/>
                <w:szCs w:val="24"/>
                <w:lang w:val="pl-PL" w:eastAsia="en-GB"/>
              </w:rPr>
              <w:t>Nr priorytetu</w:t>
            </w:r>
          </w:p>
        </w:tc>
        <w:tc>
          <w:tcPr>
            <w:tcW w:w="1614" w:type="dxa"/>
          </w:tcPr>
          <w:p w14:paraId="1D008725" w14:textId="710A4800" w:rsidR="009C472A" w:rsidRPr="00F879CC" w:rsidRDefault="00871A6C" w:rsidP="00DE180F">
            <w:pPr>
              <w:spacing w:line="240" w:lineRule="auto"/>
              <w:jc w:val="both"/>
              <w:rPr>
                <w:rFonts w:asciiTheme="minorHAnsi" w:eastAsia="Times New Roman" w:hAnsiTheme="minorHAnsi" w:cstheme="minorHAnsi"/>
                <w:b/>
                <w:iCs/>
                <w:szCs w:val="24"/>
                <w:lang w:val="pl-PL" w:eastAsia="en-GB"/>
              </w:rPr>
            </w:pPr>
            <w:r w:rsidRPr="00F879CC">
              <w:rPr>
                <w:rFonts w:asciiTheme="minorHAnsi" w:eastAsia="Times New Roman" w:hAnsiTheme="minorHAnsi" w:cstheme="minorHAnsi"/>
                <w:b/>
                <w:iCs/>
                <w:szCs w:val="24"/>
                <w:lang w:val="pl-PL" w:eastAsia="en-GB"/>
              </w:rPr>
              <w:t>Fundusz</w:t>
            </w:r>
          </w:p>
        </w:tc>
        <w:tc>
          <w:tcPr>
            <w:tcW w:w="1858" w:type="dxa"/>
          </w:tcPr>
          <w:p w14:paraId="384D5934" w14:textId="7548346D" w:rsidR="009C472A" w:rsidRPr="00F879CC" w:rsidRDefault="00871A6C" w:rsidP="00DE180F">
            <w:pPr>
              <w:spacing w:line="240" w:lineRule="auto"/>
              <w:jc w:val="both"/>
              <w:rPr>
                <w:rFonts w:asciiTheme="minorHAnsi" w:eastAsia="Times New Roman" w:hAnsiTheme="minorHAnsi" w:cstheme="minorHAnsi"/>
                <w:b/>
                <w:iCs/>
                <w:szCs w:val="24"/>
                <w:lang w:val="pl-PL" w:eastAsia="en-GB"/>
              </w:rPr>
            </w:pPr>
            <w:r w:rsidRPr="00F879CC">
              <w:rPr>
                <w:rFonts w:asciiTheme="minorHAnsi" w:eastAsia="Times New Roman" w:hAnsiTheme="minorHAnsi" w:cstheme="minorHAnsi"/>
                <w:b/>
                <w:iCs/>
                <w:szCs w:val="24"/>
                <w:lang w:val="pl-PL" w:eastAsia="en-GB"/>
              </w:rPr>
              <w:t>Cel szczegółowy</w:t>
            </w:r>
          </w:p>
        </w:tc>
        <w:tc>
          <w:tcPr>
            <w:tcW w:w="1180" w:type="dxa"/>
          </w:tcPr>
          <w:p w14:paraId="0A63FF2A" w14:textId="2A0B2F3A" w:rsidR="009C472A" w:rsidRPr="00F879CC" w:rsidRDefault="00871A6C" w:rsidP="00DE180F">
            <w:pPr>
              <w:spacing w:line="240" w:lineRule="auto"/>
              <w:jc w:val="both"/>
              <w:rPr>
                <w:rFonts w:asciiTheme="minorHAnsi" w:eastAsia="Times New Roman" w:hAnsiTheme="minorHAnsi" w:cstheme="minorHAnsi"/>
                <w:b/>
                <w:iCs/>
                <w:szCs w:val="24"/>
                <w:lang w:val="pl-PL" w:eastAsia="en-GB"/>
              </w:rPr>
            </w:pPr>
            <w:r w:rsidRPr="00F879CC">
              <w:rPr>
                <w:rFonts w:asciiTheme="minorHAnsi" w:eastAsia="Times New Roman" w:hAnsiTheme="minorHAnsi" w:cstheme="minorHAnsi"/>
                <w:b/>
                <w:iCs/>
                <w:szCs w:val="24"/>
                <w:lang w:val="pl-PL" w:eastAsia="en-GB"/>
              </w:rPr>
              <w:t>Kod</w:t>
            </w:r>
            <w:r w:rsidR="009C472A" w:rsidRPr="00F879CC">
              <w:rPr>
                <w:rFonts w:asciiTheme="minorHAnsi" w:eastAsia="Times New Roman" w:hAnsiTheme="minorHAnsi" w:cstheme="minorHAnsi"/>
                <w:b/>
                <w:iCs/>
                <w:szCs w:val="24"/>
                <w:lang w:val="pl-PL" w:eastAsia="en-GB"/>
              </w:rPr>
              <w:t xml:space="preserve"> </w:t>
            </w:r>
          </w:p>
        </w:tc>
        <w:tc>
          <w:tcPr>
            <w:tcW w:w="2583" w:type="dxa"/>
          </w:tcPr>
          <w:p w14:paraId="3940B331" w14:textId="5ED83986" w:rsidR="009C472A" w:rsidRPr="00F879CC" w:rsidRDefault="00871A6C" w:rsidP="00DE180F">
            <w:pPr>
              <w:spacing w:line="240" w:lineRule="auto"/>
              <w:jc w:val="both"/>
              <w:rPr>
                <w:rFonts w:asciiTheme="minorHAnsi" w:eastAsia="Times New Roman" w:hAnsiTheme="minorHAnsi" w:cstheme="minorHAnsi"/>
                <w:b/>
                <w:iCs/>
                <w:szCs w:val="24"/>
                <w:lang w:val="pl-PL" w:eastAsia="en-GB"/>
              </w:rPr>
            </w:pPr>
            <w:r w:rsidRPr="00F879CC">
              <w:rPr>
                <w:rFonts w:asciiTheme="minorHAnsi" w:eastAsia="Times New Roman" w:hAnsiTheme="minorHAnsi" w:cstheme="minorHAnsi"/>
                <w:b/>
                <w:iCs/>
                <w:szCs w:val="24"/>
                <w:lang w:val="pl-PL" w:eastAsia="en-GB"/>
              </w:rPr>
              <w:t>Kwota</w:t>
            </w:r>
            <w:r w:rsidR="009C472A" w:rsidRPr="00F879CC">
              <w:rPr>
                <w:rFonts w:asciiTheme="minorHAnsi" w:eastAsia="Times New Roman" w:hAnsiTheme="minorHAnsi" w:cstheme="minorHAnsi"/>
                <w:b/>
                <w:iCs/>
                <w:szCs w:val="24"/>
                <w:lang w:val="pl-PL" w:eastAsia="en-GB"/>
              </w:rPr>
              <w:t xml:space="preserve"> (EUR)</w:t>
            </w:r>
          </w:p>
        </w:tc>
      </w:tr>
      <w:tr w:rsidR="009C472A" w:rsidRPr="00851F62" w14:paraId="3DEF0729" w14:textId="77777777" w:rsidTr="001165AD">
        <w:tc>
          <w:tcPr>
            <w:tcW w:w="1827" w:type="dxa"/>
          </w:tcPr>
          <w:p w14:paraId="3655B602" w14:textId="77777777" w:rsidR="009C472A" w:rsidRPr="00F879CC" w:rsidRDefault="009C472A" w:rsidP="00DE180F">
            <w:pPr>
              <w:spacing w:line="240" w:lineRule="auto"/>
              <w:jc w:val="both"/>
              <w:rPr>
                <w:rFonts w:asciiTheme="minorHAnsi" w:eastAsia="Times New Roman" w:hAnsiTheme="minorHAnsi" w:cstheme="minorHAnsi"/>
                <w:b/>
                <w:iCs/>
                <w:szCs w:val="24"/>
                <w:lang w:val="pl-PL" w:eastAsia="en-GB"/>
              </w:rPr>
            </w:pPr>
          </w:p>
        </w:tc>
        <w:tc>
          <w:tcPr>
            <w:tcW w:w="1614" w:type="dxa"/>
          </w:tcPr>
          <w:p w14:paraId="11344386" w14:textId="77777777" w:rsidR="009C472A" w:rsidRPr="00F879CC" w:rsidRDefault="009C472A" w:rsidP="00DE180F">
            <w:pPr>
              <w:spacing w:line="240" w:lineRule="auto"/>
              <w:jc w:val="both"/>
              <w:rPr>
                <w:rFonts w:asciiTheme="minorHAnsi" w:eastAsia="Times New Roman" w:hAnsiTheme="minorHAnsi" w:cstheme="minorHAnsi"/>
                <w:b/>
                <w:iCs/>
                <w:szCs w:val="24"/>
                <w:lang w:val="pl-PL" w:eastAsia="en-GB"/>
              </w:rPr>
            </w:pPr>
          </w:p>
        </w:tc>
        <w:tc>
          <w:tcPr>
            <w:tcW w:w="1858" w:type="dxa"/>
          </w:tcPr>
          <w:p w14:paraId="1D0F192A" w14:textId="77777777" w:rsidR="009C472A" w:rsidRPr="00F879CC" w:rsidRDefault="009C472A" w:rsidP="00DE180F">
            <w:pPr>
              <w:spacing w:line="240" w:lineRule="auto"/>
              <w:jc w:val="both"/>
              <w:rPr>
                <w:rFonts w:asciiTheme="minorHAnsi" w:eastAsia="Times New Roman" w:hAnsiTheme="minorHAnsi" w:cstheme="minorHAnsi"/>
                <w:b/>
                <w:iCs/>
                <w:szCs w:val="24"/>
                <w:lang w:val="pl-PL" w:eastAsia="en-GB"/>
              </w:rPr>
            </w:pPr>
          </w:p>
        </w:tc>
        <w:tc>
          <w:tcPr>
            <w:tcW w:w="1180" w:type="dxa"/>
          </w:tcPr>
          <w:p w14:paraId="67451D8C" w14:textId="77777777" w:rsidR="009C472A" w:rsidRPr="00F879CC" w:rsidRDefault="009C472A" w:rsidP="00DE180F">
            <w:pPr>
              <w:spacing w:line="240" w:lineRule="auto"/>
              <w:jc w:val="both"/>
              <w:rPr>
                <w:rFonts w:asciiTheme="minorHAnsi" w:eastAsia="Times New Roman" w:hAnsiTheme="minorHAnsi" w:cstheme="minorHAnsi"/>
                <w:b/>
                <w:iCs/>
                <w:szCs w:val="24"/>
                <w:lang w:val="pl-PL" w:eastAsia="en-GB"/>
              </w:rPr>
            </w:pPr>
          </w:p>
        </w:tc>
        <w:tc>
          <w:tcPr>
            <w:tcW w:w="2583" w:type="dxa"/>
          </w:tcPr>
          <w:p w14:paraId="618B7406" w14:textId="77777777" w:rsidR="009C472A" w:rsidRPr="00F879CC" w:rsidRDefault="009C472A" w:rsidP="00DE180F">
            <w:pPr>
              <w:spacing w:line="240" w:lineRule="auto"/>
              <w:jc w:val="both"/>
              <w:rPr>
                <w:rFonts w:asciiTheme="minorHAnsi" w:eastAsia="Times New Roman" w:hAnsiTheme="minorHAnsi" w:cstheme="minorHAnsi"/>
                <w:b/>
                <w:iCs/>
                <w:szCs w:val="24"/>
                <w:lang w:val="pl-PL" w:eastAsia="en-GB"/>
              </w:rPr>
            </w:pPr>
          </w:p>
        </w:tc>
      </w:tr>
    </w:tbl>
    <w:p w14:paraId="463D931D" w14:textId="2951FB3D" w:rsidR="005909CB" w:rsidRPr="00F879CC" w:rsidRDefault="00871A6C" w:rsidP="00000498">
      <w:pPr>
        <w:numPr>
          <w:ilvl w:val="1"/>
          <w:numId w:val="3"/>
        </w:numPr>
        <w:spacing w:before="240" w:after="240" w:line="240" w:lineRule="auto"/>
        <w:ind w:left="431" w:hanging="431"/>
        <w:rPr>
          <w:rFonts w:asciiTheme="minorHAnsi" w:eastAsia="Times New Roman" w:hAnsiTheme="minorHAnsi" w:cstheme="minorHAnsi"/>
          <w:b/>
          <w:szCs w:val="24"/>
          <w:lang w:val="pl-PL" w:eastAsia="en-GB"/>
        </w:rPr>
      </w:pPr>
      <w:r w:rsidRPr="00F879CC">
        <w:rPr>
          <w:rFonts w:asciiTheme="minorHAnsi" w:eastAsia="Times New Roman" w:hAnsiTheme="minorHAnsi" w:cstheme="minorHAnsi"/>
          <w:b/>
          <w:szCs w:val="24"/>
          <w:lang w:val="pl-PL" w:eastAsia="en-GB"/>
        </w:rPr>
        <w:t>Nazwa priorytetu</w:t>
      </w:r>
      <w:r w:rsidR="005909CB" w:rsidRPr="00F879CC">
        <w:rPr>
          <w:rFonts w:asciiTheme="minorHAnsi" w:eastAsia="Times New Roman" w:hAnsiTheme="minorHAnsi" w:cstheme="minorHAnsi"/>
          <w:b/>
          <w:szCs w:val="24"/>
          <w:lang w:val="pl-PL" w:eastAsia="en-GB"/>
        </w:rPr>
        <w:t xml:space="preserve"> </w:t>
      </w:r>
      <w:r w:rsidR="005909CB" w:rsidRPr="00F879CC">
        <w:rPr>
          <w:rFonts w:asciiTheme="minorHAnsi" w:eastAsia="Times New Roman" w:hAnsiTheme="minorHAnsi" w:cstheme="minorHAnsi"/>
          <w:szCs w:val="24"/>
          <w:lang w:val="pl-PL" w:eastAsia="en-GB"/>
        </w:rPr>
        <w:t>(</w:t>
      </w:r>
      <w:r w:rsidRPr="00F879CC">
        <w:rPr>
          <w:rFonts w:asciiTheme="minorHAnsi" w:eastAsia="Times New Roman" w:hAnsiTheme="minorHAnsi" w:cstheme="minorHAnsi"/>
          <w:szCs w:val="24"/>
          <w:lang w:val="pl-PL" w:eastAsia="en-GB"/>
        </w:rPr>
        <w:t>powtórzona dla każdego priorytetu</w:t>
      </w:r>
      <w:r w:rsidR="005909CB" w:rsidRPr="00F879CC">
        <w:rPr>
          <w:rFonts w:asciiTheme="minorHAnsi" w:eastAsia="Times New Roman" w:hAnsiTheme="minorHAnsi" w:cstheme="minorHAnsi"/>
          <w:szCs w:val="24"/>
          <w:lang w:val="pl-PL" w:eastAsia="en-GB"/>
        </w:rPr>
        <w:t>)</w:t>
      </w:r>
    </w:p>
    <w:p w14:paraId="43418AB0" w14:textId="11CDE98D" w:rsidR="005909CB" w:rsidRPr="00000498" w:rsidRDefault="00CE6947" w:rsidP="00000498">
      <w:pPr>
        <w:spacing w:after="20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Dotyczy: art. 17 ust. 4 lit. d)</w:t>
      </w:r>
    </w:p>
    <w:p w14:paraId="447262E5" w14:textId="40A5A7D4" w:rsidR="005909CB" w:rsidRPr="000C22D9" w:rsidRDefault="005909CB" w:rsidP="000C22D9">
      <w:pPr>
        <w:pStyle w:val="Nagwek2"/>
        <w:rPr>
          <w:rFonts w:eastAsia="Times New Roman"/>
          <w:color w:val="auto"/>
          <w:sz w:val="28"/>
          <w:lang w:val="en-IE" w:eastAsia="en-GB"/>
        </w:rPr>
      </w:pPr>
      <w:bookmarkStart w:id="98" w:name="_Toc73432985"/>
      <w:r w:rsidRPr="000C22D9">
        <w:rPr>
          <w:rFonts w:eastAsia="Times New Roman"/>
          <w:color w:val="auto"/>
          <w:sz w:val="28"/>
          <w:lang w:val="en-IE" w:eastAsia="en-GB"/>
        </w:rPr>
        <w:t xml:space="preserve">3. </w:t>
      </w:r>
      <w:r w:rsidR="00CE6947" w:rsidRPr="000C22D9">
        <w:rPr>
          <w:rFonts w:eastAsia="Times New Roman"/>
          <w:color w:val="auto"/>
          <w:sz w:val="28"/>
          <w:lang w:val="en-IE" w:eastAsia="en-GB"/>
        </w:rPr>
        <w:t>Społeczeństwa neutralne dla klimatu</w:t>
      </w:r>
      <w:bookmarkEnd w:id="98"/>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909CB" w:rsidRPr="00A56C60" w14:paraId="49FAD2BC" w14:textId="77777777" w:rsidTr="00DE180F">
        <w:tc>
          <w:tcPr>
            <w:tcW w:w="9322" w:type="dxa"/>
          </w:tcPr>
          <w:p w14:paraId="7348C6AD" w14:textId="51E8EEB7" w:rsidR="005909CB" w:rsidRPr="00F879CC" w:rsidRDefault="005909CB" w:rsidP="00E53E1B">
            <w:pPr>
              <w:spacing w:line="240" w:lineRule="auto"/>
              <w:rPr>
                <w:rFonts w:asciiTheme="minorHAnsi" w:eastAsia="Calibri" w:hAnsiTheme="minorHAnsi" w:cstheme="minorHAnsi"/>
                <w:sz w:val="20"/>
                <w:szCs w:val="20"/>
                <w:lang w:val="pl-PL" w:eastAsia="en-GB"/>
              </w:rPr>
            </w:pPr>
            <w:r w:rsidRPr="00F42A23">
              <w:rPr>
                <w:rFonts w:asciiTheme="minorHAnsi" w:eastAsia="Calibri" w:hAnsiTheme="minorHAnsi" w:cstheme="minorHAnsi"/>
                <w:sz w:val="20"/>
                <w:szCs w:val="20"/>
                <w:lang w:val="en-IE" w:eastAsia="en-GB"/>
              </w:rPr>
              <w:fldChar w:fldCharType="begin">
                <w:ffData>
                  <w:name w:val="Check1"/>
                  <w:enabled/>
                  <w:calcOnExit w:val="0"/>
                  <w:checkBox>
                    <w:sizeAuto/>
                    <w:default w:val="0"/>
                  </w:checkBox>
                </w:ffData>
              </w:fldChar>
            </w:r>
            <w:r w:rsidRPr="00F42A23">
              <w:rPr>
                <w:rFonts w:asciiTheme="minorHAnsi" w:eastAsia="Calibri" w:hAnsiTheme="minorHAnsi" w:cstheme="minorHAnsi"/>
                <w:sz w:val="20"/>
                <w:szCs w:val="20"/>
                <w:lang w:val="pl-PL" w:eastAsia="en-GB"/>
              </w:rPr>
              <w:instrText xml:space="preserve"> FORMCHECKBOX </w:instrText>
            </w:r>
            <w:r w:rsidR="00C93217">
              <w:rPr>
                <w:rFonts w:asciiTheme="minorHAnsi" w:eastAsia="Calibri" w:hAnsiTheme="minorHAnsi" w:cstheme="minorHAnsi"/>
                <w:sz w:val="20"/>
                <w:szCs w:val="20"/>
                <w:lang w:val="en-IE" w:eastAsia="en-GB"/>
              </w:rPr>
            </w:r>
            <w:r w:rsidR="00C93217">
              <w:rPr>
                <w:rFonts w:asciiTheme="minorHAnsi" w:eastAsia="Calibri" w:hAnsiTheme="minorHAnsi" w:cstheme="minorHAnsi"/>
                <w:sz w:val="20"/>
                <w:szCs w:val="20"/>
                <w:lang w:val="en-IE" w:eastAsia="en-GB"/>
              </w:rPr>
              <w:fldChar w:fldCharType="separate"/>
            </w:r>
            <w:r w:rsidRPr="00F42A23">
              <w:rPr>
                <w:rFonts w:asciiTheme="minorHAnsi" w:eastAsia="Calibri" w:hAnsiTheme="minorHAnsi" w:cstheme="minorHAnsi"/>
                <w:sz w:val="20"/>
                <w:szCs w:val="20"/>
                <w:lang w:val="en-IE" w:eastAsia="en-GB"/>
              </w:rPr>
              <w:fldChar w:fldCharType="end"/>
            </w:r>
            <w:r w:rsidRPr="00F42A23">
              <w:rPr>
                <w:rFonts w:asciiTheme="minorHAnsi" w:eastAsia="Calibri" w:hAnsiTheme="minorHAnsi" w:cstheme="minorHAnsi"/>
                <w:sz w:val="20"/>
                <w:szCs w:val="20"/>
                <w:lang w:val="pl-PL" w:eastAsia="en-GB"/>
              </w:rPr>
              <w:t xml:space="preserve"> </w:t>
            </w:r>
            <w:r w:rsidR="00E53E1B" w:rsidRPr="00F42A23">
              <w:rPr>
                <w:rFonts w:asciiTheme="minorHAnsi" w:eastAsia="Calibri" w:hAnsiTheme="minorHAnsi" w:cstheme="minorHAnsi"/>
                <w:szCs w:val="24"/>
                <w:lang w:val="pl-PL" w:eastAsia="en-GB"/>
              </w:rPr>
              <w:t>Art</w:t>
            </w:r>
            <w:r w:rsidR="00CE6947" w:rsidRPr="00F42A23">
              <w:rPr>
                <w:rFonts w:asciiTheme="minorHAnsi" w:eastAsia="Calibri" w:hAnsiTheme="minorHAnsi" w:cstheme="minorHAnsi"/>
                <w:szCs w:val="24"/>
                <w:lang w:val="pl-PL" w:eastAsia="en-GB"/>
              </w:rPr>
              <w:t>. 17 ust. 3</w:t>
            </w:r>
          </w:p>
        </w:tc>
      </w:tr>
    </w:tbl>
    <w:p w14:paraId="367341C0" w14:textId="303C8551" w:rsidR="005909CB" w:rsidRPr="00F879CC" w:rsidRDefault="005909CB" w:rsidP="00000498">
      <w:pPr>
        <w:spacing w:before="240" w:after="240" w:line="276" w:lineRule="auto"/>
        <w:ind w:left="709" w:hanging="709"/>
        <w:rPr>
          <w:rFonts w:asciiTheme="minorHAnsi" w:eastAsia="Times New Roman" w:hAnsiTheme="minorHAnsi" w:cstheme="minorHAnsi"/>
          <w:iCs/>
          <w:szCs w:val="24"/>
          <w:lang w:val="pl-PL" w:eastAsia="en-GB"/>
        </w:rPr>
      </w:pPr>
      <w:r w:rsidRPr="00F879CC">
        <w:rPr>
          <w:rFonts w:asciiTheme="minorHAnsi" w:eastAsia="Times New Roman" w:hAnsiTheme="minorHAnsi" w:cstheme="minorHAnsi"/>
          <w:b/>
          <w:iCs/>
          <w:szCs w:val="24"/>
          <w:lang w:val="pl-PL" w:eastAsia="en-GB"/>
        </w:rPr>
        <w:lastRenderedPageBreak/>
        <w:t>2.3.1.</w:t>
      </w:r>
      <w:r w:rsidRPr="00F879CC">
        <w:rPr>
          <w:rFonts w:asciiTheme="minorHAnsi" w:eastAsia="Times New Roman" w:hAnsiTheme="minorHAnsi" w:cstheme="minorHAnsi"/>
          <w:b/>
          <w:iCs/>
          <w:szCs w:val="24"/>
          <w:lang w:val="pl-PL" w:eastAsia="en-GB"/>
        </w:rPr>
        <w:tab/>
      </w:r>
      <w:r w:rsidR="00CE6947" w:rsidRPr="00F879CC">
        <w:rPr>
          <w:rFonts w:asciiTheme="minorHAnsi" w:eastAsia="Times New Roman" w:hAnsiTheme="minorHAnsi" w:cstheme="minorHAnsi"/>
          <w:b/>
          <w:iCs/>
          <w:szCs w:val="24"/>
          <w:lang w:val="pl-PL" w:eastAsia="en-GB"/>
        </w:rPr>
        <w:t xml:space="preserve">Cel szczegółowy </w:t>
      </w:r>
      <w:r w:rsidR="00AD5C7B" w:rsidRPr="00F879CC">
        <w:rPr>
          <w:rFonts w:asciiTheme="minorHAnsi" w:eastAsia="Times New Roman" w:hAnsiTheme="minorHAnsi" w:cstheme="minorHAnsi"/>
          <w:b/>
          <w:iCs/>
          <w:szCs w:val="24"/>
          <w:lang w:val="pl-PL" w:eastAsia="en-GB"/>
        </w:rPr>
        <w:t>i</w:t>
      </w:r>
      <w:r w:rsidR="00CE6947" w:rsidRPr="00F879CC">
        <w:rPr>
          <w:rFonts w:asciiTheme="minorHAnsi" w:eastAsia="Times New Roman" w:hAnsiTheme="minorHAnsi" w:cstheme="minorHAnsi"/>
          <w:b/>
          <w:iCs/>
          <w:szCs w:val="24"/>
          <w:lang w:val="pl-PL" w:eastAsia="en-GB"/>
        </w:rPr>
        <w:t xml:space="preserve">v) Promowanie transformacji w kierunku gospodarki o obiegu zamkniętym i </w:t>
      </w:r>
      <w:bookmarkStart w:id="99" w:name="OLE_LINK262"/>
      <w:bookmarkStart w:id="100" w:name="OLE_LINK263"/>
      <w:r w:rsidR="00CE6947" w:rsidRPr="00F879CC">
        <w:rPr>
          <w:rFonts w:asciiTheme="minorHAnsi" w:eastAsia="Times New Roman" w:hAnsiTheme="minorHAnsi" w:cstheme="minorHAnsi"/>
          <w:b/>
          <w:iCs/>
          <w:szCs w:val="24"/>
          <w:lang w:val="pl-PL" w:eastAsia="en-GB"/>
        </w:rPr>
        <w:t>zasobooszczędnej</w:t>
      </w:r>
      <w:bookmarkEnd w:id="99"/>
      <w:bookmarkEnd w:id="100"/>
    </w:p>
    <w:p w14:paraId="7EAE3937" w14:textId="739F7677" w:rsidR="005909CB" w:rsidRPr="00000498" w:rsidRDefault="00AD5C7B" w:rsidP="00000498">
      <w:pPr>
        <w:spacing w:after="20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Dotyczy: art. 17 ust. 4 lit. e)</w:t>
      </w:r>
    </w:p>
    <w:p w14:paraId="7CD5E458" w14:textId="3BFA91DA" w:rsidR="005909CB" w:rsidRPr="00763A2D" w:rsidRDefault="005909CB" w:rsidP="00000498">
      <w:pPr>
        <w:spacing w:before="240" w:after="240" w:line="276" w:lineRule="auto"/>
        <w:ind w:left="709" w:hanging="709"/>
        <w:rPr>
          <w:rFonts w:asciiTheme="minorHAnsi" w:eastAsia="Times New Roman" w:hAnsiTheme="minorHAnsi" w:cstheme="minorHAnsi"/>
          <w:iCs/>
          <w:szCs w:val="24"/>
          <w:lang w:val="pl-PL" w:eastAsia="en-GB"/>
        </w:rPr>
      </w:pPr>
      <w:r w:rsidRPr="00763A2D">
        <w:rPr>
          <w:rFonts w:asciiTheme="minorHAnsi" w:eastAsia="Times New Roman" w:hAnsiTheme="minorHAnsi" w:cstheme="minorHAnsi"/>
          <w:b/>
          <w:iCs/>
          <w:szCs w:val="24"/>
          <w:lang w:val="pl-PL" w:eastAsia="en-GB"/>
        </w:rPr>
        <w:t>2.3.1.1</w:t>
      </w:r>
      <w:r w:rsidRPr="00763A2D">
        <w:rPr>
          <w:rFonts w:asciiTheme="minorHAnsi" w:eastAsia="Times New Roman" w:hAnsiTheme="minorHAnsi" w:cstheme="minorHAnsi"/>
          <w:b/>
          <w:iCs/>
          <w:szCs w:val="24"/>
          <w:lang w:val="pl-PL" w:eastAsia="en-GB"/>
        </w:rPr>
        <w:tab/>
      </w:r>
      <w:r w:rsidR="00AD5C7B" w:rsidRPr="00763A2D">
        <w:rPr>
          <w:rFonts w:asciiTheme="minorHAnsi" w:eastAsia="Times New Roman" w:hAnsiTheme="minorHAnsi" w:cstheme="minorHAnsi"/>
          <w:b/>
          <w:iCs/>
          <w:szCs w:val="24"/>
          <w:lang w:val="pl-PL" w:eastAsia="en-GB"/>
        </w:rPr>
        <w:t>Powiązane rodzaje działań i ich oczekiwany wkład w realizację tych celów szczegółowych oraz, w stosownych przypadkach, w strategie makroregionalne i strategie basenów morskich</w:t>
      </w:r>
    </w:p>
    <w:p w14:paraId="34A5FD6E" w14:textId="116AE548" w:rsidR="005909CB" w:rsidRPr="00000498" w:rsidRDefault="00B76615" w:rsidP="00000498">
      <w:pPr>
        <w:spacing w:after="20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Dotyczy: art. 17 ust. 4 lit. e) ppkt (i), art. 17 ust. 9 lit. c) ppkt (ii)</w:t>
      </w:r>
    </w:p>
    <w:p w14:paraId="4BD427D1" w14:textId="595CFFF9" w:rsidR="00E04EED" w:rsidRPr="0096621B" w:rsidRDefault="00B76615" w:rsidP="0096621B">
      <w:pPr>
        <w:pStyle w:val="Nagwek3"/>
        <w:rPr>
          <w:rFonts w:eastAsia="Times New Roman"/>
          <w:color w:val="auto"/>
          <w:sz w:val="28"/>
          <w:lang w:val="pl-PL" w:eastAsia="en-GB"/>
        </w:rPr>
      </w:pPr>
      <w:bookmarkStart w:id="101" w:name="_Toc73432986"/>
      <w:r w:rsidRPr="0096621B">
        <w:rPr>
          <w:rFonts w:eastAsia="Times New Roman"/>
          <w:color w:val="auto"/>
          <w:sz w:val="28"/>
          <w:lang w:val="pl-PL" w:eastAsia="en-GB"/>
        </w:rPr>
        <w:t>Cel</w:t>
      </w:r>
      <w:r w:rsidR="00E04EED" w:rsidRPr="0096621B">
        <w:rPr>
          <w:rFonts w:eastAsia="Times New Roman"/>
          <w:color w:val="auto"/>
          <w:sz w:val="28"/>
          <w:lang w:val="pl-PL" w:eastAsia="en-GB"/>
        </w:rPr>
        <w:t xml:space="preserve"> </w:t>
      </w:r>
      <w:r w:rsidR="00A01360" w:rsidRPr="0096621B">
        <w:rPr>
          <w:rFonts w:eastAsia="Times New Roman"/>
          <w:color w:val="auto"/>
          <w:sz w:val="28"/>
          <w:lang w:val="pl-PL" w:eastAsia="en-GB"/>
        </w:rPr>
        <w:t xml:space="preserve">szczegółowy </w:t>
      </w:r>
      <w:r w:rsidR="00E04EED" w:rsidRPr="0096621B">
        <w:rPr>
          <w:rFonts w:eastAsia="Times New Roman"/>
          <w:color w:val="auto"/>
          <w:sz w:val="28"/>
          <w:lang w:val="pl-PL" w:eastAsia="en-GB"/>
        </w:rPr>
        <w:t>3.1</w:t>
      </w:r>
      <w:r w:rsidRPr="0096621B">
        <w:rPr>
          <w:rFonts w:eastAsia="Times New Roman"/>
          <w:color w:val="auto"/>
          <w:sz w:val="28"/>
          <w:lang w:val="pl-PL" w:eastAsia="en-GB"/>
        </w:rPr>
        <w:t xml:space="preserve"> Gospodarka o obiegu zamkniętym</w:t>
      </w:r>
      <w:bookmarkEnd w:id="101"/>
    </w:p>
    <w:p w14:paraId="250861DB" w14:textId="5C97D822" w:rsidR="00E04EED" w:rsidRPr="00000498" w:rsidRDefault="00871A6C" w:rsidP="00000498">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b/>
          <w:szCs w:val="24"/>
          <w:lang w:val="pl-PL" w:eastAsia="en-GB"/>
        </w:rPr>
      </w:pPr>
      <w:r w:rsidRPr="00000498">
        <w:rPr>
          <w:rFonts w:asciiTheme="minorHAnsi" w:eastAsia="Times New Roman" w:hAnsiTheme="minorHAnsi" w:cstheme="minorHAnsi"/>
          <w:b/>
          <w:szCs w:val="24"/>
          <w:lang w:val="pl-PL" w:eastAsia="en-GB"/>
        </w:rPr>
        <w:t>Wprowadzen</w:t>
      </w:r>
      <w:r w:rsidR="00B76615" w:rsidRPr="00000498">
        <w:rPr>
          <w:rFonts w:asciiTheme="minorHAnsi" w:eastAsia="Times New Roman" w:hAnsiTheme="minorHAnsi" w:cstheme="minorHAnsi"/>
          <w:b/>
          <w:szCs w:val="24"/>
          <w:lang w:val="pl-PL" w:eastAsia="en-GB"/>
        </w:rPr>
        <w:t>ie</w:t>
      </w:r>
      <w:r w:rsidRPr="00000498">
        <w:rPr>
          <w:rFonts w:asciiTheme="minorHAnsi" w:eastAsia="Times New Roman" w:hAnsiTheme="minorHAnsi" w:cstheme="minorHAnsi"/>
          <w:b/>
          <w:szCs w:val="24"/>
          <w:lang w:val="pl-PL" w:eastAsia="en-GB"/>
        </w:rPr>
        <w:t xml:space="preserve"> do działań</w:t>
      </w:r>
      <w:r w:rsidR="00E04EED" w:rsidRPr="00000498">
        <w:rPr>
          <w:rFonts w:asciiTheme="minorHAnsi" w:eastAsia="Times New Roman" w:hAnsiTheme="minorHAnsi" w:cstheme="minorHAnsi"/>
          <w:b/>
          <w:szCs w:val="24"/>
          <w:lang w:val="pl-PL" w:eastAsia="en-GB"/>
        </w:rPr>
        <w:t xml:space="preserve"> </w:t>
      </w:r>
    </w:p>
    <w:p w14:paraId="7DF61EE1" w14:textId="0DDB733D" w:rsidR="00B76615" w:rsidRPr="00000498" w:rsidRDefault="00B76615" w:rsidP="00000498">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 xml:space="preserve">Zapewnienie stałego wzrostu regionu Morza Bałtyckiego bez zwiększania presji na środowisko, w tym wodę, powietrze i glebę wymaga przejścia na gospodarkę o obiegu zamkniętym. Program wspiera działania ułatwiające przejście </w:t>
      </w:r>
      <w:r w:rsidRPr="00000498">
        <w:rPr>
          <w:rFonts w:asciiTheme="minorHAnsi" w:eastAsia="Times New Roman" w:hAnsiTheme="minorHAnsi" w:cstheme="minorHAnsi"/>
          <w:szCs w:val="24"/>
          <w:u w:val="single"/>
          <w:lang w:val="pl-PL" w:eastAsia="en-GB"/>
        </w:rPr>
        <w:t xml:space="preserve">od </w:t>
      </w:r>
      <w:r w:rsidR="00261480" w:rsidRPr="00000498">
        <w:rPr>
          <w:rFonts w:asciiTheme="minorHAnsi" w:eastAsia="Times New Roman" w:hAnsiTheme="minorHAnsi" w:cstheme="minorHAnsi"/>
          <w:szCs w:val="24"/>
          <w:u w:val="single"/>
          <w:lang w:val="pl-PL" w:eastAsia="en-GB"/>
        </w:rPr>
        <w:t xml:space="preserve">systemu </w:t>
      </w:r>
      <w:r w:rsidRPr="00000498">
        <w:rPr>
          <w:rFonts w:asciiTheme="minorHAnsi" w:eastAsia="Times New Roman" w:hAnsiTheme="minorHAnsi" w:cstheme="minorHAnsi"/>
          <w:szCs w:val="24"/>
          <w:u w:val="single"/>
          <w:lang w:val="pl-PL" w:eastAsia="en-GB"/>
        </w:rPr>
        <w:t>liniowego do obiegu zamkniętego</w:t>
      </w:r>
      <w:r w:rsidRPr="00000498">
        <w:rPr>
          <w:rFonts w:asciiTheme="minorHAnsi" w:eastAsia="Times New Roman" w:hAnsiTheme="minorHAnsi" w:cstheme="minorHAnsi"/>
          <w:szCs w:val="24"/>
          <w:lang w:val="pl-PL" w:eastAsia="en-GB"/>
        </w:rPr>
        <w:t xml:space="preserve"> w wykorzystaniu zasobów. Oznacza to jak najdłuższe użytkowanie produktów i materiałów. Program zachęca do </w:t>
      </w:r>
      <w:r w:rsidRPr="00000498">
        <w:rPr>
          <w:rFonts w:asciiTheme="minorHAnsi" w:eastAsia="Times New Roman" w:hAnsiTheme="minorHAnsi" w:cstheme="minorHAnsi"/>
          <w:szCs w:val="24"/>
          <w:u w:val="single"/>
          <w:lang w:val="pl-PL" w:eastAsia="en-GB"/>
        </w:rPr>
        <w:t>podejścia całościowego</w:t>
      </w:r>
      <w:r w:rsidRPr="00000498">
        <w:rPr>
          <w:rFonts w:asciiTheme="minorHAnsi" w:eastAsia="Times New Roman" w:hAnsiTheme="minorHAnsi" w:cstheme="minorHAnsi"/>
          <w:szCs w:val="24"/>
          <w:lang w:val="pl-PL" w:eastAsia="en-GB"/>
        </w:rPr>
        <w:t xml:space="preserve"> wykraczającego poza gospodarkę odpadami i wiąże się z wodą, energią, transportem i użytkowaniem gruntów. Wymaga to ułatwienia zmiany zachowań i zintegrowanego planowania. W konsekwencji, przejście na gospodarkę o obiegu zamkniętym jest cennym czynnikiem w </w:t>
      </w:r>
      <w:r w:rsidRPr="00000498">
        <w:rPr>
          <w:rFonts w:asciiTheme="minorHAnsi" w:eastAsia="Times New Roman" w:hAnsiTheme="minorHAnsi" w:cstheme="minorHAnsi"/>
          <w:szCs w:val="24"/>
          <w:u w:val="single"/>
          <w:lang w:val="pl-PL" w:eastAsia="en-GB"/>
        </w:rPr>
        <w:t>walce z wyzwaniami środowiskowymi takimi, jak nadmierna eksploatacja zasobów naturalnych, nieodpowiednia jakość powietrza oraz zmiana klimatu.</w:t>
      </w:r>
    </w:p>
    <w:p w14:paraId="2CF91DBE" w14:textId="6636A014" w:rsidR="00476F78" w:rsidRPr="00000498" w:rsidRDefault="00476F78" w:rsidP="00000498">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 xml:space="preserve">Aby przyspieszyć transformację, Program wspiera, w szczególności, działania </w:t>
      </w:r>
      <w:r w:rsidRPr="00000498">
        <w:rPr>
          <w:rFonts w:asciiTheme="minorHAnsi" w:eastAsia="Times New Roman" w:hAnsiTheme="minorHAnsi" w:cstheme="minorHAnsi"/>
          <w:szCs w:val="24"/>
          <w:u w:val="single"/>
          <w:lang w:val="pl-PL" w:eastAsia="en-GB"/>
        </w:rPr>
        <w:t xml:space="preserve">budujące sprzyjające </w:t>
      </w:r>
      <w:r w:rsidR="00217FDD" w:rsidRPr="00000498">
        <w:rPr>
          <w:rFonts w:asciiTheme="minorHAnsi" w:eastAsia="Times New Roman" w:hAnsiTheme="minorHAnsi" w:cstheme="minorHAnsi"/>
          <w:szCs w:val="24"/>
          <w:u w:val="single"/>
          <w:lang w:val="pl-PL" w:eastAsia="en-GB"/>
        </w:rPr>
        <w:t xml:space="preserve">środowisko </w:t>
      </w:r>
      <w:r w:rsidRPr="00000498">
        <w:rPr>
          <w:rFonts w:asciiTheme="minorHAnsi" w:eastAsia="Times New Roman" w:hAnsiTheme="minorHAnsi" w:cstheme="minorHAnsi"/>
          <w:szCs w:val="24"/>
          <w:lang w:val="pl-PL" w:eastAsia="en-GB"/>
        </w:rPr>
        <w:t xml:space="preserve">i </w:t>
      </w:r>
      <w:r w:rsidRPr="00000498">
        <w:rPr>
          <w:rFonts w:asciiTheme="minorHAnsi" w:eastAsia="Times New Roman" w:hAnsiTheme="minorHAnsi" w:cstheme="minorHAnsi"/>
          <w:szCs w:val="24"/>
          <w:u w:val="single"/>
          <w:lang w:val="pl-PL" w:eastAsia="en-GB"/>
        </w:rPr>
        <w:t>podnoszące świadomość</w:t>
      </w:r>
      <w:r w:rsidRPr="00000498">
        <w:rPr>
          <w:rFonts w:asciiTheme="minorHAnsi" w:eastAsia="Times New Roman" w:hAnsiTheme="minorHAnsi" w:cstheme="minorHAnsi"/>
          <w:szCs w:val="24"/>
          <w:lang w:val="pl-PL" w:eastAsia="en-GB"/>
        </w:rPr>
        <w:t xml:space="preserve"> </w:t>
      </w:r>
      <w:r w:rsidR="00217FDD" w:rsidRPr="00000498">
        <w:rPr>
          <w:rFonts w:asciiTheme="minorHAnsi" w:eastAsia="Times New Roman" w:hAnsiTheme="minorHAnsi" w:cstheme="minorHAnsi"/>
          <w:szCs w:val="24"/>
          <w:lang w:val="pl-PL" w:eastAsia="en-GB"/>
        </w:rPr>
        <w:t xml:space="preserve">w zakresie </w:t>
      </w:r>
      <w:r w:rsidRPr="00000498">
        <w:rPr>
          <w:rFonts w:asciiTheme="minorHAnsi" w:eastAsia="Times New Roman" w:hAnsiTheme="minorHAnsi" w:cstheme="minorHAnsi"/>
          <w:szCs w:val="24"/>
          <w:lang w:val="pl-PL" w:eastAsia="en-GB"/>
        </w:rPr>
        <w:t xml:space="preserve">możliwości </w:t>
      </w:r>
      <w:r w:rsidR="00217FDD" w:rsidRPr="00000498">
        <w:rPr>
          <w:rFonts w:asciiTheme="minorHAnsi" w:eastAsia="Times New Roman" w:hAnsiTheme="minorHAnsi" w:cstheme="minorHAnsi"/>
          <w:szCs w:val="24"/>
          <w:lang w:val="pl-PL" w:eastAsia="en-GB"/>
        </w:rPr>
        <w:t xml:space="preserve">wiążących się z </w:t>
      </w:r>
      <w:r w:rsidRPr="00000498">
        <w:rPr>
          <w:rFonts w:asciiTheme="minorHAnsi" w:eastAsia="Times New Roman" w:hAnsiTheme="minorHAnsi" w:cstheme="minorHAnsi"/>
          <w:szCs w:val="24"/>
          <w:lang w:val="pl-PL" w:eastAsia="en-GB"/>
        </w:rPr>
        <w:t>obieg</w:t>
      </w:r>
      <w:r w:rsidR="00217FDD" w:rsidRPr="00000498">
        <w:rPr>
          <w:rFonts w:asciiTheme="minorHAnsi" w:eastAsia="Times New Roman" w:hAnsiTheme="minorHAnsi" w:cstheme="minorHAnsi"/>
          <w:szCs w:val="24"/>
          <w:lang w:val="pl-PL" w:eastAsia="en-GB"/>
        </w:rPr>
        <w:t>iem</w:t>
      </w:r>
      <w:r w:rsidRPr="00000498">
        <w:rPr>
          <w:rFonts w:asciiTheme="minorHAnsi" w:eastAsia="Times New Roman" w:hAnsiTheme="minorHAnsi" w:cstheme="minorHAnsi"/>
          <w:szCs w:val="24"/>
          <w:lang w:val="pl-PL" w:eastAsia="en-GB"/>
        </w:rPr>
        <w:t xml:space="preserve"> zamknięt</w:t>
      </w:r>
      <w:r w:rsidR="00217FDD" w:rsidRPr="00000498">
        <w:rPr>
          <w:rFonts w:asciiTheme="minorHAnsi" w:eastAsia="Times New Roman" w:hAnsiTheme="minorHAnsi" w:cstheme="minorHAnsi"/>
          <w:szCs w:val="24"/>
          <w:lang w:val="pl-PL" w:eastAsia="en-GB"/>
        </w:rPr>
        <w:t>ym</w:t>
      </w:r>
      <w:r w:rsidRPr="00000498">
        <w:rPr>
          <w:rFonts w:asciiTheme="minorHAnsi" w:eastAsia="Times New Roman" w:hAnsiTheme="minorHAnsi" w:cstheme="minorHAnsi"/>
          <w:szCs w:val="24"/>
          <w:lang w:val="pl-PL" w:eastAsia="en-GB"/>
        </w:rPr>
        <w:t xml:space="preserve">. Działania sprzyjają zmianie systemowej stwarzającej długoterminowe </w:t>
      </w:r>
      <w:r w:rsidRPr="00000498">
        <w:rPr>
          <w:rFonts w:asciiTheme="minorHAnsi" w:eastAsia="Times New Roman" w:hAnsiTheme="minorHAnsi" w:cstheme="minorHAnsi"/>
          <w:szCs w:val="24"/>
          <w:u w:val="single"/>
          <w:lang w:val="pl-PL" w:eastAsia="en-GB"/>
        </w:rPr>
        <w:t>możliwości dla biznesu</w:t>
      </w:r>
      <w:r w:rsidRPr="00000498">
        <w:rPr>
          <w:rFonts w:asciiTheme="minorHAnsi" w:eastAsia="Times New Roman" w:hAnsiTheme="minorHAnsi" w:cstheme="minorHAnsi"/>
          <w:szCs w:val="24"/>
          <w:lang w:val="pl-PL" w:eastAsia="en-GB"/>
        </w:rPr>
        <w:t xml:space="preserve">, a także </w:t>
      </w:r>
      <w:r w:rsidRPr="00000498">
        <w:rPr>
          <w:rFonts w:asciiTheme="minorHAnsi" w:eastAsia="Times New Roman" w:hAnsiTheme="minorHAnsi" w:cstheme="minorHAnsi"/>
          <w:szCs w:val="24"/>
          <w:u w:val="single"/>
          <w:lang w:val="pl-PL" w:eastAsia="en-GB"/>
        </w:rPr>
        <w:t>korzyści środowiskowe i społeczne</w:t>
      </w:r>
      <w:r w:rsidRPr="00000498">
        <w:rPr>
          <w:rFonts w:asciiTheme="minorHAnsi" w:eastAsia="Times New Roman" w:hAnsiTheme="minorHAnsi" w:cstheme="minorHAnsi"/>
          <w:szCs w:val="24"/>
          <w:lang w:val="pl-PL" w:eastAsia="en-GB"/>
        </w:rPr>
        <w:t>. Z tego powodu</w:t>
      </w:r>
      <w:r w:rsidR="00217FDD" w:rsidRPr="00000498">
        <w:rPr>
          <w:rFonts w:asciiTheme="minorHAnsi" w:eastAsia="Times New Roman" w:hAnsiTheme="minorHAnsi" w:cstheme="minorHAnsi"/>
          <w:szCs w:val="24"/>
          <w:lang w:val="pl-PL" w:eastAsia="en-GB"/>
        </w:rPr>
        <w:t xml:space="preserve"> panuje przekonanie</w:t>
      </w:r>
      <w:r w:rsidRPr="00000498">
        <w:rPr>
          <w:rFonts w:asciiTheme="minorHAnsi" w:eastAsia="Times New Roman" w:hAnsiTheme="minorHAnsi" w:cstheme="minorHAnsi"/>
          <w:szCs w:val="24"/>
          <w:lang w:val="pl-PL" w:eastAsia="en-GB"/>
        </w:rPr>
        <w:t xml:space="preserve">, iż w centrum transformacji znajdują się firmy i społeczności. Biorąc pod uwagę potrzeby podmiotów biznesowych, Program zapewnia przestrzeń do ponownego zdefiniowania podejść do </w:t>
      </w:r>
      <w:r w:rsidRPr="00000498">
        <w:rPr>
          <w:rFonts w:asciiTheme="minorHAnsi" w:eastAsia="Times New Roman" w:hAnsiTheme="minorHAnsi" w:cstheme="minorHAnsi"/>
          <w:szCs w:val="24"/>
          <w:u w:val="single"/>
          <w:lang w:val="pl-PL" w:eastAsia="en-GB"/>
        </w:rPr>
        <w:t>inteligentnej specjalizacji</w:t>
      </w:r>
      <w:r w:rsidRPr="00000498">
        <w:rPr>
          <w:rFonts w:asciiTheme="minorHAnsi" w:eastAsia="Times New Roman" w:hAnsiTheme="minorHAnsi" w:cstheme="minorHAnsi"/>
          <w:szCs w:val="24"/>
          <w:lang w:val="pl-PL" w:eastAsia="en-GB"/>
        </w:rPr>
        <w:t xml:space="preserve">, aby przyspieszyć przejście w kierunku obiegu zamkniętego. Ponadto, działania powinny uwzględniać nie tylko potencjalnych zwycięzców, ale także </w:t>
      </w:r>
      <w:r w:rsidR="00A05A16" w:rsidRPr="00000498">
        <w:rPr>
          <w:rFonts w:asciiTheme="minorHAnsi" w:eastAsia="Times New Roman" w:hAnsiTheme="minorHAnsi" w:cstheme="minorHAnsi"/>
          <w:szCs w:val="24"/>
          <w:lang w:val="pl-PL" w:eastAsia="en-GB"/>
        </w:rPr>
        <w:t>osoby, które</w:t>
      </w:r>
      <w:r w:rsidRPr="00000498">
        <w:rPr>
          <w:rFonts w:asciiTheme="minorHAnsi" w:eastAsia="Times New Roman" w:hAnsiTheme="minorHAnsi" w:cstheme="minorHAnsi"/>
          <w:szCs w:val="24"/>
          <w:lang w:val="pl-PL" w:eastAsia="en-GB"/>
        </w:rPr>
        <w:t xml:space="preserve"> znalazły się </w:t>
      </w:r>
      <w:r w:rsidRPr="00000498">
        <w:rPr>
          <w:rFonts w:asciiTheme="minorHAnsi" w:eastAsia="Times New Roman" w:hAnsiTheme="minorHAnsi" w:cstheme="minorHAnsi"/>
          <w:szCs w:val="24"/>
          <w:u w:val="single"/>
          <w:lang w:val="pl-PL" w:eastAsia="en-GB"/>
        </w:rPr>
        <w:t>w niekorzystnej sytuacji wskutek postępującego proces</w:t>
      </w:r>
      <w:r w:rsidR="00217FDD" w:rsidRPr="00000498">
        <w:rPr>
          <w:rFonts w:asciiTheme="minorHAnsi" w:eastAsia="Times New Roman" w:hAnsiTheme="minorHAnsi" w:cstheme="minorHAnsi"/>
          <w:szCs w:val="24"/>
          <w:u w:val="single"/>
          <w:lang w:val="pl-PL" w:eastAsia="en-GB"/>
        </w:rPr>
        <w:t>u</w:t>
      </w:r>
      <w:r w:rsidRPr="00000498">
        <w:rPr>
          <w:rFonts w:asciiTheme="minorHAnsi" w:eastAsia="Times New Roman" w:hAnsiTheme="minorHAnsi" w:cstheme="minorHAnsi"/>
          <w:szCs w:val="24"/>
          <w:u w:val="single"/>
          <w:lang w:val="pl-PL" w:eastAsia="en-GB"/>
        </w:rPr>
        <w:t xml:space="preserve"> transformacji</w:t>
      </w:r>
      <w:r w:rsidRPr="00000498">
        <w:rPr>
          <w:rFonts w:asciiTheme="minorHAnsi" w:eastAsia="Times New Roman" w:hAnsiTheme="minorHAnsi" w:cstheme="minorHAnsi"/>
          <w:szCs w:val="24"/>
          <w:lang w:val="pl-PL" w:eastAsia="en-GB"/>
        </w:rPr>
        <w:t xml:space="preserve">. W stosownych przypadkach, działania uwzględniają </w:t>
      </w:r>
      <w:r w:rsidRPr="00000498">
        <w:rPr>
          <w:rFonts w:asciiTheme="minorHAnsi" w:eastAsia="Times New Roman" w:hAnsiTheme="minorHAnsi" w:cstheme="minorHAnsi"/>
          <w:szCs w:val="24"/>
          <w:u w:val="single"/>
          <w:lang w:val="pl-PL" w:eastAsia="en-GB"/>
        </w:rPr>
        <w:t>nierówne skutki terytorialne</w:t>
      </w:r>
      <w:r w:rsidRPr="00000498">
        <w:rPr>
          <w:rFonts w:asciiTheme="minorHAnsi" w:eastAsia="Times New Roman" w:hAnsiTheme="minorHAnsi" w:cstheme="minorHAnsi"/>
          <w:szCs w:val="24"/>
          <w:lang w:val="pl-PL" w:eastAsia="en-GB"/>
        </w:rPr>
        <w:t xml:space="preserve">, np. między obszarami miejskimi i wiejskimi lub specyfiką obszarów oddalonych. Zachęca się do rozwijania opracowanych rozwiązań w celu uwolnienia potencjału </w:t>
      </w:r>
      <w:r w:rsidRPr="00000498">
        <w:rPr>
          <w:rFonts w:asciiTheme="minorHAnsi" w:eastAsia="Times New Roman" w:hAnsiTheme="minorHAnsi" w:cstheme="minorHAnsi"/>
          <w:szCs w:val="24"/>
          <w:u w:val="single"/>
          <w:lang w:val="pl-PL" w:eastAsia="en-GB"/>
        </w:rPr>
        <w:t>cyfryzacji</w:t>
      </w:r>
      <w:r w:rsidRPr="00000498">
        <w:rPr>
          <w:rFonts w:asciiTheme="minorHAnsi" w:eastAsia="Times New Roman" w:hAnsiTheme="minorHAnsi" w:cstheme="minorHAnsi"/>
          <w:szCs w:val="24"/>
          <w:lang w:val="pl-PL" w:eastAsia="en-GB"/>
        </w:rPr>
        <w:t>, jako sposobu na osiągnięcie zasobooszczędnej gospodarki w regionie Morza Bałtyckiego</w:t>
      </w:r>
      <w:r w:rsidR="001B34A0" w:rsidRPr="00000498">
        <w:rPr>
          <w:rFonts w:asciiTheme="minorHAnsi" w:eastAsia="Times New Roman" w:hAnsiTheme="minorHAnsi" w:cstheme="minorHAnsi"/>
          <w:szCs w:val="24"/>
          <w:lang w:val="pl-PL" w:eastAsia="en-GB"/>
        </w:rPr>
        <w:t>.</w:t>
      </w:r>
    </w:p>
    <w:p w14:paraId="616BB61A" w14:textId="79323B41" w:rsidR="00217FDD" w:rsidRPr="00000498" w:rsidRDefault="002827BD" w:rsidP="00000498">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b/>
          <w:szCs w:val="24"/>
          <w:lang w:val="pl-PL" w:eastAsia="en-GB"/>
        </w:rPr>
      </w:pPr>
      <w:r w:rsidRPr="00000498">
        <w:rPr>
          <w:rFonts w:asciiTheme="minorHAnsi" w:eastAsia="Times New Roman" w:hAnsiTheme="minorHAnsi" w:cstheme="minorHAnsi"/>
          <w:b/>
          <w:szCs w:val="24"/>
          <w:lang w:val="pl-PL" w:eastAsia="en-GB"/>
        </w:rPr>
        <w:t xml:space="preserve">Przykłady działań (lista nie </w:t>
      </w:r>
      <w:r w:rsidRPr="00F42A23">
        <w:rPr>
          <w:rFonts w:asciiTheme="minorHAnsi" w:eastAsia="Times New Roman" w:hAnsiTheme="minorHAnsi" w:cstheme="minorHAnsi"/>
          <w:b/>
          <w:szCs w:val="24"/>
          <w:lang w:val="pl-PL" w:eastAsia="en-GB"/>
        </w:rPr>
        <w:t xml:space="preserve">jest </w:t>
      </w:r>
      <w:r w:rsidR="00305E0A" w:rsidRPr="00F42A23">
        <w:rPr>
          <w:rFonts w:asciiTheme="minorHAnsi" w:eastAsia="Times New Roman" w:hAnsiTheme="minorHAnsi" w:cstheme="minorHAnsi"/>
          <w:b/>
          <w:szCs w:val="24"/>
          <w:lang w:val="pl-PL" w:eastAsia="en-GB"/>
        </w:rPr>
        <w:t>zamknięta</w:t>
      </w:r>
      <w:r w:rsidRPr="00F42A23">
        <w:rPr>
          <w:rFonts w:asciiTheme="minorHAnsi" w:eastAsia="Times New Roman" w:hAnsiTheme="minorHAnsi" w:cstheme="minorHAnsi"/>
          <w:b/>
          <w:szCs w:val="24"/>
          <w:lang w:val="pl-PL" w:eastAsia="en-GB"/>
        </w:rPr>
        <w:t>)</w:t>
      </w:r>
      <w:r w:rsidR="00E04EED" w:rsidRPr="00F42A23">
        <w:rPr>
          <w:rFonts w:asciiTheme="minorHAnsi" w:eastAsia="Times New Roman" w:hAnsiTheme="minorHAnsi" w:cstheme="minorHAnsi"/>
          <w:b/>
          <w:szCs w:val="24"/>
          <w:lang w:val="pl-PL" w:eastAsia="en-GB"/>
        </w:rPr>
        <w:t>:</w:t>
      </w:r>
    </w:p>
    <w:p w14:paraId="23D7E9CF" w14:textId="582F81B5" w:rsidR="001B34A0" w:rsidRPr="00000498" w:rsidRDefault="001B34A0" w:rsidP="00000498">
      <w:pPr>
        <w:pStyle w:val="Akapitzlist"/>
        <w:numPr>
          <w:ilvl w:val="0"/>
          <w:numId w:val="36"/>
        </w:numPr>
        <w:pBdr>
          <w:top w:val="single" w:sz="4" w:space="1" w:color="auto"/>
          <w:left w:val="single" w:sz="4" w:space="4" w:color="auto"/>
          <w:bottom w:val="single" w:sz="4" w:space="1" w:color="auto"/>
          <w:right w:val="single" w:sz="4" w:space="4" w:color="auto"/>
        </w:pBdr>
        <w:ind w:left="431" w:hanging="431"/>
        <w:rPr>
          <w:rFonts w:eastAsia="Times New Roman" w:cstheme="minorHAnsi"/>
          <w:sz w:val="24"/>
          <w:szCs w:val="24"/>
          <w:lang w:val="pl-PL" w:eastAsia="en-GB"/>
        </w:rPr>
      </w:pPr>
      <w:r w:rsidRPr="00000498">
        <w:rPr>
          <w:rFonts w:eastAsia="Times New Roman" w:cstheme="minorHAnsi"/>
          <w:sz w:val="24"/>
          <w:szCs w:val="24"/>
          <w:lang w:val="pl-PL" w:eastAsia="en-GB"/>
        </w:rPr>
        <w:t>włączanie polityki gospodarki o obiegu zamkniętym do strategii terytorialnych i testowanie ich wdrażania</w:t>
      </w:r>
      <w:r w:rsidR="00217FDD" w:rsidRPr="00000498">
        <w:rPr>
          <w:rFonts w:eastAsia="Times New Roman" w:cstheme="minorHAnsi"/>
          <w:sz w:val="24"/>
          <w:szCs w:val="24"/>
          <w:lang w:val="pl-PL" w:eastAsia="en-GB"/>
        </w:rPr>
        <w:t>,</w:t>
      </w:r>
      <w:r w:rsidRPr="00000498">
        <w:rPr>
          <w:rFonts w:eastAsia="Times New Roman" w:cstheme="minorHAnsi"/>
          <w:sz w:val="24"/>
          <w:szCs w:val="24"/>
          <w:lang w:val="pl-PL" w:eastAsia="en-GB"/>
        </w:rPr>
        <w:t xml:space="preserve"> łącząc je z innymi odpowiednimi strategiami regionalnymi i krajowymi, np. </w:t>
      </w:r>
      <w:r w:rsidR="00217FDD" w:rsidRPr="00000498">
        <w:rPr>
          <w:rFonts w:eastAsia="Times New Roman" w:cstheme="minorHAnsi"/>
          <w:sz w:val="24"/>
          <w:szCs w:val="24"/>
          <w:lang w:val="pl-PL" w:eastAsia="en-GB"/>
        </w:rPr>
        <w:t>na rzecz</w:t>
      </w:r>
      <w:r w:rsidRPr="00000498">
        <w:rPr>
          <w:rFonts w:eastAsia="Times New Roman" w:cstheme="minorHAnsi"/>
          <w:sz w:val="24"/>
          <w:szCs w:val="24"/>
          <w:lang w:val="pl-PL" w:eastAsia="en-GB"/>
        </w:rPr>
        <w:t xml:space="preserve"> inteligentnej specjalizacji;</w:t>
      </w:r>
    </w:p>
    <w:p w14:paraId="2D31755B" w14:textId="6233E3FA" w:rsidR="001B34A0" w:rsidRPr="00000498" w:rsidRDefault="001B34A0" w:rsidP="00000498">
      <w:pPr>
        <w:pStyle w:val="Akapitzlist"/>
        <w:numPr>
          <w:ilvl w:val="0"/>
          <w:numId w:val="36"/>
        </w:numPr>
        <w:pBdr>
          <w:top w:val="single" w:sz="4" w:space="1" w:color="auto"/>
          <w:left w:val="single" w:sz="4" w:space="4" w:color="auto"/>
          <w:bottom w:val="single" w:sz="4" w:space="1" w:color="auto"/>
          <w:right w:val="single" w:sz="4" w:space="4" w:color="auto"/>
        </w:pBdr>
        <w:ind w:left="431" w:hanging="431"/>
        <w:jc w:val="both"/>
        <w:rPr>
          <w:rFonts w:eastAsia="Times New Roman" w:cstheme="minorHAnsi"/>
          <w:sz w:val="24"/>
          <w:szCs w:val="24"/>
          <w:lang w:val="pl-PL" w:eastAsia="en-GB"/>
        </w:rPr>
      </w:pPr>
      <w:r w:rsidRPr="00000498">
        <w:rPr>
          <w:rFonts w:eastAsia="Times New Roman" w:cstheme="minorHAnsi"/>
          <w:sz w:val="24"/>
          <w:szCs w:val="24"/>
          <w:lang w:val="pl-PL" w:eastAsia="en-GB"/>
        </w:rPr>
        <w:lastRenderedPageBreak/>
        <w:t>mapowanie barier administracyjnych lub prawnych ograniczających podejści</w:t>
      </w:r>
      <w:r w:rsidRPr="00090462">
        <w:rPr>
          <w:rFonts w:eastAsia="Times New Roman" w:cstheme="minorHAnsi"/>
          <w:lang w:val="pl-PL" w:eastAsia="en-GB"/>
        </w:rPr>
        <w:t xml:space="preserve">e </w:t>
      </w:r>
      <w:r w:rsidRPr="00000498">
        <w:rPr>
          <w:rFonts w:eastAsia="Times New Roman" w:cstheme="minorHAnsi"/>
          <w:sz w:val="24"/>
          <w:szCs w:val="24"/>
          <w:lang w:val="pl-PL" w:eastAsia="en-GB"/>
        </w:rPr>
        <w:t>obiegu zamkniętego oraz definiowanie rozwiązań zgodnych z kompetencjami miast i regionów;</w:t>
      </w:r>
    </w:p>
    <w:p w14:paraId="5D6FDEA7" w14:textId="79898FF6" w:rsidR="001B34A0" w:rsidRPr="00000498" w:rsidRDefault="001B34A0" w:rsidP="00000498">
      <w:pPr>
        <w:pStyle w:val="Akapitzlist"/>
        <w:numPr>
          <w:ilvl w:val="0"/>
          <w:numId w:val="36"/>
        </w:numPr>
        <w:pBdr>
          <w:top w:val="single" w:sz="4" w:space="1" w:color="auto"/>
          <w:left w:val="single" w:sz="4" w:space="4" w:color="auto"/>
          <w:bottom w:val="single" w:sz="4" w:space="1" w:color="auto"/>
          <w:right w:val="single" w:sz="4" w:space="4" w:color="auto"/>
        </w:pBdr>
        <w:ind w:left="431" w:hanging="431"/>
        <w:rPr>
          <w:rFonts w:eastAsia="Times New Roman" w:cstheme="minorHAnsi"/>
          <w:sz w:val="24"/>
          <w:szCs w:val="24"/>
          <w:lang w:val="pl-PL" w:eastAsia="en-GB"/>
        </w:rPr>
      </w:pPr>
      <w:r w:rsidRPr="00000498">
        <w:rPr>
          <w:rFonts w:eastAsia="Times New Roman" w:cstheme="minorHAnsi"/>
          <w:sz w:val="24"/>
          <w:szCs w:val="24"/>
          <w:lang w:val="pl-PL" w:eastAsia="en-GB"/>
        </w:rPr>
        <w:t>testowanie modeli zamówień publicznych wzmacniających rolę władz publicznych we wspieraniu przejścia do obiegu zamkniętego;</w:t>
      </w:r>
    </w:p>
    <w:p w14:paraId="2175C01B" w14:textId="2D64C34F" w:rsidR="00E04EED" w:rsidRPr="00000498" w:rsidRDefault="001B34A0" w:rsidP="00000498">
      <w:pPr>
        <w:pStyle w:val="Akapitzlist"/>
        <w:numPr>
          <w:ilvl w:val="0"/>
          <w:numId w:val="36"/>
        </w:numPr>
        <w:pBdr>
          <w:top w:val="single" w:sz="4" w:space="1" w:color="auto"/>
          <w:left w:val="single" w:sz="4" w:space="4" w:color="auto"/>
          <w:bottom w:val="single" w:sz="4" w:space="1" w:color="auto"/>
          <w:right w:val="single" w:sz="4" w:space="4" w:color="auto"/>
        </w:pBdr>
        <w:ind w:left="431" w:hanging="431"/>
        <w:rPr>
          <w:rFonts w:eastAsia="Times New Roman" w:cstheme="minorHAnsi"/>
          <w:sz w:val="24"/>
          <w:szCs w:val="24"/>
          <w:lang w:val="pl-PL" w:eastAsia="en-GB"/>
        </w:rPr>
      </w:pPr>
      <w:r w:rsidRPr="00000498">
        <w:rPr>
          <w:rFonts w:eastAsia="Times New Roman" w:cstheme="minorHAnsi"/>
          <w:sz w:val="24"/>
          <w:szCs w:val="24"/>
          <w:lang w:val="pl-PL" w:eastAsia="en-GB"/>
        </w:rPr>
        <w:t>ponowne przemyślenie procesów planowania miejskiego i regionalnego w kluczowych sektorach dla osiągnięcia obiegu zamkniętego (np. transport, gospodarka wodna, energia i gospodarka odpadami), w celu przyjęcia lepiej zintegrowanych i systemowych podejść</w:t>
      </w:r>
      <w:r w:rsidR="00E04EED" w:rsidRPr="00000498">
        <w:rPr>
          <w:rFonts w:eastAsia="Times New Roman" w:cstheme="minorHAnsi"/>
          <w:sz w:val="24"/>
          <w:szCs w:val="24"/>
          <w:lang w:val="pl-PL" w:eastAsia="en-GB"/>
        </w:rPr>
        <w:t>;</w:t>
      </w:r>
    </w:p>
    <w:p w14:paraId="7910E7F9" w14:textId="0DA579C1" w:rsidR="001B34A0" w:rsidRPr="00000498" w:rsidRDefault="001B34A0" w:rsidP="00000498">
      <w:pPr>
        <w:pStyle w:val="Akapitzlist"/>
        <w:numPr>
          <w:ilvl w:val="0"/>
          <w:numId w:val="36"/>
        </w:numPr>
        <w:pBdr>
          <w:top w:val="single" w:sz="4" w:space="1" w:color="auto"/>
          <w:left w:val="single" w:sz="4" w:space="4" w:color="auto"/>
          <w:bottom w:val="single" w:sz="4" w:space="1" w:color="auto"/>
          <w:right w:val="single" w:sz="4" w:space="4" w:color="auto"/>
        </w:pBdr>
        <w:ind w:left="431" w:hanging="431"/>
        <w:rPr>
          <w:rFonts w:eastAsia="Times New Roman" w:cstheme="minorHAnsi"/>
          <w:sz w:val="24"/>
          <w:szCs w:val="24"/>
          <w:lang w:val="pl-PL" w:eastAsia="en-GB"/>
        </w:rPr>
      </w:pPr>
      <w:r w:rsidRPr="00000498">
        <w:rPr>
          <w:rFonts w:eastAsia="Times New Roman" w:cstheme="minorHAnsi"/>
          <w:sz w:val="24"/>
          <w:szCs w:val="24"/>
          <w:lang w:val="pl-PL" w:eastAsia="en-GB"/>
        </w:rPr>
        <w:t xml:space="preserve">koordynowanie i wspieranie inicjatyw przedsiębiorczych i społeczeństwa obywatelskiego w promowaniu gospodarki o obiegu zamkniętym oraz wspieranie zmiany postaw, tj. budowanie świadomości o </w:t>
      </w:r>
      <w:r w:rsidR="00A05A16" w:rsidRPr="00000498">
        <w:rPr>
          <w:rFonts w:eastAsia="Times New Roman" w:cstheme="minorHAnsi"/>
          <w:sz w:val="24"/>
          <w:szCs w:val="24"/>
          <w:lang w:val="pl-PL" w:eastAsia="en-GB"/>
        </w:rPr>
        <w:t>możliwościach, jakie</w:t>
      </w:r>
      <w:r w:rsidRPr="00000498">
        <w:rPr>
          <w:rFonts w:eastAsia="Times New Roman" w:cstheme="minorHAnsi"/>
          <w:sz w:val="24"/>
          <w:szCs w:val="24"/>
          <w:lang w:val="pl-PL" w:eastAsia="en-GB"/>
        </w:rPr>
        <w:t xml:space="preserve"> oferuje obieg zamknięty wśród kadry zarządzającej, właścicieli i konsumentów;</w:t>
      </w:r>
    </w:p>
    <w:p w14:paraId="18A02675" w14:textId="203CA29A" w:rsidR="001B34A0" w:rsidRPr="00000498" w:rsidRDefault="001B34A0" w:rsidP="00000498">
      <w:pPr>
        <w:pStyle w:val="Akapitzlist"/>
        <w:numPr>
          <w:ilvl w:val="0"/>
          <w:numId w:val="36"/>
        </w:numPr>
        <w:pBdr>
          <w:top w:val="single" w:sz="4" w:space="1" w:color="auto"/>
          <w:left w:val="single" w:sz="4" w:space="4" w:color="auto"/>
          <w:bottom w:val="single" w:sz="4" w:space="1" w:color="auto"/>
          <w:right w:val="single" w:sz="4" w:space="4" w:color="auto"/>
        </w:pBdr>
        <w:ind w:left="431" w:hanging="431"/>
        <w:rPr>
          <w:rFonts w:eastAsia="Times New Roman" w:cstheme="minorHAnsi"/>
          <w:sz w:val="24"/>
          <w:szCs w:val="24"/>
          <w:lang w:val="pl-PL" w:eastAsia="en-GB"/>
        </w:rPr>
      </w:pPr>
      <w:r w:rsidRPr="00000498">
        <w:rPr>
          <w:rFonts w:eastAsia="Times New Roman" w:cstheme="minorHAnsi"/>
          <w:sz w:val="24"/>
          <w:szCs w:val="24"/>
          <w:lang w:val="pl-PL" w:eastAsia="en-GB"/>
        </w:rPr>
        <w:t>świadczenie usług wsparcia pomagających firmom przyjąć podejście mocniej nastawione na obieg zamknięty, np. wspieranie przejścia od własności do nowych modeli biznesowych opartych na elastycznym i niedrogim dostępie do usług;</w:t>
      </w:r>
    </w:p>
    <w:p w14:paraId="52F018AA" w14:textId="2F6FB0FB" w:rsidR="001B34A0" w:rsidRPr="00000498" w:rsidRDefault="001B34A0" w:rsidP="00000498">
      <w:pPr>
        <w:pStyle w:val="Akapitzlist"/>
        <w:numPr>
          <w:ilvl w:val="0"/>
          <w:numId w:val="36"/>
        </w:numPr>
        <w:pBdr>
          <w:top w:val="single" w:sz="4" w:space="1" w:color="auto"/>
          <w:left w:val="single" w:sz="4" w:space="4" w:color="auto"/>
          <w:bottom w:val="single" w:sz="4" w:space="1" w:color="auto"/>
          <w:right w:val="single" w:sz="4" w:space="4" w:color="auto"/>
        </w:pBdr>
        <w:ind w:left="431" w:hanging="431"/>
        <w:rPr>
          <w:rFonts w:eastAsia="Times New Roman" w:cstheme="minorHAnsi"/>
          <w:sz w:val="24"/>
          <w:szCs w:val="24"/>
          <w:lang w:val="pl-PL" w:eastAsia="en-GB"/>
        </w:rPr>
      </w:pPr>
      <w:r w:rsidRPr="00000498">
        <w:rPr>
          <w:rFonts w:eastAsia="Times New Roman" w:cstheme="minorHAnsi"/>
          <w:sz w:val="24"/>
          <w:szCs w:val="24"/>
          <w:lang w:val="pl-PL" w:eastAsia="en-GB"/>
        </w:rPr>
        <w:t xml:space="preserve">zastosowanie technologii cyfrowych do przekształcania modeli biznesowych z liniowych </w:t>
      </w:r>
      <w:r w:rsidR="00913C9A" w:rsidRPr="00000498">
        <w:rPr>
          <w:rFonts w:eastAsia="Times New Roman" w:cstheme="minorHAnsi"/>
          <w:sz w:val="24"/>
          <w:szCs w:val="24"/>
          <w:lang w:val="pl-PL" w:eastAsia="en-GB"/>
        </w:rPr>
        <w:t xml:space="preserve">na </w:t>
      </w:r>
      <w:r w:rsidRPr="00000498">
        <w:rPr>
          <w:rFonts w:eastAsia="Times New Roman" w:cstheme="minorHAnsi"/>
          <w:sz w:val="24"/>
          <w:szCs w:val="24"/>
          <w:lang w:val="pl-PL" w:eastAsia="en-GB"/>
        </w:rPr>
        <w:t>obieg zamknięty, np. dopasowywanie dostawców i producentów, śledzenie podróży komponentów i materiałów, pomoc w wirtualizacji produktów;</w:t>
      </w:r>
    </w:p>
    <w:p w14:paraId="0F13ACA3" w14:textId="0EDE7BA9" w:rsidR="00E04EED" w:rsidRPr="00000498" w:rsidRDefault="001B34A0" w:rsidP="00000498">
      <w:pPr>
        <w:pStyle w:val="Akapitzlist"/>
        <w:numPr>
          <w:ilvl w:val="0"/>
          <w:numId w:val="36"/>
        </w:numPr>
        <w:pBdr>
          <w:top w:val="single" w:sz="4" w:space="1" w:color="auto"/>
          <w:left w:val="single" w:sz="4" w:space="4" w:color="auto"/>
          <w:bottom w:val="single" w:sz="4" w:space="1" w:color="auto"/>
          <w:right w:val="single" w:sz="4" w:space="4" w:color="auto"/>
        </w:pBdr>
        <w:ind w:left="431" w:hanging="431"/>
        <w:rPr>
          <w:rFonts w:eastAsia="Times New Roman" w:cstheme="minorHAnsi"/>
          <w:sz w:val="24"/>
          <w:szCs w:val="24"/>
          <w:lang w:val="pl-PL" w:eastAsia="en-GB"/>
        </w:rPr>
      </w:pPr>
      <w:r w:rsidRPr="00000498">
        <w:rPr>
          <w:rFonts w:eastAsia="Times New Roman" w:cstheme="minorHAnsi"/>
          <w:sz w:val="24"/>
          <w:szCs w:val="24"/>
          <w:lang w:val="pl-PL" w:eastAsia="en-GB"/>
        </w:rPr>
        <w:t>testowanie rozwiązań tworzących synergię między bio</w:t>
      </w:r>
      <w:r w:rsidR="00913C9A" w:rsidRPr="00000498">
        <w:rPr>
          <w:rFonts w:eastAsia="Times New Roman" w:cstheme="minorHAnsi"/>
          <w:sz w:val="24"/>
          <w:szCs w:val="24"/>
          <w:lang w:val="pl-PL" w:eastAsia="en-GB"/>
        </w:rPr>
        <w:t xml:space="preserve">gospodarką </w:t>
      </w:r>
      <w:r w:rsidRPr="00000498">
        <w:rPr>
          <w:rFonts w:eastAsia="Times New Roman" w:cstheme="minorHAnsi"/>
          <w:sz w:val="24"/>
          <w:szCs w:val="24"/>
          <w:lang w:val="pl-PL" w:eastAsia="en-GB"/>
        </w:rPr>
        <w:t>a obieg</w:t>
      </w:r>
      <w:r w:rsidR="00913C9A" w:rsidRPr="00000498">
        <w:rPr>
          <w:rFonts w:eastAsia="Times New Roman" w:cstheme="minorHAnsi"/>
          <w:sz w:val="24"/>
          <w:szCs w:val="24"/>
          <w:lang w:val="pl-PL" w:eastAsia="en-GB"/>
        </w:rPr>
        <w:t>iem</w:t>
      </w:r>
      <w:r w:rsidRPr="00000498">
        <w:rPr>
          <w:rFonts w:eastAsia="Times New Roman" w:cstheme="minorHAnsi"/>
          <w:sz w:val="24"/>
          <w:szCs w:val="24"/>
          <w:lang w:val="pl-PL" w:eastAsia="en-GB"/>
        </w:rPr>
        <w:t xml:space="preserve"> zamkniętym, np. wspieranie symbiozy przemysłowej z wykorzystaniem odpadów z przemysłu leśnego przez firmy z różnych branż</w:t>
      </w:r>
      <w:r w:rsidR="00E04EED" w:rsidRPr="00000498">
        <w:rPr>
          <w:rFonts w:eastAsia="Times New Roman" w:cstheme="minorHAnsi"/>
          <w:sz w:val="24"/>
          <w:szCs w:val="24"/>
          <w:lang w:val="pl-PL" w:eastAsia="en-GB"/>
        </w:rPr>
        <w:t>.</w:t>
      </w:r>
    </w:p>
    <w:p w14:paraId="00D2AD7B" w14:textId="65B3BF23" w:rsidR="00E04EED" w:rsidRPr="00000498" w:rsidRDefault="002827BD" w:rsidP="00000498">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b/>
          <w:szCs w:val="24"/>
          <w:lang w:val="pl-PL" w:eastAsia="en-GB"/>
        </w:rPr>
      </w:pPr>
      <w:r w:rsidRPr="00000498">
        <w:rPr>
          <w:rFonts w:asciiTheme="minorHAnsi" w:eastAsia="Times New Roman" w:hAnsiTheme="minorHAnsi" w:cstheme="minorHAnsi"/>
          <w:b/>
          <w:szCs w:val="24"/>
          <w:lang w:val="pl-PL" w:eastAsia="en-GB"/>
        </w:rPr>
        <w:t>Wkład do wybranego celu</w:t>
      </w:r>
    </w:p>
    <w:p w14:paraId="2D55E701" w14:textId="51FADFAE" w:rsidR="00E04EED" w:rsidRPr="00000498" w:rsidRDefault="001B34A0" w:rsidP="00000498">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Proponowane działania przyczyniają się do realizacji celu szczegółowego poprzez zaangażowanie władz lokalnych i regionalnych, przedsiębiorstw i obywateli w działania przyspieszające przejście na gospodarkę o obiegu zamkniętym. W szczególności, działania usprawniają procesy planowania na poziomie lokalnym i regionalnym, aby umożliwić powstanie obiegu zamkniętego; ułatwiają ponadto opracowywanie, testowanie i stosowanie rozwiązań przekształcających modele biznesowe z liniowych w te o obiegu zamkniętym.</w:t>
      </w:r>
      <w:r w:rsidR="00913C9A" w:rsidRPr="00000498">
        <w:rPr>
          <w:rFonts w:asciiTheme="minorHAnsi" w:eastAsia="Times New Roman" w:hAnsiTheme="minorHAnsi" w:cstheme="minorHAnsi"/>
          <w:szCs w:val="24"/>
          <w:lang w:val="pl-PL" w:eastAsia="en-GB"/>
        </w:rPr>
        <w:t xml:space="preserve"> </w:t>
      </w:r>
      <w:r w:rsidRPr="00000498">
        <w:rPr>
          <w:rFonts w:asciiTheme="minorHAnsi" w:eastAsia="Times New Roman" w:hAnsiTheme="minorHAnsi" w:cstheme="minorHAnsi"/>
          <w:szCs w:val="24"/>
          <w:lang w:val="pl-PL" w:eastAsia="en-GB"/>
        </w:rPr>
        <w:t xml:space="preserve">Ponadto, działania zwiększają rolę społeczeństwa obywatelskiego w budowaniu świadomości </w:t>
      </w:r>
      <w:r w:rsidR="00913C9A" w:rsidRPr="00000498">
        <w:rPr>
          <w:rFonts w:asciiTheme="minorHAnsi" w:eastAsia="Times New Roman" w:hAnsiTheme="minorHAnsi" w:cstheme="minorHAnsi"/>
          <w:szCs w:val="24"/>
          <w:lang w:val="pl-PL" w:eastAsia="en-GB"/>
        </w:rPr>
        <w:t xml:space="preserve">w zakresie </w:t>
      </w:r>
      <w:r w:rsidR="00A05A16" w:rsidRPr="00000498">
        <w:rPr>
          <w:rFonts w:asciiTheme="minorHAnsi" w:eastAsia="Times New Roman" w:hAnsiTheme="minorHAnsi" w:cstheme="minorHAnsi"/>
          <w:szCs w:val="24"/>
          <w:lang w:val="pl-PL" w:eastAsia="en-GB"/>
        </w:rPr>
        <w:t>możliwości, jakie</w:t>
      </w:r>
      <w:r w:rsidRPr="00000498">
        <w:rPr>
          <w:rFonts w:asciiTheme="minorHAnsi" w:eastAsia="Times New Roman" w:hAnsiTheme="minorHAnsi" w:cstheme="minorHAnsi"/>
          <w:szCs w:val="24"/>
          <w:lang w:val="pl-PL" w:eastAsia="en-GB"/>
        </w:rPr>
        <w:t xml:space="preserve"> </w:t>
      </w:r>
      <w:r w:rsidR="00913C9A" w:rsidRPr="00000498">
        <w:rPr>
          <w:rFonts w:asciiTheme="minorHAnsi" w:eastAsia="Times New Roman" w:hAnsiTheme="minorHAnsi" w:cstheme="minorHAnsi"/>
          <w:szCs w:val="24"/>
          <w:lang w:val="pl-PL" w:eastAsia="en-GB"/>
        </w:rPr>
        <w:t>oferuje</w:t>
      </w:r>
      <w:r w:rsidRPr="00000498">
        <w:rPr>
          <w:rFonts w:asciiTheme="minorHAnsi" w:eastAsia="Times New Roman" w:hAnsiTheme="minorHAnsi" w:cstheme="minorHAnsi"/>
          <w:szCs w:val="24"/>
          <w:lang w:val="pl-PL" w:eastAsia="en-GB"/>
        </w:rPr>
        <w:t xml:space="preserve"> obieg zamknięty</w:t>
      </w:r>
      <w:r w:rsidR="00E04EED" w:rsidRPr="00000498">
        <w:rPr>
          <w:rFonts w:asciiTheme="minorHAnsi" w:eastAsia="Times New Roman" w:hAnsiTheme="minorHAnsi" w:cstheme="minorHAnsi"/>
          <w:szCs w:val="24"/>
          <w:lang w:val="pl-PL" w:eastAsia="en-GB"/>
        </w:rPr>
        <w:t xml:space="preserve">.  </w:t>
      </w:r>
    </w:p>
    <w:p w14:paraId="538BE85B" w14:textId="7421CECD" w:rsidR="00E04EED" w:rsidRPr="00000498" w:rsidRDefault="002827BD" w:rsidP="00000498">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b/>
          <w:szCs w:val="24"/>
          <w:lang w:val="pl-PL" w:eastAsia="en-GB"/>
        </w:rPr>
      </w:pPr>
      <w:r w:rsidRPr="00000498">
        <w:rPr>
          <w:rFonts w:asciiTheme="minorHAnsi" w:eastAsia="Times New Roman" w:hAnsiTheme="minorHAnsi" w:cstheme="minorHAnsi"/>
          <w:b/>
          <w:szCs w:val="24"/>
          <w:lang w:val="pl-PL" w:eastAsia="en-GB"/>
        </w:rPr>
        <w:t xml:space="preserve">Wkład w </w:t>
      </w:r>
      <w:r w:rsidR="00090462">
        <w:rPr>
          <w:rFonts w:asciiTheme="minorHAnsi" w:eastAsia="Times New Roman" w:hAnsiTheme="minorHAnsi" w:cstheme="minorHAnsi"/>
          <w:b/>
          <w:szCs w:val="24"/>
          <w:lang w:val="pl-PL" w:eastAsia="en-GB"/>
        </w:rPr>
        <w:t>S</w:t>
      </w:r>
      <w:r w:rsidRPr="00000498">
        <w:rPr>
          <w:rFonts w:asciiTheme="minorHAnsi" w:eastAsia="Times New Roman" w:hAnsiTheme="minorHAnsi" w:cstheme="minorHAnsi"/>
          <w:b/>
          <w:szCs w:val="24"/>
          <w:lang w:val="pl-PL" w:eastAsia="en-GB"/>
        </w:rPr>
        <w:t>trategię UE dla regionu Morza Bałtyckiego</w:t>
      </w:r>
    </w:p>
    <w:p w14:paraId="395DCBFB" w14:textId="40B3962D" w:rsidR="00E04EED" w:rsidRPr="00000498" w:rsidRDefault="00EC7197" w:rsidP="00000498">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 xml:space="preserve">Rodzaje działań wspieranych w ramach programu przyczyniają się do realizacji celów SUE </w:t>
      </w:r>
      <w:r w:rsidR="00A05A16" w:rsidRPr="00000498">
        <w:rPr>
          <w:rFonts w:asciiTheme="minorHAnsi" w:eastAsia="Times New Roman" w:hAnsiTheme="minorHAnsi" w:cstheme="minorHAnsi"/>
          <w:szCs w:val="24"/>
          <w:lang w:val="pl-PL" w:eastAsia="en-GB"/>
        </w:rPr>
        <w:t>RMB, jakimi</w:t>
      </w:r>
      <w:r w:rsidRPr="00000498">
        <w:rPr>
          <w:rFonts w:asciiTheme="minorHAnsi" w:eastAsia="Times New Roman" w:hAnsiTheme="minorHAnsi" w:cstheme="minorHAnsi"/>
          <w:szCs w:val="24"/>
          <w:lang w:val="pl-PL" w:eastAsia="en-GB"/>
        </w:rPr>
        <w:t xml:space="preserve"> są zwiększenie dobrobytu i ochrona morza; wspierają </w:t>
      </w:r>
      <w:r w:rsidR="00913C9A" w:rsidRPr="00000498">
        <w:rPr>
          <w:rFonts w:asciiTheme="minorHAnsi" w:eastAsia="Times New Roman" w:hAnsiTheme="minorHAnsi" w:cstheme="minorHAnsi"/>
          <w:szCs w:val="24"/>
          <w:lang w:val="pl-PL" w:eastAsia="en-GB"/>
        </w:rPr>
        <w:t>Obszar Tematyczny</w:t>
      </w:r>
      <w:r w:rsidRPr="00000498">
        <w:rPr>
          <w:rFonts w:asciiTheme="minorHAnsi" w:eastAsia="Times New Roman" w:hAnsiTheme="minorHAnsi" w:cstheme="minorHAnsi"/>
          <w:szCs w:val="24"/>
          <w:lang w:val="pl-PL" w:eastAsia="en-GB"/>
        </w:rPr>
        <w:t xml:space="preserve"> (</w:t>
      </w:r>
      <w:r w:rsidR="000C5539" w:rsidRPr="00000498">
        <w:rPr>
          <w:rFonts w:asciiTheme="minorHAnsi" w:eastAsia="Times New Roman" w:hAnsiTheme="minorHAnsi" w:cstheme="minorHAnsi"/>
          <w:szCs w:val="24"/>
          <w:lang w:val="pl-PL" w:eastAsia="en-GB"/>
        </w:rPr>
        <w:t>OT</w:t>
      </w:r>
      <w:r w:rsidRPr="00000498">
        <w:rPr>
          <w:rFonts w:asciiTheme="minorHAnsi" w:eastAsia="Times New Roman" w:hAnsiTheme="minorHAnsi" w:cstheme="minorHAnsi"/>
          <w:szCs w:val="24"/>
          <w:lang w:val="pl-PL" w:eastAsia="en-GB"/>
        </w:rPr>
        <w:t xml:space="preserve">) </w:t>
      </w:r>
      <w:r w:rsidR="00913C9A" w:rsidRPr="00000498">
        <w:rPr>
          <w:rFonts w:asciiTheme="minorHAnsi" w:eastAsia="Times New Roman" w:hAnsiTheme="minorHAnsi" w:cstheme="minorHAnsi"/>
          <w:szCs w:val="24"/>
          <w:lang w:val="pl-PL" w:eastAsia="en-GB"/>
        </w:rPr>
        <w:t xml:space="preserve">Innowacje </w:t>
      </w:r>
      <w:r w:rsidRPr="00000498">
        <w:rPr>
          <w:rFonts w:asciiTheme="minorHAnsi" w:eastAsia="Times New Roman" w:hAnsiTheme="minorHAnsi" w:cstheme="minorHAnsi"/>
          <w:szCs w:val="24"/>
          <w:lang w:val="pl-PL" w:eastAsia="en-GB"/>
        </w:rPr>
        <w:t xml:space="preserve">poprzez osiągnięcie gospodarki bardziej efektywnie korzystającej z zasobów poprzez transformację cyfrową. Ponadto, działania przyczyniają się do </w:t>
      </w:r>
      <w:r w:rsidR="00913C9A" w:rsidRPr="00000498">
        <w:rPr>
          <w:rFonts w:asciiTheme="minorHAnsi" w:eastAsia="Times New Roman" w:hAnsiTheme="minorHAnsi" w:cstheme="minorHAnsi"/>
          <w:szCs w:val="24"/>
          <w:lang w:val="pl-PL" w:eastAsia="en-GB"/>
        </w:rPr>
        <w:t>„</w:t>
      </w:r>
      <w:r w:rsidRPr="00000498">
        <w:rPr>
          <w:rFonts w:asciiTheme="minorHAnsi" w:eastAsia="Times New Roman" w:hAnsiTheme="minorHAnsi" w:cstheme="minorHAnsi"/>
          <w:szCs w:val="24"/>
          <w:lang w:val="pl-PL" w:eastAsia="en-GB"/>
        </w:rPr>
        <w:t>ekologicznej zmiany</w:t>
      </w:r>
      <w:r w:rsidR="00913C9A" w:rsidRPr="00000498">
        <w:rPr>
          <w:rFonts w:asciiTheme="minorHAnsi" w:eastAsia="Times New Roman" w:hAnsiTheme="minorHAnsi" w:cstheme="minorHAnsi"/>
          <w:szCs w:val="24"/>
          <w:lang w:val="pl-PL" w:eastAsia="en-GB"/>
        </w:rPr>
        <w:t>”</w:t>
      </w:r>
      <w:r w:rsidRPr="00000498">
        <w:rPr>
          <w:rFonts w:asciiTheme="minorHAnsi" w:eastAsia="Times New Roman" w:hAnsiTheme="minorHAnsi" w:cstheme="minorHAnsi"/>
          <w:szCs w:val="24"/>
          <w:lang w:val="pl-PL" w:eastAsia="en-GB"/>
        </w:rPr>
        <w:t xml:space="preserve"> w podejściu do inteligentnej specjalizacji, której sprzyja </w:t>
      </w:r>
      <w:r w:rsidR="000C5539" w:rsidRPr="00000498">
        <w:rPr>
          <w:rFonts w:asciiTheme="minorHAnsi" w:eastAsia="Times New Roman" w:hAnsiTheme="minorHAnsi" w:cstheme="minorHAnsi"/>
          <w:szCs w:val="24"/>
          <w:lang w:val="pl-PL" w:eastAsia="en-GB"/>
        </w:rPr>
        <w:t>Obszar Tematyczny</w:t>
      </w:r>
      <w:r w:rsidRPr="00000498">
        <w:rPr>
          <w:rFonts w:asciiTheme="minorHAnsi" w:eastAsia="Times New Roman" w:hAnsiTheme="minorHAnsi" w:cstheme="minorHAnsi"/>
          <w:szCs w:val="24"/>
          <w:lang w:val="pl-PL" w:eastAsia="en-GB"/>
        </w:rPr>
        <w:t xml:space="preserve"> „Innowacje”. Działania wspierają również </w:t>
      </w:r>
      <w:r w:rsidR="000C5539" w:rsidRPr="00000498">
        <w:rPr>
          <w:rFonts w:asciiTheme="minorHAnsi" w:eastAsia="Times New Roman" w:hAnsiTheme="minorHAnsi" w:cstheme="minorHAnsi"/>
          <w:szCs w:val="24"/>
          <w:lang w:val="pl-PL" w:eastAsia="en-GB"/>
        </w:rPr>
        <w:t>OT</w:t>
      </w:r>
      <w:r w:rsidRPr="00000498">
        <w:rPr>
          <w:rFonts w:asciiTheme="minorHAnsi" w:eastAsia="Times New Roman" w:hAnsiTheme="minorHAnsi" w:cstheme="minorHAnsi"/>
          <w:szCs w:val="24"/>
          <w:lang w:val="pl-PL" w:eastAsia="en-GB"/>
        </w:rPr>
        <w:t xml:space="preserve"> Biogospodarka. Wykorzystują szanse wynikające z połączenia </w:t>
      </w:r>
      <w:bookmarkStart w:id="102" w:name="OLE_LINK267"/>
      <w:bookmarkStart w:id="103" w:name="OLE_LINK268"/>
      <w:r w:rsidRPr="00000498">
        <w:rPr>
          <w:rFonts w:asciiTheme="minorHAnsi" w:eastAsia="Times New Roman" w:hAnsiTheme="minorHAnsi" w:cstheme="minorHAnsi"/>
          <w:szCs w:val="24"/>
          <w:lang w:val="pl-PL" w:eastAsia="en-GB"/>
        </w:rPr>
        <w:t>biogospodarki</w:t>
      </w:r>
      <w:bookmarkEnd w:id="102"/>
      <w:bookmarkEnd w:id="103"/>
      <w:r w:rsidRPr="00000498">
        <w:rPr>
          <w:rFonts w:asciiTheme="minorHAnsi" w:eastAsia="Times New Roman" w:hAnsiTheme="minorHAnsi" w:cstheme="minorHAnsi"/>
          <w:szCs w:val="24"/>
          <w:lang w:val="pl-PL" w:eastAsia="en-GB"/>
        </w:rPr>
        <w:t xml:space="preserve"> i zasad gospodarki o obiegu zamkniętym, np. poprzez symbiozę przemysłową.</w:t>
      </w:r>
      <w:r w:rsidR="00913C9A" w:rsidRPr="00000498">
        <w:rPr>
          <w:rFonts w:asciiTheme="minorHAnsi" w:eastAsia="Times New Roman" w:hAnsiTheme="minorHAnsi" w:cstheme="minorHAnsi"/>
          <w:szCs w:val="24"/>
          <w:lang w:val="pl-PL" w:eastAsia="en-GB"/>
        </w:rPr>
        <w:t xml:space="preserve"> </w:t>
      </w:r>
      <w:r w:rsidRPr="00000498">
        <w:rPr>
          <w:rFonts w:asciiTheme="minorHAnsi" w:eastAsia="Times New Roman" w:hAnsiTheme="minorHAnsi" w:cstheme="minorHAnsi"/>
          <w:szCs w:val="24"/>
          <w:lang w:val="pl-PL" w:eastAsia="en-GB"/>
        </w:rPr>
        <w:t xml:space="preserve">W swoim holistycznym podejściu, cel Programu jest również istotny dla </w:t>
      </w:r>
      <w:r w:rsidR="000C5539" w:rsidRPr="00000498">
        <w:rPr>
          <w:rFonts w:asciiTheme="minorHAnsi" w:eastAsia="Times New Roman" w:hAnsiTheme="minorHAnsi" w:cstheme="minorHAnsi"/>
          <w:szCs w:val="24"/>
          <w:lang w:val="pl-PL" w:eastAsia="en-GB"/>
        </w:rPr>
        <w:t>OT</w:t>
      </w:r>
      <w:r w:rsidRPr="00000498">
        <w:rPr>
          <w:rFonts w:asciiTheme="minorHAnsi" w:eastAsia="Times New Roman" w:hAnsiTheme="minorHAnsi" w:cstheme="minorHAnsi"/>
          <w:szCs w:val="24"/>
          <w:lang w:val="pl-PL" w:eastAsia="en-GB"/>
        </w:rPr>
        <w:t xml:space="preserve"> </w:t>
      </w:r>
      <w:r w:rsidR="0070721F" w:rsidRPr="00000498">
        <w:rPr>
          <w:rFonts w:asciiTheme="minorHAnsi" w:eastAsia="Times New Roman" w:hAnsiTheme="minorHAnsi" w:cstheme="minorHAnsi"/>
          <w:szCs w:val="24"/>
          <w:lang w:val="pl-PL" w:eastAsia="en-GB"/>
        </w:rPr>
        <w:t>Zdrowie</w:t>
      </w:r>
      <w:r w:rsidRPr="00000498">
        <w:rPr>
          <w:rFonts w:asciiTheme="minorHAnsi" w:eastAsia="Times New Roman" w:hAnsiTheme="minorHAnsi" w:cstheme="minorHAnsi"/>
          <w:szCs w:val="24"/>
          <w:lang w:val="pl-PL" w:eastAsia="en-GB"/>
        </w:rPr>
        <w:t>, któr</w:t>
      </w:r>
      <w:r w:rsidR="00913C9A" w:rsidRPr="00000498">
        <w:rPr>
          <w:rFonts w:asciiTheme="minorHAnsi" w:eastAsia="Times New Roman" w:hAnsiTheme="minorHAnsi" w:cstheme="minorHAnsi"/>
          <w:szCs w:val="24"/>
          <w:lang w:val="pl-PL" w:eastAsia="en-GB"/>
        </w:rPr>
        <w:t>y</w:t>
      </w:r>
      <w:r w:rsidRPr="00000498">
        <w:rPr>
          <w:rFonts w:asciiTheme="minorHAnsi" w:eastAsia="Times New Roman" w:hAnsiTheme="minorHAnsi" w:cstheme="minorHAnsi"/>
          <w:szCs w:val="24"/>
          <w:lang w:val="pl-PL" w:eastAsia="en-GB"/>
        </w:rPr>
        <w:t xml:space="preserve"> </w:t>
      </w:r>
      <w:r w:rsidRPr="00000498">
        <w:rPr>
          <w:rFonts w:asciiTheme="minorHAnsi" w:eastAsia="Times New Roman" w:hAnsiTheme="minorHAnsi" w:cstheme="minorHAnsi"/>
          <w:szCs w:val="24"/>
          <w:lang w:val="pl-PL" w:eastAsia="en-GB"/>
        </w:rPr>
        <w:lastRenderedPageBreak/>
        <w:t>dąży do integracji aspektów zdrowotnych z innymi sektorami, w tym z gospodarką o obiegu zamkniętym</w:t>
      </w:r>
      <w:r w:rsidR="00E04EED" w:rsidRPr="00000498">
        <w:rPr>
          <w:rFonts w:asciiTheme="minorHAnsi" w:eastAsia="Times New Roman" w:hAnsiTheme="minorHAnsi" w:cstheme="minorHAnsi"/>
          <w:szCs w:val="24"/>
          <w:lang w:val="pl-PL" w:eastAsia="en-GB"/>
        </w:rPr>
        <w:t>.</w:t>
      </w:r>
    </w:p>
    <w:p w14:paraId="5E6720F7" w14:textId="4C135B20" w:rsidR="00E04EED" w:rsidRPr="00000498" w:rsidRDefault="002827BD" w:rsidP="00000498">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b/>
          <w:szCs w:val="24"/>
          <w:lang w:val="pl-PL" w:eastAsia="en-GB"/>
        </w:rPr>
      </w:pPr>
      <w:r w:rsidRPr="00000498">
        <w:rPr>
          <w:rFonts w:asciiTheme="minorHAnsi" w:eastAsia="Times New Roman" w:hAnsiTheme="minorHAnsi" w:cstheme="minorHAnsi"/>
          <w:b/>
          <w:szCs w:val="24"/>
          <w:lang w:val="pl-PL" w:eastAsia="en-GB"/>
        </w:rPr>
        <w:t>Oczekiwany rezultat</w:t>
      </w:r>
    </w:p>
    <w:p w14:paraId="35689A31" w14:textId="16095DBC" w:rsidR="00E04EED" w:rsidRPr="00000498" w:rsidRDefault="0070721F" w:rsidP="00000498">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 xml:space="preserve">W tym celu, Program umożliwia budowanie świadomości o </w:t>
      </w:r>
      <w:r w:rsidR="00A05A16" w:rsidRPr="00000498">
        <w:rPr>
          <w:rFonts w:asciiTheme="minorHAnsi" w:eastAsia="Times New Roman" w:hAnsiTheme="minorHAnsi" w:cstheme="minorHAnsi"/>
          <w:szCs w:val="24"/>
          <w:lang w:val="pl-PL" w:eastAsia="en-GB"/>
        </w:rPr>
        <w:t>możliwościach, jakie</w:t>
      </w:r>
      <w:r w:rsidRPr="00000498">
        <w:rPr>
          <w:rFonts w:asciiTheme="minorHAnsi" w:eastAsia="Times New Roman" w:hAnsiTheme="minorHAnsi" w:cstheme="minorHAnsi"/>
          <w:szCs w:val="24"/>
          <w:lang w:val="pl-PL" w:eastAsia="en-GB"/>
        </w:rPr>
        <w:t xml:space="preserve"> oferuje obieg zamknięty dla gospodarki i społeczeństwa. Działania zwiększają również praktyczne zastosowanie już istniejących rozwiązań a także rozwój i testowanie nowych rozwiązań zmieniających sposób wykorzystania zasobów regionu Morza Bałtyckiego z liniowego na obieg zamknięty. Tym samym, główne grupy docelowe Programu zwiększają swoją zdolność do stosowania zintegrowanego podejścia do obiegu zamkniętego w kluczowych sektorach takich, jak planowanie, transport, woda, energia i gospodarka odpadami.</w:t>
      </w:r>
    </w:p>
    <w:p w14:paraId="04D00637" w14:textId="77777777" w:rsidR="005909CB" w:rsidRPr="00F879CC" w:rsidRDefault="005909CB" w:rsidP="00000498">
      <w:pPr>
        <w:spacing w:before="240" w:after="240" w:line="276" w:lineRule="auto"/>
        <w:ind w:left="709" w:hanging="709"/>
        <w:rPr>
          <w:rFonts w:asciiTheme="minorHAnsi" w:eastAsia="Times New Roman" w:hAnsiTheme="minorHAnsi" w:cstheme="minorHAnsi"/>
          <w:b/>
          <w:iCs/>
          <w:szCs w:val="24"/>
          <w:lang w:val="pl-PL" w:eastAsia="en-GB"/>
        </w:rPr>
      </w:pPr>
    </w:p>
    <w:p w14:paraId="3B8B0E13" w14:textId="47E07064" w:rsidR="005909CB" w:rsidRPr="00F879CC" w:rsidRDefault="0070721F" w:rsidP="00000498">
      <w:pPr>
        <w:spacing w:before="240" w:after="240" w:line="276" w:lineRule="auto"/>
        <w:ind w:left="709" w:hanging="709"/>
        <w:rPr>
          <w:rFonts w:asciiTheme="minorHAnsi" w:eastAsia="Times New Roman" w:hAnsiTheme="minorHAnsi" w:cstheme="minorHAnsi"/>
          <w:b/>
          <w:iCs/>
          <w:szCs w:val="24"/>
          <w:lang w:val="pl-PL" w:eastAsia="en-GB"/>
        </w:rPr>
      </w:pPr>
      <w:r w:rsidRPr="00F879CC">
        <w:rPr>
          <w:rFonts w:asciiTheme="minorHAnsi" w:eastAsia="Times New Roman" w:hAnsiTheme="minorHAnsi" w:cstheme="minorHAnsi"/>
          <w:b/>
          <w:iCs/>
          <w:szCs w:val="24"/>
          <w:lang w:val="pl-PL" w:eastAsia="en-GB"/>
        </w:rPr>
        <w:t>2.3.1.2</w:t>
      </w:r>
      <w:r w:rsidRPr="00F879CC">
        <w:rPr>
          <w:rFonts w:asciiTheme="minorHAnsi" w:eastAsia="Times New Roman" w:hAnsiTheme="minorHAnsi" w:cstheme="minorHAnsi"/>
          <w:b/>
          <w:iCs/>
          <w:szCs w:val="24"/>
          <w:lang w:val="pl-PL" w:eastAsia="en-GB"/>
        </w:rPr>
        <w:tab/>
      </w:r>
      <w:r w:rsidR="00A72D8A">
        <w:rPr>
          <w:rFonts w:asciiTheme="minorHAnsi" w:eastAsia="Times New Roman" w:hAnsiTheme="minorHAnsi" w:cstheme="minorHAnsi"/>
          <w:b/>
          <w:iCs/>
          <w:szCs w:val="24"/>
          <w:lang w:val="pl-PL" w:eastAsia="en-GB"/>
        </w:rPr>
        <w:t xml:space="preserve"> </w:t>
      </w:r>
      <w:r w:rsidRPr="00F879CC">
        <w:rPr>
          <w:rFonts w:asciiTheme="minorHAnsi" w:eastAsia="Times New Roman" w:hAnsiTheme="minorHAnsi" w:cstheme="minorHAnsi"/>
          <w:b/>
          <w:iCs/>
          <w:szCs w:val="24"/>
          <w:lang w:val="pl-PL" w:eastAsia="en-GB"/>
        </w:rPr>
        <w:t>Wskaźniki</w:t>
      </w:r>
    </w:p>
    <w:p w14:paraId="60A7BB2D" w14:textId="7890B846" w:rsidR="005909CB" w:rsidRPr="00000498" w:rsidRDefault="0070721F" w:rsidP="00000498">
      <w:pPr>
        <w:spacing w:after="20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Dotyczy: art. 17 ust. 4 lit. e) ppkt (ii), art. 17 ust. 9 lit. c) ppkt (iii)</w:t>
      </w:r>
    </w:p>
    <w:p w14:paraId="3470B42E" w14:textId="13B7037A" w:rsidR="002E6144" w:rsidRPr="00000498" w:rsidRDefault="00871A6C" w:rsidP="00000498">
      <w:pPr>
        <w:spacing w:before="240" w:after="240" w:line="276" w:lineRule="auto"/>
        <w:rPr>
          <w:rFonts w:asciiTheme="minorHAnsi" w:eastAsia="Times New Roman" w:hAnsiTheme="minorHAnsi" w:cstheme="minorHAnsi"/>
          <w:iCs/>
          <w:szCs w:val="24"/>
          <w:lang w:val="pl-PL" w:eastAsia="en-GB"/>
        </w:rPr>
      </w:pPr>
      <w:r w:rsidRPr="00000498">
        <w:rPr>
          <w:rFonts w:asciiTheme="minorHAnsi" w:eastAsia="Times New Roman" w:hAnsiTheme="minorHAnsi" w:cstheme="minorHAnsi"/>
          <w:iCs/>
          <w:szCs w:val="24"/>
          <w:lang w:val="pl-PL" w:eastAsia="en-GB"/>
        </w:rPr>
        <w:t>Tabela</w:t>
      </w:r>
      <w:r w:rsidR="002E6144" w:rsidRPr="00000498">
        <w:rPr>
          <w:rFonts w:asciiTheme="minorHAnsi" w:eastAsia="Times New Roman" w:hAnsiTheme="minorHAnsi" w:cstheme="minorHAnsi"/>
          <w:iCs/>
          <w:szCs w:val="24"/>
          <w:lang w:val="pl-PL" w:eastAsia="en-GB"/>
        </w:rPr>
        <w:t xml:space="preserve"> 2: </w:t>
      </w:r>
      <w:r w:rsidR="00813365" w:rsidRPr="00000498">
        <w:rPr>
          <w:rFonts w:asciiTheme="minorHAnsi" w:eastAsia="Times New Roman" w:hAnsiTheme="minorHAnsi" w:cstheme="minorHAnsi"/>
          <w:iCs/>
          <w:szCs w:val="24"/>
          <w:lang w:val="pl-PL" w:eastAsia="en-GB"/>
        </w:rPr>
        <w:t>Wskaźniki produktu wyjściowego</w:t>
      </w:r>
      <w:r w:rsidR="002E6144" w:rsidRPr="00000498">
        <w:rPr>
          <w:rFonts w:asciiTheme="minorHAnsi" w:eastAsia="Times New Roman" w:hAnsiTheme="minorHAnsi" w:cstheme="minorHAnsi"/>
          <w:iCs/>
          <w:szCs w:val="24"/>
          <w:lang w:val="pl-PL" w:eastAsia="en-GB"/>
        </w:rPr>
        <w:t xml:space="preserve"> </w:t>
      </w:r>
    </w:p>
    <w:tbl>
      <w:tblPr>
        <w:tblW w:w="3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ela dotycząca wskaźników produktu wyjściowego"/>
      </w:tblPr>
      <w:tblGrid>
        <w:gridCol w:w="1104"/>
        <w:gridCol w:w="1452"/>
        <w:gridCol w:w="999"/>
        <w:gridCol w:w="1740"/>
        <w:gridCol w:w="1420"/>
        <w:gridCol w:w="970"/>
        <w:gridCol w:w="1285"/>
      </w:tblGrid>
      <w:tr w:rsidR="00802AE7" w:rsidRPr="00A72D8A" w14:paraId="2FD69F30" w14:textId="2CFAB2D5" w:rsidTr="00802AE7">
        <w:trPr>
          <w:trHeight w:val="836"/>
        </w:trPr>
        <w:tc>
          <w:tcPr>
            <w:tcW w:w="525" w:type="pct"/>
          </w:tcPr>
          <w:p w14:paraId="62BD1716" w14:textId="340C1F42" w:rsidR="00802AE7" w:rsidRPr="00000498" w:rsidRDefault="00813365" w:rsidP="006A6B69">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Priorytet</w:t>
            </w:r>
            <w:r w:rsidR="00802AE7" w:rsidRPr="00000498">
              <w:rPr>
                <w:rFonts w:asciiTheme="minorHAnsi" w:hAnsiTheme="minorHAnsi" w:cstheme="minorHAnsi"/>
                <w:b/>
                <w:szCs w:val="24"/>
                <w:lang w:val="pl-PL"/>
              </w:rPr>
              <w:t xml:space="preserve"> </w:t>
            </w:r>
          </w:p>
        </w:tc>
        <w:tc>
          <w:tcPr>
            <w:tcW w:w="576" w:type="pct"/>
          </w:tcPr>
          <w:p w14:paraId="0B2B80AF" w14:textId="3B036D30" w:rsidR="00802AE7" w:rsidRPr="00000498" w:rsidRDefault="00871A6C" w:rsidP="006A6B69">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Cel szczegółowy</w:t>
            </w:r>
          </w:p>
        </w:tc>
        <w:tc>
          <w:tcPr>
            <w:tcW w:w="691" w:type="pct"/>
          </w:tcPr>
          <w:p w14:paraId="1EF47D50" w14:textId="77777777" w:rsidR="00802AE7" w:rsidRPr="00000498" w:rsidRDefault="00802AE7" w:rsidP="006A6B69">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ID</w:t>
            </w:r>
          </w:p>
          <w:p w14:paraId="24782155" w14:textId="77777777" w:rsidR="00802AE7" w:rsidRPr="00000498" w:rsidRDefault="00802AE7" w:rsidP="006A6B69">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[5]</w:t>
            </w:r>
          </w:p>
        </w:tc>
        <w:tc>
          <w:tcPr>
            <w:tcW w:w="996" w:type="pct"/>
            <w:shd w:val="clear" w:color="auto" w:fill="auto"/>
          </w:tcPr>
          <w:p w14:paraId="2FA3875B" w14:textId="564D0A65" w:rsidR="00802AE7" w:rsidRPr="00000498" w:rsidRDefault="00813365" w:rsidP="006A6B69">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Wskaźnik</w:t>
            </w:r>
            <w:r w:rsidR="00802AE7" w:rsidRPr="00000498">
              <w:rPr>
                <w:rFonts w:asciiTheme="minorHAnsi" w:hAnsiTheme="minorHAnsi" w:cstheme="minorHAnsi"/>
                <w:b/>
                <w:szCs w:val="24"/>
                <w:lang w:val="pl-PL"/>
              </w:rPr>
              <w:t xml:space="preserve"> </w:t>
            </w:r>
          </w:p>
        </w:tc>
        <w:tc>
          <w:tcPr>
            <w:tcW w:w="936" w:type="pct"/>
          </w:tcPr>
          <w:p w14:paraId="2F8C80DB" w14:textId="33E24D79" w:rsidR="00802AE7" w:rsidRPr="00000498" w:rsidRDefault="00813365" w:rsidP="006A6B69">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Jednostka miary</w:t>
            </w:r>
          </w:p>
          <w:p w14:paraId="3C382062" w14:textId="77777777" w:rsidR="00802AE7" w:rsidRPr="00000498" w:rsidRDefault="00802AE7" w:rsidP="006A6B69">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[255]</w:t>
            </w:r>
          </w:p>
        </w:tc>
        <w:tc>
          <w:tcPr>
            <w:tcW w:w="688" w:type="pct"/>
            <w:shd w:val="clear" w:color="auto" w:fill="auto"/>
          </w:tcPr>
          <w:p w14:paraId="503F2CBD" w14:textId="4700CA4A" w:rsidR="00802AE7" w:rsidRPr="00000498" w:rsidRDefault="00813365" w:rsidP="006A6B69">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Kamień milowy</w:t>
            </w:r>
            <w:r w:rsidR="00802AE7" w:rsidRPr="00000498">
              <w:rPr>
                <w:rFonts w:asciiTheme="minorHAnsi" w:hAnsiTheme="minorHAnsi" w:cstheme="minorHAnsi"/>
                <w:b/>
                <w:szCs w:val="24"/>
                <w:lang w:val="pl-PL"/>
              </w:rPr>
              <w:t xml:space="preserve"> (2024)</w:t>
            </w:r>
          </w:p>
          <w:p w14:paraId="22A42009" w14:textId="77777777" w:rsidR="00802AE7" w:rsidRPr="00000498" w:rsidRDefault="00802AE7" w:rsidP="006A6B69">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[200]</w:t>
            </w:r>
          </w:p>
        </w:tc>
        <w:tc>
          <w:tcPr>
            <w:tcW w:w="587" w:type="pct"/>
            <w:shd w:val="clear" w:color="auto" w:fill="auto"/>
          </w:tcPr>
          <w:p w14:paraId="0D6DB6CA" w14:textId="1A15B490" w:rsidR="00802AE7" w:rsidRPr="00000498" w:rsidRDefault="00813365" w:rsidP="006A6B69">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Cel ostateczny</w:t>
            </w:r>
            <w:r w:rsidR="00802AE7" w:rsidRPr="00000498">
              <w:rPr>
                <w:rFonts w:asciiTheme="minorHAnsi" w:hAnsiTheme="minorHAnsi" w:cstheme="minorHAnsi"/>
                <w:b/>
                <w:szCs w:val="24"/>
                <w:lang w:val="pl-PL"/>
              </w:rPr>
              <w:t xml:space="preserve"> (2029)</w:t>
            </w:r>
          </w:p>
          <w:p w14:paraId="450A1BBB" w14:textId="77777777" w:rsidR="00802AE7" w:rsidRPr="00000498" w:rsidRDefault="00802AE7" w:rsidP="006A6B69">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[200]</w:t>
            </w:r>
          </w:p>
        </w:tc>
      </w:tr>
      <w:tr w:rsidR="00802AE7" w:rsidRPr="00A72D8A" w14:paraId="067DFA42" w14:textId="50782FD0" w:rsidTr="00802AE7">
        <w:trPr>
          <w:trHeight w:val="579"/>
        </w:trPr>
        <w:tc>
          <w:tcPr>
            <w:tcW w:w="525" w:type="pct"/>
          </w:tcPr>
          <w:p w14:paraId="49783120" w14:textId="77777777" w:rsidR="00802AE7" w:rsidRPr="00000498" w:rsidRDefault="00802AE7" w:rsidP="00CD37CC">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3</w:t>
            </w:r>
          </w:p>
        </w:tc>
        <w:tc>
          <w:tcPr>
            <w:tcW w:w="576" w:type="pct"/>
          </w:tcPr>
          <w:p w14:paraId="23017C5B" w14:textId="77777777" w:rsidR="00802AE7" w:rsidRPr="00000498" w:rsidRDefault="00802AE7" w:rsidP="00CD37CC">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vi</w:t>
            </w:r>
          </w:p>
        </w:tc>
        <w:tc>
          <w:tcPr>
            <w:tcW w:w="691" w:type="pct"/>
          </w:tcPr>
          <w:p w14:paraId="0B0C7FD6" w14:textId="77777777" w:rsidR="00802AE7" w:rsidRPr="00000498" w:rsidRDefault="00802AE7" w:rsidP="00CD37CC">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RCO84</w:t>
            </w:r>
          </w:p>
        </w:tc>
        <w:tc>
          <w:tcPr>
            <w:tcW w:w="996" w:type="pct"/>
            <w:shd w:val="clear" w:color="auto" w:fill="auto"/>
          </w:tcPr>
          <w:p w14:paraId="7990E0DF" w14:textId="7A9ECB77" w:rsidR="00802AE7" w:rsidRPr="00000498" w:rsidRDefault="002827BD" w:rsidP="00CD37CC">
            <w:pPr>
              <w:spacing w:before="120" w:after="120" w:line="240" w:lineRule="auto"/>
              <w:rPr>
                <w:rFonts w:asciiTheme="minorHAnsi" w:hAnsiTheme="minorHAnsi" w:cstheme="minorHAnsi"/>
                <w:szCs w:val="24"/>
                <w:lang w:val="pl-PL"/>
              </w:rPr>
            </w:pPr>
            <w:r w:rsidRPr="00000498">
              <w:rPr>
                <w:rFonts w:asciiTheme="minorHAnsi" w:hAnsiTheme="minorHAnsi" w:cstheme="minorHAnsi"/>
                <w:szCs w:val="24"/>
                <w:lang w:val="pl-PL"/>
              </w:rPr>
              <w:t>Działania pilotażowe opracowywane wspólnie i wdrażane w projektach</w:t>
            </w:r>
          </w:p>
        </w:tc>
        <w:tc>
          <w:tcPr>
            <w:tcW w:w="936" w:type="pct"/>
          </w:tcPr>
          <w:p w14:paraId="460FCAB1" w14:textId="784162CB" w:rsidR="00802AE7" w:rsidRPr="00000498" w:rsidRDefault="0070721F" w:rsidP="00CD37CC">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Działanie pilotażowe</w:t>
            </w:r>
          </w:p>
        </w:tc>
        <w:tc>
          <w:tcPr>
            <w:tcW w:w="688" w:type="pct"/>
            <w:shd w:val="clear" w:color="auto" w:fill="auto"/>
          </w:tcPr>
          <w:p w14:paraId="66DFAF8E" w14:textId="384EA3F2" w:rsidR="00802AE7" w:rsidRPr="00000498" w:rsidRDefault="00802AE7" w:rsidP="00CD37CC">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1</w:t>
            </w:r>
          </w:p>
        </w:tc>
        <w:tc>
          <w:tcPr>
            <w:tcW w:w="587" w:type="pct"/>
            <w:shd w:val="clear" w:color="auto" w:fill="auto"/>
          </w:tcPr>
          <w:p w14:paraId="2E5ED0D3" w14:textId="61DA1E08" w:rsidR="00802AE7" w:rsidRPr="00000498" w:rsidRDefault="00802AE7" w:rsidP="00CD37CC">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34</w:t>
            </w:r>
          </w:p>
        </w:tc>
      </w:tr>
      <w:tr w:rsidR="00802AE7" w:rsidRPr="00A72D8A" w14:paraId="0884FCDE" w14:textId="7E242ADC" w:rsidTr="00802AE7">
        <w:trPr>
          <w:trHeight w:val="579"/>
        </w:trPr>
        <w:tc>
          <w:tcPr>
            <w:tcW w:w="525" w:type="pct"/>
          </w:tcPr>
          <w:p w14:paraId="088EF0FD" w14:textId="77777777" w:rsidR="00802AE7" w:rsidRPr="00000498" w:rsidRDefault="00802AE7" w:rsidP="00D06AD1">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3</w:t>
            </w:r>
          </w:p>
        </w:tc>
        <w:tc>
          <w:tcPr>
            <w:tcW w:w="576" w:type="pct"/>
          </w:tcPr>
          <w:p w14:paraId="6EBFBD59" w14:textId="77777777" w:rsidR="00802AE7" w:rsidRPr="00000498" w:rsidRDefault="00802AE7" w:rsidP="00D06AD1">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vi</w:t>
            </w:r>
          </w:p>
        </w:tc>
        <w:tc>
          <w:tcPr>
            <w:tcW w:w="691" w:type="pct"/>
          </w:tcPr>
          <w:p w14:paraId="4CCFFC50" w14:textId="77777777" w:rsidR="00802AE7" w:rsidRPr="00000498" w:rsidRDefault="00802AE7" w:rsidP="00D06AD1">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RCO87</w:t>
            </w:r>
          </w:p>
        </w:tc>
        <w:tc>
          <w:tcPr>
            <w:tcW w:w="996" w:type="pct"/>
            <w:shd w:val="clear" w:color="auto" w:fill="auto"/>
          </w:tcPr>
          <w:p w14:paraId="620F6200" w14:textId="7719AA44" w:rsidR="00802AE7" w:rsidRPr="00000498" w:rsidRDefault="00223EB0" w:rsidP="00D06AD1">
            <w:pPr>
              <w:spacing w:before="120" w:after="120" w:line="240" w:lineRule="auto"/>
              <w:rPr>
                <w:rFonts w:asciiTheme="minorHAnsi" w:hAnsiTheme="minorHAnsi" w:cstheme="minorHAnsi"/>
                <w:szCs w:val="24"/>
                <w:lang w:val="pl-PL"/>
              </w:rPr>
            </w:pPr>
            <w:r w:rsidRPr="00000498">
              <w:rPr>
                <w:rFonts w:asciiTheme="minorHAnsi" w:hAnsiTheme="minorHAnsi" w:cstheme="minorHAnsi"/>
                <w:szCs w:val="24"/>
                <w:lang w:val="pl-PL"/>
              </w:rPr>
              <w:t>Organizacje współpracujące transgranicznie</w:t>
            </w:r>
          </w:p>
        </w:tc>
        <w:tc>
          <w:tcPr>
            <w:tcW w:w="936" w:type="pct"/>
          </w:tcPr>
          <w:p w14:paraId="032F8B25" w14:textId="3A55CFFC" w:rsidR="00802AE7" w:rsidRPr="00000498" w:rsidRDefault="00802AE7" w:rsidP="0070721F">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Organi</w:t>
            </w:r>
            <w:r w:rsidR="0070721F" w:rsidRPr="00000498">
              <w:rPr>
                <w:rFonts w:asciiTheme="minorHAnsi" w:hAnsiTheme="minorHAnsi" w:cstheme="minorHAnsi"/>
                <w:szCs w:val="24"/>
                <w:lang w:val="pl-PL"/>
              </w:rPr>
              <w:t>zacja</w:t>
            </w:r>
          </w:p>
        </w:tc>
        <w:tc>
          <w:tcPr>
            <w:tcW w:w="688" w:type="pct"/>
            <w:shd w:val="clear" w:color="auto" w:fill="auto"/>
          </w:tcPr>
          <w:p w14:paraId="51F9C88E" w14:textId="56E56D9D" w:rsidR="00802AE7" w:rsidRPr="00000498" w:rsidRDefault="00802AE7" w:rsidP="00D06AD1">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21</w:t>
            </w:r>
          </w:p>
        </w:tc>
        <w:tc>
          <w:tcPr>
            <w:tcW w:w="587" w:type="pct"/>
            <w:shd w:val="clear" w:color="auto" w:fill="auto"/>
          </w:tcPr>
          <w:p w14:paraId="768FDFAE" w14:textId="38B87807" w:rsidR="00802AE7" w:rsidRPr="00000498" w:rsidRDefault="00802AE7" w:rsidP="00D06AD1">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346</w:t>
            </w:r>
          </w:p>
        </w:tc>
      </w:tr>
      <w:tr w:rsidR="00802AE7" w:rsidRPr="00A72D8A" w14:paraId="6F54A5CB" w14:textId="61F8A3FD" w:rsidTr="00802AE7">
        <w:trPr>
          <w:trHeight w:val="579"/>
        </w:trPr>
        <w:tc>
          <w:tcPr>
            <w:tcW w:w="525" w:type="pct"/>
          </w:tcPr>
          <w:p w14:paraId="12BBB8E1" w14:textId="52D1420B" w:rsidR="00802AE7" w:rsidRPr="00000498" w:rsidRDefault="00802AE7" w:rsidP="00D06AD1">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3</w:t>
            </w:r>
          </w:p>
        </w:tc>
        <w:tc>
          <w:tcPr>
            <w:tcW w:w="576" w:type="pct"/>
          </w:tcPr>
          <w:p w14:paraId="46B04982" w14:textId="7537AF11" w:rsidR="00802AE7" w:rsidRPr="00000498" w:rsidRDefault="00802AE7" w:rsidP="00D06AD1">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vi</w:t>
            </w:r>
          </w:p>
        </w:tc>
        <w:tc>
          <w:tcPr>
            <w:tcW w:w="691" w:type="pct"/>
          </w:tcPr>
          <w:p w14:paraId="7400DBC9" w14:textId="77777777" w:rsidR="00802AE7" w:rsidRPr="00000498" w:rsidRDefault="00802AE7" w:rsidP="00D06AD1">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RCO116</w:t>
            </w:r>
          </w:p>
        </w:tc>
        <w:tc>
          <w:tcPr>
            <w:tcW w:w="996" w:type="pct"/>
            <w:shd w:val="clear" w:color="auto" w:fill="auto"/>
          </w:tcPr>
          <w:p w14:paraId="5FFCACDF" w14:textId="26DF89E1" w:rsidR="00802AE7" w:rsidRPr="00000498" w:rsidRDefault="00223EB0" w:rsidP="00D06AD1">
            <w:pPr>
              <w:spacing w:before="120" w:after="120" w:line="240" w:lineRule="auto"/>
              <w:rPr>
                <w:rFonts w:asciiTheme="minorHAnsi" w:hAnsiTheme="minorHAnsi" w:cstheme="minorHAnsi"/>
                <w:szCs w:val="24"/>
                <w:lang w:val="pl-PL"/>
              </w:rPr>
            </w:pPr>
            <w:r w:rsidRPr="00000498">
              <w:rPr>
                <w:rFonts w:asciiTheme="minorHAnsi" w:hAnsiTheme="minorHAnsi" w:cstheme="minorHAnsi"/>
                <w:szCs w:val="24"/>
                <w:lang w:val="pl-PL"/>
              </w:rPr>
              <w:t>Wspólnie opracowane rozwiązania</w:t>
            </w:r>
          </w:p>
        </w:tc>
        <w:tc>
          <w:tcPr>
            <w:tcW w:w="936" w:type="pct"/>
          </w:tcPr>
          <w:p w14:paraId="7B80D4C7" w14:textId="0396F82A" w:rsidR="00802AE7" w:rsidRPr="00000498" w:rsidRDefault="0070721F" w:rsidP="00D06AD1">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Rozwiązanie</w:t>
            </w:r>
          </w:p>
        </w:tc>
        <w:tc>
          <w:tcPr>
            <w:tcW w:w="688" w:type="pct"/>
            <w:shd w:val="clear" w:color="auto" w:fill="auto"/>
          </w:tcPr>
          <w:p w14:paraId="186FDA78" w14:textId="28F98F8D" w:rsidR="00802AE7" w:rsidRPr="00000498" w:rsidRDefault="00802AE7" w:rsidP="00D06AD1">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1</w:t>
            </w:r>
          </w:p>
        </w:tc>
        <w:tc>
          <w:tcPr>
            <w:tcW w:w="587" w:type="pct"/>
            <w:shd w:val="clear" w:color="auto" w:fill="auto"/>
          </w:tcPr>
          <w:p w14:paraId="161CF0F5" w14:textId="3F83D53E" w:rsidR="00802AE7" w:rsidRPr="00000498" w:rsidRDefault="00802AE7" w:rsidP="00D06AD1">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18</w:t>
            </w:r>
          </w:p>
        </w:tc>
      </w:tr>
    </w:tbl>
    <w:p w14:paraId="1D693ED4" w14:textId="5088FF5A" w:rsidR="002E6144" w:rsidRPr="00000498" w:rsidRDefault="00871A6C" w:rsidP="00000498">
      <w:pPr>
        <w:spacing w:before="240" w:after="240" w:line="276" w:lineRule="auto"/>
        <w:rPr>
          <w:rFonts w:asciiTheme="minorHAnsi" w:eastAsia="Times New Roman" w:hAnsiTheme="minorHAnsi" w:cstheme="minorHAnsi"/>
          <w:iCs/>
          <w:szCs w:val="24"/>
          <w:lang w:val="pl-PL" w:eastAsia="en-GB"/>
        </w:rPr>
      </w:pPr>
      <w:r w:rsidRPr="00000498">
        <w:rPr>
          <w:rFonts w:asciiTheme="minorHAnsi" w:eastAsia="Times New Roman" w:hAnsiTheme="minorHAnsi" w:cstheme="minorHAnsi"/>
          <w:iCs/>
          <w:szCs w:val="24"/>
          <w:lang w:val="pl-PL" w:eastAsia="en-GB"/>
        </w:rPr>
        <w:t>Tabela</w:t>
      </w:r>
      <w:r w:rsidR="002E6144" w:rsidRPr="00000498">
        <w:rPr>
          <w:rFonts w:asciiTheme="minorHAnsi" w:eastAsia="Times New Roman" w:hAnsiTheme="minorHAnsi" w:cstheme="minorHAnsi"/>
          <w:iCs/>
          <w:szCs w:val="24"/>
          <w:lang w:val="pl-PL" w:eastAsia="en-GB"/>
        </w:rPr>
        <w:t xml:space="preserve"> 3: </w:t>
      </w:r>
      <w:r w:rsidR="00813365" w:rsidRPr="00000498">
        <w:rPr>
          <w:rFonts w:asciiTheme="minorHAnsi" w:eastAsia="Times New Roman" w:hAnsiTheme="minorHAnsi" w:cstheme="minorHAnsi"/>
          <w:iCs/>
          <w:szCs w:val="24"/>
          <w:lang w:val="pl-PL" w:eastAsia="en-GB"/>
        </w:rPr>
        <w:t>Wskaźniki rezultatu</w:t>
      </w:r>
      <w:r w:rsidR="002E6144" w:rsidRPr="00000498">
        <w:rPr>
          <w:rFonts w:asciiTheme="minorHAnsi" w:eastAsia="Times New Roman" w:hAnsiTheme="minorHAnsi" w:cstheme="minorHAnsi"/>
          <w:iCs/>
          <w:szCs w:val="24"/>
          <w:lang w:val="pl-PL" w:eastAsia="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ela dotycząca wskaźników rezultatu"/>
      </w:tblPr>
      <w:tblGrid>
        <w:gridCol w:w="770"/>
        <w:gridCol w:w="986"/>
        <w:gridCol w:w="519"/>
        <w:gridCol w:w="1284"/>
        <w:gridCol w:w="966"/>
        <w:gridCol w:w="733"/>
        <w:gridCol w:w="932"/>
        <w:gridCol w:w="882"/>
        <w:gridCol w:w="1067"/>
        <w:gridCol w:w="1149"/>
      </w:tblGrid>
      <w:tr w:rsidR="002E6144" w:rsidRPr="00A72D8A" w14:paraId="2B13099A" w14:textId="77777777" w:rsidTr="00000498">
        <w:trPr>
          <w:trHeight w:val="947"/>
          <w:tblHeader/>
        </w:trPr>
        <w:tc>
          <w:tcPr>
            <w:tcW w:w="370" w:type="pct"/>
          </w:tcPr>
          <w:p w14:paraId="699C1C03" w14:textId="44543E8E" w:rsidR="002E6144" w:rsidRPr="00000498" w:rsidRDefault="00813365" w:rsidP="006A6B69">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Priorytet</w:t>
            </w:r>
            <w:r w:rsidR="002E6144" w:rsidRPr="00000498">
              <w:rPr>
                <w:rFonts w:asciiTheme="minorHAnsi" w:hAnsiTheme="minorHAnsi" w:cstheme="minorHAnsi"/>
                <w:b/>
                <w:szCs w:val="24"/>
                <w:lang w:val="pl-PL"/>
              </w:rPr>
              <w:t xml:space="preserve"> </w:t>
            </w:r>
          </w:p>
        </w:tc>
        <w:tc>
          <w:tcPr>
            <w:tcW w:w="487" w:type="pct"/>
          </w:tcPr>
          <w:p w14:paraId="24EB867E" w14:textId="19DAB899" w:rsidR="002E6144" w:rsidRPr="00000498" w:rsidRDefault="00871A6C" w:rsidP="006A6B69">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Cel szczegółowy</w:t>
            </w:r>
          </w:p>
        </w:tc>
        <w:tc>
          <w:tcPr>
            <w:tcW w:w="236" w:type="pct"/>
          </w:tcPr>
          <w:p w14:paraId="7A935CB9" w14:textId="77777777" w:rsidR="002E6144" w:rsidRPr="00000498" w:rsidRDefault="002E6144" w:rsidP="006A6B69">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ID</w:t>
            </w:r>
          </w:p>
        </w:tc>
        <w:tc>
          <w:tcPr>
            <w:tcW w:w="648" w:type="pct"/>
            <w:shd w:val="clear" w:color="auto" w:fill="auto"/>
          </w:tcPr>
          <w:p w14:paraId="025913F5" w14:textId="353C3173" w:rsidR="002E6144" w:rsidRPr="00000498" w:rsidRDefault="00813365" w:rsidP="006A6B69">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Wskaźnik</w:t>
            </w:r>
            <w:r w:rsidR="002E6144" w:rsidRPr="00000498">
              <w:rPr>
                <w:rFonts w:asciiTheme="minorHAnsi" w:hAnsiTheme="minorHAnsi" w:cstheme="minorHAnsi"/>
                <w:b/>
                <w:szCs w:val="24"/>
                <w:lang w:val="pl-PL"/>
              </w:rPr>
              <w:t xml:space="preserve"> </w:t>
            </w:r>
          </w:p>
        </w:tc>
        <w:tc>
          <w:tcPr>
            <w:tcW w:w="914" w:type="pct"/>
          </w:tcPr>
          <w:p w14:paraId="2E5F3D1A" w14:textId="50391329" w:rsidR="002E6144" w:rsidRPr="00000498" w:rsidRDefault="00813365" w:rsidP="006A6B69">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Jednostka miary</w:t>
            </w:r>
          </w:p>
        </w:tc>
        <w:tc>
          <w:tcPr>
            <w:tcW w:w="351" w:type="pct"/>
          </w:tcPr>
          <w:p w14:paraId="16B7D08A" w14:textId="2E1A9AE9" w:rsidR="002E6144" w:rsidRPr="00000498" w:rsidRDefault="00813365" w:rsidP="006A6B69">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Wartość bazowa</w:t>
            </w:r>
          </w:p>
        </w:tc>
        <w:tc>
          <w:tcPr>
            <w:tcW w:w="458" w:type="pct"/>
          </w:tcPr>
          <w:p w14:paraId="24C7EA31" w14:textId="1CCC7BF9" w:rsidR="002E6144" w:rsidRPr="00000498" w:rsidRDefault="00813365" w:rsidP="006A6B69">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Rok odniesienia</w:t>
            </w:r>
          </w:p>
        </w:tc>
        <w:tc>
          <w:tcPr>
            <w:tcW w:w="431" w:type="pct"/>
            <w:shd w:val="clear" w:color="auto" w:fill="auto"/>
          </w:tcPr>
          <w:p w14:paraId="24702C26" w14:textId="0A80314A" w:rsidR="002E6144" w:rsidRPr="00000498" w:rsidRDefault="00813365" w:rsidP="006A6B69">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Cel ostateczny</w:t>
            </w:r>
            <w:r w:rsidR="002E6144" w:rsidRPr="00000498">
              <w:rPr>
                <w:rFonts w:asciiTheme="minorHAnsi" w:hAnsiTheme="minorHAnsi" w:cstheme="minorHAnsi"/>
                <w:b/>
                <w:szCs w:val="24"/>
                <w:lang w:val="pl-PL"/>
              </w:rPr>
              <w:t xml:space="preserve"> (2029)</w:t>
            </w:r>
          </w:p>
        </w:tc>
        <w:tc>
          <w:tcPr>
            <w:tcW w:w="531" w:type="pct"/>
            <w:shd w:val="clear" w:color="auto" w:fill="auto"/>
          </w:tcPr>
          <w:p w14:paraId="7E5A792E" w14:textId="2E8DB5E0" w:rsidR="002E6144" w:rsidRPr="00000498" w:rsidRDefault="00813365" w:rsidP="004056FF">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Źródło danych</w:t>
            </w:r>
          </w:p>
        </w:tc>
        <w:tc>
          <w:tcPr>
            <w:tcW w:w="575" w:type="pct"/>
          </w:tcPr>
          <w:p w14:paraId="6FE7CF92" w14:textId="1A4829FA" w:rsidR="002E6144" w:rsidRPr="00000498" w:rsidRDefault="00813365" w:rsidP="006A6B69">
            <w:pPr>
              <w:spacing w:before="120" w:after="120" w:line="48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Uwagi</w:t>
            </w:r>
          </w:p>
        </w:tc>
      </w:tr>
      <w:tr w:rsidR="00D06AD1" w:rsidRPr="00367EF1" w14:paraId="5DE51823" w14:textId="77777777" w:rsidTr="00000498">
        <w:trPr>
          <w:trHeight w:val="629"/>
        </w:trPr>
        <w:tc>
          <w:tcPr>
            <w:tcW w:w="370" w:type="pct"/>
          </w:tcPr>
          <w:p w14:paraId="146432A3" w14:textId="42AFD11A" w:rsidR="00D06AD1" w:rsidRPr="00000498" w:rsidRDefault="00D06AD1" w:rsidP="00D06AD1">
            <w:pPr>
              <w:spacing w:before="120" w:after="120" w:line="240" w:lineRule="auto"/>
              <w:jc w:val="both"/>
              <w:rPr>
                <w:rFonts w:asciiTheme="minorHAnsi" w:hAnsiTheme="minorHAnsi" w:cstheme="minorHAnsi"/>
                <w:szCs w:val="24"/>
                <w:lang w:val="pl-PL"/>
              </w:rPr>
            </w:pPr>
            <w:bookmarkStart w:id="104" w:name="_Hlk70349407"/>
            <w:r w:rsidRPr="00000498">
              <w:rPr>
                <w:rFonts w:asciiTheme="minorHAnsi" w:hAnsiTheme="minorHAnsi" w:cstheme="minorHAnsi"/>
                <w:szCs w:val="24"/>
                <w:lang w:val="pl-PL"/>
              </w:rPr>
              <w:lastRenderedPageBreak/>
              <w:t>3</w:t>
            </w:r>
          </w:p>
        </w:tc>
        <w:tc>
          <w:tcPr>
            <w:tcW w:w="487" w:type="pct"/>
          </w:tcPr>
          <w:p w14:paraId="62F75AF3" w14:textId="6DF5BB7E" w:rsidR="00D06AD1" w:rsidRPr="00000498" w:rsidRDefault="00D06AD1" w:rsidP="00D06AD1">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vi</w:t>
            </w:r>
          </w:p>
        </w:tc>
        <w:tc>
          <w:tcPr>
            <w:tcW w:w="236" w:type="pct"/>
          </w:tcPr>
          <w:p w14:paraId="4668FDE9" w14:textId="77777777" w:rsidR="00D06AD1" w:rsidRPr="00000498" w:rsidRDefault="00D06AD1" w:rsidP="00D06AD1">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PSR1</w:t>
            </w:r>
          </w:p>
        </w:tc>
        <w:tc>
          <w:tcPr>
            <w:tcW w:w="648" w:type="pct"/>
            <w:shd w:val="clear" w:color="auto" w:fill="auto"/>
          </w:tcPr>
          <w:p w14:paraId="44E1A11F" w14:textId="0ADB747F" w:rsidR="00D06AD1" w:rsidRPr="00000498" w:rsidRDefault="003E22FB" w:rsidP="00D06AD1">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Organizacje o zwiększonych zdolnościach instytucjonalnych ze względu na udział we współpracy transgranicznej</w:t>
            </w:r>
          </w:p>
        </w:tc>
        <w:tc>
          <w:tcPr>
            <w:tcW w:w="914" w:type="pct"/>
          </w:tcPr>
          <w:p w14:paraId="1EEEF50F" w14:textId="6F2D2388" w:rsidR="00D06AD1" w:rsidRPr="00000498" w:rsidRDefault="0070721F" w:rsidP="00D06AD1">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Organizacja</w:t>
            </w:r>
          </w:p>
        </w:tc>
        <w:tc>
          <w:tcPr>
            <w:tcW w:w="351" w:type="pct"/>
          </w:tcPr>
          <w:p w14:paraId="503C0F46" w14:textId="17B781B6" w:rsidR="00D06AD1" w:rsidRPr="00000498" w:rsidRDefault="00D06AD1" w:rsidP="00D06AD1">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0</w:t>
            </w:r>
          </w:p>
        </w:tc>
        <w:tc>
          <w:tcPr>
            <w:tcW w:w="458" w:type="pct"/>
          </w:tcPr>
          <w:p w14:paraId="2B22CD91" w14:textId="75F7D697" w:rsidR="00D06AD1" w:rsidRPr="00000498" w:rsidRDefault="00D06AD1" w:rsidP="00D06AD1">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szCs w:val="24"/>
                <w:lang w:val="pl-PL"/>
              </w:rPr>
              <w:t>2022</w:t>
            </w:r>
          </w:p>
        </w:tc>
        <w:tc>
          <w:tcPr>
            <w:tcW w:w="431" w:type="pct"/>
            <w:shd w:val="clear" w:color="auto" w:fill="auto"/>
          </w:tcPr>
          <w:p w14:paraId="7135050C" w14:textId="68A5AF15" w:rsidR="00D06AD1" w:rsidRPr="00000498" w:rsidRDefault="00D06AD1" w:rsidP="00D06AD1">
            <w:pPr>
              <w:spacing w:before="120" w:after="120" w:line="240" w:lineRule="auto"/>
              <w:jc w:val="center"/>
              <w:rPr>
                <w:rFonts w:asciiTheme="minorHAnsi" w:hAnsiTheme="minorHAnsi" w:cstheme="minorHAnsi"/>
                <w:szCs w:val="24"/>
                <w:lang w:val="pl-PL"/>
              </w:rPr>
            </w:pPr>
            <w:r w:rsidRPr="00000498">
              <w:rPr>
                <w:rFonts w:asciiTheme="minorHAnsi" w:hAnsiTheme="minorHAnsi" w:cstheme="minorHAnsi"/>
                <w:szCs w:val="24"/>
                <w:lang w:val="pl-PL"/>
              </w:rPr>
              <w:t>471</w:t>
            </w:r>
          </w:p>
        </w:tc>
        <w:tc>
          <w:tcPr>
            <w:tcW w:w="531" w:type="pct"/>
            <w:shd w:val="clear" w:color="auto" w:fill="auto"/>
          </w:tcPr>
          <w:p w14:paraId="1A0F813E" w14:textId="5E7499E3" w:rsidR="00D06AD1" w:rsidRPr="00000498" w:rsidRDefault="00813365" w:rsidP="00D06AD1">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Sprawozdania z postępów projektów</w:t>
            </w:r>
          </w:p>
        </w:tc>
        <w:tc>
          <w:tcPr>
            <w:tcW w:w="575" w:type="pct"/>
          </w:tcPr>
          <w:p w14:paraId="15923F3E" w14:textId="77777777" w:rsidR="00435B15" w:rsidRPr="00000498" w:rsidRDefault="00435B15" w:rsidP="00435B15">
            <w:pPr>
              <w:spacing w:before="120" w:after="120" w:line="240" w:lineRule="auto"/>
              <w:rPr>
                <w:rFonts w:asciiTheme="minorHAnsi" w:eastAsia="Calibri" w:hAnsiTheme="minorHAnsi" w:cstheme="minorHAnsi"/>
                <w:b/>
                <w:szCs w:val="24"/>
                <w:lang w:val="pl-PL"/>
              </w:rPr>
            </w:pPr>
            <w:r w:rsidRPr="00000498">
              <w:rPr>
                <w:rFonts w:asciiTheme="minorHAnsi" w:eastAsia="Calibri" w:hAnsiTheme="minorHAnsi" w:cstheme="minorHAnsi"/>
                <w:b/>
                <w:szCs w:val="24"/>
                <w:lang w:val="pl-PL"/>
              </w:rPr>
              <w:t>Regularne projekty</w:t>
            </w:r>
          </w:p>
          <w:p w14:paraId="2690FA1A" w14:textId="77777777" w:rsidR="00435B15" w:rsidRPr="00000498" w:rsidRDefault="00435B15" w:rsidP="00435B15">
            <w:pPr>
              <w:spacing w:before="120" w:after="120" w:line="240" w:lineRule="auto"/>
              <w:rPr>
                <w:rFonts w:asciiTheme="minorHAnsi" w:eastAsia="Calibri" w:hAnsiTheme="minorHAnsi" w:cstheme="minorHAnsi"/>
                <w:szCs w:val="24"/>
                <w:lang w:val="pl-PL"/>
              </w:rPr>
            </w:pPr>
            <w:r w:rsidRPr="00000498">
              <w:rPr>
                <w:rFonts w:asciiTheme="minorHAnsi" w:eastAsia="Calibri" w:hAnsiTheme="minorHAnsi" w:cstheme="minorHAnsi"/>
                <w:szCs w:val="24"/>
                <w:lang w:val="pl-PL"/>
              </w:rPr>
              <w:t>Szacuje się, że oprócz organizacji obliczonych dla RCO87, 10 organizacji spoza partnerstwa na projekt zwiększy swoje możliwości instytucjonalne (łącznie 421 organizacji)</w:t>
            </w:r>
          </w:p>
          <w:p w14:paraId="22D7835A" w14:textId="77777777" w:rsidR="00435B15" w:rsidRPr="00000498" w:rsidRDefault="00435B15" w:rsidP="00435B15">
            <w:pPr>
              <w:spacing w:before="120" w:after="120" w:line="240" w:lineRule="auto"/>
              <w:rPr>
                <w:rFonts w:asciiTheme="minorHAnsi" w:eastAsia="Calibri" w:hAnsiTheme="minorHAnsi" w:cstheme="minorHAnsi"/>
                <w:b/>
                <w:szCs w:val="24"/>
                <w:lang w:val="pl-PL"/>
              </w:rPr>
            </w:pPr>
            <w:r w:rsidRPr="00000498">
              <w:rPr>
                <w:rFonts w:asciiTheme="minorHAnsi" w:eastAsia="Calibri" w:hAnsiTheme="minorHAnsi" w:cstheme="minorHAnsi"/>
                <w:b/>
                <w:szCs w:val="24"/>
                <w:lang w:val="pl-PL"/>
              </w:rPr>
              <w:t>Małe projekty</w:t>
            </w:r>
          </w:p>
          <w:p w14:paraId="5FDDDFF1" w14:textId="40D6C73F" w:rsidR="00D06AD1" w:rsidRPr="00000498" w:rsidRDefault="00435B15" w:rsidP="00435B15">
            <w:pPr>
              <w:spacing w:after="200" w:line="276" w:lineRule="auto"/>
              <w:rPr>
                <w:rFonts w:asciiTheme="minorHAnsi" w:hAnsiTheme="minorHAnsi" w:cstheme="minorHAnsi"/>
                <w:szCs w:val="24"/>
                <w:lang w:val="pl-PL"/>
              </w:rPr>
            </w:pPr>
            <w:r w:rsidRPr="00000498">
              <w:rPr>
                <w:rFonts w:asciiTheme="minorHAnsi" w:eastAsia="Calibri" w:hAnsiTheme="minorHAnsi" w:cstheme="minorHAnsi"/>
                <w:szCs w:val="24"/>
                <w:lang w:val="pl-PL"/>
              </w:rPr>
              <w:t xml:space="preserve">Szacuje się, że oprócz organizacji obliczonych dla RCO87, 5 organizacji spoza partnerstwa na </w:t>
            </w:r>
            <w:r w:rsidRPr="00000498">
              <w:rPr>
                <w:rFonts w:asciiTheme="minorHAnsi" w:eastAsia="Calibri" w:hAnsiTheme="minorHAnsi" w:cstheme="minorHAnsi"/>
                <w:szCs w:val="24"/>
                <w:lang w:val="pl-PL"/>
              </w:rPr>
              <w:lastRenderedPageBreak/>
              <w:t>projekt zwiększy swoje możliwości instytucjonalne (łącznie 50 organizacji).</w:t>
            </w:r>
          </w:p>
        </w:tc>
      </w:tr>
      <w:bookmarkEnd w:id="104"/>
      <w:tr w:rsidR="00D06AD1" w:rsidRPr="00367EF1" w14:paraId="35A48AC3" w14:textId="77777777" w:rsidTr="00000498">
        <w:trPr>
          <w:trHeight w:val="629"/>
        </w:trPr>
        <w:tc>
          <w:tcPr>
            <w:tcW w:w="370" w:type="pct"/>
          </w:tcPr>
          <w:p w14:paraId="38DBCCA9" w14:textId="599C698A" w:rsidR="00D06AD1" w:rsidRPr="00000498" w:rsidRDefault="00D06AD1" w:rsidP="00D06AD1">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lastRenderedPageBreak/>
              <w:t>3</w:t>
            </w:r>
          </w:p>
        </w:tc>
        <w:tc>
          <w:tcPr>
            <w:tcW w:w="487" w:type="pct"/>
          </w:tcPr>
          <w:p w14:paraId="63472FFB" w14:textId="6089C552" w:rsidR="00D06AD1" w:rsidRPr="00000498" w:rsidRDefault="00D06AD1" w:rsidP="00D06AD1">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vi</w:t>
            </w:r>
          </w:p>
        </w:tc>
        <w:tc>
          <w:tcPr>
            <w:tcW w:w="236" w:type="pct"/>
          </w:tcPr>
          <w:p w14:paraId="3D08A00D" w14:textId="77777777" w:rsidR="00D06AD1" w:rsidRPr="00000498" w:rsidRDefault="00D06AD1" w:rsidP="00D06AD1">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RCR</w:t>
            </w:r>
            <w:r w:rsidRPr="00000498">
              <w:rPr>
                <w:rFonts w:asciiTheme="minorHAnsi" w:hAnsiTheme="minorHAnsi" w:cstheme="minorHAnsi"/>
                <w:szCs w:val="24"/>
                <w:lang w:val="pl-PL"/>
              </w:rPr>
              <w:br/>
              <w:t>104</w:t>
            </w:r>
          </w:p>
        </w:tc>
        <w:tc>
          <w:tcPr>
            <w:tcW w:w="648" w:type="pct"/>
            <w:shd w:val="clear" w:color="auto" w:fill="auto"/>
          </w:tcPr>
          <w:p w14:paraId="0EF0F3D5" w14:textId="4157A490" w:rsidR="00D06AD1" w:rsidRPr="00000498" w:rsidRDefault="003E22FB" w:rsidP="00D06AD1">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Rozwiązania przyjęte lub rozbudowane przez organizacje</w:t>
            </w:r>
          </w:p>
        </w:tc>
        <w:tc>
          <w:tcPr>
            <w:tcW w:w="914" w:type="pct"/>
          </w:tcPr>
          <w:p w14:paraId="4CC6F570" w14:textId="0E6732C4" w:rsidR="00D06AD1" w:rsidRPr="00000498" w:rsidRDefault="002D7C81" w:rsidP="00D06AD1">
            <w:pPr>
              <w:spacing w:before="120" w:after="120" w:line="240" w:lineRule="auto"/>
              <w:jc w:val="both"/>
              <w:rPr>
                <w:rFonts w:asciiTheme="minorHAnsi" w:hAnsiTheme="minorHAnsi" w:cstheme="minorHAnsi"/>
                <w:szCs w:val="24"/>
                <w:lang w:val="pl-PL"/>
              </w:rPr>
            </w:pPr>
            <w:r>
              <w:rPr>
                <w:rFonts w:asciiTheme="minorHAnsi" w:hAnsiTheme="minorHAnsi" w:cstheme="minorHAnsi"/>
                <w:szCs w:val="24"/>
                <w:lang w:val="pl-PL"/>
              </w:rPr>
              <w:t>Rozwiązanie</w:t>
            </w:r>
          </w:p>
        </w:tc>
        <w:tc>
          <w:tcPr>
            <w:tcW w:w="351" w:type="pct"/>
          </w:tcPr>
          <w:p w14:paraId="07C2B956" w14:textId="42F8EC4F" w:rsidR="00D06AD1" w:rsidRPr="00000498" w:rsidRDefault="00D06AD1" w:rsidP="00D06AD1">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0</w:t>
            </w:r>
          </w:p>
        </w:tc>
        <w:tc>
          <w:tcPr>
            <w:tcW w:w="458" w:type="pct"/>
          </w:tcPr>
          <w:p w14:paraId="544CBE14" w14:textId="628E7C93" w:rsidR="00D06AD1" w:rsidRPr="00000498" w:rsidRDefault="00D06AD1" w:rsidP="00D06AD1">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szCs w:val="24"/>
                <w:lang w:val="pl-PL"/>
              </w:rPr>
              <w:t>2022</w:t>
            </w:r>
          </w:p>
        </w:tc>
        <w:tc>
          <w:tcPr>
            <w:tcW w:w="431" w:type="pct"/>
            <w:shd w:val="clear" w:color="auto" w:fill="auto"/>
          </w:tcPr>
          <w:p w14:paraId="1F24FB0E" w14:textId="684A8EA7" w:rsidR="00D06AD1" w:rsidRPr="00000498" w:rsidRDefault="00D06AD1" w:rsidP="00D06AD1">
            <w:pPr>
              <w:spacing w:before="120" w:after="120" w:line="240" w:lineRule="auto"/>
              <w:jc w:val="center"/>
              <w:rPr>
                <w:rFonts w:asciiTheme="minorHAnsi" w:hAnsiTheme="minorHAnsi" w:cstheme="minorHAnsi"/>
                <w:szCs w:val="24"/>
                <w:lang w:val="pl-PL"/>
              </w:rPr>
            </w:pPr>
            <w:r w:rsidRPr="00000498">
              <w:rPr>
                <w:rFonts w:asciiTheme="minorHAnsi" w:hAnsiTheme="minorHAnsi" w:cstheme="minorHAnsi"/>
                <w:szCs w:val="24"/>
                <w:lang w:val="pl-PL"/>
              </w:rPr>
              <w:t>12</w:t>
            </w:r>
          </w:p>
        </w:tc>
        <w:tc>
          <w:tcPr>
            <w:tcW w:w="531" w:type="pct"/>
            <w:shd w:val="clear" w:color="auto" w:fill="auto"/>
          </w:tcPr>
          <w:p w14:paraId="68C0103D" w14:textId="6697630F" w:rsidR="00D06AD1" w:rsidRPr="00000498" w:rsidRDefault="00813365" w:rsidP="00D06AD1">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Sprawozdania z postępów projektów</w:t>
            </w:r>
          </w:p>
        </w:tc>
        <w:tc>
          <w:tcPr>
            <w:tcW w:w="575" w:type="pct"/>
          </w:tcPr>
          <w:p w14:paraId="00B742DE" w14:textId="77777777" w:rsidR="00435B15" w:rsidRPr="00000498" w:rsidRDefault="00435B15" w:rsidP="00435B15">
            <w:pPr>
              <w:spacing w:before="120" w:after="120" w:line="240" w:lineRule="auto"/>
              <w:rPr>
                <w:rFonts w:asciiTheme="minorHAnsi" w:eastAsia="Calibri" w:hAnsiTheme="minorHAnsi" w:cstheme="minorHAnsi"/>
                <w:b/>
                <w:szCs w:val="24"/>
                <w:lang w:val="pl-PL"/>
              </w:rPr>
            </w:pPr>
            <w:bookmarkStart w:id="105" w:name="OLE_LINK240"/>
            <w:bookmarkStart w:id="106" w:name="OLE_LINK241"/>
            <w:r w:rsidRPr="00000498">
              <w:rPr>
                <w:rFonts w:asciiTheme="minorHAnsi" w:eastAsia="Calibri" w:hAnsiTheme="minorHAnsi" w:cstheme="minorHAnsi"/>
                <w:b/>
                <w:szCs w:val="24"/>
                <w:lang w:val="pl-PL"/>
              </w:rPr>
              <w:t>Regularne projekty</w:t>
            </w:r>
          </w:p>
          <w:p w14:paraId="118CE05F" w14:textId="77777777" w:rsidR="00435B15" w:rsidRPr="00000498" w:rsidRDefault="00435B15" w:rsidP="00435B15">
            <w:pPr>
              <w:spacing w:before="120" w:after="120" w:line="240" w:lineRule="auto"/>
              <w:rPr>
                <w:rFonts w:asciiTheme="minorHAnsi" w:eastAsia="Calibri" w:hAnsiTheme="minorHAnsi" w:cstheme="minorHAnsi"/>
                <w:szCs w:val="24"/>
                <w:lang w:val="pl-PL"/>
              </w:rPr>
            </w:pPr>
            <w:r w:rsidRPr="00000498">
              <w:rPr>
                <w:rFonts w:asciiTheme="minorHAnsi" w:eastAsia="Calibri" w:hAnsiTheme="minorHAnsi" w:cstheme="minorHAnsi"/>
                <w:szCs w:val="24"/>
                <w:lang w:val="pl-PL"/>
              </w:rPr>
              <w:t>Oczekuje się, iż w ramach (średnio) każdego projektu zostanie opracowane 1 rozwiązanie, które zostanie zastosowane lub rozbudowane (łącznie 11 rozwiązań)</w:t>
            </w:r>
          </w:p>
          <w:p w14:paraId="648845F2" w14:textId="77777777" w:rsidR="00435B15" w:rsidRPr="00000498" w:rsidRDefault="00435B15" w:rsidP="00435B15">
            <w:pPr>
              <w:spacing w:before="120" w:after="120" w:line="240" w:lineRule="auto"/>
              <w:rPr>
                <w:rFonts w:asciiTheme="minorHAnsi" w:eastAsia="Calibri" w:hAnsiTheme="minorHAnsi" w:cstheme="minorHAnsi"/>
                <w:b/>
                <w:szCs w:val="24"/>
                <w:lang w:val="pl-PL"/>
              </w:rPr>
            </w:pPr>
            <w:r w:rsidRPr="00000498">
              <w:rPr>
                <w:rFonts w:asciiTheme="minorHAnsi" w:eastAsia="Calibri" w:hAnsiTheme="minorHAnsi" w:cstheme="minorHAnsi"/>
                <w:b/>
                <w:szCs w:val="24"/>
                <w:lang w:val="pl-PL"/>
              </w:rPr>
              <w:t>Małe projekty</w:t>
            </w:r>
          </w:p>
          <w:p w14:paraId="2B3BF14B" w14:textId="5AF04B69" w:rsidR="00D06AD1" w:rsidRPr="00000498" w:rsidRDefault="00435B15" w:rsidP="00435B15">
            <w:pPr>
              <w:spacing w:after="200" w:line="276" w:lineRule="auto"/>
              <w:rPr>
                <w:rFonts w:asciiTheme="minorHAnsi" w:hAnsiTheme="minorHAnsi" w:cstheme="minorHAnsi"/>
                <w:szCs w:val="24"/>
                <w:lang w:val="pl-PL"/>
              </w:rPr>
            </w:pPr>
            <w:r w:rsidRPr="00000498">
              <w:rPr>
                <w:rFonts w:asciiTheme="minorHAnsi" w:eastAsia="Calibri" w:hAnsiTheme="minorHAnsi" w:cstheme="minorHAnsi"/>
                <w:szCs w:val="24"/>
                <w:lang w:val="pl-PL"/>
              </w:rPr>
              <w:t xml:space="preserve">Oczekuje się, że w ramach </w:t>
            </w:r>
            <w:r w:rsidRPr="00000498">
              <w:rPr>
                <w:rFonts w:asciiTheme="minorHAnsi" w:eastAsia="Calibri" w:hAnsiTheme="minorHAnsi" w:cstheme="minorHAnsi"/>
                <w:szCs w:val="24"/>
                <w:lang w:val="pl-PL"/>
              </w:rPr>
              <w:lastRenderedPageBreak/>
              <w:t>(średnio) 20% projektów zostanie opracowane 1 rozwiązanie, które zostanie zastosowane lub rozbudowane (łącznie 1 rozwiązanie</w:t>
            </w:r>
            <w:bookmarkEnd w:id="105"/>
            <w:bookmarkEnd w:id="106"/>
            <w:r w:rsidR="00D06AD1" w:rsidRPr="00000498">
              <w:rPr>
                <w:rFonts w:asciiTheme="minorHAnsi" w:hAnsiTheme="minorHAnsi" w:cstheme="minorHAnsi"/>
                <w:szCs w:val="24"/>
                <w:lang w:val="pl-PL"/>
              </w:rPr>
              <w:t>).</w:t>
            </w:r>
          </w:p>
        </w:tc>
      </w:tr>
    </w:tbl>
    <w:p w14:paraId="717D4AFB" w14:textId="77777777" w:rsidR="005909CB" w:rsidRPr="00F879CC" w:rsidRDefault="005909CB" w:rsidP="005909CB">
      <w:pPr>
        <w:spacing w:before="240" w:after="240" w:line="240" w:lineRule="auto"/>
        <w:ind w:left="709" w:hanging="709"/>
        <w:jc w:val="both"/>
        <w:rPr>
          <w:rFonts w:asciiTheme="minorHAnsi" w:eastAsia="Times New Roman" w:hAnsiTheme="minorHAnsi" w:cstheme="minorHAnsi"/>
          <w:b/>
          <w:iCs/>
          <w:szCs w:val="24"/>
          <w:lang w:val="pl-PL" w:eastAsia="en-GB"/>
        </w:rPr>
      </w:pPr>
    </w:p>
    <w:p w14:paraId="6EB26E26" w14:textId="6095C673" w:rsidR="005909CB" w:rsidRPr="00A72D8A" w:rsidRDefault="005909CB" w:rsidP="00000498">
      <w:pPr>
        <w:spacing w:before="240" w:after="240" w:line="276" w:lineRule="auto"/>
        <w:ind w:left="709" w:hanging="709"/>
        <w:rPr>
          <w:rFonts w:asciiTheme="minorHAnsi" w:eastAsia="Times New Roman" w:hAnsiTheme="minorHAnsi" w:cstheme="minorHAnsi"/>
          <w:b/>
          <w:iCs/>
          <w:szCs w:val="24"/>
          <w:lang w:val="pl-PL" w:eastAsia="en-GB"/>
        </w:rPr>
      </w:pPr>
      <w:r w:rsidRPr="00A72D8A">
        <w:rPr>
          <w:rFonts w:asciiTheme="minorHAnsi" w:eastAsia="Times New Roman" w:hAnsiTheme="minorHAnsi" w:cstheme="minorHAnsi"/>
          <w:b/>
          <w:iCs/>
          <w:szCs w:val="24"/>
          <w:lang w:val="pl-PL" w:eastAsia="en-GB"/>
        </w:rPr>
        <w:t>2.3.1.3</w:t>
      </w:r>
      <w:r w:rsidRPr="00A72D8A">
        <w:rPr>
          <w:rFonts w:asciiTheme="minorHAnsi" w:eastAsia="Times New Roman" w:hAnsiTheme="minorHAnsi" w:cstheme="minorHAnsi"/>
          <w:b/>
          <w:iCs/>
          <w:szCs w:val="24"/>
          <w:lang w:val="pl-PL" w:eastAsia="en-GB"/>
        </w:rPr>
        <w:tab/>
      </w:r>
      <w:r w:rsidR="00A72D8A" w:rsidRPr="00A72D8A">
        <w:rPr>
          <w:rFonts w:asciiTheme="minorHAnsi" w:eastAsia="Times New Roman" w:hAnsiTheme="minorHAnsi" w:cstheme="minorHAnsi"/>
          <w:b/>
          <w:iCs/>
          <w:szCs w:val="24"/>
          <w:lang w:val="pl-PL" w:eastAsia="en-GB"/>
        </w:rPr>
        <w:t xml:space="preserve"> </w:t>
      </w:r>
      <w:r w:rsidR="00813365" w:rsidRPr="00A72D8A">
        <w:rPr>
          <w:rFonts w:asciiTheme="minorHAnsi" w:eastAsia="Times New Roman" w:hAnsiTheme="minorHAnsi" w:cstheme="minorHAnsi"/>
          <w:b/>
          <w:iCs/>
          <w:szCs w:val="24"/>
          <w:lang w:val="pl-PL" w:eastAsia="en-GB"/>
        </w:rPr>
        <w:t>Podstawowe grupy docelowe</w:t>
      </w:r>
    </w:p>
    <w:p w14:paraId="4E38A875" w14:textId="48CC32D6" w:rsidR="005909CB" w:rsidRPr="00000498" w:rsidRDefault="0070721F" w:rsidP="00000498">
      <w:pPr>
        <w:spacing w:after="20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Dotyczy: art. 17 ust. 4 lit. e) ppkt (iii), art. 17 ust. 9 lit. c) ppkt (iv)</w:t>
      </w:r>
    </w:p>
    <w:p w14:paraId="6EA365B2" w14:textId="06D1A460" w:rsidR="005909CB" w:rsidRPr="00000498" w:rsidRDefault="0070721F" w:rsidP="00000498">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i/>
          <w:szCs w:val="24"/>
          <w:lang w:val="pl-PL" w:eastAsia="en-GB"/>
        </w:rPr>
      </w:pPr>
      <w:r w:rsidRPr="00000498">
        <w:rPr>
          <w:rFonts w:asciiTheme="minorHAnsi" w:eastAsia="Times New Roman" w:hAnsiTheme="minorHAnsi" w:cstheme="minorHAnsi"/>
          <w:szCs w:val="24"/>
          <w:lang w:val="pl-PL" w:eastAsia="en-GB"/>
        </w:rPr>
        <w:t>W ramach tego celuProgram skierowany jest do władz publicznych na szczeblu lokalnym, regionalnym i, w stosownych przypadkach, krajowym. Program zachęca do angażowania obywateli za pośrednictwem organizacji pozarządowych; zakłada również silne zaangażowanie sektora biznesowego, głównie poprzez organizacje otoczenia biznesu, w tym bezpośrednio tam, gdzie jest to właściwe, np. do testowania konkretnych rozwiązań. Tego typu organizacje powinny być wspierane przez wyspecjalizowane agencje oraz dostawców infrastruktury i usług z sektorów kluczowych dla osiągnięcia obiegu zamkniętego, np. transport, woda, energia i gospodarka odpadami.</w:t>
      </w:r>
      <w:r w:rsidR="00846B5B" w:rsidRPr="00000498">
        <w:rPr>
          <w:rFonts w:asciiTheme="minorHAnsi" w:eastAsia="Times New Roman" w:hAnsiTheme="minorHAnsi" w:cstheme="minorHAnsi"/>
          <w:szCs w:val="24"/>
          <w:lang w:val="pl-PL" w:eastAsia="en-GB"/>
        </w:rPr>
        <w:t xml:space="preserve"> </w:t>
      </w:r>
      <w:r w:rsidRPr="00000498">
        <w:rPr>
          <w:rFonts w:asciiTheme="minorHAnsi" w:eastAsia="Times New Roman" w:hAnsiTheme="minorHAnsi" w:cstheme="minorHAnsi"/>
          <w:szCs w:val="24"/>
          <w:lang w:val="pl-PL" w:eastAsia="en-GB"/>
        </w:rPr>
        <w:t>W tym względzie, Program szczególnie zachęca do łączenia kompetencji z różnych sektorów. Instytucje szkolnictwa wyższego i badawcze oraz ośrodki edukacyjne i szkoleniowe mogą przyłączyć się do działań w ramach współpracy transnarodowej, aby wesprzeć główne grupy docelowe dodatkową wiedzą i kompetencjami, np. w budowaniu świadomości lub wiedzą techniczną</w:t>
      </w:r>
      <w:r w:rsidR="005909CB" w:rsidRPr="00000498">
        <w:rPr>
          <w:rFonts w:asciiTheme="minorHAnsi" w:eastAsia="Times New Roman" w:hAnsiTheme="minorHAnsi" w:cstheme="minorHAnsi"/>
          <w:i/>
          <w:szCs w:val="24"/>
          <w:lang w:val="pl-PL" w:eastAsia="en-GB"/>
        </w:rPr>
        <w:t>.</w:t>
      </w:r>
    </w:p>
    <w:p w14:paraId="0D814BAA" w14:textId="69981E92" w:rsidR="005909CB" w:rsidRPr="00A72D8A" w:rsidRDefault="005909CB" w:rsidP="00000498">
      <w:pPr>
        <w:spacing w:before="240" w:after="240" w:line="276" w:lineRule="auto"/>
        <w:ind w:left="709" w:hanging="709"/>
        <w:rPr>
          <w:rFonts w:asciiTheme="minorHAnsi" w:eastAsia="Times New Roman" w:hAnsiTheme="minorHAnsi" w:cstheme="minorHAnsi"/>
          <w:b/>
          <w:iCs/>
          <w:szCs w:val="24"/>
          <w:lang w:val="pl-PL" w:eastAsia="en-GB"/>
        </w:rPr>
      </w:pPr>
      <w:r w:rsidRPr="00A72D8A">
        <w:rPr>
          <w:rFonts w:asciiTheme="minorHAnsi" w:eastAsia="Times New Roman" w:hAnsiTheme="minorHAnsi" w:cstheme="minorHAnsi"/>
          <w:b/>
          <w:iCs/>
          <w:szCs w:val="24"/>
          <w:lang w:val="pl-PL" w:eastAsia="en-GB"/>
        </w:rPr>
        <w:t>2.3.1.4</w:t>
      </w:r>
      <w:r w:rsidRPr="00A72D8A">
        <w:rPr>
          <w:rFonts w:asciiTheme="minorHAnsi" w:eastAsia="Times New Roman" w:hAnsiTheme="minorHAnsi" w:cstheme="minorHAnsi"/>
          <w:b/>
          <w:iCs/>
          <w:szCs w:val="24"/>
          <w:lang w:val="pl-PL" w:eastAsia="en-GB"/>
        </w:rPr>
        <w:tab/>
      </w:r>
      <w:r w:rsidR="00A72D8A" w:rsidRPr="00A72D8A">
        <w:rPr>
          <w:rFonts w:asciiTheme="minorHAnsi" w:eastAsia="Times New Roman" w:hAnsiTheme="minorHAnsi" w:cstheme="minorHAnsi"/>
          <w:b/>
          <w:iCs/>
          <w:szCs w:val="24"/>
          <w:lang w:val="pl-PL" w:eastAsia="en-GB"/>
        </w:rPr>
        <w:t xml:space="preserve"> </w:t>
      </w:r>
      <w:r w:rsidR="00813365" w:rsidRPr="00A72D8A">
        <w:rPr>
          <w:rFonts w:asciiTheme="minorHAnsi" w:eastAsia="Times New Roman" w:hAnsiTheme="minorHAnsi" w:cstheme="minorHAnsi"/>
          <w:b/>
          <w:iCs/>
          <w:szCs w:val="24"/>
          <w:lang w:val="pl-PL" w:eastAsia="en-GB"/>
        </w:rPr>
        <w:t>Wskazanie konkretnych terytoriów docelowych w tym planowane wykorzystanie ZIT, RLKS lub innych narzędzi terytorialnych</w:t>
      </w:r>
    </w:p>
    <w:p w14:paraId="34405EBF" w14:textId="08C80B05" w:rsidR="005909CB" w:rsidRPr="00F879CC" w:rsidRDefault="0070721F" w:rsidP="00000498">
      <w:pPr>
        <w:spacing w:after="200" w:line="276" w:lineRule="auto"/>
        <w:rPr>
          <w:rFonts w:asciiTheme="minorHAnsi" w:eastAsia="Times New Roman" w:hAnsiTheme="minorHAnsi" w:cstheme="minorHAnsi"/>
          <w:i/>
          <w:szCs w:val="24"/>
          <w:lang w:val="pl-PL" w:eastAsia="en-GB"/>
        </w:rPr>
      </w:pPr>
      <w:r w:rsidRPr="00000498">
        <w:rPr>
          <w:rFonts w:asciiTheme="minorHAnsi" w:eastAsia="Times New Roman" w:hAnsiTheme="minorHAnsi" w:cstheme="minorHAnsi"/>
          <w:szCs w:val="24"/>
          <w:lang w:val="pl-PL" w:eastAsia="en-GB"/>
        </w:rPr>
        <w:lastRenderedPageBreak/>
        <w:t>Dotyczy: art. 17 ust. 4 lit. e) ppkt (iv</w:t>
      </w:r>
      <w:r w:rsidRPr="00F879CC">
        <w:rPr>
          <w:rFonts w:asciiTheme="minorHAnsi" w:eastAsia="Times New Roman" w:hAnsiTheme="minorHAnsi" w:cstheme="minorHAnsi"/>
          <w:i/>
          <w:szCs w:val="24"/>
          <w:lang w:val="pl-PL" w:eastAsia="en-GB"/>
        </w:rPr>
        <w:t>)</w:t>
      </w:r>
    </w:p>
    <w:p w14:paraId="247FA2C0" w14:textId="5BAE3F62" w:rsidR="005909CB" w:rsidRPr="00000498" w:rsidRDefault="0070721F" w:rsidP="00000498">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 xml:space="preserve">Program nie przewiduje wykorzystania jakichkolwiek narzędzi </w:t>
      </w:r>
      <w:r w:rsidR="00A05A16" w:rsidRPr="00000498">
        <w:rPr>
          <w:rFonts w:asciiTheme="minorHAnsi" w:eastAsia="Times New Roman" w:hAnsiTheme="minorHAnsi" w:cstheme="minorHAnsi"/>
          <w:szCs w:val="24"/>
          <w:lang w:val="pl-PL" w:eastAsia="en-GB"/>
        </w:rPr>
        <w:t>terytorialnych, o których</w:t>
      </w:r>
      <w:r w:rsidRPr="00000498">
        <w:rPr>
          <w:rFonts w:asciiTheme="minorHAnsi" w:eastAsia="Times New Roman" w:hAnsiTheme="minorHAnsi" w:cstheme="minorHAnsi"/>
          <w:szCs w:val="24"/>
          <w:lang w:val="pl-PL" w:eastAsia="en-GB"/>
        </w:rPr>
        <w:t xml:space="preserve"> mowa powyżej. Działania w ramach tego celu szczegółowego dotyczą wyzwań i szans całego regionu Morza Bałtyckiego oraz zachęcają do podejść w skali makroregionalnej.</w:t>
      </w:r>
      <w:r w:rsidR="00846B5B" w:rsidRPr="00000498">
        <w:rPr>
          <w:rFonts w:asciiTheme="minorHAnsi" w:eastAsia="Times New Roman" w:hAnsiTheme="minorHAnsi" w:cstheme="minorHAnsi"/>
          <w:szCs w:val="24"/>
          <w:lang w:val="pl-PL" w:eastAsia="en-GB"/>
        </w:rPr>
        <w:t xml:space="preserve"> </w:t>
      </w:r>
      <w:r w:rsidRPr="00000498">
        <w:rPr>
          <w:rFonts w:asciiTheme="minorHAnsi" w:eastAsia="Times New Roman" w:hAnsiTheme="minorHAnsi" w:cstheme="minorHAnsi"/>
          <w:szCs w:val="24"/>
          <w:lang w:val="pl-PL" w:eastAsia="en-GB"/>
        </w:rPr>
        <w:t>Aby umożliwić sprawiedliwe przejście do obiegu zamkniętego i jak najefektywniejszą eksplorację istniejącego potencjału, w Programie uwzględniono różnice między poszczególnymi typami terytoriów, np. w procesach planowania na obszarach miejskich i wiejskich</w:t>
      </w:r>
      <w:r w:rsidR="005909CB" w:rsidRPr="00000498">
        <w:rPr>
          <w:rFonts w:asciiTheme="minorHAnsi" w:eastAsia="Times New Roman" w:hAnsiTheme="minorHAnsi" w:cstheme="minorHAnsi"/>
          <w:szCs w:val="24"/>
          <w:lang w:val="pl-PL" w:eastAsia="en-GB"/>
        </w:rPr>
        <w:t>.</w:t>
      </w:r>
    </w:p>
    <w:p w14:paraId="4F935FAA" w14:textId="4ED0DB81" w:rsidR="005909CB" w:rsidRPr="00A72D8A" w:rsidRDefault="005909CB" w:rsidP="00000498">
      <w:pPr>
        <w:spacing w:before="240" w:after="240" w:line="276" w:lineRule="auto"/>
        <w:ind w:left="709" w:hanging="709"/>
        <w:rPr>
          <w:rFonts w:asciiTheme="minorHAnsi" w:eastAsia="Times New Roman" w:hAnsiTheme="minorHAnsi" w:cstheme="minorHAnsi"/>
          <w:b/>
          <w:iCs/>
          <w:szCs w:val="24"/>
          <w:lang w:val="pl-PL" w:eastAsia="en-GB"/>
        </w:rPr>
      </w:pPr>
      <w:r w:rsidRPr="00A72D8A">
        <w:rPr>
          <w:rFonts w:asciiTheme="minorHAnsi" w:eastAsia="Times New Roman" w:hAnsiTheme="minorHAnsi" w:cstheme="minorHAnsi"/>
          <w:b/>
          <w:iCs/>
          <w:szCs w:val="24"/>
          <w:lang w:val="pl-PL" w:eastAsia="en-GB"/>
        </w:rPr>
        <w:t>2.3.1.5</w:t>
      </w:r>
      <w:r w:rsidRPr="00A72D8A">
        <w:rPr>
          <w:rFonts w:asciiTheme="minorHAnsi" w:eastAsia="Times New Roman" w:hAnsiTheme="minorHAnsi" w:cstheme="minorHAnsi"/>
          <w:b/>
          <w:iCs/>
          <w:szCs w:val="24"/>
          <w:lang w:val="pl-PL" w:eastAsia="en-GB"/>
        </w:rPr>
        <w:tab/>
      </w:r>
      <w:r w:rsidR="00871A6C" w:rsidRPr="00A72D8A">
        <w:rPr>
          <w:rFonts w:asciiTheme="minorHAnsi" w:eastAsia="Times New Roman" w:hAnsiTheme="minorHAnsi" w:cstheme="minorHAnsi"/>
          <w:b/>
          <w:iCs/>
          <w:szCs w:val="24"/>
          <w:lang w:val="pl-PL" w:eastAsia="en-GB"/>
        </w:rPr>
        <w:t>Planowane wykorzystanie instrumentów finansowych</w:t>
      </w:r>
    </w:p>
    <w:p w14:paraId="63C9D446" w14:textId="3E230D68" w:rsidR="005909CB" w:rsidRPr="00000498" w:rsidRDefault="003E7F3D" w:rsidP="00000498">
      <w:pPr>
        <w:spacing w:after="20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Dotyczy: art. 17 ust. 4 lit. e) ppkt (v)</w:t>
      </w:r>
    </w:p>
    <w:p w14:paraId="715D2D64" w14:textId="399EC653" w:rsidR="005909CB" w:rsidRPr="00000498" w:rsidRDefault="003E7F3D" w:rsidP="00000498">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iCs/>
          <w:szCs w:val="24"/>
          <w:lang w:val="pl-PL" w:eastAsia="en-GB"/>
        </w:rPr>
      </w:pPr>
      <w:r w:rsidRPr="00A72D8A">
        <w:rPr>
          <w:rFonts w:asciiTheme="minorHAnsi" w:eastAsia="Times New Roman" w:hAnsiTheme="minorHAnsi" w:cstheme="minorHAnsi"/>
          <w:szCs w:val="24"/>
          <w:lang w:val="pl-PL" w:eastAsia="en-GB"/>
        </w:rPr>
        <w:t>Nie dotyczy</w:t>
      </w:r>
    </w:p>
    <w:p w14:paraId="1EA33E4E" w14:textId="3466472F" w:rsidR="005909CB" w:rsidRPr="005A4320" w:rsidRDefault="005909CB" w:rsidP="00000498">
      <w:pPr>
        <w:spacing w:before="240" w:after="240" w:line="276" w:lineRule="auto"/>
        <w:ind w:left="709" w:hanging="709"/>
        <w:rPr>
          <w:rFonts w:asciiTheme="minorHAnsi" w:eastAsia="Times New Roman" w:hAnsiTheme="minorHAnsi" w:cstheme="minorHAnsi"/>
          <w:b/>
          <w:iCs/>
          <w:szCs w:val="24"/>
          <w:lang w:val="pl-PL" w:eastAsia="en-GB"/>
        </w:rPr>
      </w:pPr>
      <w:r w:rsidRPr="005A4320">
        <w:rPr>
          <w:rFonts w:asciiTheme="minorHAnsi" w:eastAsia="Times New Roman" w:hAnsiTheme="minorHAnsi" w:cstheme="minorHAnsi"/>
          <w:b/>
          <w:iCs/>
          <w:szCs w:val="24"/>
          <w:lang w:val="pl-PL" w:eastAsia="en-GB"/>
        </w:rPr>
        <w:t>2.3.1.6</w:t>
      </w:r>
      <w:r w:rsidRPr="005A4320">
        <w:rPr>
          <w:rFonts w:asciiTheme="minorHAnsi" w:eastAsia="Times New Roman" w:hAnsiTheme="minorHAnsi" w:cstheme="minorHAnsi"/>
          <w:b/>
          <w:iCs/>
          <w:szCs w:val="24"/>
          <w:lang w:val="pl-PL" w:eastAsia="en-GB"/>
        </w:rPr>
        <w:tab/>
      </w:r>
      <w:r w:rsidR="00813365" w:rsidRPr="005A4320">
        <w:rPr>
          <w:rFonts w:asciiTheme="minorHAnsi" w:eastAsia="Times New Roman" w:hAnsiTheme="minorHAnsi" w:cstheme="minorHAnsi"/>
          <w:b/>
          <w:iCs/>
          <w:szCs w:val="24"/>
          <w:lang w:val="pl-PL" w:eastAsia="en-GB"/>
        </w:rPr>
        <w:t>Indykatywny podział środków programu UE według rodzaju interwencji</w:t>
      </w:r>
    </w:p>
    <w:p w14:paraId="7799FC3E" w14:textId="08BD008B" w:rsidR="005909CB" w:rsidRPr="00000498" w:rsidRDefault="003E7F3D" w:rsidP="00000498">
      <w:pPr>
        <w:spacing w:after="20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Dotyczy: art. 17 ust. 4 lit. e) ppkt (vi), art. 17 ust. 9 lit. c) ppkt (v)</w:t>
      </w:r>
    </w:p>
    <w:p w14:paraId="2A9D64E4" w14:textId="0B4741DB" w:rsidR="00CC222E" w:rsidRPr="00000498" w:rsidRDefault="003E7F3D" w:rsidP="00000498">
      <w:pPr>
        <w:spacing w:after="200" w:line="276" w:lineRule="auto"/>
        <w:rPr>
          <w:rFonts w:asciiTheme="minorHAnsi" w:eastAsia="Times New Roman" w:hAnsiTheme="minorHAnsi" w:cstheme="minorHAnsi"/>
          <w:szCs w:val="24"/>
          <w:lang w:val="pl-PL" w:eastAsia="en-GB"/>
        </w:rPr>
      </w:pPr>
      <w:r w:rsidRPr="005A4320">
        <w:rPr>
          <w:rFonts w:asciiTheme="minorHAnsi" w:hAnsiTheme="minorHAnsi" w:cstheme="minorHAnsi"/>
          <w:lang w:val="pl-PL"/>
        </w:rPr>
        <w:t>Kody interwencji zostaną uwzględnione po opublikowaniu ostatecznych wersji przepisów</w:t>
      </w:r>
      <w:r w:rsidR="00CC222E" w:rsidRPr="005A4320">
        <w:rPr>
          <w:rFonts w:asciiTheme="minorHAnsi" w:hAnsiTheme="minorHAnsi" w:cstheme="minorHAnsi"/>
          <w:lang w:val="pl-PL"/>
        </w:rPr>
        <w:t>.</w:t>
      </w:r>
    </w:p>
    <w:p w14:paraId="696EC26B" w14:textId="5D9354A8" w:rsidR="005909CB" w:rsidRPr="00000498" w:rsidRDefault="00871A6C" w:rsidP="00000498">
      <w:pPr>
        <w:spacing w:after="200" w:line="276" w:lineRule="auto"/>
        <w:rPr>
          <w:rFonts w:asciiTheme="minorHAnsi" w:eastAsia="Times New Roman" w:hAnsiTheme="minorHAnsi" w:cstheme="minorHAnsi"/>
          <w:szCs w:val="24"/>
          <w:lang w:val="pl-PL" w:eastAsia="en-GB"/>
        </w:rPr>
      </w:pPr>
      <w:r w:rsidRPr="005A4320">
        <w:rPr>
          <w:rFonts w:asciiTheme="minorHAnsi" w:eastAsia="Times New Roman" w:hAnsiTheme="minorHAnsi" w:cstheme="minorHAnsi"/>
          <w:iCs/>
          <w:szCs w:val="24"/>
          <w:lang w:val="pl-PL" w:eastAsia="en-GB"/>
        </w:rPr>
        <w:t>Tabela</w:t>
      </w:r>
      <w:r w:rsidR="005909CB" w:rsidRPr="005A4320">
        <w:rPr>
          <w:rFonts w:asciiTheme="minorHAnsi" w:eastAsia="Times New Roman" w:hAnsiTheme="minorHAnsi" w:cstheme="minorHAnsi"/>
          <w:iCs/>
          <w:szCs w:val="24"/>
          <w:lang w:val="pl-PL" w:eastAsia="en-GB"/>
        </w:rPr>
        <w:t xml:space="preserve"> 4: </w:t>
      </w:r>
      <w:r w:rsidRPr="005A4320">
        <w:rPr>
          <w:rFonts w:asciiTheme="minorHAnsi" w:eastAsia="Times New Roman" w:hAnsiTheme="minorHAnsi" w:cstheme="minorHAnsi"/>
          <w:iCs/>
          <w:szCs w:val="24"/>
          <w:lang w:val="pl-PL" w:eastAsia="en-GB"/>
        </w:rPr>
        <w:t>Wymiar</w:t>
      </w:r>
      <w:r w:rsidR="005909CB" w:rsidRPr="005A4320">
        <w:rPr>
          <w:rFonts w:asciiTheme="minorHAnsi" w:eastAsia="Times New Roman" w:hAnsiTheme="minorHAnsi" w:cstheme="minorHAnsi"/>
          <w:iCs/>
          <w:szCs w:val="24"/>
          <w:lang w:val="pl-PL" w:eastAsia="en-GB"/>
        </w:rPr>
        <w:t xml:space="preserve"> 1 – </w:t>
      </w:r>
      <w:r w:rsidRPr="005A4320">
        <w:rPr>
          <w:rFonts w:asciiTheme="minorHAnsi" w:eastAsia="Times New Roman" w:hAnsiTheme="minorHAnsi" w:cstheme="minorHAnsi"/>
          <w:iCs/>
          <w:szCs w:val="24"/>
          <w:lang w:val="pl-PL" w:eastAsia="en-GB"/>
        </w:rPr>
        <w:t>pole interwencji</w:t>
      </w:r>
      <w:r w:rsidR="00F54FDB" w:rsidRPr="005A4320">
        <w:rPr>
          <w:rFonts w:asciiTheme="minorHAnsi" w:eastAsia="Times New Roman" w:hAnsiTheme="minorHAnsi" w:cstheme="minorHAnsi"/>
          <w:iCs/>
          <w:szCs w:val="24"/>
          <w:lang w:val="pl-PL" w:eastAsia="en-GB"/>
        </w:rPr>
        <w:t xml:space="preserve"> </w:t>
      </w:r>
      <w:r w:rsidR="00F54FDB" w:rsidRPr="005A4320">
        <w:rPr>
          <w:rFonts w:asciiTheme="minorHAnsi" w:eastAsia="Times New Roman" w:hAnsiTheme="minorHAnsi" w:cstheme="minorHAnsi"/>
          <w:szCs w:val="24"/>
          <w:lang w:val="pl-PL" w:eastAsia="en-GB"/>
        </w:rPr>
        <w:t>(</w:t>
      </w:r>
      <w:r w:rsidRPr="005A4320">
        <w:rPr>
          <w:rFonts w:asciiTheme="minorHAnsi" w:hAnsiTheme="minorHAnsi" w:cstheme="minorHAnsi"/>
          <w:lang w:val="pl-PL"/>
        </w:rPr>
        <w:t>do wypełnienia/uwzględnienia w kolejnych krokach</w:t>
      </w:r>
      <w:r w:rsidR="00F54FDB" w:rsidRPr="005A4320">
        <w:rPr>
          <w:rFonts w:asciiTheme="minorHAnsi" w:eastAsia="Times New Roman" w:hAnsiTheme="minorHAnsi" w:cstheme="minorHAnsi"/>
          <w:szCs w:val="24"/>
          <w:lang w:val="pl-PL" w:eastAsia="en-GB"/>
        </w:rPr>
        <w:t>)</w:t>
      </w:r>
    </w:p>
    <w:tbl>
      <w:tblPr>
        <w:tblStyle w:val="TableGrid1"/>
        <w:tblW w:w="0" w:type="auto"/>
        <w:tblLook w:val="04A0" w:firstRow="1" w:lastRow="0" w:firstColumn="1" w:lastColumn="0" w:noHBand="0" w:noVBand="1"/>
        <w:tblCaption w:val="Tabela dotycząca wymiaru 1 - pola interwencji"/>
      </w:tblPr>
      <w:tblGrid>
        <w:gridCol w:w="1870"/>
        <w:gridCol w:w="1657"/>
        <w:gridCol w:w="1898"/>
        <w:gridCol w:w="1204"/>
        <w:gridCol w:w="2659"/>
      </w:tblGrid>
      <w:tr w:rsidR="005909CB" w:rsidRPr="005A4320" w14:paraId="01C7B6A1" w14:textId="77777777" w:rsidTr="00000498">
        <w:trPr>
          <w:tblHeader/>
        </w:trPr>
        <w:tc>
          <w:tcPr>
            <w:tcW w:w="1870" w:type="dxa"/>
          </w:tcPr>
          <w:p w14:paraId="5925724A" w14:textId="1CDBBFE5" w:rsidR="005909CB" w:rsidRPr="00000498" w:rsidRDefault="00871A6C" w:rsidP="00DE180F">
            <w:pPr>
              <w:spacing w:line="240" w:lineRule="auto"/>
              <w:jc w:val="both"/>
              <w:rPr>
                <w:rFonts w:asciiTheme="minorHAnsi" w:eastAsia="Times New Roman" w:hAnsiTheme="minorHAnsi" w:cstheme="minorHAnsi"/>
                <w:b/>
                <w:iCs/>
                <w:szCs w:val="24"/>
                <w:lang w:val="pl-PL" w:eastAsia="en-GB"/>
              </w:rPr>
            </w:pPr>
            <w:r w:rsidRPr="00000498">
              <w:rPr>
                <w:rFonts w:asciiTheme="minorHAnsi" w:eastAsia="Times New Roman" w:hAnsiTheme="minorHAnsi" w:cstheme="minorHAnsi"/>
                <w:b/>
                <w:iCs/>
                <w:szCs w:val="24"/>
                <w:lang w:val="pl-PL" w:eastAsia="en-GB"/>
              </w:rPr>
              <w:t>Nr priorytetu</w:t>
            </w:r>
          </w:p>
        </w:tc>
        <w:tc>
          <w:tcPr>
            <w:tcW w:w="1657" w:type="dxa"/>
          </w:tcPr>
          <w:p w14:paraId="0C9E5E8C" w14:textId="6C2F1E5D" w:rsidR="005909CB" w:rsidRPr="00000498" w:rsidRDefault="00871A6C" w:rsidP="00DE180F">
            <w:pPr>
              <w:spacing w:line="240" w:lineRule="auto"/>
              <w:jc w:val="both"/>
              <w:rPr>
                <w:rFonts w:asciiTheme="minorHAnsi" w:eastAsia="Times New Roman" w:hAnsiTheme="minorHAnsi" w:cstheme="minorHAnsi"/>
                <w:b/>
                <w:iCs/>
                <w:szCs w:val="24"/>
                <w:lang w:val="pl-PL" w:eastAsia="en-GB"/>
              </w:rPr>
            </w:pPr>
            <w:r w:rsidRPr="00000498">
              <w:rPr>
                <w:rFonts w:asciiTheme="minorHAnsi" w:eastAsia="Times New Roman" w:hAnsiTheme="minorHAnsi" w:cstheme="minorHAnsi"/>
                <w:b/>
                <w:iCs/>
                <w:szCs w:val="24"/>
                <w:lang w:val="pl-PL" w:eastAsia="en-GB"/>
              </w:rPr>
              <w:t>Fundusz</w:t>
            </w:r>
          </w:p>
        </w:tc>
        <w:tc>
          <w:tcPr>
            <w:tcW w:w="1898" w:type="dxa"/>
          </w:tcPr>
          <w:p w14:paraId="329DD649" w14:textId="52AC4143" w:rsidR="005909CB" w:rsidRPr="00000498" w:rsidRDefault="00871A6C" w:rsidP="00DE180F">
            <w:pPr>
              <w:spacing w:line="240" w:lineRule="auto"/>
              <w:jc w:val="both"/>
              <w:rPr>
                <w:rFonts w:asciiTheme="minorHAnsi" w:eastAsia="Times New Roman" w:hAnsiTheme="minorHAnsi" w:cstheme="minorHAnsi"/>
                <w:b/>
                <w:iCs/>
                <w:szCs w:val="24"/>
                <w:lang w:val="pl-PL" w:eastAsia="en-GB"/>
              </w:rPr>
            </w:pPr>
            <w:r w:rsidRPr="00000498">
              <w:rPr>
                <w:rFonts w:asciiTheme="minorHAnsi" w:eastAsia="Times New Roman" w:hAnsiTheme="minorHAnsi" w:cstheme="minorHAnsi"/>
                <w:b/>
                <w:iCs/>
                <w:szCs w:val="24"/>
                <w:lang w:val="pl-PL" w:eastAsia="en-GB"/>
              </w:rPr>
              <w:t>Cel szczegółowy</w:t>
            </w:r>
          </w:p>
        </w:tc>
        <w:tc>
          <w:tcPr>
            <w:tcW w:w="1204" w:type="dxa"/>
          </w:tcPr>
          <w:p w14:paraId="6C32758D" w14:textId="7A4481F3" w:rsidR="005909CB" w:rsidRPr="00000498" w:rsidRDefault="00871A6C" w:rsidP="00DE180F">
            <w:pPr>
              <w:spacing w:line="240" w:lineRule="auto"/>
              <w:jc w:val="both"/>
              <w:rPr>
                <w:rFonts w:asciiTheme="minorHAnsi" w:eastAsia="Times New Roman" w:hAnsiTheme="minorHAnsi" w:cstheme="minorHAnsi"/>
                <w:b/>
                <w:iCs/>
                <w:szCs w:val="24"/>
                <w:lang w:val="pl-PL" w:eastAsia="en-GB"/>
              </w:rPr>
            </w:pPr>
            <w:r w:rsidRPr="00000498">
              <w:rPr>
                <w:rFonts w:asciiTheme="minorHAnsi" w:eastAsia="Times New Roman" w:hAnsiTheme="minorHAnsi" w:cstheme="minorHAnsi"/>
                <w:b/>
                <w:iCs/>
                <w:szCs w:val="24"/>
                <w:lang w:val="pl-PL" w:eastAsia="en-GB"/>
              </w:rPr>
              <w:t>Kod</w:t>
            </w:r>
            <w:r w:rsidR="005909CB" w:rsidRPr="00000498">
              <w:rPr>
                <w:rFonts w:asciiTheme="minorHAnsi" w:eastAsia="Times New Roman" w:hAnsiTheme="minorHAnsi" w:cstheme="minorHAnsi"/>
                <w:b/>
                <w:iCs/>
                <w:szCs w:val="24"/>
                <w:lang w:val="pl-PL" w:eastAsia="en-GB"/>
              </w:rPr>
              <w:t xml:space="preserve"> </w:t>
            </w:r>
          </w:p>
        </w:tc>
        <w:tc>
          <w:tcPr>
            <w:tcW w:w="2659" w:type="dxa"/>
          </w:tcPr>
          <w:p w14:paraId="66D4838D" w14:textId="7C3EE039" w:rsidR="005909CB" w:rsidRPr="00000498" w:rsidRDefault="00871A6C" w:rsidP="00DE180F">
            <w:pPr>
              <w:spacing w:line="240" w:lineRule="auto"/>
              <w:jc w:val="both"/>
              <w:rPr>
                <w:rFonts w:asciiTheme="minorHAnsi" w:eastAsia="Times New Roman" w:hAnsiTheme="minorHAnsi" w:cstheme="minorHAnsi"/>
                <w:b/>
                <w:iCs/>
                <w:szCs w:val="24"/>
                <w:lang w:val="pl-PL" w:eastAsia="en-GB"/>
              </w:rPr>
            </w:pPr>
            <w:r w:rsidRPr="00000498">
              <w:rPr>
                <w:rFonts w:asciiTheme="minorHAnsi" w:eastAsia="Times New Roman" w:hAnsiTheme="minorHAnsi" w:cstheme="minorHAnsi"/>
                <w:b/>
                <w:iCs/>
                <w:szCs w:val="24"/>
                <w:lang w:val="pl-PL" w:eastAsia="en-GB"/>
              </w:rPr>
              <w:t>Kwota</w:t>
            </w:r>
            <w:r w:rsidR="005909CB" w:rsidRPr="00000498">
              <w:rPr>
                <w:rFonts w:asciiTheme="minorHAnsi" w:eastAsia="Times New Roman" w:hAnsiTheme="minorHAnsi" w:cstheme="minorHAnsi"/>
                <w:b/>
                <w:iCs/>
                <w:szCs w:val="24"/>
                <w:lang w:val="pl-PL" w:eastAsia="en-GB"/>
              </w:rPr>
              <w:t xml:space="preserve"> (EUR)</w:t>
            </w:r>
          </w:p>
        </w:tc>
      </w:tr>
      <w:tr w:rsidR="005909CB" w:rsidRPr="005A4320" w14:paraId="355FC56F" w14:textId="77777777" w:rsidTr="00DE180F">
        <w:tc>
          <w:tcPr>
            <w:tcW w:w="1870" w:type="dxa"/>
          </w:tcPr>
          <w:p w14:paraId="65B6025F" w14:textId="77777777" w:rsidR="005909CB" w:rsidRPr="00000498" w:rsidRDefault="005909CB" w:rsidP="00DE180F">
            <w:pPr>
              <w:spacing w:line="240" w:lineRule="auto"/>
              <w:jc w:val="both"/>
              <w:rPr>
                <w:rFonts w:asciiTheme="minorHAnsi" w:eastAsia="Times New Roman" w:hAnsiTheme="minorHAnsi" w:cstheme="minorHAnsi"/>
                <w:iCs/>
                <w:szCs w:val="24"/>
                <w:lang w:val="pl-PL" w:eastAsia="en-GB"/>
              </w:rPr>
            </w:pPr>
          </w:p>
        </w:tc>
        <w:tc>
          <w:tcPr>
            <w:tcW w:w="1657" w:type="dxa"/>
          </w:tcPr>
          <w:p w14:paraId="1285E616" w14:textId="77777777" w:rsidR="005909CB" w:rsidRPr="00000498" w:rsidRDefault="005909CB" w:rsidP="00DE180F">
            <w:pPr>
              <w:spacing w:line="240" w:lineRule="auto"/>
              <w:jc w:val="both"/>
              <w:rPr>
                <w:rFonts w:asciiTheme="minorHAnsi" w:eastAsia="Times New Roman" w:hAnsiTheme="minorHAnsi" w:cstheme="minorHAnsi"/>
                <w:b/>
                <w:iCs/>
                <w:szCs w:val="24"/>
                <w:lang w:val="pl-PL" w:eastAsia="en-GB"/>
              </w:rPr>
            </w:pPr>
          </w:p>
        </w:tc>
        <w:tc>
          <w:tcPr>
            <w:tcW w:w="1898" w:type="dxa"/>
          </w:tcPr>
          <w:p w14:paraId="35D88FDE" w14:textId="77777777" w:rsidR="005909CB" w:rsidRPr="00000498" w:rsidRDefault="005909CB" w:rsidP="00DE180F">
            <w:pPr>
              <w:spacing w:line="240" w:lineRule="auto"/>
              <w:jc w:val="both"/>
              <w:rPr>
                <w:rFonts w:asciiTheme="minorHAnsi" w:eastAsia="Times New Roman" w:hAnsiTheme="minorHAnsi" w:cstheme="minorHAnsi"/>
                <w:b/>
                <w:iCs/>
                <w:szCs w:val="24"/>
                <w:lang w:val="pl-PL" w:eastAsia="en-GB"/>
              </w:rPr>
            </w:pPr>
          </w:p>
        </w:tc>
        <w:tc>
          <w:tcPr>
            <w:tcW w:w="1204" w:type="dxa"/>
          </w:tcPr>
          <w:p w14:paraId="50140220" w14:textId="77777777" w:rsidR="005909CB" w:rsidRPr="00000498" w:rsidRDefault="005909CB" w:rsidP="00DE180F">
            <w:pPr>
              <w:spacing w:line="240" w:lineRule="auto"/>
              <w:jc w:val="both"/>
              <w:rPr>
                <w:rFonts w:asciiTheme="minorHAnsi" w:eastAsia="Times New Roman" w:hAnsiTheme="minorHAnsi" w:cstheme="minorHAnsi"/>
                <w:b/>
                <w:iCs/>
                <w:szCs w:val="24"/>
                <w:lang w:val="pl-PL" w:eastAsia="en-GB"/>
              </w:rPr>
            </w:pPr>
          </w:p>
        </w:tc>
        <w:tc>
          <w:tcPr>
            <w:tcW w:w="2659" w:type="dxa"/>
          </w:tcPr>
          <w:p w14:paraId="2AA27498" w14:textId="77777777" w:rsidR="005909CB" w:rsidRPr="00000498" w:rsidRDefault="005909CB" w:rsidP="00DE180F">
            <w:pPr>
              <w:spacing w:line="240" w:lineRule="auto"/>
              <w:jc w:val="both"/>
              <w:rPr>
                <w:rFonts w:asciiTheme="minorHAnsi" w:eastAsia="Times New Roman" w:hAnsiTheme="minorHAnsi" w:cstheme="minorHAnsi"/>
                <w:b/>
                <w:iCs/>
                <w:szCs w:val="24"/>
                <w:lang w:val="pl-PL" w:eastAsia="en-GB"/>
              </w:rPr>
            </w:pPr>
          </w:p>
        </w:tc>
      </w:tr>
    </w:tbl>
    <w:p w14:paraId="3626017A" w14:textId="77777777" w:rsidR="005909CB" w:rsidRPr="00F879CC" w:rsidRDefault="005909CB" w:rsidP="005909CB">
      <w:pPr>
        <w:spacing w:after="200" w:line="276" w:lineRule="auto"/>
        <w:rPr>
          <w:rFonts w:asciiTheme="minorHAnsi" w:eastAsia="Times New Roman" w:hAnsiTheme="minorHAnsi" w:cstheme="minorHAnsi"/>
          <w:iCs/>
          <w:szCs w:val="24"/>
          <w:lang w:val="en-IE" w:eastAsia="en-GB"/>
        </w:rPr>
      </w:pPr>
    </w:p>
    <w:p w14:paraId="6B136A1A" w14:textId="2F96F954" w:rsidR="005909CB" w:rsidRPr="00F879CC" w:rsidRDefault="00871A6C" w:rsidP="00000498">
      <w:pPr>
        <w:spacing w:after="200" w:line="276" w:lineRule="auto"/>
        <w:rPr>
          <w:rFonts w:asciiTheme="minorHAnsi" w:eastAsia="Times New Roman" w:hAnsiTheme="minorHAnsi" w:cstheme="minorHAnsi"/>
          <w:i/>
          <w:szCs w:val="24"/>
          <w:lang w:val="pl-PL" w:eastAsia="en-GB"/>
        </w:rPr>
      </w:pPr>
      <w:r w:rsidRPr="00F879CC">
        <w:rPr>
          <w:rFonts w:asciiTheme="minorHAnsi" w:eastAsia="Times New Roman" w:hAnsiTheme="minorHAnsi" w:cstheme="minorHAnsi"/>
          <w:iCs/>
          <w:szCs w:val="24"/>
          <w:lang w:val="pl-PL" w:eastAsia="en-GB"/>
        </w:rPr>
        <w:t>Tabela</w:t>
      </w:r>
      <w:r w:rsidR="005909CB" w:rsidRPr="00F879CC">
        <w:rPr>
          <w:rFonts w:asciiTheme="minorHAnsi" w:eastAsia="Times New Roman" w:hAnsiTheme="minorHAnsi" w:cstheme="minorHAnsi"/>
          <w:iCs/>
          <w:szCs w:val="24"/>
          <w:lang w:val="pl-PL" w:eastAsia="en-GB"/>
        </w:rPr>
        <w:t xml:space="preserve"> 5: </w:t>
      </w:r>
      <w:r w:rsidRPr="00F879CC">
        <w:rPr>
          <w:rFonts w:asciiTheme="minorHAnsi" w:eastAsia="Times New Roman" w:hAnsiTheme="minorHAnsi" w:cstheme="minorHAnsi"/>
          <w:iCs/>
          <w:szCs w:val="24"/>
          <w:lang w:val="pl-PL" w:eastAsia="en-GB"/>
        </w:rPr>
        <w:t>Wymiar</w:t>
      </w:r>
      <w:r w:rsidR="005909CB" w:rsidRPr="00F879CC">
        <w:rPr>
          <w:rFonts w:asciiTheme="minorHAnsi" w:eastAsia="Times New Roman" w:hAnsiTheme="minorHAnsi" w:cstheme="minorHAnsi"/>
          <w:iCs/>
          <w:szCs w:val="24"/>
          <w:lang w:val="pl-PL" w:eastAsia="en-GB"/>
        </w:rPr>
        <w:t xml:space="preserve"> 2 – </w:t>
      </w:r>
      <w:r w:rsidRPr="00F879CC">
        <w:rPr>
          <w:rFonts w:asciiTheme="minorHAnsi" w:eastAsia="Times New Roman" w:hAnsiTheme="minorHAnsi" w:cstheme="minorHAnsi"/>
          <w:iCs/>
          <w:szCs w:val="24"/>
          <w:lang w:val="pl-PL" w:eastAsia="en-GB"/>
        </w:rPr>
        <w:t>forma finansowania</w:t>
      </w:r>
      <w:r w:rsidR="00F54FDB" w:rsidRPr="00F879CC">
        <w:rPr>
          <w:rFonts w:asciiTheme="minorHAnsi" w:eastAsia="Times New Roman" w:hAnsiTheme="minorHAnsi" w:cstheme="minorHAnsi"/>
          <w:iCs/>
          <w:szCs w:val="24"/>
          <w:lang w:val="pl-PL" w:eastAsia="en-GB"/>
        </w:rPr>
        <w:t xml:space="preserve"> </w:t>
      </w:r>
      <w:r w:rsidR="00F54FDB" w:rsidRPr="00F879CC">
        <w:rPr>
          <w:rFonts w:asciiTheme="minorHAnsi" w:eastAsia="Times New Roman" w:hAnsiTheme="minorHAnsi" w:cstheme="minorHAnsi"/>
          <w:szCs w:val="24"/>
          <w:lang w:val="pl-PL" w:eastAsia="en-GB"/>
        </w:rPr>
        <w:t>(</w:t>
      </w:r>
      <w:r w:rsidRPr="00F879CC">
        <w:rPr>
          <w:rFonts w:asciiTheme="minorHAnsi" w:hAnsiTheme="minorHAnsi" w:cstheme="minorHAnsi"/>
          <w:lang w:val="pl-PL"/>
        </w:rPr>
        <w:t>do wypełnienia/uwzględnienia w kolejnych krokach</w:t>
      </w:r>
      <w:r w:rsidR="00F54FDB" w:rsidRPr="00F879CC">
        <w:rPr>
          <w:rFonts w:asciiTheme="minorHAnsi" w:eastAsia="Times New Roman" w:hAnsiTheme="minorHAnsi" w:cstheme="minorHAnsi"/>
          <w:szCs w:val="24"/>
          <w:lang w:val="pl-PL" w:eastAsia="en-GB"/>
        </w:rPr>
        <w:t>)</w:t>
      </w:r>
    </w:p>
    <w:tbl>
      <w:tblPr>
        <w:tblStyle w:val="TableGrid1"/>
        <w:tblW w:w="0" w:type="auto"/>
        <w:tblLook w:val="04A0" w:firstRow="1" w:lastRow="0" w:firstColumn="1" w:lastColumn="0" w:noHBand="0" w:noVBand="1"/>
        <w:tblCaption w:val="Tabela dotycząca wymiaru 2 - formy finansowania"/>
      </w:tblPr>
      <w:tblGrid>
        <w:gridCol w:w="1870"/>
        <w:gridCol w:w="1657"/>
        <w:gridCol w:w="1898"/>
        <w:gridCol w:w="1204"/>
        <w:gridCol w:w="2659"/>
      </w:tblGrid>
      <w:tr w:rsidR="005909CB" w:rsidRPr="005A4320" w14:paraId="2132AF38" w14:textId="77777777" w:rsidTr="00000498">
        <w:trPr>
          <w:tblHeader/>
        </w:trPr>
        <w:tc>
          <w:tcPr>
            <w:tcW w:w="1870" w:type="dxa"/>
          </w:tcPr>
          <w:p w14:paraId="62DA5DE8" w14:textId="5C7D97E9" w:rsidR="005909CB" w:rsidRPr="00000498" w:rsidRDefault="00871A6C" w:rsidP="00DE180F">
            <w:pPr>
              <w:spacing w:line="240" w:lineRule="auto"/>
              <w:jc w:val="both"/>
              <w:rPr>
                <w:rFonts w:asciiTheme="minorHAnsi" w:eastAsia="Times New Roman" w:hAnsiTheme="minorHAnsi" w:cstheme="minorHAnsi"/>
                <w:b/>
                <w:iCs/>
                <w:szCs w:val="24"/>
                <w:lang w:val="pl-PL" w:eastAsia="en-GB"/>
              </w:rPr>
            </w:pPr>
            <w:r w:rsidRPr="00000498">
              <w:rPr>
                <w:rFonts w:asciiTheme="minorHAnsi" w:eastAsia="Times New Roman" w:hAnsiTheme="minorHAnsi" w:cstheme="minorHAnsi"/>
                <w:b/>
                <w:iCs/>
                <w:szCs w:val="24"/>
                <w:lang w:val="pl-PL" w:eastAsia="en-GB"/>
              </w:rPr>
              <w:t>Nr priorytetu</w:t>
            </w:r>
          </w:p>
        </w:tc>
        <w:tc>
          <w:tcPr>
            <w:tcW w:w="1657" w:type="dxa"/>
          </w:tcPr>
          <w:p w14:paraId="6E516DDC" w14:textId="0AF13241" w:rsidR="005909CB" w:rsidRPr="00000498" w:rsidRDefault="00871A6C" w:rsidP="00DE180F">
            <w:pPr>
              <w:spacing w:line="240" w:lineRule="auto"/>
              <w:jc w:val="both"/>
              <w:rPr>
                <w:rFonts w:asciiTheme="minorHAnsi" w:eastAsia="Times New Roman" w:hAnsiTheme="minorHAnsi" w:cstheme="minorHAnsi"/>
                <w:b/>
                <w:iCs/>
                <w:szCs w:val="24"/>
                <w:lang w:val="pl-PL" w:eastAsia="en-GB"/>
              </w:rPr>
            </w:pPr>
            <w:r w:rsidRPr="00000498">
              <w:rPr>
                <w:rFonts w:asciiTheme="minorHAnsi" w:eastAsia="Times New Roman" w:hAnsiTheme="minorHAnsi" w:cstheme="minorHAnsi"/>
                <w:b/>
                <w:iCs/>
                <w:szCs w:val="24"/>
                <w:lang w:val="pl-PL" w:eastAsia="en-GB"/>
              </w:rPr>
              <w:t>Fundusz</w:t>
            </w:r>
          </w:p>
        </w:tc>
        <w:tc>
          <w:tcPr>
            <w:tcW w:w="1898" w:type="dxa"/>
          </w:tcPr>
          <w:p w14:paraId="44F0964B" w14:textId="6EA07A8D" w:rsidR="005909CB" w:rsidRPr="00000498" w:rsidRDefault="00871A6C" w:rsidP="00DE180F">
            <w:pPr>
              <w:spacing w:line="240" w:lineRule="auto"/>
              <w:jc w:val="both"/>
              <w:rPr>
                <w:rFonts w:asciiTheme="minorHAnsi" w:eastAsia="Times New Roman" w:hAnsiTheme="minorHAnsi" w:cstheme="minorHAnsi"/>
                <w:b/>
                <w:iCs/>
                <w:szCs w:val="24"/>
                <w:lang w:val="pl-PL" w:eastAsia="en-GB"/>
              </w:rPr>
            </w:pPr>
            <w:r w:rsidRPr="00000498">
              <w:rPr>
                <w:rFonts w:asciiTheme="minorHAnsi" w:eastAsia="Times New Roman" w:hAnsiTheme="minorHAnsi" w:cstheme="minorHAnsi"/>
                <w:b/>
                <w:iCs/>
                <w:szCs w:val="24"/>
                <w:lang w:val="pl-PL" w:eastAsia="en-GB"/>
              </w:rPr>
              <w:t>Cel szczegółowy</w:t>
            </w:r>
          </w:p>
        </w:tc>
        <w:tc>
          <w:tcPr>
            <w:tcW w:w="1204" w:type="dxa"/>
          </w:tcPr>
          <w:p w14:paraId="5CC2A15F" w14:textId="24F47E80" w:rsidR="005909CB" w:rsidRPr="00000498" w:rsidRDefault="00871A6C" w:rsidP="00DE180F">
            <w:pPr>
              <w:spacing w:line="240" w:lineRule="auto"/>
              <w:jc w:val="both"/>
              <w:rPr>
                <w:rFonts w:asciiTheme="minorHAnsi" w:eastAsia="Times New Roman" w:hAnsiTheme="minorHAnsi" w:cstheme="minorHAnsi"/>
                <w:b/>
                <w:iCs/>
                <w:szCs w:val="24"/>
                <w:lang w:val="pl-PL" w:eastAsia="en-GB"/>
              </w:rPr>
            </w:pPr>
            <w:r w:rsidRPr="00000498">
              <w:rPr>
                <w:rFonts w:asciiTheme="minorHAnsi" w:eastAsia="Times New Roman" w:hAnsiTheme="minorHAnsi" w:cstheme="minorHAnsi"/>
                <w:b/>
                <w:iCs/>
                <w:szCs w:val="24"/>
                <w:lang w:val="pl-PL" w:eastAsia="en-GB"/>
              </w:rPr>
              <w:t>Kod</w:t>
            </w:r>
            <w:r w:rsidR="005909CB" w:rsidRPr="00000498">
              <w:rPr>
                <w:rFonts w:asciiTheme="minorHAnsi" w:eastAsia="Times New Roman" w:hAnsiTheme="minorHAnsi" w:cstheme="minorHAnsi"/>
                <w:b/>
                <w:iCs/>
                <w:szCs w:val="24"/>
                <w:lang w:val="pl-PL" w:eastAsia="en-GB"/>
              </w:rPr>
              <w:t xml:space="preserve"> </w:t>
            </w:r>
          </w:p>
        </w:tc>
        <w:tc>
          <w:tcPr>
            <w:tcW w:w="2659" w:type="dxa"/>
          </w:tcPr>
          <w:p w14:paraId="31B5A975" w14:textId="3DB578F6" w:rsidR="005909CB" w:rsidRPr="00000498" w:rsidRDefault="00871A6C" w:rsidP="00DE180F">
            <w:pPr>
              <w:spacing w:line="240" w:lineRule="auto"/>
              <w:jc w:val="both"/>
              <w:rPr>
                <w:rFonts w:asciiTheme="minorHAnsi" w:eastAsia="Times New Roman" w:hAnsiTheme="minorHAnsi" w:cstheme="minorHAnsi"/>
                <w:b/>
                <w:iCs/>
                <w:szCs w:val="24"/>
                <w:lang w:val="pl-PL" w:eastAsia="en-GB"/>
              </w:rPr>
            </w:pPr>
            <w:r w:rsidRPr="00000498">
              <w:rPr>
                <w:rFonts w:asciiTheme="minorHAnsi" w:eastAsia="Times New Roman" w:hAnsiTheme="minorHAnsi" w:cstheme="minorHAnsi"/>
                <w:b/>
                <w:iCs/>
                <w:szCs w:val="24"/>
                <w:lang w:val="pl-PL" w:eastAsia="en-GB"/>
              </w:rPr>
              <w:t>Kwota</w:t>
            </w:r>
            <w:r w:rsidR="005909CB" w:rsidRPr="00000498">
              <w:rPr>
                <w:rFonts w:asciiTheme="minorHAnsi" w:eastAsia="Times New Roman" w:hAnsiTheme="minorHAnsi" w:cstheme="minorHAnsi"/>
                <w:b/>
                <w:iCs/>
                <w:szCs w:val="24"/>
                <w:lang w:val="pl-PL" w:eastAsia="en-GB"/>
              </w:rPr>
              <w:t xml:space="preserve"> (EUR)</w:t>
            </w:r>
          </w:p>
        </w:tc>
      </w:tr>
      <w:tr w:rsidR="005909CB" w:rsidRPr="005A4320" w14:paraId="0C612DFA" w14:textId="77777777" w:rsidTr="00DE180F">
        <w:tc>
          <w:tcPr>
            <w:tcW w:w="1870" w:type="dxa"/>
          </w:tcPr>
          <w:p w14:paraId="3078B649" w14:textId="77777777" w:rsidR="005909CB" w:rsidRPr="00000498" w:rsidRDefault="005909CB" w:rsidP="00DE180F">
            <w:pPr>
              <w:spacing w:line="240" w:lineRule="auto"/>
              <w:jc w:val="both"/>
              <w:rPr>
                <w:rFonts w:asciiTheme="minorHAnsi" w:eastAsia="Times New Roman" w:hAnsiTheme="minorHAnsi" w:cstheme="minorHAnsi"/>
                <w:b/>
                <w:iCs/>
                <w:szCs w:val="24"/>
                <w:lang w:val="pl-PL" w:eastAsia="en-GB"/>
              </w:rPr>
            </w:pPr>
          </w:p>
        </w:tc>
        <w:tc>
          <w:tcPr>
            <w:tcW w:w="1657" w:type="dxa"/>
          </w:tcPr>
          <w:p w14:paraId="21F5D82D" w14:textId="77777777" w:rsidR="005909CB" w:rsidRPr="00000498" w:rsidRDefault="005909CB" w:rsidP="00DE180F">
            <w:pPr>
              <w:spacing w:line="240" w:lineRule="auto"/>
              <w:jc w:val="both"/>
              <w:rPr>
                <w:rFonts w:asciiTheme="minorHAnsi" w:eastAsia="Times New Roman" w:hAnsiTheme="minorHAnsi" w:cstheme="minorHAnsi"/>
                <w:b/>
                <w:iCs/>
                <w:szCs w:val="24"/>
                <w:lang w:val="pl-PL" w:eastAsia="en-GB"/>
              </w:rPr>
            </w:pPr>
          </w:p>
        </w:tc>
        <w:tc>
          <w:tcPr>
            <w:tcW w:w="1898" w:type="dxa"/>
          </w:tcPr>
          <w:p w14:paraId="6F72FF07" w14:textId="77777777" w:rsidR="005909CB" w:rsidRPr="00000498" w:rsidRDefault="005909CB" w:rsidP="00DE180F">
            <w:pPr>
              <w:spacing w:line="240" w:lineRule="auto"/>
              <w:jc w:val="both"/>
              <w:rPr>
                <w:rFonts w:asciiTheme="minorHAnsi" w:eastAsia="Times New Roman" w:hAnsiTheme="minorHAnsi" w:cstheme="minorHAnsi"/>
                <w:b/>
                <w:iCs/>
                <w:szCs w:val="24"/>
                <w:lang w:val="pl-PL" w:eastAsia="en-GB"/>
              </w:rPr>
            </w:pPr>
          </w:p>
        </w:tc>
        <w:tc>
          <w:tcPr>
            <w:tcW w:w="1204" w:type="dxa"/>
          </w:tcPr>
          <w:p w14:paraId="29AE90BA" w14:textId="77777777" w:rsidR="005909CB" w:rsidRPr="00000498" w:rsidRDefault="005909CB" w:rsidP="00DE180F">
            <w:pPr>
              <w:spacing w:line="240" w:lineRule="auto"/>
              <w:jc w:val="both"/>
              <w:rPr>
                <w:rFonts w:asciiTheme="minorHAnsi" w:eastAsia="Times New Roman" w:hAnsiTheme="minorHAnsi" w:cstheme="minorHAnsi"/>
                <w:b/>
                <w:iCs/>
                <w:szCs w:val="24"/>
                <w:lang w:val="pl-PL" w:eastAsia="en-GB"/>
              </w:rPr>
            </w:pPr>
          </w:p>
        </w:tc>
        <w:tc>
          <w:tcPr>
            <w:tcW w:w="2659" w:type="dxa"/>
          </w:tcPr>
          <w:p w14:paraId="28F2F9AD" w14:textId="77777777" w:rsidR="005909CB" w:rsidRPr="00000498" w:rsidRDefault="005909CB" w:rsidP="00DE180F">
            <w:pPr>
              <w:spacing w:line="240" w:lineRule="auto"/>
              <w:jc w:val="both"/>
              <w:rPr>
                <w:rFonts w:asciiTheme="minorHAnsi" w:eastAsia="Times New Roman" w:hAnsiTheme="minorHAnsi" w:cstheme="minorHAnsi"/>
                <w:b/>
                <w:iCs/>
                <w:szCs w:val="24"/>
                <w:lang w:val="pl-PL" w:eastAsia="en-GB"/>
              </w:rPr>
            </w:pPr>
          </w:p>
        </w:tc>
      </w:tr>
    </w:tbl>
    <w:p w14:paraId="072D9848" w14:textId="77777777" w:rsidR="005909CB" w:rsidRPr="00F879CC" w:rsidRDefault="005909CB" w:rsidP="005909CB">
      <w:pPr>
        <w:spacing w:after="200" w:line="276" w:lineRule="auto"/>
        <w:jc w:val="center"/>
        <w:rPr>
          <w:rFonts w:asciiTheme="minorHAnsi" w:eastAsia="Times New Roman" w:hAnsiTheme="minorHAnsi" w:cstheme="minorHAnsi"/>
          <w:iCs/>
          <w:szCs w:val="24"/>
          <w:lang w:val="en-IE" w:eastAsia="en-GB"/>
        </w:rPr>
      </w:pPr>
    </w:p>
    <w:p w14:paraId="624DBE04" w14:textId="2B12F54A" w:rsidR="00F54FDB" w:rsidRPr="00F879CC" w:rsidRDefault="00871A6C" w:rsidP="00000498">
      <w:pPr>
        <w:spacing w:line="276" w:lineRule="auto"/>
        <w:rPr>
          <w:rFonts w:asciiTheme="minorHAnsi" w:eastAsia="Times New Roman" w:hAnsiTheme="minorHAnsi" w:cstheme="minorHAnsi"/>
          <w:iCs/>
          <w:szCs w:val="24"/>
          <w:lang w:val="pl-PL" w:eastAsia="en-GB"/>
        </w:rPr>
      </w:pPr>
      <w:r w:rsidRPr="00F879CC">
        <w:rPr>
          <w:rFonts w:asciiTheme="minorHAnsi" w:eastAsia="Times New Roman" w:hAnsiTheme="minorHAnsi" w:cstheme="minorHAnsi"/>
          <w:iCs/>
          <w:szCs w:val="24"/>
          <w:lang w:val="pl-PL" w:eastAsia="en-GB"/>
        </w:rPr>
        <w:t>Tabela</w:t>
      </w:r>
      <w:r w:rsidR="005909CB" w:rsidRPr="00F879CC">
        <w:rPr>
          <w:rFonts w:asciiTheme="minorHAnsi" w:eastAsia="Times New Roman" w:hAnsiTheme="minorHAnsi" w:cstheme="minorHAnsi"/>
          <w:iCs/>
          <w:szCs w:val="24"/>
          <w:lang w:val="pl-PL" w:eastAsia="en-GB"/>
        </w:rPr>
        <w:t xml:space="preserve"> 6: </w:t>
      </w:r>
      <w:r w:rsidRPr="00F879CC">
        <w:rPr>
          <w:rFonts w:asciiTheme="minorHAnsi" w:eastAsia="Times New Roman" w:hAnsiTheme="minorHAnsi" w:cstheme="minorHAnsi"/>
          <w:iCs/>
          <w:szCs w:val="24"/>
          <w:lang w:val="pl-PL" w:eastAsia="en-GB"/>
        </w:rPr>
        <w:t>Wymiar</w:t>
      </w:r>
      <w:r w:rsidR="005909CB" w:rsidRPr="00F879CC">
        <w:rPr>
          <w:rFonts w:asciiTheme="minorHAnsi" w:eastAsia="Times New Roman" w:hAnsiTheme="minorHAnsi" w:cstheme="minorHAnsi"/>
          <w:iCs/>
          <w:szCs w:val="24"/>
          <w:lang w:val="pl-PL" w:eastAsia="en-GB"/>
        </w:rPr>
        <w:t xml:space="preserve"> 3 – </w:t>
      </w:r>
      <w:r w:rsidRPr="00F879CC">
        <w:rPr>
          <w:rFonts w:asciiTheme="minorHAnsi" w:eastAsia="Times New Roman" w:hAnsiTheme="minorHAnsi" w:cstheme="minorHAnsi"/>
          <w:iCs/>
          <w:szCs w:val="24"/>
          <w:lang w:val="pl-PL" w:eastAsia="en-GB"/>
        </w:rPr>
        <w:t xml:space="preserve">terytorialny mechanizm realizacji i skupienie </w:t>
      </w:r>
      <w:r w:rsidR="0096482A" w:rsidRPr="00F879CC">
        <w:rPr>
          <w:rFonts w:asciiTheme="minorHAnsi" w:eastAsia="Times New Roman" w:hAnsiTheme="minorHAnsi" w:cstheme="minorHAnsi"/>
          <w:iCs/>
          <w:szCs w:val="24"/>
          <w:lang w:val="pl-PL" w:eastAsia="en-GB"/>
        </w:rPr>
        <w:t xml:space="preserve">uwagi </w:t>
      </w:r>
      <w:r w:rsidRPr="00F879CC">
        <w:rPr>
          <w:rFonts w:asciiTheme="minorHAnsi" w:eastAsia="Times New Roman" w:hAnsiTheme="minorHAnsi" w:cstheme="minorHAnsi"/>
          <w:iCs/>
          <w:szCs w:val="24"/>
          <w:lang w:val="pl-PL" w:eastAsia="en-GB"/>
        </w:rPr>
        <w:t>na terytorium</w:t>
      </w:r>
      <w:r w:rsidR="00F54FDB" w:rsidRPr="00F879CC">
        <w:rPr>
          <w:rFonts w:asciiTheme="minorHAnsi" w:eastAsia="Times New Roman" w:hAnsiTheme="minorHAnsi" w:cstheme="minorHAnsi"/>
          <w:iCs/>
          <w:szCs w:val="24"/>
          <w:lang w:val="pl-PL" w:eastAsia="en-GB"/>
        </w:rPr>
        <w:t xml:space="preserve"> </w:t>
      </w:r>
    </w:p>
    <w:p w14:paraId="7B37A811" w14:textId="19892827" w:rsidR="005909CB" w:rsidRPr="00F879CC" w:rsidRDefault="00F54FDB" w:rsidP="00000498">
      <w:pPr>
        <w:spacing w:after="200" w:line="276" w:lineRule="auto"/>
        <w:rPr>
          <w:rFonts w:asciiTheme="minorHAnsi" w:eastAsia="Times New Roman" w:hAnsiTheme="minorHAnsi" w:cstheme="minorHAnsi"/>
          <w:i/>
          <w:szCs w:val="24"/>
          <w:lang w:val="pl-PL" w:eastAsia="en-GB"/>
        </w:rPr>
      </w:pPr>
      <w:r w:rsidRPr="00F879CC">
        <w:rPr>
          <w:rFonts w:asciiTheme="minorHAnsi" w:eastAsia="Times New Roman" w:hAnsiTheme="minorHAnsi" w:cstheme="minorHAnsi"/>
          <w:szCs w:val="24"/>
          <w:lang w:val="pl-PL" w:eastAsia="en-GB"/>
        </w:rPr>
        <w:t>(</w:t>
      </w:r>
      <w:r w:rsidR="00871A6C" w:rsidRPr="00F879CC">
        <w:rPr>
          <w:rFonts w:asciiTheme="minorHAnsi" w:hAnsiTheme="minorHAnsi" w:cstheme="minorHAnsi"/>
          <w:lang w:val="pl-PL"/>
        </w:rPr>
        <w:t>do wypełnienia/uwzględnienia w kolejnych krokach</w:t>
      </w:r>
      <w:r w:rsidRPr="00F879CC">
        <w:rPr>
          <w:rFonts w:asciiTheme="minorHAnsi" w:eastAsia="Times New Roman" w:hAnsiTheme="minorHAnsi" w:cstheme="minorHAnsi"/>
          <w:szCs w:val="24"/>
          <w:lang w:val="pl-PL" w:eastAsia="en-GB"/>
        </w:rPr>
        <w:t>)</w:t>
      </w:r>
    </w:p>
    <w:tbl>
      <w:tblPr>
        <w:tblStyle w:val="TableGrid1"/>
        <w:tblW w:w="0" w:type="auto"/>
        <w:tblLook w:val="04A0" w:firstRow="1" w:lastRow="0" w:firstColumn="1" w:lastColumn="0" w:noHBand="0" w:noVBand="1"/>
        <w:tblCaption w:val="Tabela dotycząca wymiaru 3 - terytorialnego mechanizmu realizacji i skupienia uwagi na terytorium"/>
      </w:tblPr>
      <w:tblGrid>
        <w:gridCol w:w="1870"/>
        <w:gridCol w:w="1657"/>
        <w:gridCol w:w="1898"/>
        <w:gridCol w:w="1204"/>
        <w:gridCol w:w="2659"/>
      </w:tblGrid>
      <w:tr w:rsidR="005909CB" w:rsidRPr="005A4320" w14:paraId="6DF6607A" w14:textId="77777777" w:rsidTr="00000498">
        <w:trPr>
          <w:tblHeader/>
        </w:trPr>
        <w:tc>
          <w:tcPr>
            <w:tcW w:w="1870" w:type="dxa"/>
          </w:tcPr>
          <w:p w14:paraId="213790EF" w14:textId="147CB4A4" w:rsidR="005909CB" w:rsidRPr="00000498" w:rsidRDefault="00871A6C" w:rsidP="00DE180F">
            <w:pPr>
              <w:spacing w:line="240" w:lineRule="auto"/>
              <w:jc w:val="both"/>
              <w:rPr>
                <w:rFonts w:asciiTheme="minorHAnsi" w:eastAsia="Times New Roman" w:hAnsiTheme="minorHAnsi" w:cstheme="minorHAnsi"/>
                <w:b/>
                <w:iCs/>
                <w:szCs w:val="24"/>
                <w:lang w:val="pl-PL" w:eastAsia="en-GB"/>
              </w:rPr>
            </w:pPr>
            <w:r w:rsidRPr="00000498">
              <w:rPr>
                <w:rFonts w:asciiTheme="minorHAnsi" w:eastAsia="Times New Roman" w:hAnsiTheme="minorHAnsi" w:cstheme="minorHAnsi"/>
                <w:b/>
                <w:iCs/>
                <w:szCs w:val="24"/>
                <w:lang w:val="pl-PL" w:eastAsia="en-GB"/>
              </w:rPr>
              <w:t>Nr priorytetu</w:t>
            </w:r>
          </w:p>
        </w:tc>
        <w:tc>
          <w:tcPr>
            <w:tcW w:w="1657" w:type="dxa"/>
          </w:tcPr>
          <w:p w14:paraId="6BBFE4EF" w14:textId="418C0D65" w:rsidR="005909CB" w:rsidRPr="00000498" w:rsidRDefault="00871A6C" w:rsidP="00DE180F">
            <w:pPr>
              <w:spacing w:line="240" w:lineRule="auto"/>
              <w:jc w:val="both"/>
              <w:rPr>
                <w:rFonts w:asciiTheme="minorHAnsi" w:eastAsia="Times New Roman" w:hAnsiTheme="minorHAnsi" w:cstheme="minorHAnsi"/>
                <w:b/>
                <w:iCs/>
                <w:szCs w:val="24"/>
                <w:lang w:val="pl-PL" w:eastAsia="en-GB"/>
              </w:rPr>
            </w:pPr>
            <w:r w:rsidRPr="00000498">
              <w:rPr>
                <w:rFonts w:asciiTheme="minorHAnsi" w:eastAsia="Times New Roman" w:hAnsiTheme="minorHAnsi" w:cstheme="minorHAnsi"/>
                <w:b/>
                <w:iCs/>
                <w:szCs w:val="24"/>
                <w:lang w:val="pl-PL" w:eastAsia="en-GB"/>
              </w:rPr>
              <w:t>Fundusz</w:t>
            </w:r>
          </w:p>
        </w:tc>
        <w:tc>
          <w:tcPr>
            <w:tcW w:w="1898" w:type="dxa"/>
          </w:tcPr>
          <w:p w14:paraId="3BBE82EF" w14:textId="58CA80C8" w:rsidR="005909CB" w:rsidRPr="00000498" w:rsidRDefault="00871A6C" w:rsidP="00DE180F">
            <w:pPr>
              <w:spacing w:line="240" w:lineRule="auto"/>
              <w:jc w:val="both"/>
              <w:rPr>
                <w:rFonts w:asciiTheme="minorHAnsi" w:eastAsia="Times New Roman" w:hAnsiTheme="minorHAnsi" w:cstheme="minorHAnsi"/>
                <w:b/>
                <w:iCs/>
                <w:szCs w:val="24"/>
                <w:lang w:val="pl-PL" w:eastAsia="en-GB"/>
              </w:rPr>
            </w:pPr>
            <w:r w:rsidRPr="00000498">
              <w:rPr>
                <w:rFonts w:asciiTheme="minorHAnsi" w:eastAsia="Times New Roman" w:hAnsiTheme="minorHAnsi" w:cstheme="minorHAnsi"/>
                <w:b/>
                <w:iCs/>
                <w:szCs w:val="24"/>
                <w:lang w:val="pl-PL" w:eastAsia="en-GB"/>
              </w:rPr>
              <w:t>Cel szczegółowy</w:t>
            </w:r>
          </w:p>
        </w:tc>
        <w:tc>
          <w:tcPr>
            <w:tcW w:w="1204" w:type="dxa"/>
          </w:tcPr>
          <w:p w14:paraId="16B1EA10" w14:textId="3A9F772C" w:rsidR="005909CB" w:rsidRPr="00000498" w:rsidRDefault="00871A6C" w:rsidP="00DE180F">
            <w:pPr>
              <w:spacing w:line="240" w:lineRule="auto"/>
              <w:jc w:val="both"/>
              <w:rPr>
                <w:rFonts w:asciiTheme="minorHAnsi" w:eastAsia="Times New Roman" w:hAnsiTheme="minorHAnsi" w:cstheme="minorHAnsi"/>
                <w:b/>
                <w:iCs/>
                <w:szCs w:val="24"/>
                <w:lang w:val="pl-PL" w:eastAsia="en-GB"/>
              </w:rPr>
            </w:pPr>
            <w:r w:rsidRPr="00000498">
              <w:rPr>
                <w:rFonts w:asciiTheme="minorHAnsi" w:eastAsia="Times New Roman" w:hAnsiTheme="minorHAnsi" w:cstheme="minorHAnsi"/>
                <w:b/>
                <w:iCs/>
                <w:szCs w:val="24"/>
                <w:lang w:val="pl-PL" w:eastAsia="en-GB"/>
              </w:rPr>
              <w:t>Kod</w:t>
            </w:r>
            <w:r w:rsidR="005909CB" w:rsidRPr="00000498">
              <w:rPr>
                <w:rFonts w:asciiTheme="minorHAnsi" w:eastAsia="Times New Roman" w:hAnsiTheme="minorHAnsi" w:cstheme="minorHAnsi"/>
                <w:b/>
                <w:iCs/>
                <w:szCs w:val="24"/>
                <w:lang w:val="pl-PL" w:eastAsia="en-GB"/>
              </w:rPr>
              <w:t xml:space="preserve"> </w:t>
            </w:r>
          </w:p>
        </w:tc>
        <w:tc>
          <w:tcPr>
            <w:tcW w:w="2659" w:type="dxa"/>
          </w:tcPr>
          <w:p w14:paraId="426D161E" w14:textId="506A6C8F" w:rsidR="005909CB" w:rsidRPr="00000498" w:rsidRDefault="00871A6C" w:rsidP="00DE180F">
            <w:pPr>
              <w:spacing w:line="240" w:lineRule="auto"/>
              <w:jc w:val="both"/>
              <w:rPr>
                <w:rFonts w:asciiTheme="minorHAnsi" w:eastAsia="Times New Roman" w:hAnsiTheme="minorHAnsi" w:cstheme="minorHAnsi"/>
                <w:b/>
                <w:iCs/>
                <w:szCs w:val="24"/>
                <w:lang w:val="pl-PL" w:eastAsia="en-GB"/>
              </w:rPr>
            </w:pPr>
            <w:r w:rsidRPr="00000498">
              <w:rPr>
                <w:rFonts w:asciiTheme="minorHAnsi" w:eastAsia="Times New Roman" w:hAnsiTheme="minorHAnsi" w:cstheme="minorHAnsi"/>
                <w:b/>
                <w:iCs/>
                <w:szCs w:val="24"/>
                <w:lang w:val="pl-PL" w:eastAsia="en-GB"/>
              </w:rPr>
              <w:t>Kwota</w:t>
            </w:r>
            <w:r w:rsidR="005909CB" w:rsidRPr="00000498">
              <w:rPr>
                <w:rFonts w:asciiTheme="minorHAnsi" w:eastAsia="Times New Roman" w:hAnsiTheme="minorHAnsi" w:cstheme="minorHAnsi"/>
                <w:b/>
                <w:iCs/>
                <w:szCs w:val="24"/>
                <w:lang w:val="pl-PL" w:eastAsia="en-GB"/>
              </w:rPr>
              <w:t xml:space="preserve"> (EUR)</w:t>
            </w:r>
          </w:p>
        </w:tc>
      </w:tr>
      <w:tr w:rsidR="005909CB" w:rsidRPr="005A4320" w14:paraId="18A55870" w14:textId="77777777" w:rsidTr="00DE180F">
        <w:tc>
          <w:tcPr>
            <w:tcW w:w="1870" w:type="dxa"/>
          </w:tcPr>
          <w:p w14:paraId="1FE01186" w14:textId="77777777" w:rsidR="005909CB" w:rsidRPr="00000498" w:rsidRDefault="005909CB" w:rsidP="00DE180F">
            <w:pPr>
              <w:spacing w:line="240" w:lineRule="auto"/>
              <w:jc w:val="both"/>
              <w:rPr>
                <w:rFonts w:asciiTheme="minorHAnsi" w:eastAsia="Times New Roman" w:hAnsiTheme="minorHAnsi" w:cstheme="minorHAnsi"/>
                <w:b/>
                <w:iCs/>
                <w:szCs w:val="24"/>
                <w:lang w:val="pl-PL" w:eastAsia="en-GB"/>
              </w:rPr>
            </w:pPr>
          </w:p>
        </w:tc>
        <w:tc>
          <w:tcPr>
            <w:tcW w:w="1657" w:type="dxa"/>
          </w:tcPr>
          <w:p w14:paraId="720CF60D" w14:textId="77777777" w:rsidR="005909CB" w:rsidRPr="00000498" w:rsidRDefault="005909CB" w:rsidP="00DE180F">
            <w:pPr>
              <w:spacing w:line="240" w:lineRule="auto"/>
              <w:jc w:val="both"/>
              <w:rPr>
                <w:rFonts w:asciiTheme="minorHAnsi" w:eastAsia="Times New Roman" w:hAnsiTheme="minorHAnsi" w:cstheme="minorHAnsi"/>
                <w:b/>
                <w:iCs/>
                <w:szCs w:val="24"/>
                <w:lang w:val="pl-PL" w:eastAsia="en-GB"/>
              </w:rPr>
            </w:pPr>
          </w:p>
        </w:tc>
        <w:tc>
          <w:tcPr>
            <w:tcW w:w="1898" w:type="dxa"/>
          </w:tcPr>
          <w:p w14:paraId="76484FA6" w14:textId="77777777" w:rsidR="005909CB" w:rsidRPr="00000498" w:rsidRDefault="005909CB" w:rsidP="00DE180F">
            <w:pPr>
              <w:spacing w:line="240" w:lineRule="auto"/>
              <w:jc w:val="both"/>
              <w:rPr>
                <w:rFonts w:asciiTheme="minorHAnsi" w:eastAsia="Times New Roman" w:hAnsiTheme="minorHAnsi" w:cstheme="minorHAnsi"/>
                <w:b/>
                <w:iCs/>
                <w:szCs w:val="24"/>
                <w:lang w:val="pl-PL" w:eastAsia="en-GB"/>
              </w:rPr>
            </w:pPr>
          </w:p>
        </w:tc>
        <w:tc>
          <w:tcPr>
            <w:tcW w:w="1204" w:type="dxa"/>
          </w:tcPr>
          <w:p w14:paraId="4F24881E" w14:textId="77777777" w:rsidR="005909CB" w:rsidRPr="00000498" w:rsidRDefault="005909CB" w:rsidP="00DE180F">
            <w:pPr>
              <w:spacing w:line="240" w:lineRule="auto"/>
              <w:jc w:val="both"/>
              <w:rPr>
                <w:rFonts w:asciiTheme="minorHAnsi" w:eastAsia="Times New Roman" w:hAnsiTheme="minorHAnsi" w:cstheme="minorHAnsi"/>
                <w:b/>
                <w:iCs/>
                <w:szCs w:val="24"/>
                <w:lang w:val="pl-PL" w:eastAsia="en-GB"/>
              </w:rPr>
            </w:pPr>
          </w:p>
        </w:tc>
        <w:tc>
          <w:tcPr>
            <w:tcW w:w="2659" w:type="dxa"/>
          </w:tcPr>
          <w:p w14:paraId="4786C7A1" w14:textId="77777777" w:rsidR="005909CB" w:rsidRPr="00000498" w:rsidRDefault="005909CB" w:rsidP="00DE180F">
            <w:pPr>
              <w:spacing w:line="240" w:lineRule="auto"/>
              <w:jc w:val="both"/>
              <w:rPr>
                <w:rFonts w:asciiTheme="minorHAnsi" w:eastAsia="Times New Roman" w:hAnsiTheme="minorHAnsi" w:cstheme="minorHAnsi"/>
                <w:b/>
                <w:iCs/>
                <w:szCs w:val="24"/>
                <w:lang w:val="pl-PL" w:eastAsia="en-GB"/>
              </w:rPr>
            </w:pPr>
          </w:p>
        </w:tc>
      </w:tr>
    </w:tbl>
    <w:p w14:paraId="3F6DC688" w14:textId="716625DF" w:rsidR="005909CB" w:rsidRPr="00F879CC" w:rsidRDefault="005909CB" w:rsidP="0080199F">
      <w:pPr>
        <w:spacing w:before="240" w:after="240" w:line="240" w:lineRule="auto"/>
        <w:ind w:left="360"/>
        <w:jc w:val="both"/>
        <w:rPr>
          <w:rFonts w:asciiTheme="minorHAnsi" w:eastAsia="Times New Roman" w:hAnsiTheme="minorHAnsi" w:cstheme="minorHAnsi"/>
          <w:b/>
          <w:iCs/>
          <w:szCs w:val="24"/>
          <w:lang w:val="en-IE" w:eastAsia="en-GB"/>
        </w:rPr>
      </w:pPr>
    </w:p>
    <w:p w14:paraId="51AA692F" w14:textId="0A9A9C4B" w:rsidR="00DC072F" w:rsidRPr="005A4320" w:rsidRDefault="00DC072F" w:rsidP="00000498">
      <w:pPr>
        <w:spacing w:before="240" w:after="240" w:line="276" w:lineRule="auto"/>
        <w:ind w:left="709" w:hanging="709"/>
        <w:rPr>
          <w:rFonts w:asciiTheme="minorHAnsi" w:eastAsia="Times New Roman" w:hAnsiTheme="minorHAnsi" w:cstheme="minorHAnsi"/>
          <w:iCs/>
          <w:szCs w:val="24"/>
          <w:lang w:val="pl-PL" w:eastAsia="en-GB"/>
        </w:rPr>
      </w:pPr>
      <w:r w:rsidRPr="005A4320">
        <w:rPr>
          <w:rFonts w:asciiTheme="minorHAnsi" w:eastAsia="Times New Roman" w:hAnsiTheme="minorHAnsi" w:cstheme="minorHAnsi"/>
          <w:b/>
          <w:iCs/>
          <w:szCs w:val="24"/>
          <w:lang w:val="pl-PL" w:eastAsia="en-GB"/>
        </w:rPr>
        <w:t>2.3.2.</w:t>
      </w:r>
      <w:r w:rsidRPr="005A4320">
        <w:rPr>
          <w:rFonts w:asciiTheme="minorHAnsi" w:eastAsia="Times New Roman" w:hAnsiTheme="minorHAnsi" w:cstheme="minorHAnsi"/>
          <w:b/>
          <w:iCs/>
          <w:szCs w:val="24"/>
          <w:lang w:val="pl-PL" w:eastAsia="en-GB"/>
        </w:rPr>
        <w:tab/>
      </w:r>
      <w:r w:rsidR="003E7F3D" w:rsidRPr="005A4320">
        <w:rPr>
          <w:rFonts w:asciiTheme="minorHAnsi" w:eastAsia="Times New Roman" w:hAnsiTheme="minorHAnsi" w:cstheme="minorHAnsi"/>
          <w:b/>
          <w:iCs/>
          <w:szCs w:val="24"/>
          <w:lang w:val="pl-PL" w:eastAsia="en-GB"/>
        </w:rPr>
        <w:t>Cel szczegółowy i) Promowanie efektywności energetycznej i redukcja emisji gazów cieplarnianych</w:t>
      </w:r>
    </w:p>
    <w:p w14:paraId="11921CE0" w14:textId="779D4544" w:rsidR="00DC072F" w:rsidRPr="00000498" w:rsidRDefault="003E7F3D" w:rsidP="00000498">
      <w:pPr>
        <w:spacing w:after="20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Dotyczy art. 17 ust. 4 lit. e)</w:t>
      </w:r>
    </w:p>
    <w:p w14:paraId="2D6A66F6" w14:textId="35223983" w:rsidR="00DC072F" w:rsidRPr="005A4320" w:rsidRDefault="00DC072F" w:rsidP="00000498">
      <w:pPr>
        <w:spacing w:before="240" w:after="240" w:line="276" w:lineRule="auto"/>
        <w:ind w:left="709" w:hanging="709"/>
        <w:rPr>
          <w:rFonts w:asciiTheme="minorHAnsi" w:eastAsia="Times New Roman" w:hAnsiTheme="minorHAnsi" w:cstheme="minorHAnsi"/>
          <w:iCs/>
          <w:szCs w:val="24"/>
          <w:lang w:val="pl-PL" w:eastAsia="en-GB"/>
        </w:rPr>
      </w:pPr>
      <w:r w:rsidRPr="005A4320">
        <w:rPr>
          <w:rFonts w:asciiTheme="minorHAnsi" w:eastAsia="Times New Roman" w:hAnsiTheme="minorHAnsi" w:cstheme="minorHAnsi"/>
          <w:b/>
          <w:iCs/>
          <w:szCs w:val="24"/>
          <w:lang w:val="pl-PL" w:eastAsia="en-GB"/>
        </w:rPr>
        <w:lastRenderedPageBreak/>
        <w:t>2.3.2.1</w:t>
      </w:r>
      <w:r w:rsidRPr="005A4320">
        <w:rPr>
          <w:rFonts w:asciiTheme="minorHAnsi" w:eastAsia="Times New Roman" w:hAnsiTheme="minorHAnsi" w:cstheme="minorHAnsi"/>
          <w:b/>
          <w:iCs/>
          <w:szCs w:val="24"/>
          <w:lang w:val="pl-PL" w:eastAsia="en-GB"/>
        </w:rPr>
        <w:tab/>
      </w:r>
      <w:r w:rsidR="003E7F3D" w:rsidRPr="005A4320">
        <w:rPr>
          <w:rFonts w:asciiTheme="minorHAnsi" w:eastAsia="Times New Roman" w:hAnsiTheme="minorHAnsi" w:cstheme="minorHAnsi"/>
          <w:b/>
          <w:iCs/>
          <w:szCs w:val="24"/>
          <w:lang w:val="pl-PL" w:eastAsia="en-GB"/>
        </w:rPr>
        <w:t>Powiązane rodzaje działań i ich oczekiwany wkład w realizację tych celów szczegółowych oraz w stosownych przypadkach w strategie makroregionalne i basenów morskich</w:t>
      </w:r>
    </w:p>
    <w:p w14:paraId="65FCBDF0" w14:textId="5EAE8062" w:rsidR="00DC072F" w:rsidRPr="00000498" w:rsidRDefault="003E7F3D" w:rsidP="00000498">
      <w:pPr>
        <w:spacing w:after="20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Dotyczy: art. 17 ust. 4 lit. e) ppkt (i), art. 17 ust. 9 lit. c) ppkt (ii)</w:t>
      </w:r>
    </w:p>
    <w:p w14:paraId="2C0F8079" w14:textId="1606269B" w:rsidR="00DC072F" w:rsidRPr="00C47406" w:rsidRDefault="003E7F3D" w:rsidP="00C47406">
      <w:pPr>
        <w:pStyle w:val="Nagwek3"/>
        <w:rPr>
          <w:rFonts w:eastAsia="Times New Roman"/>
          <w:color w:val="auto"/>
          <w:sz w:val="28"/>
          <w:lang w:val="pl-PL" w:eastAsia="en-GB"/>
        </w:rPr>
      </w:pPr>
      <w:bookmarkStart w:id="107" w:name="_Toc73432987"/>
      <w:r w:rsidRPr="00C47406">
        <w:rPr>
          <w:rFonts w:eastAsia="Times New Roman"/>
          <w:color w:val="auto"/>
          <w:sz w:val="28"/>
          <w:lang w:val="pl-PL" w:eastAsia="en-GB"/>
        </w:rPr>
        <w:t>Cel</w:t>
      </w:r>
      <w:r w:rsidR="00DC072F" w:rsidRPr="00C47406">
        <w:rPr>
          <w:rFonts w:eastAsia="Times New Roman"/>
          <w:color w:val="auto"/>
          <w:sz w:val="28"/>
          <w:lang w:val="pl-PL" w:eastAsia="en-GB"/>
        </w:rPr>
        <w:t xml:space="preserve"> </w:t>
      </w:r>
      <w:r w:rsidR="00A01360" w:rsidRPr="00C47406">
        <w:rPr>
          <w:rFonts w:eastAsia="Times New Roman"/>
          <w:color w:val="auto"/>
          <w:sz w:val="28"/>
          <w:lang w:val="pl-PL" w:eastAsia="en-GB"/>
        </w:rPr>
        <w:t>szczegółow</w:t>
      </w:r>
      <w:r w:rsidR="00305E0A">
        <w:rPr>
          <w:rFonts w:eastAsia="Times New Roman"/>
          <w:color w:val="auto"/>
          <w:sz w:val="28"/>
          <w:lang w:val="pl-PL" w:eastAsia="en-GB"/>
        </w:rPr>
        <w:t>y</w:t>
      </w:r>
      <w:r w:rsidR="00A01360" w:rsidRPr="00C47406">
        <w:rPr>
          <w:rFonts w:eastAsia="Times New Roman"/>
          <w:color w:val="auto"/>
          <w:sz w:val="28"/>
          <w:lang w:val="pl-PL" w:eastAsia="en-GB"/>
        </w:rPr>
        <w:t xml:space="preserve"> </w:t>
      </w:r>
      <w:r w:rsidR="00DC072F" w:rsidRPr="00C47406">
        <w:rPr>
          <w:rFonts w:eastAsia="Times New Roman"/>
          <w:color w:val="auto"/>
          <w:sz w:val="28"/>
          <w:lang w:val="pl-PL" w:eastAsia="en-GB"/>
        </w:rPr>
        <w:t xml:space="preserve">3.2 </w:t>
      </w:r>
      <w:r w:rsidRPr="00C47406">
        <w:rPr>
          <w:rFonts w:eastAsia="Times New Roman"/>
          <w:color w:val="auto"/>
          <w:sz w:val="28"/>
          <w:lang w:val="pl-PL" w:eastAsia="en-GB"/>
        </w:rPr>
        <w:t>Transformacja energetyczna</w:t>
      </w:r>
      <w:bookmarkEnd w:id="107"/>
    </w:p>
    <w:p w14:paraId="69C06517" w14:textId="154406BD" w:rsidR="00DC072F" w:rsidRPr="00000498" w:rsidRDefault="00871A6C" w:rsidP="00000498">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b/>
          <w:szCs w:val="24"/>
          <w:lang w:val="pl-PL" w:eastAsia="en-GB"/>
        </w:rPr>
      </w:pPr>
      <w:r w:rsidRPr="00000498">
        <w:rPr>
          <w:rFonts w:asciiTheme="minorHAnsi" w:eastAsia="Times New Roman" w:hAnsiTheme="minorHAnsi" w:cstheme="minorHAnsi"/>
          <w:b/>
          <w:szCs w:val="24"/>
          <w:lang w:val="pl-PL" w:eastAsia="en-GB"/>
        </w:rPr>
        <w:t>Wprowadzen</w:t>
      </w:r>
      <w:r w:rsidR="003E7F3D" w:rsidRPr="00000498">
        <w:rPr>
          <w:rFonts w:asciiTheme="minorHAnsi" w:eastAsia="Times New Roman" w:hAnsiTheme="minorHAnsi" w:cstheme="minorHAnsi"/>
          <w:b/>
          <w:szCs w:val="24"/>
          <w:lang w:val="pl-PL" w:eastAsia="en-GB"/>
        </w:rPr>
        <w:t>ie</w:t>
      </w:r>
      <w:r w:rsidRPr="00000498">
        <w:rPr>
          <w:rFonts w:asciiTheme="minorHAnsi" w:eastAsia="Times New Roman" w:hAnsiTheme="minorHAnsi" w:cstheme="minorHAnsi"/>
          <w:b/>
          <w:szCs w:val="24"/>
          <w:lang w:val="pl-PL" w:eastAsia="en-GB"/>
        </w:rPr>
        <w:t xml:space="preserve"> do działań</w:t>
      </w:r>
      <w:r w:rsidR="00DC072F" w:rsidRPr="00000498">
        <w:rPr>
          <w:rFonts w:asciiTheme="minorHAnsi" w:eastAsia="Times New Roman" w:hAnsiTheme="minorHAnsi" w:cstheme="minorHAnsi"/>
          <w:b/>
          <w:szCs w:val="24"/>
          <w:lang w:val="pl-PL" w:eastAsia="en-GB"/>
        </w:rPr>
        <w:t xml:space="preserve"> </w:t>
      </w:r>
    </w:p>
    <w:p w14:paraId="6302CB55" w14:textId="7A3FA597" w:rsidR="00270756" w:rsidRPr="00000498" w:rsidRDefault="00270756" w:rsidP="00000498">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 xml:space="preserve">Program wspiera działania mające na celu </w:t>
      </w:r>
      <w:r w:rsidRPr="00000498">
        <w:rPr>
          <w:rFonts w:asciiTheme="minorHAnsi" w:eastAsia="Times New Roman" w:hAnsiTheme="minorHAnsi" w:cstheme="minorHAnsi"/>
          <w:szCs w:val="24"/>
          <w:u w:val="single"/>
          <w:lang w:val="pl-PL" w:eastAsia="en-GB"/>
        </w:rPr>
        <w:t>dekarbonizację systemów energetycznych</w:t>
      </w:r>
      <w:r w:rsidRPr="00000498">
        <w:rPr>
          <w:rFonts w:asciiTheme="minorHAnsi" w:eastAsia="Times New Roman" w:hAnsiTheme="minorHAnsi" w:cstheme="minorHAnsi"/>
          <w:szCs w:val="24"/>
          <w:lang w:val="pl-PL" w:eastAsia="en-GB"/>
        </w:rPr>
        <w:t xml:space="preserve"> w regionie w celu </w:t>
      </w:r>
      <w:r w:rsidRPr="00000498">
        <w:rPr>
          <w:rFonts w:asciiTheme="minorHAnsi" w:eastAsia="Times New Roman" w:hAnsiTheme="minorHAnsi" w:cstheme="minorHAnsi"/>
          <w:szCs w:val="24"/>
          <w:u w:val="single"/>
          <w:lang w:val="pl-PL" w:eastAsia="en-GB"/>
        </w:rPr>
        <w:t>ograniczenia emisji gazów cieplarnianych</w:t>
      </w:r>
      <w:r w:rsidR="00846B5B" w:rsidRPr="00000498">
        <w:rPr>
          <w:rFonts w:asciiTheme="minorHAnsi" w:eastAsia="Times New Roman" w:hAnsiTheme="minorHAnsi" w:cstheme="minorHAnsi"/>
          <w:szCs w:val="24"/>
          <w:lang w:val="pl-PL" w:eastAsia="en-GB"/>
        </w:rPr>
        <w:t>; z</w:t>
      </w:r>
      <w:r w:rsidRPr="00000498">
        <w:rPr>
          <w:rFonts w:asciiTheme="minorHAnsi" w:eastAsia="Times New Roman" w:hAnsiTheme="minorHAnsi" w:cstheme="minorHAnsi"/>
          <w:szCs w:val="24"/>
          <w:lang w:val="pl-PL" w:eastAsia="en-GB"/>
        </w:rPr>
        <w:t xml:space="preserve">achęca do opracowywania rozwiązań </w:t>
      </w:r>
      <w:r w:rsidRPr="00000498">
        <w:rPr>
          <w:rFonts w:asciiTheme="minorHAnsi" w:eastAsia="Times New Roman" w:hAnsiTheme="minorHAnsi" w:cstheme="minorHAnsi"/>
          <w:szCs w:val="24"/>
          <w:u w:val="single"/>
          <w:lang w:val="pl-PL" w:eastAsia="en-GB"/>
        </w:rPr>
        <w:t>zwiększających efektywność energetyczną</w:t>
      </w:r>
      <w:r w:rsidRPr="00000498">
        <w:rPr>
          <w:rFonts w:asciiTheme="minorHAnsi" w:eastAsia="Times New Roman" w:hAnsiTheme="minorHAnsi" w:cstheme="minorHAnsi"/>
          <w:szCs w:val="24"/>
          <w:lang w:val="pl-PL" w:eastAsia="en-GB"/>
        </w:rPr>
        <w:t xml:space="preserve"> w przemysłowych </w:t>
      </w:r>
      <w:r w:rsidRPr="00000498">
        <w:rPr>
          <w:rFonts w:asciiTheme="minorHAnsi" w:eastAsia="Times New Roman" w:hAnsiTheme="minorHAnsi" w:cstheme="minorHAnsi"/>
          <w:szCs w:val="24"/>
          <w:u w:val="single"/>
          <w:lang w:val="pl-PL" w:eastAsia="en-GB"/>
        </w:rPr>
        <w:t>procesach produkcyjnych</w:t>
      </w:r>
      <w:r w:rsidRPr="00000498">
        <w:rPr>
          <w:rFonts w:asciiTheme="minorHAnsi" w:eastAsia="Times New Roman" w:hAnsiTheme="minorHAnsi" w:cstheme="minorHAnsi"/>
          <w:szCs w:val="24"/>
          <w:lang w:val="pl-PL" w:eastAsia="en-GB"/>
        </w:rPr>
        <w:t xml:space="preserve"> oraz w publicznych i prywatnych </w:t>
      </w:r>
      <w:r w:rsidRPr="00000498">
        <w:rPr>
          <w:rFonts w:asciiTheme="minorHAnsi" w:eastAsia="Times New Roman" w:hAnsiTheme="minorHAnsi" w:cstheme="minorHAnsi"/>
          <w:szCs w:val="24"/>
          <w:u w:val="single"/>
          <w:lang w:val="pl-PL" w:eastAsia="en-GB"/>
        </w:rPr>
        <w:t>zasobach budynków</w:t>
      </w:r>
      <w:r w:rsidRPr="00000498">
        <w:rPr>
          <w:rFonts w:asciiTheme="minorHAnsi" w:eastAsia="Times New Roman" w:hAnsiTheme="minorHAnsi" w:cstheme="minorHAnsi"/>
          <w:szCs w:val="24"/>
          <w:lang w:val="pl-PL" w:eastAsia="en-GB"/>
        </w:rPr>
        <w:t xml:space="preserve">; </w:t>
      </w:r>
      <w:r w:rsidR="00846B5B" w:rsidRPr="00000498">
        <w:rPr>
          <w:rFonts w:asciiTheme="minorHAnsi" w:eastAsia="Times New Roman" w:hAnsiTheme="minorHAnsi" w:cstheme="minorHAnsi"/>
          <w:szCs w:val="24"/>
          <w:lang w:val="pl-PL" w:eastAsia="en-GB"/>
        </w:rPr>
        <w:t>przekonuje</w:t>
      </w:r>
      <w:r w:rsidRPr="00000498">
        <w:rPr>
          <w:rFonts w:asciiTheme="minorHAnsi" w:eastAsia="Times New Roman" w:hAnsiTheme="minorHAnsi" w:cstheme="minorHAnsi"/>
          <w:szCs w:val="24"/>
          <w:lang w:val="pl-PL" w:eastAsia="en-GB"/>
        </w:rPr>
        <w:t xml:space="preserve"> również do działań, które opracowują i testują rozwiązania w celu </w:t>
      </w:r>
      <w:r w:rsidRPr="00000498">
        <w:rPr>
          <w:rFonts w:asciiTheme="minorHAnsi" w:eastAsia="Times New Roman" w:hAnsiTheme="minorHAnsi" w:cstheme="minorHAnsi"/>
          <w:szCs w:val="24"/>
          <w:u w:val="single"/>
          <w:lang w:val="pl-PL" w:eastAsia="en-GB"/>
        </w:rPr>
        <w:t>zwiększenia produkcji energii odnawialnej</w:t>
      </w:r>
      <w:r w:rsidRPr="00000498">
        <w:rPr>
          <w:rFonts w:asciiTheme="minorHAnsi" w:eastAsia="Times New Roman" w:hAnsiTheme="minorHAnsi" w:cstheme="minorHAnsi"/>
          <w:szCs w:val="24"/>
          <w:lang w:val="pl-PL" w:eastAsia="en-GB"/>
        </w:rPr>
        <w:t xml:space="preserve"> z lokalnie dostępnych zasobów. Ponadto, działania mogą pomóc w </w:t>
      </w:r>
      <w:r w:rsidRPr="00000498">
        <w:rPr>
          <w:rFonts w:asciiTheme="minorHAnsi" w:eastAsia="Times New Roman" w:hAnsiTheme="minorHAnsi" w:cstheme="minorHAnsi"/>
          <w:szCs w:val="24"/>
          <w:u w:val="single"/>
          <w:lang w:val="pl-PL" w:eastAsia="en-GB"/>
        </w:rPr>
        <w:t>dystrybucji energii odnawialnej</w:t>
      </w:r>
      <w:r w:rsidRPr="00000498">
        <w:rPr>
          <w:rFonts w:asciiTheme="minorHAnsi" w:eastAsia="Times New Roman" w:hAnsiTheme="minorHAnsi" w:cstheme="minorHAnsi"/>
          <w:szCs w:val="24"/>
          <w:lang w:val="pl-PL" w:eastAsia="en-GB"/>
        </w:rPr>
        <w:t xml:space="preserve"> i </w:t>
      </w:r>
      <w:r w:rsidRPr="00000498">
        <w:rPr>
          <w:rFonts w:asciiTheme="minorHAnsi" w:eastAsia="Times New Roman" w:hAnsiTheme="minorHAnsi" w:cstheme="minorHAnsi"/>
          <w:szCs w:val="24"/>
          <w:u w:val="single"/>
          <w:lang w:val="pl-PL" w:eastAsia="en-GB"/>
        </w:rPr>
        <w:t>integracji</w:t>
      </w:r>
      <w:r w:rsidRPr="00000498">
        <w:rPr>
          <w:rFonts w:asciiTheme="minorHAnsi" w:eastAsia="Times New Roman" w:hAnsiTheme="minorHAnsi" w:cstheme="minorHAnsi"/>
          <w:szCs w:val="24"/>
          <w:lang w:val="pl-PL" w:eastAsia="en-GB"/>
        </w:rPr>
        <w:t xml:space="preserve"> z różnymi sektorami takimi, jak budownictwo, przemysł, </w:t>
      </w:r>
      <w:bookmarkStart w:id="108" w:name="OLE_LINK270"/>
      <w:bookmarkStart w:id="109" w:name="OLE_LINK271"/>
      <w:r w:rsidRPr="00000498">
        <w:rPr>
          <w:rFonts w:asciiTheme="minorHAnsi" w:eastAsia="Times New Roman" w:hAnsiTheme="minorHAnsi" w:cstheme="minorHAnsi"/>
          <w:szCs w:val="24"/>
          <w:lang w:val="pl-PL" w:eastAsia="en-GB"/>
        </w:rPr>
        <w:t>ciepłownictwo i chłodzenie.</w:t>
      </w:r>
    </w:p>
    <w:bookmarkEnd w:id="108"/>
    <w:bookmarkEnd w:id="109"/>
    <w:p w14:paraId="7F2EB0EB" w14:textId="14F5EDD9" w:rsidR="00A554F9" w:rsidRPr="00000498" w:rsidRDefault="00A554F9" w:rsidP="00000498">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 xml:space="preserve">Działania mogą </w:t>
      </w:r>
      <w:r w:rsidRPr="00000498">
        <w:rPr>
          <w:rFonts w:asciiTheme="minorHAnsi" w:eastAsia="Times New Roman" w:hAnsiTheme="minorHAnsi" w:cstheme="minorHAnsi"/>
          <w:szCs w:val="24"/>
          <w:u w:val="single"/>
          <w:lang w:val="pl-PL" w:eastAsia="en-GB"/>
        </w:rPr>
        <w:t>dostosowywać i aktualizować polityki</w:t>
      </w:r>
      <w:r w:rsidRPr="00000498">
        <w:rPr>
          <w:rFonts w:asciiTheme="minorHAnsi" w:eastAsia="Times New Roman" w:hAnsiTheme="minorHAnsi" w:cstheme="minorHAnsi"/>
          <w:szCs w:val="24"/>
          <w:lang w:val="pl-PL" w:eastAsia="en-GB"/>
        </w:rPr>
        <w:t xml:space="preserve"> i przepisy oraz koordynować plany i transgraniczne stosowanie rozwiązań. Działania mogą </w:t>
      </w:r>
      <w:r w:rsidRPr="00000498">
        <w:rPr>
          <w:rFonts w:asciiTheme="minorHAnsi" w:eastAsia="Times New Roman" w:hAnsiTheme="minorHAnsi" w:cstheme="minorHAnsi"/>
          <w:szCs w:val="24"/>
          <w:u w:val="single"/>
          <w:lang w:val="pl-PL" w:eastAsia="en-GB"/>
        </w:rPr>
        <w:t>zmobilizować przemysł i obywateli</w:t>
      </w:r>
      <w:r w:rsidRPr="00000498">
        <w:rPr>
          <w:rFonts w:asciiTheme="minorHAnsi" w:eastAsia="Times New Roman" w:hAnsiTheme="minorHAnsi" w:cstheme="minorHAnsi"/>
          <w:szCs w:val="24"/>
          <w:lang w:val="pl-PL" w:eastAsia="en-GB"/>
        </w:rPr>
        <w:t xml:space="preserve"> do zastosowania rozwiązań energetycznych na rzecz neutralności klimatycznej i </w:t>
      </w:r>
      <w:r w:rsidRPr="00000498">
        <w:rPr>
          <w:rFonts w:asciiTheme="minorHAnsi" w:eastAsia="Times New Roman" w:hAnsiTheme="minorHAnsi" w:cstheme="minorHAnsi"/>
          <w:szCs w:val="24"/>
          <w:u w:val="single"/>
          <w:lang w:val="pl-PL" w:eastAsia="en-GB"/>
        </w:rPr>
        <w:t>planowania szerszego zastosowania</w:t>
      </w:r>
      <w:r w:rsidRPr="00000498">
        <w:rPr>
          <w:rFonts w:asciiTheme="minorHAnsi" w:eastAsia="Times New Roman" w:hAnsiTheme="minorHAnsi" w:cstheme="minorHAnsi"/>
          <w:szCs w:val="24"/>
          <w:lang w:val="pl-PL" w:eastAsia="en-GB"/>
        </w:rPr>
        <w:t xml:space="preserve"> z innymi funduszami publicznymi lub prywatnymi</w:t>
      </w:r>
    </w:p>
    <w:p w14:paraId="79781925" w14:textId="058A6914" w:rsidR="00DC072F" w:rsidRPr="00000498" w:rsidRDefault="002827BD" w:rsidP="00000498">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b/>
          <w:szCs w:val="24"/>
          <w:lang w:val="pl-PL" w:eastAsia="en-GB"/>
        </w:rPr>
      </w:pPr>
      <w:r w:rsidRPr="00000498">
        <w:rPr>
          <w:rFonts w:asciiTheme="minorHAnsi" w:eastAsia="Times New Roman" w:hAnsiTheme="minorHAnsi" w:cstheme="minorHAnsi"/>
          <w:b/>
          <w:szCs w:val="24"/>
          <w:lang w:val="pl-PL" w:eastAsia="en-GB"/>
        </w:rPr>
        <w:t xml:space="preserve">Przykłady działań (lista </w:t>
      </w:r>
      <w:r w:rsidRPr="00F42A23">
        <w:rPr>
          <w:rFonts w:asciiTheme="minorHAnsi" w:eastAsia="Times New Roman" w:hAnsiTheme="minorHAnsi" w:cstheme="minorHAnsi"/>
          <w:b/>
          <w:szCs w:val="24"/>
          <w:lang w:val="pl-PL" w:eastAsia="en-GB"/>
        </w:rPr>
        <w:t xml:space="preserve">nie jest </w:t>
      </w:r>
      <w:r w:rsidR="00305E0A" w:rsidRPr="00F42A23">
        <w:rPr>
          <w:rFonts w:asciiTheme="minorHAnsi" w:eastAsia="Times New Roman" w:hAnsiTheme="minorHAnsi" w:cstheme="minorHAnsi"/>
          <w:b/>
          <w:szCs w:val="24"/>
          <w:lang w:val="pl-PL" w:eastAsia="en-GB"/>
        </w:rPr>
        <w:t>zamknięta</w:t>
      </w:r>
      <w:r w:rsidRPr="00F42A23">
        <w:rPr>
          <w:rFonts w:asciiTheme="minorHAnsi" w:eastAsia="Times New Roman" w:hAnsiTheme="minorHAnsi" w:cstheme="minorHAnsi"/>
          <w:b/>
          <w:szCs w:val="24"/>
          <w:lang w:val="pl-PL" w:eastAsia="en-GB"/>
        </w:rPr>
        <w:t>)</w:t>
      </w:r>
      <w:r w:rsidR="00DC072F" w:rsidRPr="00F42A23">
        <w:rPr>
          <w:rFonts w:asciiTheme="minorHAnsi" w:eastAsia="Times New Roman" w:hAnsiTheme="minorHAnsi" w:cstheme="minorHAnsi"/>
          <w:b/>
          <w:szCs w:val="24"/>
          <w:lang w:val="pl-PL" w:eastAsia="en-GB"/>
        </w:rPr>
        <w:t>:</w:t>
      </w:r>
    </w:p>
    <w:p w14:paraId="767B8096" w14:textId="2A734545" w:rsidR="00A554F9" w:rsidRPr="00000498" w:rsidRDefault="00A554F9" w:rsidP="00000498">
      <w:pPr>
        <w:pStyle w:val="Akapitzlist"/>
        <w:numPr>
          <w:ilvl w:val="0"/>
          <w:numId w:val="37"/>
        </w:numPr>
        <w:pBdr>
          <w:top w:val="single" w:sz="4" w:space="1" w:color="auto"/>
          <w:left w:val="single" w:sz="4" w:space="4" w:color="auto"/>
          <w:bottom w:val="single" w:sz="4" w:space="1" w:color="auto"/>
          <w:right w:val="single" w:sz="4" w:space="4" w:color="auto"/>
        </w:pBdr>
        <w:ind w:left="431" w:hanging="431"/>
        <w:rPr>
          <w:rFonts w:eastAsia="Times New Roman" w:cstheme="minorHAnsi"/>
          <w:sz w:val="24"/>
          <w:szCs w:val="24"/>
          <w:lang w:val="pl-PL" w:eastAsia="en-GB"/>
        </w:rPr>
      </w:pPr>
      <w:r w:rsidRPr="00000498">
        <w:rPr>
          <w:rFonts w:eastAsia="Times New Roman" w:cstheme="minorHAnsi"/>
          <w:sz w:val="24"/>
          <w:szCs w:val="24"/>
          <w:lang w:val="pl-PL" w:eastAsia="en-GB"/>
        </w:rPr>
        <w:t>ponowne przemyślenie polityki i przepisów oraz aktualizacja krajowych, regionalnych lub lokalnych planów energetycznych pod kątem neutralności klimatycznej;</w:t>
      </w:r>
    </w:p>
    <w:p w14:paraId="7B00E81C" w14:textId="5F04D3AF" w:rsidR="00A554F9" w:rsidRPr="00000498" w:rsidRDefault="00A554F9" w:rsidP="00000498">
      <w:pPr>
        <w:pStyle w:val="Akapitzlist"/>
        <w:numPr>
          <w:ilvl w:val="0"/>
          <w:numId w:val="37"/>
        </w:numPr>
        <w:pBdr>
          <w:top w:val="single" w:sz="4" w:space="1" w:color="auto"/>
          <w:left w:val="single" w:sz="4" w:space="4" w:color="auto"/>
          <w:bottom w:val="single" w:sz="4" w:space="1" w:color="auto"/>
          <w:right w:val="single" w:sz="4" w:space="4" w:color="auto"/>
        </w:pBdr>
        <w:ind w:left="431" w:hanging="431"/>
        <w:rPr>
          <w:rFonts w:eastAsia="Times New Roman" w:cstheme="minorHAnsi"/>
          <w:sz w:val="24"/>
          <w:szCs w:val="24"/>
          <w:lang w:val="pl-PL" w:eastAsia="en-GB"/>
        </w:rPr>
      </w:pPr>
      <w:r w:rsidRPr="00000498">
        <w:rPr>
          <w:rFonts w:eastAsia="Times New Roman" w:cstheme="minorHAnsi"/>
          <w:sz w:val="24"/>
          <w:szCs w:val="24"/>
          <w:lang w:val="pl-PL" w:eastAsia="en-GB"/>
        </w:rPr>
        <w:t>usunięcie barier administracyjnych</w:t>
      </w:r>
      <w:r w:rsidR="005A4320">
        <w:rPr>
          <w:rFonts w:eastAsia="Times New Roman" w:cstheme="minorHAnsi"/>
          <w:sz w:val="24"/>
          <w:szCs w:val="24"/>
          <w:lang w:val="pl-PL" w:eastAsia="en-GB"/>
        </w:rPr>
        <w:t>,</w:t>
      </w:r>
      <w:r w:rsidRPr="00000498">
        <w:rPr>
          <w:rFonts w:eastAsia="Times New Roman" w:cstheme="minorHAnsi"/>
          <w:sz w:val="24"/>
          <w:szCs w:val="24"/>
          <w:lang w:val="pl-PL" w:eastAsia="en-GB"/>
        </w:rPr>
        <w:t xml:space="preserve"> prawnych i finansowych w celu przyspieszenia fali remontów budynków publicznych i prywatnych, w tym, projektowanie innowacyjnych schematów finansowania lub łączenie środków w zakresie efektywności energetycznej z zastosowaniem energii odnawialnej;</w:t>
      </w:r>
    </w:p>
    <w:p w14:paraId="6CD5707B" w14:textId="4831EC60" w:rsidR="00A554F9" w:rsidRPr="00000498" w:rsidRDefault="00A554F9" w:rsidP="00000498">
      <w:pPr>
        <w:pStyle w:val="Akapitzlist"/>
        <w:numPr>
          <w:ilvl w:val="0"/>
          <w:numId w:val="37"/>
        </w:numPr>
        <w:pBdr>
          <w:top w:val="single" w:sz="4" w:space="1" w:color="auto"/>
          <w:left w:val="single" w:sz="4" w:space="4" w:color="auto"/>
          <w:bottom w:val="single" w:sz="4" w:space="1" w:color="auto"/>
          <w:right w:val="single" w:sz="4" w:space="4" w:color="auto"/>
        </w:pBdr>
        <w:ind w:left="431" w:hanging="431"/>
        <w:rPr>
          <w:rFonts w:eastAsia="Times New Roman" w:cstheme="minorHAnsi"/>
          <w:sz w:val="24"/>
          <w:szCs w:val="24"/>
          <w:lang w:val="pl-PL" w:eastAsia="en-GB"/>
        </w:rPr>
      </w:pPr>
      <w:r w:rsidRPr="00000498">
        <w:rPr>
          <w:rFonts w:eastAsia="Times New Roman" w:cstheme="minorHAnsi"/>
          <w:sz w:val="24"/>
          <w:szCs w:val="24"/>
          <w:lang w:val="pl-PL" w:eastAsia="en-GB"/>
        </w:rPr>
        <w:t>testowanie mechanizmów koordynacji transgranicznej w celu opracowania projektów dotyczących energii odnawialnej z uwzględnieniem potrzeb planowania przestrzennego;</w:t>
      </w:r>
    </w:p>
    <w:p w14:paraId="534917B1" w14:textId="3E45EC93" w:rsidR="00A554F9" w:rsidRPr="00000498" w:rsidRDefault="00A554F9" w:rsidP="00000498">
      <w:pPr>
        <w:pStyle w:val="Akapitzlist"/>
        <w:numPr>
          <w:ilvl w:val="0"/>
          <w:numId w:val="37"/>
        </w:numPr>
        <w:pBdr>
          <w:top w:val="single" w:sz="4" w:space="1" w:color="auto"/>
          <w:left w:val="single" w:sz="4" w:space="4" w:color="auto"/>
          <w:bottom w:val="single" w:sz="4" w:space="1" w:color="auto"/>
          <w:right w:val="single" w:sz="4" w:space="4" w:color="auto"/>
        </w:pBdr>
        <w:ind w:left="431" w:hanging="431"/>
        <w:rPr>
          <w:rFonts w:eastAsia="Times New Roman" w:cstheme="minorHAnsi"/>
          <w:sz w:val="24"/>
          <w:szCs w:val="24"/>
          <w:lang w:val="pl-PL" w:eastAsia="en-GB"/>
        </w:rPr>
      </w:pPr>
      <w:r w:rsidRPr="00000498">
        <w:rPr>
          <w:rFonts w:eastAsia="Times New Roman" w:cstheme="minorHAnsi"/>
          <w:sz w:val="24"/>
          <w:szCs w:val="24"/>
          <w:lang w:val="pl-PL" w:eastAsia="en-GB"/>
        </w:rPr>
        <w:t>wzmocnienie integracji różnych systemów energetycznych i wzajemne połączenie odbiorców energii z różnych sektorów;</w:t>
      </w:r>
    </w:p>
    <w:p w14:paraId="361EC8A1" w14:textId="1B91AB1B" w:rsidR="00A554F9" w:rsidRPr="00000498" w:rsidRDefault="00A554F9" w:rsidP="00000498">
      <w:pPr>
        <w:pStyle w:val="Akapitzlist"/>
        <w:numPr>
          <w:ilvl w:val="0"/>
          <w:numId w:val="37"/>
        </w:numPr>
        <w:pBdr>
          <w:top w:val="single" w:sz="4" w:space="1" w:color="auto"/>
          <w:left w:val="single" w:sz="4" w:space="4" w:color="auto"/>
          <w:bottom w:val="single" w:sz="4" w:space="1" w:color="auto"/>
          <w:right w:val="single" w:sz="4" w:space="4" w:color="auto"/>
        </w:pBdr>
        <w:ind w:left="431" w:hanging="431"/>
        <w:rPr>
          <w:rFonts w:eastAsia="Times New Roman" w:cstheme="minorHAnsi"/>
          <w:sz w:val="24"/>
          <w:szCs w:val="24"/>
          <w:lang w:val="pl-PL" w:eastAsia="en-GB"/>
        </w:rPr>
      </w:pPr>
      <w:r w:rsidRPr="00000498">
        <w:rPr>
          <w:rFonts w:eastAsia="Times New Roman" w:cstheme="minorHAnsi"/>
          <w:sz w:val="24"/>
          <w:szCs w:val="24"/>
          <w:lang w:val="pl-PL" w:eastAsia="en-GB"/>
        </w:rPr>
        <w:t>wprowadzenie rozwiązań dla zlokalizowanych sieci energetycznych łączących wiele źródeł zasilania;</w:t>
      </w:r>
    </w:p>
    <w:p w14:paraId="32F8E998" w14:textId="3E5DED45" w:rsidR="00DC072F" w:rsidRPr="00000498" w:rsidRDefault="00A554F9" w:rsidP="00000498">
      <w:pPr>
        <w:pStyle w:val="Akapitzlist"/>
        <w:numPr>
          <w:ilvl w:val="0"/>
          <w:numId w:val="37"/>
        </w:numPr>
        <w:pBdr>
          <w:top w:val="single" w:sz="4" w:space="1" w:color="auto"/>
          <w:left w:val="single" w:sz="4" w:space="4" w:color="auto"/>
          <w:bottom w:val="single" w:sz="4" w:space="1" w:color="auto"/>
          <w:right w:val="single" w:sz="4" w:space="4" w:color="auto"/>
        </w:pBdr>
        <w:ind w:left="431" w:hanging="431"/>
        <w:rPr>
          <w:rFonts w:eastAsia="Times New Roman" w:cstheme="minorHAnsi"/>
          <w:sz w:val="24"/>
          <w:szCs w:val="24"/>
          <w:lang w:val="pl-PL" w:eastAsia="en-GB"/>
        </w:rPr>
      </w:pPr>
      <w:r w:rsidRPr="00000498">
        <w:rPr>
          <w:rFonts w:eastAsia="Times New Roman" w:cstheme="minorHAnsi"/>
          <w:sz w:val="24"/>
          <w:szCs w:val="24"/>
          <w:lang w:val="pl-PL" w:eastAsia="en-GB"/>
        </w:rPr>
        <w:t>projektowanie polityk wsparcia publicznego w celu zachęcania do szerszej produkcji dostaw i magazynowania energii odnawialnej</w:t>
      </w:r>
      <w:r w:rsidR="00DC072F" w:rsidRPr="00000498">
        <w:rPr>
          <w:rFonts w:eastAsia="Times New Roman" w:cstheme="minorHAnsi"/>
          <w:sz w:val="24"/>
          <w:szCs w:val="24"/>
          <w:lang w:val="pl-PL" w:eastAsia="en-GB"/>
        </w:rPr>
        <w:t>;</w:t>
      </w:r>
    </w:p>
    <w:p w14:paraId="48FB860E" w14:textId="34644E54" w:rsidR="00A554F9" w:rsidRPr="00000498" w:rsidRDefault="00A554F9" w:rsidP="00000498">
      <w:pPr>
        <w:pStyle w:val="Akapitzlist"/>
        <w:numPr>
          <w:ilvl w:val="0"/>
          <w:numId w:val="37"/>
        </w:numPr>
        <w:pBdr>
          <w:top w:val="single" w:sz="4" w:space="1" w:color="auto"/>
          <w:left w:val="single" w:sz="4" w:space="4" w:color="auto"/>
          <w:bottom w:val="single" w:sz="4" w:space="1" w:color="auto"/>
          <w:right w:val="single" w:sz="4" w:space="4" w:color="auto"/>
        </w:pBdr>
        <w:ind w:left="431" w:hanging="431"/>
        <w:rPr>
          <w:rFonts w:eastAsia="Times New Roman" w:cstheme="minorHAnsi"/>
          <w:sz w:val="24"/>
          <w:szCs w:val="24"/>
          <w:lang w:val="pl-PL" w:eastAsia="en-GB"/>
        </w:rPr>
      </w:pPr>
      <w:r w:rsidRPr="00000498">
        <w:rPr>
          <w:rFonts w:eastAsia="Times New Roman" w:cstheme="minorHAnsi"/>
          <w:sz w:val="24"/>
          <w:szCs w:val="24"/>
          <w:lang w:val="pl-PL" w:eastAsia="en-GB"/>
        </w:rPr>
        <w:t>przyspieszenie tworzenia systemów wytwarzania, magazynowania i wykorzystywania energii odnawialnej, w szczególności odnawialnej energii elektrycznej z lokalnie dostępnych zasobów przy zastosowaniu innowacyjnych technologii;</w:t>
      </w:r>
    </w:p>
    <w:p w14:paraId="47D05FC9" w14:textId="071DB354" w:rsidR="00DD19D7" w:rsidRPr="00000498" w:rsidRDefault="00A554F9" w:rsidP="00000498">
      <w:pPr>
        <w:pStyle w:val="Akapitzlist"/>
        <w:numPr>
          <w:ilvl w:val="0"/>
          <w:numId w:val="37"/>
        </w:numPr>
        <w:pBdr>
          <w:top w:val="single" w:sz="4" w:space="1" w:color="auto"/>
          <w:left w:val="single" w:sz="4" w:space="4" w:color="auto"/>
          <w:bottom w:val="single" w:sz="4" w:space="1" w:color="auto"/>
          <w:right w:val="single" w:sz="4" w:space="4" w:color="auto"/>
        </w:pBdr>
        <w:ind w:left="431" w:hanging="431"/>
        <w:rPr>
          <w:rFonts w:eastAsia="Times New Roman" w:cstheme="minorHAnsi"/>
          <w:sz w:val="24"/>
          <w:szCs w:val="24"/>
          <w:lang w:val="pl-PL" w:eastAsia="en-GB"/>
        </w:rPr>
      </w:pPr>
      <w:r w:rsidRPr="00000498">
        <w:rPr>
          <w:rFonts w:eastAsia="Times New Roman" w:cstheme="minorHAnsi"/>
          <w:sz w:val="24"/>
          <w:szCs w:val="24"/>
          <w:lang w:val="pl-PL" w:eastAsia="en-GB"/>
        </w:rPr>
        <w:t xml:space="preserve">działania pilotażowe wzmacniające zaangażowanie obywateli i przemysłu w dekarbonizację systemów energetycznych, w tym wytyczne dotyczące opracowywania i </w:t>
      </w:r>
      <w:r w:rsidRPr="00000498">
        <w:rPr>
          <w:rFonts w:eastAsia="Times New Roman" w:cstheme="minorHAnsi"/>
          <w:sz w:val="24"/>
          <w:szCs w:val="24"/>
          <w:lang w:val="pl-PL" w:eastAsia="en-GB"/>
        </w:rPr>
        <w:lastRenderedPageBreak/>
        <w:t>testowania dla okręgów energetycznych oraz normy dotyczące certyfikacji przemysłu ekologicznego</w:t>
      </w:r>
      <w:r w:rsidR="00DD19D7" w:rsidRPr="00000498">
        <w:rPr>
          <w:rFonts w:eastAsia="Times New Roman" w:cstheme="minorHAnsi"/>
          <w:sz w:val="24"/>
          <w:szCs w:val="24"/>
          <w:lang w:val="pl-PL" w:eastAsia="en-GB"/>
        </w:rPr>
        <w:t>.</w:t>
      </w:r>
    </w:p>
    <w:p w14:paraId="58170F1C" w14:textId="321D8917" w:rsidR="00DC072F" w:rsidRPr="00000498" w:rsidRDefault="002827BD" w:rsidP="00000498">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b/>
          <w:szCs w:val="24"/>
          <w:lang w:val="pl-PL" w:eastAsia="en-GB"/>
        </w:rPr>
      </w:pPr>
      <w:r w:rsidRPr="00000498">
        <w:rPr>
          <w:rFonts w:asciiTheme="minorHAnsi" w:eastAsia="Times New Roman" w:hAnsiTheme="minorHAnsi" w:cstheme="minorHAnsi"/>
          <w:b/>
          <w:szCs w:val="24"/>
          <w:lang w:val="pl-PL" w:eastAsia="en-GB"/>
        </w:rPr>
        <w:t>Wkład do wybranego celu</w:t>
      </w:r>
    </w:p>
    <w:p w14:paraId="07AB85C2" w14:textId="657360F2" w:rsidR="00DC072F" w:rsidRPr="00000498" w:rsidRDefault="007F33BB" w:rsidP="00000498">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Działania te przyczyniają się do realizacji tego celu szczegółowego, ułatwiając opracowywanie, testowanie i stosowanie rozwiązań w przemyśle i budynkach zwiększających ich efektywność energetyczną i zmniejszających zużycie energii. Działania te są dodatkowo wzmacniane poprzez powiązanie ich z działaniami na rzecz rozwoju rozwiązań w zakresie wytwarzania, dystrybucji i użytkowania energii odnawialnej. Takie podejście umożliwia programowi zapoczątkowanie zmian w niskoemisyjnych systemach energetycznych prowadzących do zmniejszenia emisji gazów cieplarnianych w sposób kompleksowy i skoordynowany. Ponadto, działania wspierają poprawę polityki i przepisów dotyczących neutralności klimatycznej mających na celu zwiększenie efektywności energetycznej i wykorzystania energii odnawialnej</w:t>
      </w:r>
      <w:r w:rsidR="00DC072F" w:rsidRPr="00000498">
        <w:rPr>
          <w:rFonts w:asciiTheme="minorHAnsi" w:eastAsia="Times New Roman" w:hAnsiTheme="minorHAnsi" w:cstheme="minorHAnsi"/>
          <w:szCs w:val="24"/>
          <w:lang w:val="pl-PL" w:eastAsia="en-GB"/>
        </w:rPr>
        <w:t xml:space="preserve">. </w:t>
      </w:r>
    </w:p>
    <w:p w14:paraId="5A371C1F" w14:textId="22F8C40E" w:rsidR="00DC072F" w:rsidRPr="00000498" w:rsidRDefault="002827BD" w:rsidP="00000498">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b/>
          <w:szCs w:val="24"/>
          <w:lang w:val="pl-PL" w:eastAsia="en-GB"/>
        </w:rPr>
      </w:pPr>
      <w:r w:rsidRPr="00000498">
        <w:rPr>
          <w:rFonts w:asciiTheme="minorHAnsi" w:eastAsia="Times New Roman" w:hAnsiTheme="minorHAnsi" w:cstheme="minorHAnsi"/>
          <w:b/>
          <w:szCs w:val="24"/>
          <w:lang w:val="pl-PL" w:eastAsia="en-GB"/>
        </w:rPr>
        <w:t xml:space="preserve">Wkład w </w:t>
      </w:r>
      <w:r w:rsidR="005A4320">
        <w:rPr>
          <w:rFonts w:asciiTheme="minorHAnsi" w:eastAsia="Times New Roman" w:hAnsiTheme="minorHAnsi" w:cstheme="minorHAnsi"/>
          <w:b/>
          <w:szCs w:val="24"/>
          <w:lang w:val="pl-PL" w:eastAsia="en-GB"/>
        </w:rPr>
        <w:t>S</w:t>
      </w:r>
      <w:r w:rsidRPr="00000498">
        <w:rPr>
          <w:rFonts w:asciiTheme="minorHAnsi" w:eastAsia="Times New Roman" w:hAnsiTheme="minorHAnsi" w:cstheme="minorHAnsi"/>
          <w:b/>
          <w:szCs w:val="24"/>
          <w:lang w:val="pl-PL" w:eastAsia="en-GB"/>
        </w:rPr>
        <w:t>trategię UE dla regionu Morza Bałtyckiego</w:t>
      </w:r>
    </w:p>
    <w:p w14:paraId="0F3EB764" w14:textId="1EB36DA0" w:rsidR="00DC072F" w:rsidRPr="00000498" w:rsidRDefault="00072A25" w:rsidP="00000498">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 xml:space="preserve">Działania te przyczyniają się do osiągnięcia celu SUE RMB, jakim jest połączenie regionu. Działania wspierają </w:t>
      </w:r>
      <w:r w:rsidR="000C5539" w:rsidRPr="00000498">
        <w:rPr>
          <w:rFonts w:asciiTheme="minorHAnsi" w:eastAsia="Times New Roman" w:hAnsiTheme="minorHAnsi" w:cstheme="minorHAnsi"/>
          <w:szCs w:val="24"/>
          <w:lang w:val="pl-PL" w:eastAsia="en-GB"/>
        </w:rPr>
        <w:t>Obszar Tematyczny</w:t>
      </w:r>
      <w:r w:rsidRPr="00000498">
        <w:rPr>
          <w:rFonts w:asciiTheme="minorHAnsi" w:eastAsia="Times New Roman" w:hAnsiTheme="minorHAnsi" w:cstheme="minorHAnsi"/>
          <w:szCs w:val="24"/>
          <w:lang w:val="pl-PL" w:eastAsia="en-GB"/>
        </w:rPr>
        <w:t xml:space="preserve"> (</w:t>
      </w:r>
      <w:r w:rsidR="000C5539" w:rsidRPr="00000498">
        <w:rPr>
          <w:rFonts w:asciiTheme="minorHAnsi" w:eastAsia="Times New Roman" w:hAnsiTheme="minorHAnsi" w:cstheme="minorHAnsi"/>
          <w:szCs w:val="24"/>
          <w:lang w:val="pl-PL" w:eastAsia="en-GB"/>
        </w:rPr>
        <w:t>OT</w:t>
      </w:r>
      <w:r w:rsidRPr="00000498">
        <w:rPr>
          <w:rFonts w:asciiTheme="minorHAnsi" w:eastAsia="Times New Roman" w:hAnsiTheme="minorHAnsi" w:cstheme="minorHAnsi"/>
          <w:szCs w:val="24"/>
          <w:lang w:val="pl-PL" w:eastAsia="en-GB"/>
        </w:rPr>
        <w:t>) Energia w usprawnianiu wysiłków na rzecz efektywności energetycznej w regionie oraz zwiększaniu udziału energii odnawialnej poprzez pogłębianie współpracy regionalnej. Działania pomagają w dzieleniu się najlepszymi praktykami w zakresie długoterminowych strategii remontow</w:t>
      </w:r>
      <w:r w:rsidR="003634F8">
        <w:rPr>
          <w:rFonts w:asciiTheme="minorHAnsi" w:eastAsia="Times New Roman" w:hAnsiTheme="minorHAnsi" w:cstheme="minorHAnsi"/>
          <w:szCs w:val="24"/>
          <w:lang w:val="pl-PL" w:eastAsia="en-GB"/>
        </w:rPr>
        <w:t>ych</w:t>
      </w:r>
      <w:r w:rsidRPr="00000498">
        <w:rPr>
          <w:rFonts w:asciiTheme="minorHAnsi" w:eastAsia="Times New Roman" w:hAnsiTheme="minorHAnsi" w:cstheme="minorHAnsi"/>
          <w:szCs w:val="24"/>
          <w:lang w:val="pl-PL" w:eastAsia="en-GB"/>
        </w:rPr>
        <w:t>,</w:t>
      </w:r>
      <w:r w:rsidR="00000498">
        <w:rPr>
          <w:rFonts w:asciiTheme="minorHAnsi" w:eastAsia="Times New Roman" w:hAnsiTheme="minorHAnsi" w:cstheme="minorHAnsi"/>
          <w:szCs w:val="24"/>
          <w:lang w:val="pl-PL" w:eastAsia="en-GB"/>
        </w:rPr>
        <w:t xml:space="preserve"> </w:t>
      </w:r>
      <w:r w:rsidRPr="00000498">
        <w:rPr>
          <w:rFonts w:asciiTheme="minorHAnsi" w:eastAsia="Times New Roman" w:hAnsiTheme="minorHAnsi" w:cstheme="minorHAnsi"/>
          <w:szCs w:val="24"/>
          <w:lang w:val="pl-PL" w:eastAsia="en-GB"/>
        </w:rPr>
        <w:t xml:space="preserve">zużycia i integracji odnawialnych źródeł energii w budownictwie, przemyśle, ciepłownictwie i chłodnictwie. Ponadto, działania wspierają </w:t>
      </w:r>
      <w:r w:rsidR="000C5539" w:rsidRPr="00000498">
        <w:rPr>
          <w:rFonts w:asciiTheme="minorHAnsi" w:eastAsia="Times New Roman" w:hAnsiTheme="minorHAnsi" w:cstheme="minorHAnsi"/>
          <w:szCs w:val="24"/>
          <w:lang w:val="pl-PL" w:eastAsia="en-GB"/>
        </w:rPr>
        <w:t>OT</w:t>
      </w:r>
      <w:r w:rsidRPr="00000498">
        <w:rPr>
          <w:rFonts w:asciiTheme="minorHAnsi" w:eastAsia="Times New Roman" w:hAnsiTheme="minorHAnsi" w:cstheme="minorHAnsi"/>
          <w:szCs w:val="24"/>
          <w:lang w:val="pl-PL" w:eastAsia="en-GB"/>
        </w:rPr>
        <w:t xml:space="preserve"> Biogospodarka w ułatwianiu zrównoważonego wykorzystania zasobów biologicznych do produkcji energii. Działania wspierają </w:t>
      </w:r>
      <w:r w:rsidR="000C5539" w:rsidRPr="00000498">
        <w:rPr>
          <w:rFonts w:asciiTheme="minorHAnsi" w:eastAsia="Times New Roman" w:hAnsiTheme="minorHAnsi" w:cstheme="minorHAnsi"/>
          <w:szCs w:val="24"/>
          <w:lang w:val="pl-PL" w:eastAsia="en-GB"/>
        </w:rPr>
        <w:t>OT</w:t>
      </w:r>
      <w:r w:rsidRPr="00000498">
        <w:rPr>
          <w:rFonts w:asciiTheme="minorHAnsi" w:eastAsia="Times New Roman" w:hAnsiTheme="minorHAnsi" w:cstheme="minorHAnsi"/>
          <w:szCs w:val="24"/>
          <w:lang w:val="pl-PL" w:eastAsia="en-GB"/>
        </w:rPr>
        <w:t xml:space="preserve"> Planowanie Przestrzenne we wzmacnianiu stosowania podejść miejscowych przy opracowywaniu rozwiązań w zakresie wytwarzania energii odnawialnej z lokalnie dostępnych zasobów, a także w transgranicznej koordynacji planów energetycznych</w:t>
      </w:r>
      <w:r w:rsidR="00DC072F" w:rsidRPr="00000498">
        <w:rPr>
          <w:rFonts w:asciiTheme="minorHAnsi" w:eastAsia="Times New Roman" w:hAnsiTheme="minorHAnsi" w:cstheme="minorHAnsi"/>
          <w:szCs w:val="24"/>
          <w:lang w:val="pl-PL" w:eastAsia="en-GB"/>
        </w:rPr>
        <w:t>.</w:t>
      </w:r>
    </w:p>
    <w:p w14:paraId="61DCEC5B" w14:textId="7CAE6523" w:rsidR="00DC072F" w:rsidRPr="00000498" w:rsidRDefault="002827BD" w:rsidP="00000498">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b/>
          <w:szCs w:val="24"/>
          <w:lang w:val="pl-PL" w:eastAsia="en-GB"/>
        </w:rPr>
      </w:pPr>
      <w:r w:rsidRPr="00000498">
        <w:rPr>
          <w:rFonts w:asciiTheme="minorHAnsi" w:eastAsia="Times New Roman" w:hAnsiTheme="minorHAnsi" w:cstheme="minorHAnsi"/>
          <w:b/>
          <w:szCs w:val="24"/>
          <w:lang w:val="pl-PL" w:eastAsia="en-GB"/>
        </w:rPr>
        <w:t>Oczekiwany rezultat</w:t>
      </w:r>
    </w:p>
    <w:p w14:paraId="4CA182F4" w14:textId="68FB0903" w:rsidR="00DC072F" w:rsidRPr="00F879CC" w:rsidRDefault="00072A25" w:rsidP="00000498">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 w:val="22"/>
          <w:lang w:val="pl-PL" w:eastAsia="en-GB"/>
        </w:rPr>
      </w:pPr>
      <w:r w:rsidRPr="00000498">
        <w:rPr>
          <w:rFonts w:asciiTheme="minorHAnsi" w:eastAsia="Times New Roman" w:hAnsiTheme="minorHAnsi" w:cstheme="minorHAnsi"/>
          <w:szCs w:val="24"/>
          <w:lang w:val="pl-PL" w:eastAsia="en-GB"/>
        </w:rPr>
        <w:t>Działania te intensyfikują rozwój, testowanie i stosowanie rozwiązań pomagających zwiększyć efektywność energetyczną w różnych sektorach oraz wspierają produkcję i wykorzystanie energii ze źródeł odnawialnych; pomagają ulepszać polityki i przepisy, a także aktywnie angażują obywateli i przemysł.</w:t>
      </w:r>
      <w:r w:rsidR="00846B5B" w:rsidRPr="00000498">
        <w:rPr>
          <w:rFonts w:asciiTheme="minorHAnsi" w:eastAsia="Times New Roman" w:hAnsiTheme="minorHAnsi" w:cstheme="minorHAnsi"/>
          <w:szCs w:val="24"/>
          <w:lang w:val="pl-PL" w:eastAsia="en-GB"/>
        </w:rPr>
        <w:t xml:space="preserve"> </w:t>
      </w:r>
      <w:r w:rsidRPr="00000498">
        <w:rPr>
          <w:rFonts w:asciiTheme="minorHAnsi" w:eastAsia="Times New Roman" w:hAnsiTheme="minorHAnsi" w:cstheme="minorHAnsi"/>
          <w:szCs w:val="24"/>
          <w:lang w:val="pl-PL" w:eastAsia="en-GB"/>
        </w:rPr>
        <w:t>Tym samym, główne grupy docelowe Programów zwiększają swoją zdolność do przechodzenia społeczeństwa i gospodarki na niskoemisyjne systemy energetyczne o zwiększonej efektywności energetycznej, zwiększonym wykorzystaniu energii odnawialnej i zmniejszonej emisji gazów cieplarnianych</w:t>
      </w:r>
      <w:r w:rsidR="00DC072F" w:rsidRPr="00F879CC">
        <w:rPr>
          <w:rFonts w:asciiTheme="minorHAnsi" w:eastAsia="Times New Roman" w:hAnsiTheme="minorHAnsi" w:cstheme="minorHAnsi"/>
          <w:sz w:val="22"/>
          <w:lang w:val="pl-PL" w:eastAsia="en-GB"/>
        </w:rPr>
        <w:t xml:space="preserve">.     </w:t>
      </w:r>
    </w:p>
    <w:p w14:paraId="5965A319" w14:textId="77777777" w:rsidR="00DC072F" w:rsidRPr="00F879CC" w:rsidRDefault="00DC072F" w:rsidP="00DC072F">
      <w:pPr>
        <w:spacing w:before="240" w:after="240" w:line="240" w:lineRule="auto"/>
        <w:ind w:left="709" w:hanging="709"/>
        <w:jc w:val="both"/>
        <w:rPr>
          <w:rFonts w:asciiTheme="minorHAnsi" w:eastAsia="Times New Roman" w:hAnsiTheme="minorHAnsi" w:cstheme="minorHAnsi"/>
          <w:b/>
          <w:iCs/>
          <w:szCs w:val="24"/>
          <w:lang w:val="pl-PL" w:eastAsia="en-GB"/>
        </w:rPr>
      </w:pPr>
    </w:p>
    <w:p w14:paraId="2B2ECFEC" w14:textId="49CC9973" w:rsidR="00DC072F" w:rsidRPr="00F879CC" w:rsidRDefault="00DC072F" w:rsidP="00DC072F">
      <w:pPr>
        <w:spacing w:before="240" w:after="240" w:line="240" w:lineRule="auto"/>
        <w:ind w:left="709" w:hanging="709"/>
        <w:jc w:val="both"/>
        <w:rPr>
          <w:rFonts w:asciiTheme="minorHAnsi" w:eastAsia="Times New Roman" w:hAnsiTheme="minorHAnsi" w:cstheme="minorHAnsi"/>
          <w:b/>
          <w:iCs/>
          <w:szCs w:val="24"/>
          <w:lang w:val="pl-PL" w:eastAsia="en-GB"/>
        </w:rPr>
      </w:pPr>
      <w:r w:rsidRPr="00F879CC">
        <w:rPr>
          <w:rFonts w:asciiTheme="minorHAnsi" w:eastAsia="Times New Roman" w:hAnsiTheme="minorHAnsi" w:cstheme="minorHAnsi"/>
          <w:b/>
          <w:iCs/>
          <w:szCs w:val="24"/>
          <w:lang w:val="pl-PL" w:eastAsia="en-GB"/>
        </w:rPr>
        <w:t>2.3.2.2</w:t>
      </w:r>
      <w:r w:rsidRPr="00F879CC">
        <w:rPr>
          <w:rFonts w:asciiTheme="minorHAnsi" w:eastAsia="Times New Roman" w:hAnsiTheme="minorHAnsi" w:cstheme="minorHAnsi"/>
          <w:b/>
          <w:iCs/>
          <w:szCs w:val="24"/>
          <w:lang w:val="pl-PL" w:eastAsia="en-GB"/>
        </w:rPr>
        <w:tab/>
      </w:r>
      <w:r w:rsidR="00767B72">
        <w:rPr>
          <w:rFonts w:asciiTheme="minorHAnsi" w:eastAsia="Times New Roman" w:hAnsiTheme="minorHAnsi" w:cstheme="minorHAnsi"/>
          <w:b/>
          <w:iCs/>
          <w:szCs w:val="24"/>
          <w:lang w:val="pl-PL" w:eastAsia="en-GB"/>
        </w:rPr>
        <w:t xml:space="preserve"> </w:t>
      </w:r>
      <w:r w:rsidR="00072A25" w:rsidRPr="00F879CC">
        <w:rPr>
          <w:rFonts w:asciiTheme="minorHAnsi" w:eastAsia="Times New Roman" w:hAnsiTheme="minorHAnsi" w:cstheme="minorHAnsi"/>
          <w:b/>
          <w:iCs/>
          <w:szCs w:val="24"/>
          <w:lang w:val="pl-PL" w:eastAsia="en-GB"/>
        </w:rPr>
        <w:t>Wskaźniki</w:t>
      </w:r>
    </w:p>
    <w:p w14:paraId="3DEB6268" w14:textId="789FC617" w:rsidR="00DC072F" w:rsidRPr="00000498" w:rsidRDefault="00072A25" w:rsidP="00000498">
      <w:pPr>
        <w:spacing w:after="20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Dotyczy: art. 17 ust. 4 lit. e) ppkt (ii), art. 17 ust. 9 lit. c) ppkt (iii)</w:t>
      </w:r>
    </w:p>
    <w:p w14:paraId="36B15E35" w14:textId="2ACDEC79" w:rsidR="00477962" w:rsidRPr="00000498" w:rsidRDefault="00871A6C" w:rsidP="00000498">
      <w:pPr>
        <w:spacing w:before="240" w:after="240" w:line="276" w:lineRule="auto"/>
        <w:rPr>
          <w:rFonts w:asciiTheme="minorHAnsi" w:eastAsia="Times New Roman" w:hAnsiTheme="minorHAnsi" w:cstheme="minorHAnsi"/>
          <w:iCs/>
          <w:szCs w:val="24"/>
          <w:lang w:val="pl-PL" w:eastAsia="en-GB"/>
        </w:rPr>
      </w:pPr>
      <w:r w:rsidRPr="00000498">
        <w:rPr>
          <w:rFonts w:asciiTheme="minorHAnsi" w:eastAsia="Times New Roman" w:hAnsiTheme="minorHAnsi" w:cstheme="minorHAnsi"/>
          <w:iCs/>
          <w:szCs w:val="24"/>
          <w:lang w:val="pl-PL" w:eastAsia="en-GB"/>
        </w:rPr>
        <w:t>Tabela</w:t>
      </w:r>
      <w:r w:rsidR="00477962" w:rsidRPr="00000498">
        <w:rPr>
          <w:rFonts w:asciiTheme="minorHAnsi" w:eastAsia="Times New Roman" w:hAnsiTheme="minorHAnsi" w:cstheme="minorHAnsi"/>
          <w:iCs/>
          <w:szCs w:val="24"/>
          <w:lang w:val="pl-PL" w:eastAsia="en-GB"/>
        </w:rPr>
        <w:t xml:space="preserve"> 2: </w:t>
      </w:r>
      <w:r w:rsidR="00813365" w:rsidRPr="00000498">
        <w:rPr>
          <w:rFonts w:asciiTheme="minorHAnsi" w:eastAsia="Times New Roman" w:hAnsiTheme="minorHAnsi" w:cstheme="minorHAnsi"/>
          <w:iCs/>
          <w:szCs w:val="24"/>
          <w:lang w:val="pl-PL" w:eastAsia="en-GB"/>
        </w:rPr>
        <w:t>Wskaźniki produktu wyjściowego</w:t>
      </w:r>
      <w:r w:rsidR="00477962" w:rsidRPr="00000498">
        <w:rPr>
          <w:rFonts w:asciiTheme="minorHAnsi" w:eastAsia="Times New Roman" w:hAnsiTheme="minorHAnsi" w:cstheme="minorHAnsi"/>
          <w:iCs/>
          <w:szCs w:val="24"/>
          <w:lang w:val="pl-PL" w:eastAsia="en-GB"/>
        </w:rPr>
        <w:t xml:space="preserve"> </w:t>
      </w:r>
    </w:p>
    <w:tbl>
      <w:tblPr>
        <w:tblW w:w="3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ela dotycząca wskaźników produktu wyjściowego "/>
      </w:tblPr>
      <w:tblGrid>
        <w:gridCol w:w="1104"/>
        <w:gridCol w:w="1452"/>
        <w:gridCol w:w="999"/>
        <w:gridCol w:w="1740"/>
        <w:gridCol w:w="1420"/>
        <w:gridCol w:w="970"/>
        <w:gridCol w:w="1285"/>
      </w:tblGrid>
      <w:tr w:rsidR="00802AE7" w:rsidRPr="00767B72" w14:paraId="6BE66EAD" w14:textId="346C87B1" w:rsidTr="00802AE7">
        <w:trPr>
          <w:trHeight w:val="836"/>
        </w:trPr>
        <w:tc>
          <w:tcPr>
            <w:tcW w:w="526" w:type="pct"/>
          </w:tcPr>
          <w:p w14:paraId="4D77E3E8" w14:textId="202BBF98" w:rsidR="00802AE7" w:rsidRPr="00000498" w:rsidRDefault="00813365" w:rsidP="00D06AD1">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lastRenderedPageBreak/>
              <w:t>Priorytet</w:t>
            </w:r>
            <w:r w:rsidR="00802AE7" w:rsidRPr="00000498">
              <w:rPr>
                <w:rFonts w:asciiTheme="minorHAnsi" w:hAnsiTheme="minorHAnsi" w:cstheme="minorHAnsi"/>
                <w:b/>
                <w:szCs w:val="24"/>
                <w:lang w:val="pl-PL"/>
              </w:rPr>
              <w:t xml:space="preserve"> </w:t>
            </w:r>
          </w:p>
        </w:tc>
        <w:tc>
          <w:tcPr>
            <w:tcW w:w="576" w:type="pct"/>
          </w:tcPr>
          <w:p w14:paraId="0B6F0E28" w14:textId="0A29CB96" w:rsidR="00802AE7" w:rsidRPr="00000498" w:rsidRDefault="00871A6C" w:rsidP="00D06AD1">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Cel szczegółowy</w:t>
            </w:r>
          </w:p>
        </w:tc>
        <w:tc>
          <w:tcPr>
            <w:tcW w:w="691" w:type="pct"/>
          </w:tcPr>
          <w:p w14:paraId="3E7EC3F6" w14:textId="77777777" w:rsidR="00802AE7" w:rsidRPr="00000498" w:rsidRDefault="00802AE7" w:rsidP="00D06AD1">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ID</w:t>
            </w:r>
          </w:p>
          <w:p w14:paraId="20308D62" w14:textId="77777777" w:rsidR="00802AE7" w:rsidRPr="00000498" w:rsidRDefault="00802AE7" w:rsidP="00D06AD1">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[5]</w:t>
            </w:r>
          </w:p>
        </w:tc>
        <w:tc>
          <w:tcPr>
            <w:tcW w:w="1109" w:type="pct"/>
            <w:shd w:val="clear" w:color="auto" w:fill="auto"/>
          </w:tcPr>
          <w:p w14:paraId="01ACBA5A" w14:textId="359D1038" w:rsidR="00802AE7" w:rsidRPr="00000498" w:rsidRDefault="00813365" w:rsidP="00D06AD1">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Wskaźnik</w:t>
            </w:r>
            <w:r w:rsidR="00802AE7" w:rsidRPr="00000498">
              <w:rPr>
                <w:rFonts w:asciiTheme="minorHAnsi" w:hAnsiTheme="minorHAnsi" w:cstheme="minorHAnsi"/>
                <w:b/>
                <w:szCs w:val="24"/>
                <w:lang w:val="pl-PL"/>
              </w:rPr>
              <w:t xml:space="preserve"> </w:t>
            </w:r>
          </w:p>
        </w:tc>
        <w:tc>
          <w:tcPr>
            <w:tcW w:w="936" w:type="pct"/>
          </w:tcPr>
          <w:p w14:paraId="5A75C8B0" w14:textId="0B7E285A" w:rsidR="00802AE7" w:rsidRPr="00000498" w:rsidRDefault="00813365" w:rsidP="00D06AD1">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Jednostka miary</w:t>
            </w:r>
          </w:p>
          <w:p w14:paraId="73A0F868" w14:textId="77777777" w:rsidR="00802AE7" w:rsidRPr="00000498" w:rsidRDefault="00802AE7" w:rsidP="00D06AD1">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[255]</w:t>
            </w:r>
          </w:p>
        </w:tc>
        <w:tc>
          <w:tcPr>
            <w:tcW w:w="611" w:type="pct"/>
            <w:shd w:val="clear" w:color="auto" w:fill="auto"/>
          </w:tcPr>
          <w:p w14:paraId="016690EA" w14:textId="366BF1C9" w:rsidR="00802AE7" w:rsidRPr="00000498" w:rsidRDefault="00813365" w:rsidP="00D06AD1">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Kamień milowy</w:t>
            </w:r>
            <w:r w:rsidR="00802AE7" w:rsidRPr="00000498">
              <w:rPr>
                <w:rFonts w:asciiTheme="minorHAnsi" w:hAnsiTheme="minorHAnsi" w:cstheme="minorHAnsi"/>
                <w:b/>
                <w:szCs w:val="24"/>
                <w:lang w:val="pl-PL"/>
              </w:rPr>
              <w:t xml:space="preserve"> (2024)</w:t>
            </w:r>
          </w:p>
          <w:p w14:paraId="56D22079" w14:textId="77777777" w:rsidR="00802AE7" w:rsidRPr="00000498" w:rsidRDefault="00802AE7" w:rsidP="00D06AD1">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[200]</w:t>
            </w:r>
          </w:p>
        </w:tc>
        <w:tc>
          <w:tcPr>
            <w:tcW w:w="552" w:type="pct"/>
            <w:shd w:val="clear" w:color="auto" w:fill="auto"/>
          </w:tcPr>
          <w:p w14:paraId="56349607" w14:textId="6F48F6AA" w:rsidR="00802AE7" w:rsidRPr="00000498" w:rsidRDefault="00813365" w:rsidP="00D06AD1">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Cel ostateczny</w:t>
            </w:r>
            <w:r w:rsidR="00802AE7" w:rsidRPr="00000498">
              <w:rPr>
                <w:rFonts w:asciiTheme="minorHAnsi" w:hAnsiTheme="minorHAnsi" w:cstheme="minorHAnsi"/>
                <w:b/>
                <w:szCs w:val="24"/>
                <w:lang w:val="pl-PL"/>
              </w:rPr>
              <w:t xml:space="preserve"> (2029)</w:t>
            </w:r>
          </w:p>
          <w:p w14:paraId="3A6C6834" w14:textId="77777777" w:rsidR="00802AE7" w:rsidRPr="00000498" w:rsidRDefault="00802AE7" w:rsidP="00D06AD1">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[200]</w:t>
            </w:r>
          </w:p>
        </w:tc>
      </w:tr>
      <w:tr w:rsidR="00802AE7" w:rsidRPr="00767B72" w14:paraId="599E4870" w14:textId="516D222A" w:rsidTr="00802AE7">
        <w:trPr>
          <w:trHeight w:val="579"/>
        </w:trPr>
        <w:tc>
          <w:tcPr>
            <w:tcW w:w="526" w:type="pct"/>
          </w:tcPr>
          <w:p w14:paraId="63F9E02B" w14:textId="77777777" w:rsidR="00802AE7" w:rsidRPr="00000498" w:rsidRDefault="00802AE7" w:rsidP="00D06AD1">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3</w:t>
            </w:r>
          </w:p>
        </w:tc>
        <w:tc>
          <w:tcPr>
            <w:tcW w:w="576" w:type="pct"/>
          </w:tcPr>
          <w:p w14:paraId="0419BBCC" w14:textId="77777777" w:rsidR="00802AE7" w:rsidRPr="00000498" w:rsidRDefault="00802AE7" w:rsidP="00D06AD1">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i</w:t>
            </w:r>
          </w:p>
        </w:tc>
        <w:tc>
          <w:tcPr>
            <w:tcW w:w="691" w:type="pct"/>
          </w:tcPr>
          <w:p w14:paraId="6A464358" w14:textId="77777777" w:rsidR="00802AE7" w:rsidRPr="00000498" w:rsidRDefault="00802AE7" w:rsidP="00D06AD1">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RCO84</w:t>
            </w:r>
          </w:p>
        </w:tc>
        <w:tc>
          <w:tcPr>
            <w:tcW w:w="1109" w:type="pct"/>
            <w:shd w:val="clear" w:color="auto" w:fill="auto"/>
          </w:tcPr>
          <w:p w14:paraId="249276B0" w14:textId="61BE9127" w:rsidR="00802AE7" w:rsidRPr="00000498" w:rsidRDefault="002827BD" w:rsidP="00D06AD1">
            <w:pPr>
              <w:spacing w:before="120" w:after="120" w:line="240" w:lineRule="auto"/>
              <w:rPr>
                <w:rFonts w:asciiTheme="minorHAnsi" w:hAnsiTheme="minorHAnsi" w:cstheme="minorHAnsi"/>
                <w:szCs w:val="24"/>
                <w:lang w:val="pl-PL"/>
              </w:rPr>
            </w:pPr>
            <w:r w:rsidRPr="00000498">
              <w:rPr>
                <w:rFonts w:asciiTheme="minorHAnsi" w:hAnsiTheme="minorHAnsi" w:cstheme="minorHAnsi"/>
                <w:szCs w:val="24"/>
                <w:lang w:val="pl-PL"/>
              </w:rPr>
              <w:t>Działania pilotażowe opracowywane wspólnie i wdrażane w projektach</w:t>
            </w:r>
          </w:p>
        </w:tc>
        <w:tc>
          <w:tcPr>
            <w:tcW w:w="936" w:type="pct"/>
          </w:tcPr>
          <w:p w14:paraId="21E0111C" w14:textId="008D8939" w:rsidR="00802AE7" w:rsidRPr="00000498" w:rsidRDefault="00072A25" w:rsidP="00D06AD1">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Działanie pilotażowe</w:t>
            </w:r>
          </w:p>
        </w:tc>
        <w:tc>
          <w:tcPr>
            <w:tcW w:w="611" w:type="pct"/>
            <w:shd w:val="clear" w:color="auto" w:fill="auto"/>
          </w:tcPr>
          <w:p w14:paraId="2BFD2A7A" w14:textId="1A4512E0" w:rsidR="00802AE7" w:rsidRPr="00000498" w:rsidRDefault="00802AE7" w:rsidP="00D06AD1">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1</w:t>
            </w:r>
          </w:p>
        </w:tc>
        <w:tc>
          <w:tcPr>
            <w:tcW w:w="552" w:type="pct"/>
            <w:shd w:val="clear" w:color="auto" w:fill="auto"/>
          </w:tcPr>
          <w:p w14:paraId="2A5352DA" w14:textId="6E82886C" w:rsidR="00802AE7" w:rsidRPr="00000498" w:rsidRDefault="00802AE7" w:rsidP="00D06AD1">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34</w:t>
            </w:r>
          </w:p>
        </w:tc>
      </w:tr>
      <w:tr w:rsidR="00802AE7" w:rsidRPr="00767B72" w14:paraId="14078B0F" w14:textId="29075FD7" w:rsidTr="00802AE7">
        <w:trPr>
          <w:trHeight w:val="579"/>
        </w:trPr>
        <w:tc>
          <w:tcPr>
            <w:tcW w:w="526" w:type="pct"/>
          </w:tcPr>
          <w:p w14:paraId="0230D03F" w14:textId="77777777" w:rsidR="00802AE7" w:rsidRPr="00000498" w:rsidRDefault="00802AE7" w:rsidP="00D06AD1">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3</w:t>
            </w:r>
          </w:p>
        </w:tc>
        <w:tc>
          <w:tcPr>
            <w:tcW w:w="576" w:type="pct"/>
          </w:tcPr>
          <w:p w14:paraId="25B1BBDB" w14:textId="1ADB9E58" w:rsidR="00802AE7" w:rsidRPr="00000498" w:rsidRDefault="00802AE7" w:rsidP="00D06AD1">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i</w:t>
            </w:r>
          </w:p>
        </w:tc>
        <w:tc>
          <w:tcPr>
            <w:tcW w:w="691" w:type="pct"/>
          </w:tcPr>
          <w:p w14:paraId="2E809887" w14:textId="77777777" w:rsidR="00802AE7" w:rsidRPr="00000498" w:rsidRDefault="00802AE7" w:rsidP="00D06AD1">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RCO87</w:t>
            </w:r>
          </w:p>
        </w:tc>
        <w:tc>
          <w:tcPr>
            <w:tcW w:w="1109" w:type="pct"/>
            <w:shd w:val="clear" w:color="auto" w:fill="auto"/>
          </w:tcPr>
          <w:p w14:paraId="166846F7" w14:textId="31B13471" w:rsidR="00802AE7" w:rsidRPr="00000498" w:rsidRDefault="00223EB0" w:rsidP="00D06AD1">
            <w:pPr>
              <w:spacing w:before="120" w:after="120" w:line="240" w:lineRule="auto"/>
              <w:rPr>
                <w:rFonts w:asciiTheme="minorHAnsi" w:hAnsiTheme="minorHAnsi" w:cstheme="minorHAnsi"/>
                <w:szCs w:val="24"/>
                <w:lang w:val="pl-PL"/>
              </w:rPr>
            </w:pPr>
            <w:r w:rsidRPr="00000498">
              <w:rPr>
                <w:rFonts w:asciiTheme="minorHAnsi" w:hAnsiTheme="minorHAnsi" w:cstheme="minorHAnsi"/>
                <w:szCs w:val="24"/>
                <w:lang w:val="pl-PL"/>
              </w:rPr>
              <w:t>Organizacje współpracujące transgranicznie</w:t>
            </w:r>
          </w:p>
        </w:tc>
        <w:tc>
          <w:tcPr>
            <w:tcW w:w="936" w:type="pct"/>
          </w:tcPr>
          <w:p w14:paraId="397735FE" w14:textId="45F5CDC5" w:rsidR="00802AE7" w:rsidRPr="00000498" w:rsidRDefault="00802AE7" w:rsidP="00072A25">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Organ</w:t>
            </w:r>
            <w:r w:rsidR="00072A25" w:rsidRPr="00000498">
              <w:rPr>
                <w:rFonts w:asciiTheme="minorHAnsi" w:hAnsiTheme="minorHAnsi" w:cstheme="minorHAnsi"/>
                <w:szCs w:val="24"/>
                <w:lang w:val="pl-PL"/>
              </w:rPr>
              <w:t>izacja</w:t>
            </w:r>
          </w:p>
        </w:tc>
        <w:tc>
          <w:tcPr>
            <w:tcW w:w="611" w:type="pct"/>
            <w:shd w:val="clear" w:color="auto" w:fill="auto"/>
          </w:tcPr>
          <w:p w14:paraId="2D5F16F5" w14:textId="69E92134" w:rsidR="00802AE7" w:rsidRPr="00000498" w:rsidRDefault="00802AE7" w:rsidP="00D06AD1">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21</w:t>
            </w:r>
          </w:p>
        </w:tc>
        <w:tc>
          <w:tcPr>
            <w:tcW w:w="552" w:type="pct"/>
            <w:shd w:val="clear" w:color="auto" w:fill="auto"/>
          </w:tcPr>
          <w:p w14:paraId="34008BFF" w14:textId="397BE62B" w:rsidR="00802AE7" w:rsidRPr="00000498" w:rsidRDefault="00802AE7" w:rsidP="00D06AD1">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346</w:t>
            </w:r>
          </w:p>
        </w:tc>
      </w:tr>
      <w:tr w:rsidR="00802AE7" w:rsidRPr="00767B72" w14:paraId="29A6F51F" w14:textId="30D27E51" w:rsidTr="00802AE7">
        <w:trPr>
          <w:trHeight w:val="579"/>
        </w:trPr>
        <w:tc>
          <w:tcPr>
            <w:tcW w:w="526" w:type="pct"/>
          </w:tcPr>
          <w:p w14:paraId="006E74A0" w14:textId="77777777" w:rsidR="00802AE7" w:rsidRPr="00000498" w:rsidRDefault="00802AE7" w:rsidP="00D06AD1">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3</w:t>
            </w:r>
          </w:p>
        </w:tc>
        <w:tc>
          <w:tcPr>
            <w:tcW w:w="576" w:type="pct"/>
          </w:tcPr>
          <w:p w14:paraId="287CDE1E" w14:textId="765656EE" w:rsidR="00802AE7" w:rsidRPr="00000498" w:rsidRDefault="00802AE7" w:rsidP="00D06AD1">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i</w:t>
            </w:r>
          </w:p>
        </w:tc>
        <w:tc>
          <w:tcPr>
            <w:tcW w:w="691" w:type="pct"/>
          </w:tcPr>
          <w:p w14:paraId="5961DD05" w14:textId="77777777" w:rsidR="00802AE7" w:rsidRPr="00000498" w:rsidRDefault="00802AE7" w:rsidP="00D06AD1">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RCO116</w:t>
            </w:r>
          </w:p>
        </w:tc>
        <w:tc>
          <w:tcPr>
            <w:tcW w:w="1109" w:type="pct"/>
            <w:shd w:val="clear" w:color="auto" w:fill="auto"/>
          </w:tcPr>
          <w:p w14:paraId="1A68F008" w14:textId="5A44C173" w:rsidR="00802AE7" w:rsidRPr="00000498" w:rsidRDefault="00223EB0" w:rsidP="00D06AD1">
            <w:pPr>
              <w:spacing w:before="120" w:after="120" w:line="240" w:lineRule="auto"/>
              <w:rPr>
                <w:rFonts w:asciiTheme="minorHAnsi" w:hAnsiTheme="minorHAnsi" w:cstheme="minorHAnsi"/>
                <w:szCs w:val="24"/>
                <w:lang w:val="pl-PL"/>
              </w:rPr>
            </w:pPr>
            <w:r w:rsidRPr="00000498">
              <w:rPr>
                <w:rFonts w:asciiTheme="minorHAnsi" w:hAnsiTheme="minorHAnsi" w:cstheme="minorHAnsi"/>
                <w:szCs w:val="24"/>
                <w:lang w:val="pl-PL"/>
              </w:rPr>
              <w:t>Wspólnie opracowane rozwiązania</w:t>
            </w:r>
          </w:p>
        </w:tc>
        <w:tc>
          <w:tcPr>
            <w:tcW w:w="936" w:type="pct"/>
          </w:tcPr>
          <w:p w14:paraId="46CD3195" w14:textId="30735257" w:rsidR="00802AE7" w:rsidRPr="00000498" w:rsidRDefault="00072A25" w:rsidP="00072A25">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Rozwiązanie</w:t>
            </w:r>
          </w:p>
        </w:tc>
        <w:tc>
          <w:tcPr>
            <w:tcW w:w="611" w:type="pct"/>
            <w:shd w:val="clear" w:color="auto" w:fill="auto"/>
          </w:tcPr>
          <w:p w14:paraId="48F3F054" w14:textId="6AA6E3B8" w:rsidR="00802AE7" w:rsidRPr="00000498" w:rsidRDefault="00802AE7" w:rsidP="00D06AD1">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1</w:t>
            </w:r>
          </w:p>
        </w:tc>
        <w:tc>
          <w:tcPr>
            <w:tcW w:w="552" w:type="pct"/>
            <w:shd w:val="clear" w:color="auto" w:fill="auto"/>
          </w:tcPr>
          <w:p w14:paraId="5157A021" w14:textId="603B279C" w:rsidR="00802AE7" w:rsidRPr="00000498" w:rsidRDefault="00802AE7" w:rsidP="00D06AD1">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18</w:t>
            </w:r>
          </w:p>
        </w:tc>
      </w:tr>
    </w:tbl>
    <w:p w14:paraId="051665A8" w14:textId="7BB1A0CD" w:rsidR="00477962" w:rsidRPr="00000498" w:rsidRDefault="00871A6C" w:rsidP="00000498">
      <w:pPr>
        <w:spacing w:before="240" w:after="240" w:line="276" w:lineRule="auto"/>
        <w:rPr>
          <w:rFonts w:asciiTheme="minorHAnsi" w:eastAsia="Times New Roman" w:hAnsiTheme="minorHAnsi" w:cstheme="minorHAnsi"/>
          <w:iCs/>
          <w:szCs w:val="24"/>
          <w:lang w:val="pl-PL" w:eastAsia="en-GB"/>
        </w:rPr>
      </w:pPr>
      <w:r w:rsidRPr="00000498">
        <w:rPr>
          <w:rFonts w:asciiTheme="minorHAnsi" w:eastAsia="Times New Roman" w:hAnsiTheme="minorHAnsi" w:cstheme="minorHAnsi"/>
          <w:iCs/>
          <w:szCs w:val="24"/>
          <w:lang w:val="pl-PL" w:eastAsia="en-GB"/>
        </w:rPr>
        <w:t>Tabela</w:t>
      </w:r>
      <w:r w:rsidR="00477962" w:rsidRPr="00000498">
        <w:rPr>
          <w:rFonts w:asciiTheme="minorHAnsi" w:eastAsia="Times New Roman" w:hAnsiTheme="minorHAnsi" w:cstheme="minorHAnsi"/>
          <w:iCs/>
          <w:szCs w:val="24"/>
          <w:lang w:val="pl-PL" w:eastAsia="en-GB"/>
        </w:rPr>
        <w:t xml:space="preserve"> 3: </w:t>
      </w:r>
      <w:r w:rsidR="00813365" w:rsidRPr="00000498">
        <w:rPr>
          <w:rFonts w:asciiTheme="minorHAnsi" w:eastAsia="Times New Roman" w:hAnsiTheme="minorHAnsi" w:cstheme="minorHAnsi"/>
          <w:iCs/>
          <w:szCs w:val="24"/>
          <w:lang w:val="pl-PL" w:eastAsia="en-GB"/>
        </w:rPr>
        <w:t>Wskaźniki rezultatu</w:t>
      </w:r>
      <w:r w:rsidR="00477962" w:rsidRPr="00000498">
        <w:rPr>
          <w:rFonts w:asciiTheme="minorHAnsi" w:eastAsia="Times New Roman" w:hAnsiTheme="minorHAnsi" w:cstheme="minorHAnsi"/>
          <w:iCs/>
          <w:szCs w:val="24"/>
          <w:lang w:val="pl-PL" w:eastAsia="en-GB"/>
        </w:rPr>
        <w:t xml:space="preserve"> </w:t>
      </w:r>
    </w:p>
    <w:tbl>
      <w:tblPr>
        <w:tblW w:w="56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abela dotycząca wskaźników rezultatu"/>
      </w:tblPr>
      <w:tblGrid>
        <w:gridCol w:w="858"/>
        <w:gridCol w:w="1073"/>
        <w:gridCol w:w="673"/>
        <w:gridCol w:w="1424"/>
        <w:gridCol w:w="1173"/>
        <w:gridCol w:w="813"/>
        <w:gridCol w:w="1006"/>
        <w:gridCol w:w="949"/>
        <w:gridCol w:w="889"/>
        <w:gridCol w:w="1598"/>
      </w:tblGrid>
      <w:tr w:rsidR="00477962" w:rsidRPr="00767B72" w14:paraId="230D8280" w14:textId="77777777" w:rsidTr="00000498">
        <w:trPr>
          <w:trHeight w:val="947"/>
          <w:tblHeader/>
        </w:trPr>
        <w:tc>
          <w:tcPr>
            <w:tcW w:w="410" w:type="pct"/>
          </w:tcPr>
          <w:p w14:paraId="474684C5" w14:textId="4AD343B7" w:rsidR="00477962" w:rsidRPr="00000498" w:rsidRDefault="00813365" w:rsidP="006A6B69">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Priorytet</w:t>
            </w:r>
            <w:r w:rsidR="00477962" w:rsidRPr="00000498">
              <w:rPr>
                <w:rFonts w:asciiTheme="minorHAnsi" w:hAnsiTheme="minorHAnsi" w:cstheme="minorHAnsi"/>
                <w:b/>
                <w:szCs w:val="24"/>
                <w:lang w:val="pl-PL"/>
              </w:rPr>
              <w:t xml:space="preserve"> </w:t>
            </w:r>
          </w:p>
        </w:tc>
        <w:tc>
          <w:tcPr>
            <w:tcW w:w="513" w:type="pct"/>
          </w:tcPr>
          <w:p w14:paraId="77604FE1" w14:textId="7C00249F" w:rsidR="00477962" w:rsidRPr="00000498" w:rsidRDefault="00871A6C" w:rsidP="006A6B69">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Cel szczegółowy</w:t>
            </w:r>
          </w:p>
        </w:tc>
        <w:tc>
          <w:tcPr>
            <w:tcW w:w="322" w:type="pct"/>
          </w:tcPr>
          <w:p w14:paraId="44E57488" w14:textId="77777777" w:rsidR="00477962" w:rsidRPr="00000498" w:rsidRDefault="00477962" w:rsidP="006A6B69">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ID</w:t>
            </w:r>
          </w:p>
        </w:tc>
        <w:tc>
          <w:tcPr>
            <w:tcW w:w="681" w:type="pct"/>
            <w:shd w:val="clear" w:color="auto" w:fill="auto"/>
          </w:tcPr>
          <w:p w14:paraId="31B460BF" w14:textId="17600465" w:rsidR="00477962" w:rsidRPr="00000498" w:rsidRDefault="00813365" w:rsidP="006A6B69">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Wskaźnik</w:t>
            </w:r>
            <w:r w:rsidR="00477962" w:rsidRPr="00000498">
              <w:rPr>
                <w:rFonts w:asciiTheme="minorHAnsi" w:hAnsiTheme="minorHAnsi" w:cstheme="minorHAnsi"/>
                <w:b/>
                <w:szCs w:val="24"/>
                <w:lang w:val="pl-PL"/>
              </w:rPr>
              <w:t xml:space="preserve"> </w:t>
            </w:r>
          </w:p>
        </w:tc>
        <w:tc>
          <w:tcPr>
            <w:tcW w:w="561" w:type="pct"/>
          </w:tcPr>
          <w:p w14:paraId="6FF042F8" w14:textId="59BF10F9" w:rsidR="00477962" w:rsidRPr="00000498" w:rsidRDefault="00813365" w:rsidP="006A6B69">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Jednostka miary</w:t>
            </w:r>
          </w:p>
        </w:tc>
        <w:tc>
          <w:tcPr>
            <w:tcW w:w="389" w:type="pct"/>
          </w:tcPr>
          <w:p w14:paraId="6F461E26" w14:textId="4C278711" w:rsidR="00477962" w:rsidRPr="00000498" w:rsidRDefault="00813365" w:rsidP="006A6B69">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Wartość bazowa</w:t>
            </w:r>
          </w:p>
        </w:tc>
        <w:tc>
          <w:tcPr>
            <w:tcW w:w="481" w:type="pct"/>
          </w:tcPr>
          <w:p w14:paraId="6FFF93F5" w14:textId="4CC0931D" w:rsidR="00477962" w:rsidRPr="00000498" w:rsidRDefault="00813365" w:rsidP="006A6B69">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Rok odniesienia</w:t>
            </w:r>
          </w:p>
        </w:tc>
        <w:tc>
          <w:tcPr>
            <w:tcW w:w="454" w:type="pct"/>
            <w:shd w:val="clear" w:color="auto" w:fill="auto"/>
          </w:tcPr>
          <w:p w14:paraId="3ADC1D75" w14:textId="7562119D" w:rsidR="00477962" w:rsidRPr="00000498" w:rsidRDefault="00813365" w:rsidP="006A6B69">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Cel ostateczny</w:t>
            </w:r>
            <w:r w:rsidR="00477962" w:rsidRPr="00000498">
              <w:rPr>
                <w:rFonts w:asciiTheme="minorHAnsi" w:hAnsiTheme="minorHAnsi" w:cstheme="minorHAnsi"/>
                <w:b/>
                <w:szCs w:val="24"/>
                <w:lang w:val="pl-PL"/>
              </w:rPr>
              <w:t xml:space="preserve"> (2029)</w:t>
            </w:r>
          </w:p>
        </w:tc>
        <w:tc>
          <w:tcPr>
            <w:tcW w:w="425" w:type="pct"/>
            <w:shd w:val="clear" w:color="auto" w:fill="auto"/>
          </w:tcPr>
          <w:p w14:paraId="2962EA4C" w14:textId="13F79FD5" w:rsidR="00477962" w:rsidRPr="00000498" w:rsidRDefault="00813365" w:rsidP="004056FF">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Źródło danych</w:t>
            </w:r>
          </w:p>
        </w:tc>
        <w:tc>
          <w:tcPr>
            <w:tcW w:w="764" w:type="pct"/>
          </w:tcPr>
          <w:p w14:paraId="52C32273" w14:textId="6E5B09B4" w:rsidR="00477962" w:rsidRPr="00000498" w:rsidRDefault="00813365" w:rsidP="00846B5B">
            <w:pPr>
              <w:spacing w:before="120" w:after="120" w:line="480" w:lineRule="auto"/>
              <w:ind w:right="254"/>
              <w:jc w:val="both"/>
              <w:rPr>
                <w:rFonts w:asciiTheme="minorHAnsi" w:hAnsiTheme="minorHAnsi" w:cstheme="minorHAnsi"/>
                <w:b/>
                <w:szCs w:val="24"/>
                <w:lang w:val="pl-PL"/>
              </w:rPr>
            </w:pPr>
            <w:r w:rsidRPr="00000498">
              <w:rPr>
                <w:rFonts w:asciiTheme="minorHAnsi" w:hAnsiTheme="minorHAnsi" w:cstheme="minorHAnsi"/>
                <w:b/>
                <w:szCs w:val="24"/>
                <w:lang w:val="pl-PL"/>
              </w:rPr>
              <w:t>Uwagi</w:t>
            </w:r>
          </w:p>
        </w:tc>
      </w:tr>
      <w:tr w:rsidR="00435B15" w:rsidRPr="00367EF1" w14:paraId="3952B282" w14:textId="77777777" w:rsidTr="00F879CC">
        <w:trPr>
          <w:trHeight w:val="629"/>
        </w:trPr>
        <w:tc>
          <w:tcPr>
            <w:tcW w:w="410" w:type="pct"/>
          </w:tcPr>
          <w:p w14:paraId="5854317B" w14:textId="77777777" w:rsidR="00435B15" w:rsidRPr="00000498" w:rsidRDefault="00435B15" w:rsidP="00435B15">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3</w:t>
            </w:r>
          </w:p>
        </w:tc>
        <w:tc>
          <w:tcPr>
            <w:tcW w:w="513" w:type="pct"/>
          </w:tcPr>
          <w:p w14:paraId="30FB1260" w14:textId="6951D4CE" w:rsidR="00435B15" w:rsidRPr="00000498" w:rsidRDefault="00435B15" w:rsidP="00435B15">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i</w:t>
            </w:r>
          </w:p>
        </w:tc>
        <w:tc>
          <w:tcPr>
            <w:tcW w:w="322" w:type="pct"/>
          </w:tcPr>
          <w:p w14:paraId="2AFCCCC9" w14:textId="77777777" w:rsidR="00435B15" w:rsidRPr="00000498" w:rsidRDefault="00435B15" w:rsidP="00435B15">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PSR1</w:t>
            </w:r>
          </w:p>
        </w:tc>
        <w:tc>
          <w:tcPr>
            <w:tcW w:w="681" w:type="pct"/>
            <w:shd w:val="clear" w:color="auto" w:fill="auto"/>
          </w:tcPr>
          <w:p w14:paraId="3F4901AD" w14:textId="22B6EB06" w:rsidR="00435B15" w:rsidRPr="00000498" w:rsidRDefault="003E22FB" w:rsidP="00435B15">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Organizacje o zwiększonych zdolnościach instytucjonalnych ze względu na udział we współpracy transgranicznej</w:t>
            </w:r>
          </w:p>
        </w:tc>
        <w:tc>
          <w:tcPr>
            <w:tcW w:w="561" w:type="pct"/>
          </w:tcPr>
          <w:p w14:paraId="6ED22EB3" w14:textId="789640C9" w:rsidR="00435B15" w:rsidRPr="00000498" w:rsidRDefault="00435B15" w:rsidP="00072A25">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Organi</w:t>
            </w:r>
            <w:r w:rsidR="00072A25" w:rsidRPr="00000498">
              <w:rPr>
                <w:rFonts w:asciiTheme="minorHAnsi" w:hAnsiTheme="minorHAnsi" w:cstheme="minorHAnsi"/>
                <w:szCs w:val="24"/>
                <w:lang w:val="pl-PL"/>
              </w:rPr>
              <w:t>zacja</w:t>
            </w:r>
          </w:p>
        </w:tc>
        <w:tc>
          <w:tcPr>
            <w:tcW w:w="389" w:type="pct"/>
          </w:tcPr>
          <w:p w14:paraId="1056759A" w14:textId="151CC16F" w:rsidR="00435B15" w:rsidRPr="00000498" w:rsidRDefault="00435B15" w:rsidP="00435B15">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0</w:t>
            </w:r>
          </w:p>
        </w:tc>
        <w:tc>
          <w:tcPr>
            <w:tcW w:w="481" w:type="pct"/>
          </w:tcPr>
          <w:p w14:paraId="5FEA5010" w14:textId="0B358190" w:rsidR="00435B15" w:rsidRPr="00000498" w:rsidRDefault="00435B15" w:rsidP="00435B15">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szCs w:val="24"/>
                <w:lang w:val="pl-PL"/>
              </w:rPr>
              <w:t>2022</w:t>
            </w:r>
          </w:p>
        </w:tc>
        <w:tc>
          <w:tcPr>
            <w:tcW w:w="454" w:type="pct"/>
            <w:shd w:val="clear" w:color="auto" w:fill="auto"/>
          </w:tcPr>
          <w:p w14:paraId="3B0E5BB7" w14:textId="3668B5B3" w:rsidR="00435B15" w:rsidRPr="00000498" w:rsidRDefault="00435B15" w:rsidP="00435B15">
            <w:pPr>
              <w:spacing w:before="120" w:after="120" w:line="240" w:lineRule="auto"/>
              <w:jc w:val="center"/>
              <w:rPr>
                <w:rFonts w:asciiTheme="minorHAnsi" w:hAnsiTheme="minorHAnsi" w:cstheme="minorHAnsi"/>
                <w:szCs w:val="24"/>
                <w:lang w:val="pl-PL"/>
              </w:rPr>
            </w:pPr>
            <w:r w:rsidRPr="00000498">
              <w:rPr>
                <w:rFonts w:asciiTheme="minorHAnsi" w:hAnsiTheme="minorHAnsi" w:cstheme="minorHAnsi"/>
                <w:szCs w:val="24"/>
                <w:lang w:val="pl-PL"/>
              </w:rPr>
              <w:t>471</w:t>
            </w:r>
          </w:p>
        </w:tc>
        <w:tc>
          <w:tcPr>
            <w:tcW w:w="425" w:type="pct"/>
            <w:shd w:val="clear" w:color="auto" w:fill="auto"/>
          </w:tcPr>
          <w:p w14:paraId="30E15685" w14:textId="5F6DE851" w:rsidR="00435B15" w:rsidRPr="00000498" w:rsidRDefault="00435B15" w:rsidP="00435B15">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Sprawozdania z postępów projektów</w:t>
            </w:r>
          </w:p>
        </w:tc>
        <w:tc>
          <w:tcPr>
            <w:tcW w:w="764" w:type="pct"/>
          </w:tcPr>
          <w:p w14:paraId="13BE0322" w14:textId="77777777" w:rsidR="00435B15" w:rsidRPr="00000498" w:rsidRDefault="00435B15" w:rsidP="00435B15">
            <w:pPr>
              <w:spacing w:before="120" w:after="120" w:line="240" w:lineRule="auto"/>
              <w:rPr>
                <w:rFonts w:asciiTheme="minorHAnsi" w:eastAsia="Calibri" w:hAnsiTheme="minorHAnsi" w:cstheme="minorHAnsi"/>
                <w:b/>
                <w:szCs w:val="24"/>
                <w:lang w:val="pl-PL"/>
              </w:rPr>
            </w:pPr>
            <w:r w:rsidRPr="00000498">
              <w:rPr>
                <w:rFonts w:asciiTheme="minorHAnsi" w:eastAsia="Calibri" w:hAnsiTheme="minorHAnsi" w:cstheme="minorHAnsi"/>
                <w:b/>
                <w:szCs w:val="24"/>
                <w:lang w:val="pl-PL"/>
              </w:rPr>
              <w:t>Regularne projekty</w:t>
            </w:r>
          </w:p>
          <w:p w14:paraId="7B8ADBB5" w14:textId="77777777" w:rsidR="00435B15" w:rsidRPr="00000498" w:rsidRDefault="00435B15" w:rsidP="00435B15">
            <w:pPr>
              <w:spacing w:before="120" w:after="120" w:line="240" w:lineRule="auto"/>
              <w:rPr>
                <w:rFonts w:asciiTheme="minorHAnsi" w:eastAsia="Calibri" w:hAnsiTheme="minorHAnsi" w:cstheme="minorHAnsi"/>
                <w:szCs w:val="24"/>
                <w:lang w:val="pl-PL"/>
              </w:rPr>
            </w:pPr>
            <w:r w:rsidRPr="00000498">
              <w:rPr>
                <w:rFonts w:asciiTheme="minorHAnsi" w:eastAsia="Calibri" w:hAnsiTheme="minorHAnsi" w:cstheme="minorHAnsi"/>
                <w:szCs w:val="24"/>
                <w:lang w:val="pl-PL"/>
              </w:rPr>
              <w:t>Szacuje się, że oprócz organizacji obliczonych dla RCO87, 10 organizacji spoza partnerstwa na projekt zwiększy swoje możliwości instytucjonalne (łącznie 421 organizacji)</w:t>
            </w:r>
          </w:p>
          <w:p w14:paraId="191B9CFA" w14:textId="77777777" w:rsidR="00435B15" w:rsidRPr="00000498" w:rsidRDefault="00435B15" w:rsidP="00435B15">
            <w:pPr>
              <w:spacing w:before="120" w:after="120" w:line="240" w:lineRule="auto"/>
              <w:rPr>
                <w:rFonts w:asciiTheme="minorHAnsi" w:eastAsia="Calibri" w:hAnsiTheme="minorHAnsi" w:cstheme="minorHAnsi"/>
                <w:b/>
                <w:szCs w:val="24"/>
                <w:lang w:val="pl-PL"/>
              </w:rPr>
            </w:pPr>
            <w:r w:rsidRPr="00000498">
              <w:rPr>
                <w:rFonts w:asciiTheme="minorHAnsi" w:eastAsia="Calibri" w:hAnsiTheme="minorHAnsi" w:cstheme="minorHAnsi"/>
                <w:b/>
                <w:szCs w:val="24"/>
                <w:lang w:val="pl-PL"/>
              </w:rPr>
              <w:t>Małe projekty</w:t>
            </w:r>
          </w:p>
          <w:p w14:paraId="4FC0FA64" w14:textId="5361DDCA" w:rsidR="00435B15" w:rsidRPr="00000498" w:rsidRDefault="00435B15" w:rsidP="00435B15">
            <w:pPr>
              <w:spacing w:after="200" w:line="276" w:lineRule="auto"/>
              <w:rPr>
                <w:rFonts w:asciiTheme="minorHAnsi" w:hAnsiTheme="minorHAnsi" w:cstheme="minorHAnsi"/>
                <w:szCs w:val="24"/>
                <w:lang w:val="pl-PL"/>
              </w:rPr>
            </w:pPr>
            <w:r w:rsidRPr="00000498">
              <w:rPr>
                <w:rFonts w:asciiTheme="minorHAnsi" w:eastAsia="Calibri" w:hAnsiTheme="minorHAnsi" w:cstheme="minorHAnsi"/>
                <w:szCs w:val="24"/>
                <w:lang w:val="pl-PL"/>
              </w:rPr>
              <w:t xml:space="preserve">Szacuje się, że </w:t>
            </w:r>
            <w:r w:rsidRPr="00000498">
              <w:rPr>
                <w:rFonts w:asciiTheme="minorHAnsi" w:eastAsia="Calibri" w:hAnsiTheme="minorHAnsi" w:cstheme="minorHAnsi"/>
                <w:szCs w:val="24"/>
                <w:lang w:val="pl-PL"/>
              </w:rPr>
              <w:lastRenderedPageBreak/>
              <w:t>oprócz organizacji obliczonych dla RCO87, 5 organizacji spoza partnerstwa na projekt zwiększy swoje możliwości instytucjonalne (łącznie 50 organizacji).</w:t>
            </w:r>
          </w:p>
        </w:tc>
      </w:tr>
      <w:tr w:rsidR="00D06AD1" w:rsidRPr="00367EF1" w14:paraId="375D8C49" w14:textId="77777777" w:rsidTr="00F879CC">
        <w:trPr>
          <w:trHeight w:val="629"/>
        </w:trPr>
        <w:tc>
          <w:tcPr>
            <w:tcW w:w="410" w:type="pct"/>
          </w:tcPr>
          <w:p w14:paraId="3496F972" w14:textId="77777777" w:rsidR="00D06AD1" w:rsidRPr="00000498" w:rsidRDefault="00D06AD1" w:rsidP="00D06AD1">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lastRenderedPageBreak/>
              <w:t>3</w:t>
            </w:r>
          </w:p>
        </w:tc>
        <w:tc>
          <w:tcPr>
            <w:tcW w:w="513" w:type="pct"/>
          </w:tcPr>
          <w:p w14:paraId="1EEC6A8D" w14:textId="035DD5DB" w:rsidR="00D06AD1" w:rsidRPr="00000498" w:rsidRDefault="00D06AD1" w:rsidP="00D06AD1">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i</w:t>
            </w:r>
          </w:p>
        </w:tc>
        <w:tc>
          <w:tcPr>
            <w:tcW w:w="322" w:type="pct"/>
          </w:tcPr>
          <w:p w14:paraId="6EC0586B" w14:textId="77777777" w:rsidR="00D06AD1" w:rsidRPr="00000498" w:rsidRDefault="00D06AD1" w:rsidP="00D06AD1">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RCR</w:t>
            </w:r>
            <w:r w:rsidRPr="00000498">
              <w:rPr>
                <w:rFonts w:asciiTheme="minorHAnsi" w:hAnsiTheme="minorHAnsi" w:cstheme="minorHAnsi"/>
                <w:szCs w:val="24"/>
                <w:lang w:val="pl-PL"/>
              </w:rPr>
              <w:br/>
              <w:t>104</w:t>
            </w:r>
          </w:p>
        </w:tc>
        <w:tc>
          <w:tcPr>
            <w:tcW w:w="681" w:type="pct"/>
            <w:shd w:val="clear" w:color="auto" w:fill="auto"/>
          </w:tcPr>
          <w:p w14:paraId="640CFFB9" w14:textId="5F38FCA6" w:rsidR="00D06AD1" w:rsidRPr="00000498" w:rsidRDefault="003E22FB" w:rsidP="00D06AD1">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Rozwiązania przyjęte lub rozbudowane przez organizacje</w:t>
            </w:r>
          </w:p>
        </w:tc>
        <w:tc>
          <w:tcPr>
            <w:tcW w:w="561" w:type="pct"/>
          </w:tcPr>
          <w:p w14:paraId="61BB49FA" w14:textId="2A86454F" w:rsidR="00D06AD1" w:rsidRPr="00000498" w:rsidRDefault="00072A25" w:rsidP="00072A25">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Rozwiązanie</w:t>
            </w:r>
          </w:p>
        </w:tc>
        <w:tc>
          <w:tcPr>
            <w:tcW w:w="389" w:type="pct"/>
          </w:tcPr>
          <w:p w14:paraId="6911D9A1" w14:textId="1499598D" w:rsidR="00D06AD1" w:rsidRPr="00000498" w:rsidRDefault="00D06AD1" w:rsidP="00D06AD1">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0</w:t>
            </w:r>
          </w:p>
        </w:tc>
        <w:tc>
          <w:tcPr>
            <w:tcW w:w="481" w:type="pct"/>
          </w:tcPr>
          <w:p w14:paraId="6CD6DF36" w14:textId="5A0D3EC1" w:rsidR="00D06AD1" w:rsidRPr="00000498" w:rsidRDefault="00D06AD1" w:rsidP="00D06AD1">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szCs w:val="24"/>
                <w:lang w:val="pl-PL"/>
              </w:rPr>
              <w:t>2022</w:t>
            </w:r>
          </w:p>
        </w:tc>
        <w:tc>
          <w:tcPr>
            <w:tcW w:w="454" w:type="pct"/>
            <w:shd w:val="clear" w:color="auto" w:fill="auto"/>
          </w:tcPr>
          <w:p w14:paraId="0A3DFFC6" w14:textId="4B5F627A" w:rsidR="00D06AD1" w:rsidRPr="00000498" w:rsidRDefault="00D06AD1" w:rsidP="00D06AD1">
            <w:pPr>
              <w:spacing w:before="120" w:after="120" w:line="240" w:lineRule="auto"/>
              <w:jc w:val="center"/>
              <w:rPr>
                <w:rFonts w:asciiTheme="minorHAnsi" w:hAnsiTheme="minorHAnsi" w:cstheme="minorHAnsi"/>
                <w:szCs w:val="24"/>
                <w:lang w:val="pl-PL"/>
              </w:rPr>
            </w:pPr>
            <w:r w:rsidRPr="00000498">
              <w:rPr>
                <w:rFonts w:asciiTheme="minorHAnsi" w:hAnsiTheme="minorHAnsi" w:cstheme="minorHAnsi"/>
                <w:szCs w:val="24"/>
                <w:lang w:val="pl-PL"/>
              </w:rPr>
              <w:t>12</w:t>
            </w:r>
          </w:p>
        </w:tc>
        <w:tc>
          <w:tcPr>
            <w:tcW w:w="425" w:type="pct"/>
            <w:shd w:val="clear" w:color="auto" w:fill="auto"/>
          </w:tcPr>
          <w:p w14:paraId="078A0ACD" w14:textId="51D638AD" w:rsidR="00D06AD1" w:rsidRPr="00000498" w:rsidRDefault="00813365" w:rsidP="00D06AD1">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Sprawozdania z postępów projektów</w:t>
            </w:r>
          </w:p>
        </w:tc>
        <w:tc>
          <w:tcPr>
            <w:tcW w:w="764" w:type="pct"/>
          </w:tcPr>
          <w:p w14:paraId="56BE4A40" w14:textId="77777777" w:rsidR="003E22FB" w:rsidRPr="00000498" w:rsidRDefault="003E22FB" w:rsidP="003E22FB">
            <w:pPr>
              <w:spacing w:before="120" w:after="120" w:line="240" w:lineRule="auto"/>
              <w:rPr>
                <w:rFonts w:asciiTheme="minorHAnsi" w:eastAsia="Calibri" w:hAnsiTheme="minorHAnsi" w:cstheme="minorHAnsi"/>
                <w:b/>
                <w:szCs w:val="24"/>
                <w:lang w:val="pl-PL"/>
              </w:rPr>
            </w:pPr>
            <w:bookmarkStart w:id="110" w:name="OLE_LINK242"/>
            <w:bookmarkStart w:id="111" w:name="OLE_LINK243"/>
            <w:r w:rsidRPr="00000498">
              <w:rPr>
                <w:rFonts w:asciiTheme="minorHAnsi" w:eastAsia="Calibri" w:hAnsiTheme="minorHAnsi" w:cstheme="minorHAnsi"/>
                <w:b/>
                <w:szCs w:val="24"/>
                <w:lang w:val="pl-PL"/>
              </w:rPr>
              <w:t>Regularne projekty</w:t>
            </w:r>
          </w:p>
          <w:p w14:paraId="5D334E71" w14:textId="77777777" w:rsidR="003E22FB" w:rsidRPr="00000498" w:rsidRDefault="003E22FB" w:rsidP="003E22FB">
            <w:pPr>
              <w:spacing w:before="120" w:after="120" w:line="240" w:lineRule="auto"/>
              <w:rPr>
                <w:rFonts w:asciiTheme="minorHAnsi" w:eastAsia="Calibri" w:hAnsiTheme="minorHAnsi" w:cstheme="minorHAnsi"/>
                <w:szCs w:val="24"/>
                <w:lang w:val="pl-PL"/>
              </w:rPr>
            </w:pPr>
            <w:r w:rsidRPr="00000498">
              <w:rPr>
                <w:rFonts w:asciiTheme="minorHAnsi" w:eastAsia="Calibri" w:hAnsiTheme="minorHAnsi" w:cstheme="minorHAnsi"/>
                <w:szCs w:val="24"/>
                <w:lang w:val="pl-PL"/>
              </w:rPr>
              <w:t>Oczekuje się, iż w ramach (średnio) każdego projektu zostanie opracowane 1 rozwiązanie, które zostanie zastosowane lub rozbudowane (łącznie 11 rozwiązań)</w:t>
            </w:r>
          </w:p>
          <w:p w14:paraId="1455330C" w14:textId="77777777" w:rsidR="003E22FB" w:rsidRPr="00000498" w:rsidRDefault="003E22FB" w:rsidP="003E22FB">
            <w:pPr>
              <w:spacing w:before="120" w:after="120" w:line="240" w:lineRule="auto"/>
              <w:rPr>
                <w:rFonts w:asciiTheme="minorHAnsi" w:eastAsia="Calibri" w:hAnsiTheme="minorHAnsi" w:cstheme="minorHAnsi"/>
                <w:b/>
                <w:szCs w:val="24"/>
                <w:lang w:val="pl-PL"/>
              </w:rPr>
            </w:pPr>
            <w:r w:rsidRPr="00000498">
              <w:rPr>
                <w:rFonts w:asciiTheme="minorHAnsi" w:eastAsia="Calibri" w:hAnsiTheme="minorHAnsi" w:cstheme="minorHAnsi"/>
                <w:b/>
                <w:szCs w:val="24"/>
                <w:lang w:val="pl-PL"/>
              </w:rPr>
              <w:t>Małe projekty</w:t>
            </w:r>
          </w:p>
          <w:p w14:paraId="55CD12F8" w14:textId="2A6166F5" w:rsidR="00D06AD1" w:rsidRPr="00000498" w:rsidRDefault="003E22FB" w:rsidP="003E22FB">
            <w:pPr>
              <w:spacing w:after="200" w:line="276" w:lineRule="auto"/>
              <w:rPr>
                <w:rFonts w:asciiTheme="minorHAnsi" w:hAnsiTheme="minorHAnsi" w:cstheme="minorHAnsi"/>
                <w:szCs w:val="24"/>
                <w:lang w:val="pl-PL"/>
              </w:rPr>
            </w:pPr>
            <w:r w:rsidRPr="00000498">
              <w:rPr>
                <w:rFonts w:asciiTheme="minorHAnsi" w:eastAsia="Calibri" w:hAnsiTheme="minorHAnsi" w:cstheme="minorHAnsi"/>
                <w:szCs w:val="24"/>
                <w:lang w:val="pl-PL"/>
              </w:rPr>
              <w:t xml:space="preserve">Oczekuje się, że w ramach (średnio) 20% projektów zostanie </w:t>
            </w:r>
            <w:r w:rsidRPr="00000498">
              <w:rPr>
                <w:rFonts w:asciiTheme="minorHAnsi" w:eastAsia="Calibri" w:hAnsiTheme="minorHAnsi" w:cstheme="minorHAnsi"/>
                <w:szCs w:val="24"/>
                <w:lang w:val="pl-PL"/>
              </w:rPr>
              <w:lastRenderedPageBreak/>
              <w:t>opracowane 1 rozwiązanie, które zostanie zastosowane lub rozbudowane (łącznie 1 rozwiązanie</w:t>
            </w:r>
            <w:bookmarkEnd w:id="110"/>
            <w:bookmarkEnd w:id="111"/>
            <w:r w:rsidRPr="00000498">
              <w:rPr>
                <w:rFonts w:asciiTheme="minorHAnsi" w:eastAsia="Calibri" w:hAnsiTheme="minorHAnsi" w:cstheme="minorHAnsi"/>
                <w:szCs w:val="24"/>
                <w:lang w:val="pl-PL"/>
              </w:rPr>
              <w:t>).</w:t>
            </w:r>
          </w:p>
        </w:tc>
      </w:tr>
    </w:tbl>
    <w:p w14:paraId="1442C2C0" w14:textId="77777777" w:rsidR="00DC072F" w:rsidRPr="00F879CC" w:rsidRDefault="00DC072F" w:rsidP="00DC072F">
      <w:pPr>
        <w:spacing w:before="240" w:after="240" w:line="240" w:lineRule="auto"/>
        <w:ind w:left="709" w:hanging="709"/>
        <w:jc w:val="both"/>
        <w:rPr>
          <w:rFonts w:asciiTheme="minorHAnsi" w:eastAsia="Times New Roman" w:hAnsiTheme="minorHAnsi" w:cstheme="minorHAnsi"/>
          <w:b/>
          <w:iCs/>
          <w:szCs w:val="24"/>
          <w:lang w:val="pl-PL" w:eastAsia="en-GB"/>
        </w:rPr>
      </w:pPr>
    </w:p>
    <w:p w14:paraId="60360608" w14:textId="4C759020" w:rsidR="00DC072F" w:rsidRPr="00767B72" w:rsidRDefault="00DC072F" w:rsidP="00000498">
      <w:pPr>
        <w:spacing w:before="240" w:after="240" w:line="276" w:lineRule="auto"/>
        <w:ind w:left="709" w:hanging="709"/>
        <w:rPr>
          <w:rFonts w:asciiTheme="minorHAnsi" w:eastAsia="Times New Roman" w:hAnsiTheme="minorHAnsi" w:cstheme="minorHAnsi"/>
          <w:b/>
          <w:iCs/>
          <w:szCs w:val="24"/>
          <w:lang w:val="pl-PL" w:eastAsia="en-GB"/>
        </w:rPr>
      </w:pPr>
      <w:r w:rsidRPr="00767B72">
        <w:rPr>
          <w:rFonts w:asciiTheme="minorHAnsi" w:eastAsia="Times New Roman" w:hAnsiTheme="minorHAnsi" w:cstheme="minorHAnsi"/>
          <w:b/>
          <w:iCs/>
          <w:szCs w:val="24"/>
          <w:lang w:val="pl-PL" w:eastAsia="en-GB"/>
        </w:rPr>
        <w:t>2.3.2.3</w:t>
      </w:r>
      <w:r w:rsidRPr="00767B72">
        <w:rPr>
          <w:rFonts w:asciiTheme="minorHAnsi" w:eastAsia="Times New Roman" w:hAnsiTheme="minorHAnsi" w:cstheme="minorHAnsi"/>
          <w:b/>
          <w:iCs/>
          <w:szCs w:val="24"/>
          <w:lang w:val="pl-PL" w:eastAsia="en-GB"/>
        </w:rPr>
        <w:tab/>
      </w:r>
      <w:r w:rsidR="00767B72" w:rsidRPr="00767B72">
        <w:rPr>
          <w:rFonts w:asciiTheme="minorHAnsi" w:eastAsia="Times New Roman" w:hAnsiTheme="minorHAnsi" w:cstheme="minorHAnsi"/>
          <w:b/>
          <w:iCs/>
          <w:szCs w:val="24"/>
          <w:lang w:val="pl-PL" w:eastAsia="en-GB"/>
        </w:rPr>
        <w:t xml:space="preserve"> </w:t>
      </w:r>
      <w:r w:rsidR="00813365" w:rsidRPr="00767B72">
        <w:rPr>
          <w:rFonts w:asciiTheme="minorHAnsi" w:eastAsia="Times New Roman" w:hAnsiTheme="minorHAnsi" w:cstheme="minorHAnsi"/>
          <w:b/>
          <w:iCs/>
          <w:szCs w:val="24"/>
          <w:lang w:val="pl-PL" w:eastAsia="en-GB"/>
        </w:rPr>
        <w:t>Podstawowe grupy docelowe</w:t>
      </w:r>
    </w:p>
    <w:p w14:paraId="13924949" w14:textId="5A79CE22" w:rsidR="00DC072F" w:rsidRPr="00000498" w:rsidRDefault="00072A25" w:rsidP="00000498">
      <w:pPr>
        <w:spacing w:after="20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Dotyczy: art. 17 ust. 4 lit. e) ppkt (iii), art. 17 ust. 9 lit. c) ppkt (iv)</w:t>
      </w:r>
    </w:p>
    <w:p w14:paraId="6E1229F8" w14:textId="23BFBB92" w:rsidR="00DC072F" w:rsidRPr="00000498" w:rsidRDefault="00072A25" w:rsidP="00000498">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Program jest skierowany do władz publicznych na szczeblu lokalnym, regionalnym i krajowym, jako głównych czynników napędzających dekarbonizację systemów energetycznych. Gminy, rady regionalne, ministerstwa</w:t>
      </w:r>
      <w:r w:rsidR="00846B5B" w:rsidRPr="00000498">
        <w:rPr>
          <w:rFonts w:asciiTheme="minorHAnsi" w:eastAsia="Times New Roman" w:hAnsiTheme="minorHAnsi" w:cstheme="minorHAnsi"/>
          <w:szCs w:val="24"/>
          <w:lang w:val="pl-PL" w:eastAsia="en-GB"/>
        </w:rPr>
        <w:t>,</w:t>
      </w:r>
      <w:r w:rsidRPr="00000498">
        <w:rPr>
          <w:rFonts w:asciiTheme="minorHAnsi" w:eastAsia="Times New Roman" w:hAnsiTheme="minorHAnsi" w:cstheme="minorHAnsi"/>
          <w:szCs w:val="24"/>
          <w:lang w:val="pl-PL" w:eastAsia="en-GB"/>
        </w:rPr>
        <w:t xml:space="preserve"> a także agencje rządowe odgrywają ważną rolę w wyznaczaniu strategicznego kierunku zwiększania efektywności energetycznej oraz wytwarzania i wykorzystywania energii odnawialnej; odgrywają ważną rolę w mobilizowaniu przemysłu i obywateli do wprowadzania rozwiązań energetycznych na rzecz neutralności klimatycznej. Program skierowany jest również do organizacji wspierających tę transformację</w:t>
      </w:r>
      <w:r w:rsidR="00846B5B" w:rsidRPr="00000498">
        <w:rPr>
          <w:rFonts w:asciiTheme="minorHAnsi" w:eastAsia="Times New Roman" w:hAnsiTheme="minorHAnsi" w:cstheme="minorHAnsi"/>
          <w:szCs w:val="24"/>
          <w:lang w:val="pl-PL" w:eastAsia="en-GB"/>
        </w:rPr>
        <w:t xml:space="preserve">, tj. </w:t>
      </w:r>
      <w:r w:rsidRPr="00000498">
        <w:rPr>
          <w:rFonts w:asciiTheme="minorHAnsi" w:eastAsia="Times New Roman" w:hAnsiTheme="minorHAnsi" w:cstheme="minorHAnsi"/>
          <w:szCs w:val="24"/>
          <w:lang w:val="pl-PL" w:eastAsia="en-GB"/>
        </w:rPr>
        <w:t>agencj</w:t>
      </w:r>
      <w:r w:rsidR="00846B5B" w:rsidRPr="00000498">
        <w:rPr>
          <w:rFonts w:asciiTheme="minorHAnsi" w:eastAsia="Times New Roman" w:hAnsiTheme="minorHAnsi" w:cstheme="minorHAnsi"/>
          <w:szCs w:val="24"/>
          <w:lang w:val="pl-PL" w:eastAsia="en-GB"/>
        </w:rPr>
        <w:t>i</w:t>
      </w:r>
      <w:r w:rsidRPr="00000498">
        <w:rPr>
          <w:rFonts w:asciiTheme="minorHAnsi" w:eastAsia="Times New Roman" w:hAnsiTheme="minorHAnsi" w:cstheme="minorHAnsi"/>
          <w:szCs w:val="24"/>
          <w:lang w:val="pl-PL" w:eastAsia="en-GB"/>
        </w:rPr>
        <w:t xml:space="preserve"> branżow</w:t>
      </w:r>
      <w:r w:rsidR="00846B5B" w:rsidRPr="00000498">
        <w:rPr>
          <w:rFonts w:asciiTheme="minorHAnsi" w:eastAsia="Times New Roman" w:hAnsiTheme="minorHAnsi" w:cstheme="minorHAnsi"/>
          <w:szCs w:val="24"/>
          <w:lang w:val="pl-PL" w:eastAsia="en-GB"/>
        </w:rPr>
        <w:t>ych</w:t>
      </w:r>
      <w:r w:rsidRPr="00000498">
        <w:rPr>
          <w:rFonts w:asciiTheme="minorHAnsi" w:eastAsia="Times New Roman" w:hAnsiTheme="minorHAnsi" w:cstheme="minorHAnsi"/>
          <w:szCs w:val="24"/>
          <w:lang w:val="pl-PL" w:eastAsia="en-GB"/>
        </w:rPr>
        <w:t>, ośrodk</w:t>
      </w:r>
      <w:r w:rsidR="00846B5B" w:rsidRPr="00000498">
        <w:rPr>
          <w:rFonts w:asciiTheme="minorHAnsi" w:eastAsia="Times New Roman" w:hAnsiTheme="minorHAnsi" w:cstheme="minorHAnsi"/>
          <w:szCs w:val="24"/>
          <w:lang w:val="pl-PL" w:eastAsia="en-GB"/>
        </w:rPr>
        <w:t>ów</w:t>
      </w:r>
      <w:r w:rsidRPr="00000498">
        <w:rPr>
          <w:rFonts w:asciiTheme="minorHAnsi" w:eastAsia="Times New Roman" w:hAnsiTheme="minorHAnsi" w:cstheme="minorHAnsi"/>
          <w:szCs w:val="24"/>
          <w:lang w:val="pl-PL" w:eastAsia="en-GB"/>
        </w:rPr>
        <w:t xml:space="preserve"> i rad doradcz</w:t>
      </w:r>
      <w:r w:rsidR="00846B5B" w:rsidRPr="00000498">
        <w:rPr>
          <w:rFonts w:asciiTheme="minorHAnsi" w:eastAsia="Times New Roman" w:hAnsiTheme="minorHAnsi" w:cstheme="minorHAnsi"/>
          <w:szCs w:val="24"/>
          <w:lang w:val="pl-PL" w:eastAsia="en-GB"/>
        </w:rPr>
        <w:t>ych</w:t>
      </w:r>
      <w:r w:rsidRPr="00000498">
        <w:rPr>
          <w:rFonts w:asciiTheme="minorHAnsi" w:eastAsia="Times New Roman" w:hAnsiTheme="minorHAnsi" w:cstheme="minorHAnsi"/>
          <w:szCs w:val="24"/>
          <w:lang w:val="pl-PL" w:eastAsia="en-GB"/>
        </w:rPr>
        <w:t>, organizacj</w:t>
      </w:r>
      <w:r w:rsidR="00846B5B" w:rsidRPr="00000498">
        <w:rPr>
          <w:rFonts w:asciiTheme="minorHAnsi" w:eastAsia="Times New Roman" w:hAnsiTheme="minorHAnsi" w:cstheme="minorHAnsi"/>
          <w:szCs w:val="24"/>
          <w:lang w:val="pl-PL" w:eastAsia="en-GB"/>
        </w:rPr>
        <w:t>i</w:t>
      </w:r>
      <w:r w:rsidRPr="00000498">
        <w:rPr>
          <w:rFonts w:asciiTheme="minorHAnsi" w:eastAsia="Times New Roman" w:hAnsiTheme="minorHAnsi" w:cstheme="minorHAnsi"/>
          <w:szCs w:val="24"/>
          <w:lang w:val="pl-PL" w:eastAsia="en-GB"/>
        </w:rPr>
        <w:t xml:space="preserve"> wsp</w:t>
      </w:r>
      <w:r w:rsidR="00846B5B" w:rsidRPr="00000498">
        <w:rPr>
          <w:rFonts w:asciiTheme="minorHAnsi" w:eastAsia="Times New Roman" w:hAnsiTheme="minorHAnsi" w:cstheme="minorHAnsi"/>
          <w:szCs w:val="24"/>
          <w:lang w:val="pl-PL" w:eastAsia="en-GB"/>
        </w:rPr>
        <w:t>a</w:t>
      </w:r>
      <w:r w:rsidRPr="00000498">
        <w:rPr>
          <w:rFonts w:asciiTheme="minorHAnsi" w:eastAsia="Times New Roman" w:hAnsiTheme="minorHAnsi" w:cstheme="minorHAnsi"/>
          <w:szCs w:val="24"/>
          <w:lang w:val="pl-PL" w:eastAsia="en-GB"/>
        </w:rPr>
        <w:t>r</w:t>
      </w:r>
      <w:r w:rsidR="00846B5B" w:rsidRPr="00000498">
        <w:rPr>
          <w:rFonts w:asciiTheme="minorHAnsi" w:eastAsia="Times New Roman" w:hAnsiTheme="minorHAnsi" w:cstheme="minorHAnsi"/>
          <w:szCs w:val="24"/>
          <w:lang w:val="pl-PL" w:eastAsia="en-GB"/>
        </w:rPr>
        <w:t>cia</w:t>
      </w:r>
      <w:r w:rsidRPr="00000498">
        <w:rPr>
          <w:rFonts w:asciiTheme="minorHAnsi" w:eastAsia="Times New Roman" w:hAnsiTheme="minorHAnsi" w:cstheme="minorHAnsi"/>
          <w:szCs w:val="24"/>
          <w:lang w:val="pl-PL" w:eastAsia="en-GB"/>
        </w:rPr>
        <w:t xml:space="preserve"> biznes</w:t>
      </w:r>
      <w:r w:rsidR="00846B5B" w:rsidRPr="00000498">
        <w:rPr>
          <w:rFonts w:asciiTheme="minorHAnsi" w:eastAsia="Times New Roman" w:hAnsiTheme="minorHAnsi" w:cstheme="minorHAnsi"/>
          <w:szCs w:val="24"/>
          <w:lang w:val="pl-PL" w:eastAsia="en-GB"/>
        </w:rPr>
        <w:t>u</w:t>
      </w:r>
      <w:r w:rsidRPr="00000498">
        <w:rPr>
          <w:rFonts w:asciiTheme="minorHAnsi" w:eastAsia="Times New Roman" w:hAnsiTheme="minorHAnsi" w:cstheme="minorHAnsi"/>
          <w:szCs w:val="24"/>
          <w:lang w:val="pl-PL" w:eastAsia="en-GB"/>
        </w:rPr>
        <w:t>, dostawc</w:t>
      </w:r>
      <w:r w:rsidR="00846B5B" w:rsidRPr="00000498">
        <w:rPr>
          <w:rFonts w:asciiTheme="minorHAnsi" w:eastAsia="Times New Roman" w:hAnsiTheme="minorHAnsi" w:cstheme="minorHAnsi"/>
          <w:szCs w:val="24"/>
          <w:lang w:val="pl-PL" w:eastAsia="en-GB"/>
        </w:rPr>
        <w:t>ów</w:t>
      </w:r>
      <w:r w:rsidRPr="00000498">
        <w:rPr>
          <w:rFonts w:asciiTheme="minorHAnsi" w:eastAsia="Times New Roman" w:hAnsiTheme="minorHAnsi" w:cstheme="minorHAnsi"/>
          <w:szCs w:val="24"/>
          <w:lang w:val="pl-PL" w:eastAsia="en-GB"/>
        </w:rPr>
        <w:t xml:space="preserve"> infrastruktury i usług oraz przedsiębiorstw. Zaangażowanie obywateli jest wspierane przez stowarzyszenia lub organizacje pozarządowe. Instytucje szkolnictwa wyższego i badawcze, a także ośrodki edukacyjne i szkoleniowe mogą również się przyłączyć, ponieważ ich wiedza i kompetencje są bardzo ważne dla opracowania wykonalnych i wydajnych rozwiązań energetycznych</w:t>
      </w:r>
      <w:r w:rsidR="00DC072F" w:rsidRPr="00000498">
        <w:rPr>
          <w:rFonts w:asciiTheme="minorHAnsi" w:eastAsia="Times New Roman" w:hAnsiTheme="minorHAnsi" w:cstheme="minorHAnsi"/>
          <w:szCs w:val="24"/>
          <w:lang w:val="pl-PL" w:eastAsia="en-GB"/>
        </w:rPr>
        <w:t>.</w:t>
      </w:r>
    </w:p>
    <w:p w14:paraId="49E0EEA1" w14:textId="3BFD4D49" w:rsidR="00DC072F" w:rsidRPr="00C94B2A" w:rsidRDefault="00DC072F" w:rsidP="00000498">
      <w:pPr>
        <w:spacing w:before="240" w:after="240" w:line="276" w:lineRule="auto"/>
        <w:ind w:left="709" w:hanging="709"/>
        <w:rPr>
          <w:rFonts w:asciiTheme="minorHAnsi" w:eastAsia="Times New Roman" w:hAnsiTheme="minorHAnsi" w:cstheme="minorHAnsi"/>
          <w:b/>
          <w:iCs/>
          <w:szCs w:val="24"/>
          <w:lang w:val="pl-PL" w:eastAsia="en-GB"/>
        </w:rPr>
      </w:pPr>
      <w:r w:rsidRPr="00767B72">
        <w:rPr>
          <w:rFonts w:asciiTheme="minorHAnsi" w:eastAsia="Times New Roman" w:hAnsiTheme="minorHAnsi" w:cstheme="minorHAnsi"/>
          <w:b/>
          <w:iCs/>
          <w:szCs w:val="24"/>
          <w:lang w:val="pl-PL" w:eastAsia="en-GB"/>
        </w:rPr>
        <w:t>2.3.2.4</w:t>
      </w:r>
      <w:r w:rsidRPr="00767B72">
        <w:rPr>
          <w:rFonts w:asciiTheme="minorHAnsi" w:eastAsia="Times New Roman" w:hAnsiTheme="minorHAnsi" w:cstheme="minorHAnsi"/>
          <w:b/>
          <w:iCs/>
          <w:szCs w:val="24"/>
          <w:lang w:val="pl-PL" w:eastAsia="en-GB"/>
        </w:rPr>
        <w:tab/>
      </w:r>
      <w:r w:rsidR="00767B72" w:rsidRPr="00767B72">
        <w:rPr>
          <w:rFonts w:asciiTheme="minorHAnsi" w:eastAsia="Times New Roman" w:hAnsiTheme="minorHAnsi" w:cstheme="minorHAnsi"/>
          <w:b/>
          <w:iCs/>
          <w:szCs w:val="24"/>
          <w:lang w:val="pl-PL" w:eastAsia="en-GB"/>
        </w:rPr>
        <w:t xml:space="preserve"> </w:t>
      </w:r>
      <w:r w:rsidR="00813365" w:rsidRPr="00767B72">
        <w:rPr>
          <w:rFonts w:asciiTheme="minorHAnsi" w:eastAsia="Times New Roman" w:hAnsiTheme="minorHAnsi" w:cstheme="minorHAnsi"/>
          <w:b/>
          <w:iCs/>
          <w:szCs w:val="24"/>
          <w:lang w:val="pl-PL" w:eastAsia="en-GB"/>
        </w:rPr>
        <w:t>Wskazanie konkretnych terytoriów docelowych w tym planowane wykorzystanie ZIT, RLKS lub innych narzędzi terytorialnych</w:t>
      </w:r>
    </w:p>
    <w:p w14:paraId="552F60BE" w14:textId="70D81682" w:rsidR="00DC072F" w:rsidRPr="00000498" w:rsidRDefault="00072A25" w:rsidP="00000498">
      <w:pPr>
        <w:spacing w:after="20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Dotyczy: art. 17 ust. 4 lit. e) ppkt (iv)</w:t>
      </w:r>
    </w:p>
    <w:p w14:paraId="159F3317" w14:textId="3EF82C27" w:rsidR="00DC072F" w:rsidRPr="00000498" w:rsidRDefault="00072A25" w:rsidP="00000498">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 xml:space="preserve">Program nie przewiduje wykorzystania jakichkolwiek narzędzi </w:t>
      </w:r>
      <w:r w:rsidR="00A05A16" w:rsidRPr="00000498">
        <w:rPr>
          <w:rFonts w:asciiTheme="minorHAnsi" w:eastAsia="Times New Roman" w:hAnsiTheme="minorHAnsi" w:cstheme="minorHAnsi"/>
          <w:szCs w:val="24"/>
          <w:lang w:val="pl-PL" w:eastAsia="en-GB"/>
        </w:rPr>
        <w:t>terytorialnych, o których</w:t>
      </w:r>
      <w:r w:rsidRPr="00000498">
        <w:rPr>
          <w:rFonts w:asciiTheme="minorHAnsi" w:eastAsia="Times New Roman" w:hAnsiTheme="minorHAnsi" w:cstheme="minorHAnsi"/>
          <w:szCs w:val="24"/>
          <w:lang w:val="pl-PL" w:eastAsia="en-GB"/>
        </w:rPr>
        <w:t xml:space="preserve"> mowa powyżej. Działania w ramach tego celu szczegółowego dotyczą wyzwań i szans całego regionu Morza Bałtyckiego.</w:t>
      </w:r>
      <w:r w:rsidR="00846B5B" w:rsidRPr="00000498">
        <w:rPr>
          <w:rFonts w:asciiTheme="minorHAnsi" w:eastAsia="Times New Roman" w:hAnsiTheme="minorHAnsi" w:cstheme="minorHAnsi"/>
          <w:szCs w:val="24"/>
          <w:lang w:val="pl-PL" w:eastAsia="en-GB"/>
        </w:rPr>
        <w:t xml:space="preserve"> </w:t>
      </w:r>
      <w:r w:rsidRPr="00000498">
        <w:rPr>
          <w:rFonts w:asciiTheme="minorHAnsi" w:eastAsia="Times New Roman" w:hAnsiTheme="minorHAnsi" w:cstheme="minorHAnsi"/>
          <w:szCs w:val="24"/>
          <w:lang w:val="pl-PL" w:eastAsia="en-GB"/>
        </w:rPr>
        <w:t xml:space="preserve">Różne działania są ukierunkowane na potrzeby konkretnych obszarów, tj. terenów miejskich i wiejskich, obszarów o różnych lokalnych, biologicznych </w:t>
      </w:r>
      <w:r w:rsidRPr="00000498">
        <w:rPr>
          <w:rFonts w:asciiTheme="minorHAnsi" w:eastAsia="Times New Roman" w:hAnsiTheme="minorHAnsi" w:cstheme="minorHAnsi"/>
          <w:szCs w:val="24"/>
          <w:lang w:val="pl-PL" w:eastAsia="en-GB"/>
        </w:rPr>
        <w:lastRenderedPageBreak/>
        <w:t>źródłach produkcji energii odnawialnej.</w:t>
      </w:r>
      <w:r w:rsidR="00846B5B" w:rsidRPr="00000498">
        <w:rPr>
          <w:rFonts w:asciiTheme="minorHAnsi" w:eastAsia="Times New Roman" w:hAnsiTheme="minorHAnsi" w:cstheme="minorHAnsi"/>
          <w:szCs w:val="24"/>
          <w:lang w:val="pl-PL" w:eastAsia="en-GB"/>
        </w:rPr>
        <w:t xml:space="preserve"> </w:t>
      </w:r>
      <w:r w:rsidRPr="00000498">
        <w:rPr>
          <w:rFonts w:asciiTheme="minorHAnsi" w:eastAsia="Times New Roman" w:hAnsiTheme="minorHAnsi" w:cstheme="minorHAnsi"/>
          <w:szCs w:val="24"/>
          <w:lang w:val="pl-PL" w:eastAsia="en-GB"/>
        </w:rPr>
        <w:t>Zastosowanie energooszczędnych rozwiązań lub rozwiązań do produkcji energii odnawialnej na różnych terytoriach wymaga dostosowania w podejściu i zaangażowania określonych grup docelowych</w:t>
      </w:r>
      <w:r w:rsidR="00DC072F" w:rsidRPr="00000498">
        <w:rPr>
          <w:rFonts w:asciiTheme="minorHAnsi" w:eastAsia="Times New Roman" w:hAnsiTheme="minorHAnsi" w:cstheme="minorHAnsi"/>
          <w:szCs w:val="24"/>
          <w:lang w:val="pl-PL" w:eastAsia="en-GB"/>
        </w:rPr>
        <w:t>.</w:t>
      </w:r>
    </w:p>
    <w:p w14:paraId="1777B992" w14:textId="182AD225" w:rsidR="00DC072F" w:rsidRPr="00767B72" w:rsidRDefault="00DC072F" w:rsidP="00000498">
      <w:pPr>
        <w:spacing w:before="240" w:after="240" w:line="276" w:lineRule="auto"/>
        <w:ind w:left="709" w:hanging="709"/>
        <w:rPr>
          <w:rFonts w:asciiTheme="minorHAnsi" w:eastAsia="Times New Roman" w:hAnsiTheme="minorHAnsi" w:cstheme="minorHAnsi"/>
          <w:b/>
          <w:iCs/>
          <w:szCs w:val="24"/>
          <w:lang w:val="pl-PL" w:eastAsia="en-GB"/>
        </w:rPr>
      </w:pPr>
      <w:r w:rsidRPr="00767B72">
        <w:rPr>
          <w:rFonts w:asciiTheme="minorHAnsi" w:eastAsia="Times New Roman" w:hAnsiTheme="minorHAnsi" w:cstheme="minorHAnsi"/>
          <w:b/>
          <w:iCs/>
          <w:szCs w:val="24"/>
          <w:lang w:val="pl-PL" w:eastAsia="en-GB"/>
        </w:rPr>
        <w:t>2.3.2.5</w:t>
      </w:r>
      <w:r w:rsidRPr="00767B72">
        <w:rPr>
          <w:rFonts w:asciiTheme="minorHAnsi" w:eastAsia="Times New Roman" w:hAnsiTheme="minorHAnsi" w:cstheme="minorHAnsi"/>
          <w:b/>
          <w:iCs/>
          <w:szCs w:val="24"/>
          <w:lang w:val="pl-PL" w:eastAsia="en-GB"/>
        </w:rPr>
        <w:tab/>
      </w:r>
      <w:r w:rsidR="00767B72" w:rsidRPr="00767B72">
        <w:rPr>
          <w:rFonts w:asciiTheme="minorHAnsi" w:eastAsia="Times New Roman" w:hAnsiTheme="minorHAnsi" w:cstheme="minorHAnsi"/>
          <w:b/>
          <w:iCs/>
          <w:szCs w:val="24"/>
          <w:lang w:val="pl-PL" w:eastAsia="en-GB"/>
        </w:rPr>
        <w:t xml:space="preserve"> </w:t>
      </w:r>
      <w:r w:rsidR="00871A6C" w:rsidRPr="00767B72">
        <w:rPr>
          <w:rFonts w:asciiTheme="minorHAnsi" w:eastAsia="Times New Roman" w:hAnsiTheme="minorHAnsi" w:cstheme="minorHAnsi"/>
          <w:b/>
          <w:iCs/>
          <w:szCs w:val="24"/>
          <w:lang w:val="pl-PL" w:eastAsia="en-GB"/>
        </w:rPr>
        <w:t>Planowane wykorzystanie instrumentów finansowych</w:t>
      </w:r>
    </w:p>
    <w:p w14:paraId="6716E310" w14:textId="02F1F7C7" w:rsidR="00DC072F" w:rsidRPr="00000498" w:rsidRDefault="00106AB9" w:rsidP="00000498">
      <w:pPr>
        <w:spacing w:after="20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Dotyczy: art. 17 ust. 4 lit. e) ppkt (v)</w:t>
      </w:r>
    </w:p>
    <w:p w14:paraId="6AC6463A" w14:textId="352A4E8F" w:rsidR="00DC072F" w:rsidRPr="00000498" w:rsidRDefault="00106AB9" w:rsidP="00000498">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iCs/>
          <w:szCs w:val="24"/>
          <w:lang w:val="pl-PL" w:eastAsia="en-GB"/>
        </w:rPr>
      </w:pPr>
      <w:r w:rsidRPr="00767B72">
        <w:rPr>
          <w:rFonts w:asciiTheme="minorHAnsi" w:eastAsia="Times New Roman" w:hAnsiTheme="minorHAnsi" w:cstheme="minorHAnsi"/>
          <w:szCs w:val="24"/>
          <w:lang w:val="pl-PL" w:eastAsia="en-GB"/>
        </w:rPr>
        <w:t>Nie dotyczy</w:t>
      </w:r>
    </w:p>
    <w:p w14:paraId="53812078" w14:textId="388D2876" w:rsidR="00DC072F" w:rsidRPr="00767B72" w:rsidRDefault="00DC072F" w:rsidP="00000498">
      <w:pPr>
        <w:spacing w:before="240" w:after="240" w:line="276" w:lineRule="auto"/>
        <w:ind w:left="709" w:hanging="709"/>
        <w:rPr>
          <w:rFonts w:asciiTheme="minorHAnsi" w:eastAsia="Times New Roman" w:hAnsiTheme="minorHAnsi" w:cstheme="minorHAnsi"/>
          <w:b/>
          <w:iCs/>
          <w:szCs w:val="24"/>
          <w:lang w:val="pl-PL" w:eastAsia="en-GB"/>
        </w:rPr>
      </w:pPr>
      <w:r w:rsidRPr="00767B72">
        <w:rPr>
          <w:rFonts w:asciiTheme="minorHAnsi" w:eastAsia="Times New Roman" w:hAnsiTheme="minorHAnsi" w:cstheme="minorHAnsi"/>
          <w:b/>
          <w:iCs/>
          <w:szCs w:val="24"/>
          <w:lang w:val="pl-PL" w:eastAsia="en-GB"/>
        </w:rPr>
        <w:t>2.3.2.6</w:t>
      </w:r>
      <w:r w:rsidRPr="00767B72">
        <w:rPr>
          <w:rFonts w:asciiTheme="minorHAnsi" w:eastAsia="Times New Roman" w:hAnsiTheme="minorHAnsi" w:cstheme="minorHAnsi"/>
          <w:b/>
          <w:iCs/>
          <w:szCs w:val="24"/>
          <w:lang w:val="pl-PL" w:eastAsia="en-GB"/>
        </w:rPr>
        <w:tab/>
      </w:r>
      <w:r w:rsidR="00767B72" w:rsidRPr="00767B72">
        <w:rPr>
          <w:rFonts w:asciiTheme="minorHAnsi" w:eastAsia="Times New Roman" w:hAnsiTheme="minorHAnsi" w:cstheme="minorHAnsi"/>
          <w:b/>
          <w:iCs/>
          <w:szCs w:val="24"/>
          <w:lang w:val="pl-PL" w:eastAsia="en-GB"/>
        </w:rPr>
        <w:t xml:space="preserve"> </w:t>
      </w:r>
      <w:r w:rsidR="00813365" w:rsidRPr="00767B72">
        <w:rPr>
          <w:rFonts w:asciiTheme="minorHAnsi" w:eastAsia="Times New Roman" w:hAnsiTheme="minorHAnsi" w:cstheme="minorHAnsi"/>
          <w:b/>
          <w:iCs/>
          <w:szCs w:val="24"/>
          <w:lang w:val="pl-PL" w:eastAsia="en-GB"/>
        </w:rPr>
        <w:t>Indykatywny podział środków programu UE według rodzaju interwencji</w:t>
      </w:r>
    </w:p>
    <w:p w14:paraId="1BC7901C" w14:textId="2736774A" w:rsidR="00DC072F" w:rsidRPr="00000498" w:rsidRDefault="00466A32" w:rsidP="00000498">
      <w:pPr>
        <w:spacing w:after="20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Dotyczy: art. 17 ust. 4 lit. e) ppkt (vi), art. 17 ust. 9 lit. c) ppkt (v)</w:t>
      </w:r>
    </w:p>
    <w:p w14:paraId="15F50D47" w14:textId="328E4BFA" w:rsidR="00CC222E" w:rsidRPr="00000498" w:rsidRDefault="00466A32" w:rsidP="00000498">
      <w:pPr>
        <w:spacing w:after="200" w:line="276" w:lineRule="auto"/>
        <w:rPr>
          <w:rFonts w:asciiTheme="minorHAnsi" w:eastAsia="Times New Roman" w:hAnsiTheme="minorHAnsi" w:cstheme="minorHAnsi"/>
          <w:szCs w:val="24"/>
          <w:lang w:val="pl-PL" w:eastAsia="en-GB"/>
        </w:rPr>
      </w:pPr>
      <w:r w:rsidRPr="00767B72">
        <w:rPr>
          <w:rFonts w:asciiTheme="minorHAnsi" w:hAnsiTheme="minorHAnsi" w:cstheme="minorHAnsi"/>
          <w:lang w:val="pl-PL"/>
        </w:rPr>
        <w:t>Kody interwencji zostaną uwzględnione po opublikowani</w:t>
      </w:r>
      <w:r w:rsidR="00252C2D" w:rsidRPr="00767B72">
        <w:rPr>
          <w:rFonts w:asciiTheme="minorHAnsi" w:hAnsiTheme="minorHAnsi" w:cstheme="minorHAnsi"/>
          <w:lang w:val="pl-PL"/>
        </w:rPr>
        <w:t>u ostatecznych wersji regulacji</w:t>
      </w:r>
      <w:r w:rsidR="00CC222E" w:rsidRPr="00767B72">
        <w:rPr>
          <w:rFonts w:asciiTheme="minorHAnsi" w:hAnsiTheme="minorHAnsi" w:cstheme="minorHAnsi"/>
          <w:lang w:val="pl-PL"/>
        </w:rPr>
        <w:t>.</w:t>
      </w:r>
    </w:p>
    <w:p w14:paraId="51F046F5" w14:textId="49F47BD8" w:rsidR="00DC072F" w:rsidRPr="00000498" w:rsidRDefault="00871A6C" w:rsidP="00000498">
      <w:pPr>
        <w:spacing w:after="200" w:line="276" w:lineRule="auto"/>
        <w:rPr>
          <w:rFonts w:asciiTheme="minorHAnsi" w:eastAsia="Times New Roman" w:hAnsiTheme="minorHAnsi" w:cstheme="minorHAnsi"/>
          <w:szCs w:val="24"/>
          <w:lang w:val="pl-PL" w:eastAsia="en-GB"/>
        </w:rPr>
      </w:pPr>
      <w:r w:rsidRPr="00767B72">
        <w:rPr>
          <w:rFonts w:asciiTheme="minorHAnsi" w:eastAsia="Times New Roman" w:hAnsiTheme="minorHAnsi" w:cstheme="minorHAnsi"/>
          <w:iCs/>
          <w:szCs w:val="24"/>
          <w:lang w:val="pl-PL" w:eastAsia="en-GB"/>
        </w:rPr>
        <w:t>Tabela</w:t>
      </w:r>
      <w:r w:rsidR="00DC072F" w:rsidRPr="00767B72">
        <w:rPr>
          <w:rFonts w:asciiTheme="minorHAnsi" w:eastAsia="Times New Roman" w:hAnsiTheme="minorHAnsi" w:cstheme="minorHAnsi"/>
          <w:iCs/>
          <w:szCs w:val="24"/>
          <w:lang w:val="pl-PL" w:eastAsia="en-GB"/>
        </w:rPr>
        <w:t xml:space="preserve"> 4: </w:t>
      </w:r>
      <w:r w:rsidRPr="00767B72">
        <w:rPr>
          <w:rFonts w:asciiTheme="minorHAnsi" w:eastAsia="Times New Roman" w:hAnsiTheme="minorHAnsi" w:cstheme="minorHAnsi"/>
          <w:iCs/>
          <w:szCs w:val="24"/>
          <w:lang w:val="pl-PL" w:eastAsia="en-GB"/>
        </w:rPr>
        <w:t>Wymiar</w:t>
      </w:r>
      <w:r w:rsidR="00DC072F" w:rsidRPr="00767B72">
        <w:rPr>
          <w:rFonts w:asciiTheme="minorHAnsi" w:eastAsia="Times New Roman" w:hAnsiTheme="minorHAnsi" w:cstheme="minorHAnsi"/>
          <w:iCs/>
          <w:szCs w:val="24"/>
          <w:lang w:val="pl-PL" w:eastAsia="en-GB"/>
        </w:rPr>
        <w:t xml:space="preserve"> 1 – </w:t>
      </w:r>
      <w:r w:rsidRPr="00767B72">
        <w:rPr>
          <w:rFonts w:asciiTheme="minorHAnsi" w:eastAsia="Times New Roman" w:hAnsiTheme="minorHAnsi" w:cstheme="minorHAnsi"/>
          <w:iCs/>
          <w:szCs w:val="24"/>
          <w:lang w:val="pl-PL" w:eastAsia="en-GB"/>
        </w:rPr>
        <w:t>pole interwencji</w:t>
      </w:r>
      <w:r w:rsidR="00F54FDB" w:rsidRPr="00767B72">
        <w:rPr>
          <w:rFonts w:asciiTheme="minorHAnsi" w:eastAsia="Times New Roman" w:hAnsiTheme="minorHAnsi" w:cstheme="minorHAnsi"/>
          <w:iCs/>
          <w:szCs w:val="24"/>
          <w:lang w:val="pl-PL" w:eastAsia="en-GB"/>
        </w:rPr>
        <w:t xml:space="preserve"> </w:t>
      </w:r>
      <w:r w:rsidR="00F54FDB" w:rsidRPr="00767B72">
        <w:rPr>
          <w:rFonts w:asciiTheme="minorHAnsi" w:eastAsia="Times New Roman" w:hAnsiTheme="minorHAnsi" w:cstheme="minorHAnsi"/>
          <w:szCs w:val="24"/>
          <w:lang w:val="pl-PL" w:eastAsia="en-GB"/>
        </w:rPr>
        <w:t>(</w:t>
      </w:r>
      <w:r w:rsidRPr="00767B72">
        <w:rPr>
          <w:rFonts w:asciiTheme="minorHAnsi" w:hAnsiTheme="minorHAnsi" w:cstheme="minorHAnsi"/>
          <w:lang w:val="pl-PL"/>
        </w:rPr>
        <w:t>do wypełnienia/uwzględnienia w kolejnych krokach</w:t>
      </w:r>
      <w:r w:rsidR="00F54FDB" w:rsidRPr="00767B72">
        <w:rPr>
          <w:rFonts w:asciiTheme="minorHAnsi" w:eastAsia="Times New Roman" w:hAnsiTheme="minorHAnsi" w:cstheme="minorHAnsi"/>
          <w:szCs w:val="24"/>
          <w:lang w:val="pl-PL" w:eastAsia="en-GB"/>
        </w:rPr>
        <w:t>)</w:t>
      </w:r>
    </w:p>
    <w:tbl>
      <w:tblPr>
        <w:tblStyle w:val="TableGrid1"/>
        <w:tblW w:w="0" w:type="auto"/>
        <w:tblLook w:val="04A0" w:firstRow="1" w:lastRow="0" w:firstColumn="1" w:lastColumn="0" w:noHBand="0" w:noVBand="1"/>
        <w:tblCaption w:val="Tabela dotycząca wymiaru 1 - pola interwencji"/>
      </w:tblPr>
      <w:tblGrid>
        <w:gridCol w:w="1870"/>
        <w:gridCol w:w="1657"/>
        <w:gridCol w:w="1898"/>
        <w:gridCol w:w="1204"/>
        <w:gridCol w:w="2659"/>
      </w:tblGrid>
      <w:tr w:rsidR="00DC072F" w:rsidRPr="00767B72" w14:paraId="0ED68924" w14:textId="77777777" w:rsidTr="00000498">
        <w:trPr>
          <w:tblHeader/>
        </w:trPr>
        <w:tc>
          <w:tcPr>
            <w:tcW w:w="1870" w:type="dxa"/>
          </w:tcPr>
          <w:p w14:paraId="09DEF51B" w14:textId="75B14A12" w:rsidR="00DC072F" w:rsidRPr="00000498" w:rsidRDefault="00871A6C" w:rsidP="00DE180F">
            <w:pPr>
              <w:spacing w:line="240" w:lineRule="auto"/>
              <w:jc w:val="both"/>
              <w:rPr>
                <w:rFonts w:asciiTheme="minorHAnsi" w:eastAsia="Times New Roman" w:hAnsiTheme="minorHAnsi" w:cstheme="minorHAnsi"/>
                <w:b/>
                <w:iCs/>
                <w:szCs w:val="24"/>
                <w:lang w:val="pl-PL" w:eastAsia="en-GB"/>
              </w:rPr>
            </w:pPr>
            <w:r w:rsidRPr="00000498">
              <w:rPr>
                <w:rFonts w:asciiTheme="minorHAnsi" w:eastAsia="Times New Roman" w:hAnsiTheme="minorHAnsi" w:cstheme="minorHAnsi"/>
                <w:b/>
                <w:iCs/>
                <w:szCs w:val="24"/>
                <w:lang w:val="pl-PL" w:eastAsia="en-GB"/>
              </w:rPr>
              <w:t>Nr priorytetu</w:t>
            </w:r>
          </w:p>
        </w:tc>
        <w:tc>
          <w:tcPr>
            <w:tcW w:w="1657" w:type="dxa"/>
          </w:tcPr>
          <w:p w14:paraId="496DC6F4" w14:textId="29B3660E" w:rsidR="00DC072F" w:rsidRPr="00000498" w:rsidRDefault="00871A6C" w:rsidP="00DE180F">
            <w:pPr>
              <w:spacing w:line="240" w:lineRule="auto"/>
              <w:jc w:val="both"/>
              <w:rPr>
                <w:rFonts w:asciiTheme="minorHAnsi" w:eastAsia="Times New Roman" w:hAnsiTheme="minorHAnsi" w:cstheme="minorHAnsi"/>
                <w:b/>
                <w:iCs/>
                <w:szCs w:val="24"/>
                <w:lang w:val="pl-PL" w:eastAsia="en-GB"/>
              </w:rPr>
            </w:pPr>
            <w:r w:rsidRPr="00000498">
              <w:rPr>
                <w:rFonts w:asciiTheme="minorHAnsi" w:eastAsia="Times New Roman" w:hAnsiTheme="minorHAnsi" w:cstheme="minorHAnsi"/>
                <w:b/>
                <w:iCs/>
                <w:szCs w:val="24"/>
                <w:lang w:val="pl-PL" w:eastAsia="en-GB"/>
              </w:rPr>
              <w:t>Fundusz</w:t>
            </w:r>
          </w:p>
        </w:tc>
        <w:tc>
          <w:tcPr>
            <w:tcW w:w="1898" w:type="dxa"/>
          </w:tcPr>
          <w:p w14:paraId="137656AF" w14:textId="42190611" w:rsidR="00DC072F" w:rsidRPr="00000498" w:rsidRDefault="00871A6C" w:rsidP="00DE180F">
            <w:pPr>
              <w:spacing w:line="240" w:lineRule="auto"/>
              <w:jc w:val="both"/>
              <w:rPr>
                <w:rFonts w:asciiTheme="minorHAnsi" w:eastAsia="Times New Roman" w:hAnsiTheme="minorHAnsi" w:cstheme="minorHAnsi"/>
                <w:b/>
                <w:iCs/>
                <w:szCs w:val="24"/>
                <w:lang w:val="pl-PL" w:eastAsia="en-GB"/>
              </w:rPr>
            </w:pPr>
            <w:r w:rsidRPr="00000498">
              <w:rPr>
                <w:rFonts w:asciiTheme="minorHAnsi" w:eastAsia="Times New Roman" w:hAnsiTheme="minorHAnsi" w:cstheme="minorHAnsi"/>
                <w:b/>
                <w:iCs/>
                <w:szCs w:val="24"/>
                <w:lang w:val="pl-PL" w:eastAsia="en-GB"/>
              </w:rPr>
              <w:t>Cel szczegółowy</w:t>
            </w:r>
          </w:p>
        </w:tc>
        <w:tc>
          <w:tcPr>
            <w:tcW w:w="1204" w:type="dxa"/>
          </w:tcPr>
          <w:p w14:paraId="3DE83B76" w14:textId="5BFB6FE3" w:rsidR="00DC072F" w:rsidRPr="00000498" w:rsidRDefault="00871A6C" w:rsidP="00DE180F">
            <w:pPr>
              <w:spacing w:line="240" w:lineRule="auto"/>
              <w:jc w:val="both"/>
              <w:rPr>
                <w:rFonts w:asciiTheme="minorHAnsi" w:eastAsia="Times New Roman" w:hAnsiTheme="minorHAnsi" w:cstheme="minorHAnsi"/>
                <w:b/>
                <w:iCs/>
                <w:szCs w:val="24"/>
                <w:lang w:val="pl-PL" w:eastAsia="en-GB"/>
              </w:rPr>
            </w:pPr>
            <w:r w:rsidRPr="00000498">
              <w:rPr>
                <w:rFonts w:asciiTheme="minorHAnsi" w:eastAsia="Times New Roman" w:hAnsiTheme="minorHAnsi" w:cstheme="minorHAnsi"/>
                <w:b/>
                <w:iCs/>
                <w:szCs w:val="24"/>
                <w:lang w:val="pl-PL" w:eastAsia="en-GB"/>
              </w:rPr>
              <w:t>Kod</w:t>
            </w:r>
            <w:r w:rsidR="00DC072F" w:rsidRPr="00000498">
              <w:rPr>
                <w:rFonts w:asciiTheme="minorHAnsi" w:eastAsia="Times New Roman" w:hAnsiTheme="minorHAnsi" w:cstheme="minorHAnsi"/>
                <w:b/>
                <w:iCs/>
                <w:szCs w:val="24"/>
                <w:lang w:val="pl-PL" w:eastAsia="en-GB"/>
              </w:rPr>
              <w:t xml:space="preserve"> </w:t>
            </w:r>
          </w:p>
        </w:tc>
        <w:tc>
          <w:tcPr>
            <w:tcW w:w="2659" w:type="dxa"/>
          </w:tcPr>
          <w:p w14:paraId="113DE713" w14:textId="553D3C05" w:rsidR="00DC072F" w:rsidRPr="00000498" w:rsidRDefault="00871A6C" w:rsidP="00DE180F">
            <w:pPr>
              <w:spacing w:line="240" w:lineRule="auto"/>
              <w:jc w:val="both"/>
              <w:rPr>
                <w:rFonts w:asciiTheme="minorHAnsi" w:eastAsia="Times New Roman" w:hAnsiTheme="minorHAnsi" w:cstheme="minorHAnsi"/>
                <w:b/>
                <w:iCs/>
                <w:szCs w:val="24"/>
                <w:lang w:val="pl-PL" w:eastAsia="en-GB"/>
              </w:rPr>
            </w:pPr>
            <w:r w:rsidRPr="00000498">
              <w:rPr>
                <w:rFonts w:asciiTheme="minorHAnsi" w:eastAsia="Times New Roman" w:hAnsiTheme="minorHAnsi" w:cstheme="minorHAnsi"/>
                <w:b/>
                <w:iCs/>
                <w:szCs w:val="24"/>
                <w:lang w:val="pl-PL" w:eastAsia="en-GB"/>
              </w:rPr>
              <w:t>Kwota</w:t>
            </w:r>
            <w:r w:rsidR="00DC072F" w:rsidRPr="00000498">
              <w:rPr>
                <w:rFonts w:asciiTheme="minorHAnsi" w:eastAsia="Times New Roman" w:hAnsiTheme="minorHAnsi" w:cstheme="minorHAnsi"/>
                <w:b/>
                <w:iCs/>
                <w:szCs w:val="24"/>
                <w:lang w:val="pl-PL" w:eastAsia="en-GB"/>
              </w:rPr>
              <w:t xml:space="preserve"> (EUR)</w:t>
            </w:r>
          </w:p>
        </w:tc>
      </w:tr>
      <w:tr w:rsidR="00DC072F" w:rsidRPr="00767B72" w14:paraId="235E6554" w14:textId="77777777" w:rsidTr="00DE180F">
        <w:tc>
          <w:tcPr>
            <w:tcW w:w="1870" w:type="dxa"/>
          </w:tcPr>
          <w:p w14:paraId="5757D742" w14:textId="77777777" w:rsidR="00DC072F" w:rsidRPr="00000498" w:rsidRDefault="00DC072F" w:rsidP="00DE180F">
            <w:pPr>
              <w:spacing w:line="240" w:lineRule="auto"/>
              <w:jc w:val="both"/>
              <w:rPr>
                <w:rFonts w:asciiTheme="minorHAnsi" w:eastAsia="Times New Roman" w:hAnsiTheme="minorHAnsi" w:cstheme="minorHAnsi"/>
                <w:iCs/>
                <w:szCs w:val="24"/>
                <w:lang w:val="pl-PL" w:eastAsia="en-GB"/>
              </w:rPr>
            </w:pPr>
          </w:p>
        </w:tc>
        <w:tc>
          <w:tcPr>
            <w:tcW w:w="1657" w:type="dxa"/>
          </w:tcPr>
          <w:p w14:paraId="5FE9ED1F" w14:textId="77777777" w:rsidR="00DC072F" w:rsidRPr="00000498" w:rsidRDefault="00DC072F" w:rsidP="00DE180F">
            <w:pPr>
              <w:spacing w:line="240" w:lineRule="auto"/>
              <w:jc w:val="both"/>
              <w:rPr>
                <w:rFonts w:asciiTheme="minorHAnsi" w:eastAsia="Times New Roman" w:hAnsiTheme="minorHAnsi" w:cstheme="minorHAnsi"/>
                <w:b/>
                <w:iCs/>
                <w:szCs w:val="24"/>
                <w:lang w:val="pl-PL" w:eastAsia="en-GB"/>
              </w:rPr>
            </w:pPr>
          </w:p>
        </w:tc>
        <w:tc>
          <w:tcPr>
            <w:tcW w:w="1898" w:type="dxa"/>
          </w:tcPr>
          <w:p w14:paraId="2C3A988D" w14:textId="77777777" w:rsidR="00DC072F" w:rsidRPr="00000498" w:rsidRDefault="00DC072F" w:rsidP="00DE180F">
            <w:pPr>
              <w:spacing w:line="240" w:lineRule="auto"/>
              <w:jc w:val="both"/>
              <w:rPr>
                <w:rFonts w:asciiTheme="minorHAnsi" w:eastAsia="Times New Roman" w:hAnsiTheme="minorHAnsi" w:cstheme="minorHAnsi"/>
                <w:b/>
                <w:iCs/>
                <w:szCs w:val="24"/>
                <w:lang w:val="pl-PL" w:eastAsia="en-GB"/>
              </w:rPr>
            </w:pPr>
          </w:p>
        </w:tc>
        <w:tc>
          <w:tcPr>
            <w:tcW w:w="1204" w:type="dxa"/>
          </w:tcPr>
          <w:p w14:paraId="5EFB2E57" w14:textId="77777777" w:rsidR="00DC072F" w:rsidRPr="00000498" w:rsidRDefault="00DC072F" w:rsidP="00DE180F">
            <w:pPr>
              <w:spacing w:line="240" w:lineRule="auto"/>
              <w:jc w:val="both"/>
              <w:rPr>
                <w:rFonts w:asciiTheme="minorHAnsi" w:eastAsia="Times New Roman" w:hAnsiTheme="minorHAnsi" w:cstheme="minorHAnsi"/>
                <w:b/>
                <w:iCs/>
                <w:szCs w:val="24"/>
                <w:lang w:val="pl-PL" w:eastAsia="en-GB"/>
              </w:rPr>
            </w:pPr>
          </w:p>
        </w:tc>
        <w:tc>
          <w:tcPr>
            <w:tcW w:w="2659" w:type="dxa"/>
          </w:tcPr>
          <w:p w14:paraId="652DA6A1" w14:textId="77777777" w:rsidR="00DC072F" w:rsidRPr="00000498" w:rsidRDefault="00DC072F" w:rsidP="00DE180F">
            <w:pPr>
              <w:spacing w:line="240" w:lineRule="auto"/>
              <w:jc w:val="both"/>
              <w:rPr>
                <w:rFonts w:asciiTheme="minorHAnsi" w:eastAsia="Times New Roman" w:hAnsiTheme="minorHAnsi" w:cstheme="minorHAnsi"/>
                <w:b/>
                <w:iCs/>
                <w:szCs w:val="24"/>
                <w:lang w:val="pl-PL" w:eastAsia="en-GB"/>
              </w:rPr>
            </w:pPr>
          </w:p>
        </w:tc>
      </w:tr>
    </w:tbl>
    <w:p w14:paraId="7761FE23" w14:textId="77777777" w:rsidR="00DC072F" w:rsidRPr="00F879CC" w:rsidRDefault="00DC072F" w:rsidP="00DC072F">
      <w:pPr>
        <w:spacing w:after="200" w:line="276" w:lineRule="auto"/>
        <w:rPr>
          <w:rFonts w:asciiTheme="minorHAnsi" w:eastAsia="Times New Roman" w:hAnsiTheme="minorHAnsi" w:cstheme="minorHAnsi"/>
          <w:iCs/>
          <w:szCs w:val="24"/>
          <w:lang w:val="en-IE" w:eastAsia="en-GB"/>
        </w:rPr>
      </w:pPr>
    </w:p>
    <w:p w14:paraId="055F6E84" w14:textId="508271D4" w:rsidR="00DC072F" w:rsidRPr="00F879CC" w:rsidRDefault="00871A6C" w:rsidP="00000498">
      <w:pPr>
        <w:spacing w:after="200" w:line="276" w:lineRule="auto"/>
        <w:rPr>
          <w:rFonts w:asciiTheme="minorHAnsi" w:eastAsia="Times New Roman" w:hAnsiTheme="minorHAnsi" w:cstheme="minorHAnsi"/>
          <w:i/>
          <w:szCs w:val="24"/>
          <w:lang w:val="pl-PL" w:eastAsia="en-GB"/>
        </w:rPr>
      </w:pPr>
      <w:r w:rsidRPr="00F879CC">
        <w:rPr>
          <w:rFonts w:asciiTheme="minorHAnsi" w:eastAsia="Times New Roman" w:hAnsiTheme="minorHAnsi" w:cstheme="minorHAnsi"/>
          <w:iCs/>
          <w:szCs w:val="24"/>
          <w:lang w:val="pl-PL" w:eastAsia="en-GB"/>
        </w:rPr>
        <w:t>Tabela</w:t>
      </w:r>
      <w:r w:rsidR="00DC072F" w:rsidRPr="00F879CC">
        <w:rPr>
          <w:rFonts w:asciiTheme="minorHAnsi" w:eastAsia="Times New Roman" w:hAnsiTheme="minorHAnsi" w:cstheme="minorHAnsi"/>
          <w:iCs/>
          <w:szCs w:val="24"/>
          <w:lang w:val="pl-PL" w:eastAsia="en-GB"/>
        </w:rPr>
        <w:t xml:space="preserve"> 5: </w:t>
      </w:r>
      <w:r w:rsidRPr="00F879CC">
        <w:rPr>
          <w:rFonts w:asciiTheme="minorHAnsi" w:eastAsia="Times New Roman" w:hAnsiTheme="minorHAnsi" w:cstheme="minorHAnsi"/>
          <w:iCs/>
          <w:szCs w:val="24"/>
          <w:lang w:val="pl-PL" w:eastAsia="en-GB"/>
        </w:rPr>
        <w:t>Wymiar</w:t>
      </w:r>
      <w:r w:rsidR="00DC072F" w:rsidRPr="00F879CC">
        <w:rPr>
          <w:rFonts w:asciiTheme="minorHAnsi" w:eastAsia="Times New Roman" w:hAnsiTheme="minorHAnsi" w:cstheme="minorHAnsi"/>
          <w:iCs/>
          <w:szCs w:val="24"/>
          <w:lang w:val="pl-PL" w:eastAsia="en-GB"/>
        </w:rPr>
        <w:t xml:space="preserve"> 2 – </w:t>
      </w:r>
      <w:r w:rsidRPr="00F879CC">
        <w:rPr>
          <w:rFonts w:asciiTheme="minorHAnsi" w:eastAsia="Times New Roman" w:hAnsiTheme="minorHAnsi" w:cstheme="minorHAnsi"/>
          <w:iCs/>
          <w:szCs w:val="24"/>
          <w:lang w:val="pl-PL" w:eastAsia="en-GB"/>
        </w:rPr>
        <w:t>forma finansowania</w:t>
      </w:r>
      <w:r w:rsidR="00F54FDB" w:rsidRPr="00F879CC">
        <w:rPr>
          <w:rFonts w:asciiTheme="minorHAnsi" w:eastAsia="Times New Roman" w:hAnsiTheme="minorHAnsi" w:cstheme="minorHAnsi"/>
          <w:iCs/>
          <w:szCs w:val="24"/>
          <w:lang w:val="pl-PL" w:eastAsia="en-GB"/>
        </w:rPr>
        <w:t xml:space="preserve"> </w:t>
      </w:r>
      <w:r w:rsidR="00F54FDB" w:rsidRPr="00F879CC">
        <w:rPr>
          <w:rFonts w:asciiTheme="minorHAnsi" w:eastAsia="Times New Roman" w:hAnsiTheme="minorHAnsi" w:cstheme="minorHAnsi"/>
          <w:szCs w:val="24"/>
          <w:lang w:val="pl-PL" w:eastAsia="en-GB"/>
        </w:rPr>
        <w:t>(</w:t>
      </w:r>
      <w:r w:rsidRPr="00F879CC">
        <w:rPr>
          <w:rFonts w:asciiTheme="minorHAnsi" w:hAnsiTheme="minorHAnsi" w:cstheme="minorHAnsi"/>
          <w:lang w:val="pl-PL"/>
        </w:rPr>
        <w:t>do wypełnienia/uwzględnienia w kolejnych krokach</w:t>
      </w:r>
      <w:r w:rsidR="00F54FDB" w:rsidRPr="00F879CC">
        <w:rPr>
          <w:rFonts w:asciiTheme="minorHAnsi" w:eastAsia="Times New Roman" w:hAnsiTheme="minorHAnsi" w:cstheme="minorHAnsi"/>
          <w:szCs w:val="24"/>
          <w:lang w:val="pl-PL" w:eastAsia="en-GB"/>
        </w:rPr>
        <w:t>)</w:t>
      </w:r>
    </w:p>
    <w:tbl>
      <w:tblPr>
        <w:tblStyle w:val="TableGrid1"/>
        <w:tblW w:w="0" w:type="auto"/>
        <w:tblLook w:val="04A0" w:firstRow="1" w:lastRow="0" w:firstColumn="1" w:lastColumn="0" w:noHBand="0" w:noVBand="1"/>
        <w:tblCaption w:val="Tabela dotycząca wymiaru 2 - formy finansowania "/>
      </w:tblPr>
      <w:tblGrid>
        <w:gridCol w:w="1870"/>
        <w:gridCol w:w="1657"/>
        <w:gridCol w:w="1898"/>
        <w:gridCol w:w="1204"/>
        <w:gridCol w:w="2659"/>
      </w:tblGrid>
      <w:tr w:rsidR="00DC072F" w:rsidRPr="00767B72" w14:paraId="5F008503" w14:textId="77777777" w:rsidTr="00000498">
        <w:trPr>
          <w:tblHeader/>
        </w:trPr>
        <w:tc>
          <w:tcPr>
            <w:tcW w:w="1870" w:type="dxa"/>
          </w:tcPr>
          <w:p w14:paraId="391F83B6" w14:textId="443844B4" w:rsidR="00DC072F" w:rsidRPr="00000498" w:rsidRDefault="00871A6C" w:rsidP="00DE180F">
            <w:pPr>
              <w:spacing w:line="240" w:lineRule="auto"/>
              <w:jc w:val="both"/>
              <w:rPr>
                <w:rFonts w:asciiTheme="minorHAnsi" w:eastAsia="Times New Roman" w:hAnsiTheme="minorHAnsi" w:cstheme="minorHAnsi"/>
                <w:b/>
                <w:iCs/>
                <w:szCs w:val="24"/>
                <w:lang w:val="pl-PL" w:eastAsia="en-GB"/>
              </w:rPr>
            </w:pPr>
            <w:r w:rsidRPr="00000498">
              <w:rPr>
                <w:rFonts w:asciiTheme="minorHAnsi" w:eastAsia="Times New Roman" w:hAnsiTheme="minorHAnsi" w:cstheme="minorHAnsi"/>
                <w:b/>
                <w:iCs/>
                <w:szCs w:val="24"/>
                <w:lang w:val="pl-PL" w:eastAsia="en-GB"/>
              </w:rPr>
              <w:t>Nr priorytetu</w:t>
            </w:r>
          </w:p>
        </w:tc>
        <w:tc>
          <w:tcPr>
            <w:tcW w:w="1657" w:type="dxa"/>
          </w:tcPr>
          <w:p w14:paraId="090CBB15" w14:textId="713D7B12" w:rsidR="00DC072F" w:rsidRPr="00000498" w:rsidRDefault="00871A6C" w:rsidP="00DE180F">
            <w:pPr>
              <w:spacing w:line="240" w:lineRule="auto"/>
              <w:jc w:val="both"/>
              <w:rPr>
                <w:rFonts w:asciiTheme="minorHAnsi" w:eastAsia="Times New Roman" w:hAnsiTheme="minorHAnsi" w:cstheme="minorHAnsi"/>
                <w:b/>
                <w:iCs/>
                <w:szCs w:val="24"/>
                <w:lang w:val="pl-PL" w:eastAsia="en-GB"/>
              </w:rPr>
            </w:pPr>
            <w:r w:rsidRPr="00000498">
              <w:rPr>
                <w:rFonts w:asciiTheme="minorHAnsi" w:eastAsia="Times New Roman" w:hAnsiTheme="minorHAnsi" w:cstheme="minorHAnsi"/>
                <w:b/>
                <w:iCs/>
                <w:szCs w:val="24"/>
                <w:lang w:val="pl-PL" w:eastAsia="en-GB"/>
              </w:rPr>
              <w:t>Fundusz</w:t>
            </w:r>
          </w:p>
        </w:tc>
        <w:tc>
          <w:tcPr>
            <w:tcW w:w="1898" w:type="dxa"/>
          </w:tcPr>
          <w:p w14:paraId="4871BF90" w14:textId="130541CF" w:rsidR="00DC072F" w:rsidRPr="00000498" w:rsidRDefault="00871A6C" w:rsidP="00DE180F">
            <w:pPr>
              <w:spacing w:line="240" w:lineRule="auto"/>
              <w:jc w:val="both"/>
              <w:rPr>
                <w:rFonts w:asciiTheme="minorHAnsi" w:eastAsia="Times New Roman" w:hAnsiTheme="minorHAnsi" w:cstheme="minorHAnsi"/>
                <w:b/>
                <w:iCs/>
                <w:szCs w:val="24"/>
                <w:lang w:val="pl-PL" w:eastAsia="en-GB"/>
              </w:rPr>
            </w:pPr>
            <w:r w:rsidRPr="00000498">
              <w:rPr>
                <w:rFonts w:asciiTheme="minorHAnsi" w:eastAsia="Times New Roman" w:hAnsiTheme="minorHAnsi" w:cstheme="minorHAnsi"/>
                <w:b/>
                <w:iCs/>
                <w:szCs w:val="24"/>
                <w:lang w:val="pl-PL" w:eastAsia="en-GB"/>
              </w:rPr>
              <w:t>Cel szczegółowy</w:t>
            </w:r>
          </w:p>
        </w:tc>
        <w:tc>
          <w:tcPr>
            <w:tcW w:w="1204" w:type="dxa"/>
          </w:tcPr>
          <w:p w14:paraId="4ECED439" w14:textId="1D7B4BF7" w:rsidR="00DC072F" w:rsidRPr="00000498" w:rsidRDefault="00871A6C" w:rsidP="00DE180F">
            <w:pPr>
              <w:spacing w:line="240" w:lineRule="auto"/>
              <w:jc w:val="both"/>
              <w:rPr>
                <w:rFonts w:asciiTheme="minorHAnsi" w:eastAsia="Times New Roman" w:hAnsiTheme="minorHAnsi" w:cstheme="minorHAnsi"/>
                <w:b/>
                <w:iCs/>
                <w:szCs w:val="24"/>
                <w:lang w:val="pl-PL" w:eastAsia="en-GB"/>
              </w:rPr>
            </w:pPr>
            <w:r w:rsidRPr="00000498">
              <w:rPr>
                <w:rFonts w:asciiTheme="minorHAnsi" w:eastAsia="Times New Roman" w:hAnsiTheme="minorHAnsi" w:cstheme="minorHAnsi"/>
                <w:b/>
                <w:iCs/>
                <w:szCs w:val="24"/>
                <w:lang w:val="pl-PL" w:eastAsia="en-GB"/>
              </w:rPr>
              <w:t>Kod</w:t>
            </w:r>
            <w:r w:rsidR="00DC072F" w:rsidRPr="00000498">
              <w:rPr>
                <w:rFonts w:asciiTheme="minorHAnsi" w:eastAsia="Times New Roman" w:hAnsiTheme="minorHAnsi" w:cstheme="minorHAnsi"/>
                <w:b/>
                <w:iCs/>
                <w:szCs w:val="24"/>
                <w:lang w:val="pl-PL" w:eastAsia="en-GB"/>
              </w:rPr>
              <w:t xml:space="preserve"> </w:t>
            </w:r>
          </w:p>
        </w:tc>
        <w:tc>
          <w:tcPr>
            <w:tcW w:w="2659" w:type="dxa"/>
          </w:tcPr>
          <w:p w14:paraId="6FB07189" w14:textId="3A2738D4" w:rsidR="00DC072F" w:rsidRPr="00000498" w:rsidRDefault="00466A32" w:rsidP="00DE180F">
            <w:pPr>
              <w:spacing w:line="240" w:lineRule="auto"/>
              <w:jc w:val="both"/>
              <w:rPr>
                <w:rFonts w:asciiTheme="minorHAnsi" w:eastAsia="Times New Roman" w:hAnsiTheme="minorHAnsi" w:cstheme="minorHAnsi"/>
                <w:b/>
                <w:iCs/>
                <w:szCs w:val="24"/>
                <w:lang w:val="pl-PL" w:eastAsia="en-GB"/>
              </w:rPr>
            </w:pPr>
            <w:r w:rsidRPr="00000498">
              <w:rPr>
                <w:rFonts w:asciiTheme="minorHAnsi" w:eastAsia="Times New Roman" w:hAnsiTheme="minorHAnsi" w:cstheme="minorHAnsi"/>
                <w:b/>
                <w:iCs/>
                <w:szCs w:val="24"/>
                <w:lang w:val="pl-PL" w:eastAsia="en-GB"/>
              </w:rPr>
              <w:t>Kwota</w:t>
            </w:r>
            <w:r w:rsidR="00DC072F" w:rsidRPr="00000498">
              <w:rPr>
                <w:rFonts w:asciiTheme="minorHAnsi" w:eastAsia="Times New Roman" w:hAnsiTheme="minorHAnsi" w:cstheme="minorHAnsi"/>
                <w:b/>
                <w:iCs/>
                <w:szCs w:val="24"/>
                <w:lang w:val="pl-PL" w:eastAsia="en-GB"/>
              </w:rPr>
              <w:t xml:space="preserve"> (EUR)</w:t>
            </w:r>
          </w:p>
        </w:tc>
      </w:tr>
      <w:tr w:rsidR="00DC072F" w:rsidRPr="00767B72" w14:paraId="65D18979" w14:textId="77777777" w:rsidTr="00DE180F">
        <w:tc>
          <w:tcPr>
            <w:tcW w:w="1870" w:type="dxa"/>
          </w:tcPr>
          <w:p w14:paraId="31FBA1D4" w14:textId="77777777" w:rsidR="00DC072F" w:rsidRPr="00000498" w:rsidRDefault="00DC072F" w:rsidP="00DE180F">
            <w:pPr>
              <w:spacing w:line="240" w:lineRule="auto"/>
              <w:jc w:val="both"/>
              <w:rPr>
                <w:rFonts w:asciiTheme="minorHAnsi" w:eastAsia="Times New Roman" w:hAnsiTheme="minorHAnsi" w:cstheme="minorHAnsi"/>
                <w:b/>
                <w:iCs/>
                <w:szCs w:val="24"/>
                <w:lang w:val="pl-PL" w:eastAsia="en-GB"/>
              </w:rPr>
            </w:pPr>
          </w:p>
        </w:tc>
        <w:tc>
          <w:tcPr>
            <w:tcW w:w="1657" w:type="dxa"/>
          </w:tcPr>
          <w:p w14:paraId="1D7BFE69" w14:textId="77777777" w:rsidR="00DC072F" w:rsidRPr="00000498" w:rsidRDefault="00DC072F" w:rsidP="00DE180F">
            <w:pPr>
              <w:spacing w:line="240" w:lineRule="auto"/>
              <w:jc w:val="both"/>
              <w:rPr>
                <w:rFonts w:asciiTheme="minorHAnsi" w:eastAsia="Times New Roman" w:hAnsiTheme="minorHAnsi" w:cstheme="minorHAnsi"/>
                <w:b/>
                <w:iCs/>
                <w:szCs w:val="24"/>
                <w:lang w:val="pl-PL" w:eastAsia="en-GB"/>
              </w:rPr>
            </w:pPr>
          </w:p>
        </w:tc>
        <w:tc>
          <w:tcPr>
            <w:tcW w:w="1898" w:type="dxa"/>
          </w:tcPr>
          <w:p w14:paraId="38DBC50E" w14:textId="77777777" w:rsidR="00DC072F" w:rsidRPr="00000498" w:rsidRDefault="00DC072F" w:rsidP="00DE180F">
            <w:pPr>
              <w:spacing w:line="240" w:lineRule="auto"/>
              <w:jc w:val="both"/>
              <w:rPr>
                <w:rFonts w:asciiTheme="minorHAnsi" w:eastAsia="Times New Roman" w:hAnsiTheme="minorHAnsi" w:cstheme="minorHAnsi"/>
                <w:b/>
                <w:iCs/>
                <w:szCs w:val="24"/>
                <w:lang w:val="pl-PL" w:eastAsia="en-GB"/>
              </w:rPr>
            </w:pPr>
          </w:p>
        </w:tc>
        <w:tc>
          <w:tcPr>
            <w:tcW w:w="1204" w:type="dxa"/>
          </w:tcPr>
          <w:p w14:paraId="62238BCA" w14:textId="77777777" w:rsidR="00DC072F" w:rsidRPr="00000498" w:rsidRDefault="00DC072F" w:rsidP="00DE180F">
            <w:pPr>
              <w:spacing w:line="240" w:lineRule="auto"/>
              <w:jc w:val="both"/>
              <w:rPr>
                <w:rFonts w:asciiTheme="minorHAnsi" w:eastAsia="Times New Roman" w:hAnsiTheme="minorHAnsi" w:cstheme="minorHAnsi"/>
                <w:b/>
                <w:iCs/>
                <w:szCs w:val="24"/>
                <w:lang w:val="pl-PL" w:eastAsia="en-GB"/>
              </w:rPr>
            </w:pPr>
          </w:p>
        </w:tc>
        <w:tc>
          <w:tcPr>
            <w:tcW w:w="2659" w:type="dxa"/>
          </w:tcPr>
          <w:p w14:paraId="08B6BF32" w14:textId="77777777" w:rsidR="00DC072F" w:rsidRPr="00000498" w:rsidRDefault="00DC072F" w:rsidP="00DE180F">
            <w:pPr>
              <w:spacing w:line="240" w:lineRule="auto"/>
              <w:jc w:val="both"/>
              <w:rPr>
                <w:rFonts w:asciiTheme="minorHAnsi" w:eastAsia="Times New Roman" w:hAnsiTheme="minorHAnsi" w:cstheme="minorHAnsi"/>
                <w:b/>
                <w:iCs/>
                <w:szCs w:val="24"/>
                <w:lang w:val="pl-PL" w:eastAsia="en-GB"/>
              </w:rPr>
            </w:pPr>
          </w:p>
        </w:tc>
      </w:tr>
    </w:tbl>
    <w:p w14:paraId="3293DC85" w14:textId="77777777" w:rsidR="00DC072F" w:rsidRPr="00F879CC" w:rsidRDefault="00DC072F" w:rsidP="00DC072F">
      <w:pPr>
        <w:spacing w:after="200" w:line="276" w:lineRule="auto"/>
        <w:jc w:val="center"/>
        <w:rPr>
          <w:rFonts w:asciiTheme="minorHAnsi" w:eastAsia="Times New Roman" w:hAnsiTheme="minorHAnsi" w:cstheme="minorHAnsi"/>
          <w:iCs/>
          <w:szCs w:val="24"/>
          <w:lang w:val="en-IE" w:eastAsia="en-GB"/>
        </w:rPr>
      </w:pPr>
    </w:p>
    <w:p w14:paraId="6D7FB3EE" w14:textId="1158F360" w:rsidR="00DC072F" w:rsidRPr="00F879CC" w:rsidRDefault="00871A6C" w:rsidP="00000498">
      <w:pPr>
        <w:spacing w:after="200" w:line="276" w:lineRule="auto"/>
        <w:rPr>
          <w:rFonts w:asciiTheme="minorHAnsi" w:eastAsia="Times New Roman" w:hAnsiTheme="minorHAnsi" w:cstheme="minorHAnsi"/>
          <w:iCs/>
          <w:szCs w:val="24"/>
          <w:lang w:val="pl-PL" w:eastAsia="en-GB"/>
        </w:rPr>
      </w:pPr>
      <w:r w:rsidRPr="00F879CC">
        <w:rPr>
          <w:rFonts w:asciiTheme="minorHAnsi" w:eastAsia="Times New Roman" w:hAnsiTheme="minorHAnsi" w:cstheme="minorHAnsi"/>
          <w:iCs/>
          <w:szCs w:val="24"/>
          <w:lang w:val="pl-PL" w:eastAsia="en-GB"/>
        </w:rPr>
        <w:t>Tabela</w:t>
      </w:r>
      <w:r w:rsidR="00DC072F" w:rsidRPr="00F879CC">
        <w:rPr>
          <w:rFonts w:asciiTheme="minorHAnsi" w:eastAsia="Times New Roman" w:hAnsiTheme="minorHAnsi" w:cstheme="minorHAnsi"/>
          <w:iCs/>
          <w:szCs w:val="24"/>
          <w:lang w:val="pl-PL" w:eastAsia="en-GB"/>
        </w:rPr>
        <w:t xml:space="preserve"> 6: </w:t>
      </w:r>
      <w:r w:rsidRPr="00F879CC">
        <w:rPr>
          <w:rFonts w:asciiTheme="minorHAnsi" w:eastAsia="Times New Roman" w:hAnsiTheme="minorHAnsi" w:cstheme="minorHAnsi"/>
          <w:iCs/>
          <w:szCs w:val="24"/>
          <w:lang w:val="pl-PL" w:eastAsia="en-GB"/>
        </w:rPr>
        <w:t>Wymiar</w:t>
      </w:r>
      <w:r w:rsidR="00DC072F" w:rsidRPr="00F879CC">
        <w:rPr>
          <w:rFonts w:asciiTheme="minorHAnsi" w:eastAsia="Times New Roman" w:hAnsiTheme="minorHAnsi" w:cstheme="minorHAnsi"/>
          <w:iCs/>
          <w:szCs w:val="24"/>
          <w:lang w:val="pl-PL" w:eastAsia="en-GB"/>
        </w:rPr>
        <w:t xml:space="preserve"> 3 – </w:t>
      </w:r>
      <w:r w:rsidRPr="00F879CC">
        <w:rPr>
          <w:rFonts w:asciiTheme="minorHAnsi" w:eastAsia="Times New Roman" w:hAnsiTheme="minorHAnsi" w:cstheme="minorHAnsi"/>
          <w:iCs/>
          <w:szCs w:val="24"/>
          <w:lang w:val="pl-PL" w:eastAsia="en-GB"/>
        </w:rPr>
        <w:t xml:space="preserve">terytorialny mechanizm realizacji i skupienie </w:t>
      </w:r>
      <w:r w:rsidR="0096482A" w:rsidRPr="00F879CC">
        <w:rPr>
          <w:rFonts w:asciiTheme="minorHAnsi" w:eastAsia="Times New Roman" w:hAnsiTheme="minorHAnsi" w:cstheme="minorHAnsi"/>
          <w:iCs/>
          <w:szCs w:val="24"/>
          <w:lang w:val="pl-PL" w:eastAsia="en-GB"/>
        </w:rPr>
        <w:t xml:space="preserve">uwagi </w:t>
      </w:r>
      <w:r w:rsidRPr="00F879CC">
        <w:rPr>
          <w:rFonts w:asciiTheme="minorHAnsi" w:eastAsia="Times New Roman" w:hAnsiTheme="minorHAnsi" w:cstheme="minorHAnsi"/>
          <w:iCs/>
          <w:szCs w:val="24"/>
          <w:lang w:val="pl-PL" w:eastAsia="en-GB"/>
        </w:rPr>
        <w:t>na terytorium</w:t>
      </w:r>
    </w:p>
    <w:p w14:paraId="3B069129" w14:textId="439CA1AC" w:rsidR="00F54FDB" w:rsidRPr="00F879CC" w:rsidRDefault="00F54FDB" w:rsidP="00000498">
      <w:pPr>
        <w:spacing w:after="200" w:line="276" w:lineRule="auto"/>
        <w:rPr>
          <w:rFonts w:asciiTheme="minorHAnsi" w:eastAsia="Times New Roman" w:hAnsiTheme="minorHAnsi" w:cstheme="minorHAnsi"/>
          <w:i/>
          <w:szCs w:val="24"/>
          <w:lang w:val="pl-PL" w:eastAsia="en-GB"/>
        </w:rPr>
      </w:pPr>
      <w:r w:rsidRPr="00F879CC">
        <w:rPr>
          <w:rFonts w:asciiTheme="minorHAnsi" w:eastAsia="Times New Roman" w:hAnsiTheme="minorHAnsi" w:cstheme="minorHAnsi"/>
          <w:szCs w:val="24"/>
          <w:lang w:val="pl-PL" w:eastAsia="en-GB"/>
        </w:rPr>
        <w:t>(</w:t>
      </w:r>
      <w:r w:rsidR="00871A6C" w:rsidRPr="00F879CC">
        <w:rPr>
          <w:rFonts w:asciiTheme="minorHAnsi" w:hAnsiTheme="minorHAnsi" w:cstheme="minorHAnsi"/>
          <w:lang w:val="pl-PL"/>
        </w:rPr>
        <w:t>do wypełnienia/uwzględnienia w kolejnych krokach</w:t>
      </w:r>
      <w:r w:rsidRPr="00F879CC">
        <w:rPr>
          <w:rFonts w:asciiTheme="minorHAnsi" w:eastAsia="Times New Roman" w:hAnsiTheme="minorHAnsi" w:cstheme="minorHAnsi"/>
          <w:szCs w:val="24"/>
          <w:lang w:val="pl-PL" w:eastAsia="en-GB"/>
        </w:rPr>
        <w:t>)</w:t>
      </w:r>
    </w:p>
    <w:tbl>
      <w:tblPr>
        <w:tblStyle w:val="TableGrid1"/>
        <w:tblW w:w="0" w:type="auto"/>
        <w:tblLook w:val="04A0" w:firstRow="1" w:lastRow="0" w:firstColumn="1" w:lastColumn="0" w:noHBand="0" w:noVBand="1"/>
        <w:tblCaption w:val="Tabela dotycząca wymiaru 3 - terytorialnego mechanizmu realizacji i skupienia uwagi na terytorium"/>
      </w:tblPr>
      <w:tblGrid>
        <w:gridCol w:w="1870"/>
        <w:gridCol w:w="1657"/>
        <w:gridCol w:w="1898"/>
        <w:gridCol w:w="1204"/>
        <w:gridCol w:w="2659"/>
      </w:tblGrid>
      <w:tr w:rsidR="00DC072F" w:rsidRPr="00767B72" w14:paraId="0A638AD8" w14:textId="77777777" w:rsidTr="00000498">
        <w:trPr>
          <w:tblHeader/>
        </w:trPr>
        <w:tc>
          <w:tcPr>
            <w:tcW w:w="1870" w:type="dxa"/>
          </w:tcPr>
          <w:p w14:paraId="57269497" w14:textId="356974D3" w:rsidR="00DC072F" w:rsidRPr="00000498" w:rsidRDefault="00871A6C" w:rsidP="00DE180F">
            <w:pPr>
              <w:spacing w:line="240" w:lineRule="auto"/>
              <w:jc w:val="both"/>
              <w:rPr>
                <w:rFonts w:asciiTheme="minorHAnsi" w:eastAsia="Times New Roman" w:hAnsiTheme="minorHAnsi" w:cstheme="minorHAnsi"/>
                <w:b/>
                <w:iCs/>
                <w:szCs w:val="24"/>
                <w:lang w:val="pl-PL" w:eastAsia="en-GB"/>
              </w:rPr>
            </w:pPr>
            <w:r w:rsidRPr="00000498">
              <w:rPr>
                <w:rFonts w:asciiTheme="minorHAnsi" w:eastAsia="Times New Roman" w:hAnsiTheme="minorHAnsi" w:cstheme="minorHAnsi"/>
                <w:b/>
                <w:iCs/>
                <w:szCs w:val="24"/>
                <w:lang w:val="pl-PL" w:eastAsia="en-GB"/>
              </w:rPr>
              <w:t>Nr priorytetu</w:t>
            </w:r>
          </w:p>
        </w:tc>
        <w:tc>
          <w:tcPr>
            <w:tcW w:w="1657" w:type="dxa"/>
          </w:tcPr>
          <w:p w14:paraId="7E1F4AAE" w14:textId="52DF8FEA" w:rsidR="00DC072F" w:rsidRPr="00000498" w:rsidRDefault="00871A6C" w:rsidP="00DE180F">
            <w:pPr>
              <w:spacing w:line="240" w:lineRule="auto"/>
              <w:jc w:val="both"/>
              <w:rPr>
                <w:rFonts w:asciiTheme="minorHAnsi" w:eastAsia="Times New Roman" w:hAnsiTheme="minorHAnsi" w:cstheme="minorHAnsi"/>
                <w:b/>
                <w:iCs/>
                <w:szCs w:val="24"/>
                <w:lang w:val="pl-PL" w:eastAsia="en-GB"/>
              </w:rPr>
            </w:pPr>
            <w:r w:rsidRPr="00000498">
              <w:rPr>
                <w:rFonts w:asciiTheme="minorHAnsi" w:eastAsia="Times New Roman" w:hAnsiTheme="minorHAnsi" w:cstheme="minorHAnsi"/>
                <w:b/>
                <w:iCs/>
                <w:szCs w:val="24"/>
                <w:lang w:val="pl-PL" w:eastAsia="en-GB"/>
              </w:rPr>
              <w:t>Fundusz</w:t>
            </w:r>
          </w:p>
        </w:tc>
        <w:tc>
          <w:tcPr>
            <w:tcW w:w="1898" w:type="dxa"/>
          </w:tcPr>
          <w:p w14:paraId="1180EFA6" w14:textId="46058490" w:rsidR="00DC072F" w:rsidRPr="00000498" w:rsidRDefault="00871A6C" w:rsidP="00DE180F">
            <w:pPr>
              <w:spacing w:line="240" w:lineRule="auto"/>
              <w:jc w:val="both"/>
              <w:rPr>
                <w:rFonts w:asciiTheme="minorHAnsi" w:eastAsia="Times New Roman" w:hAnsiTheme="minorHAnsi" w:cstheme="minorHAnsi"/>
                <w:b/>
                <w:iCs/>
                <w:szCs w:val="24"/>
                <w:lang w:val="pl-PL" w:eastAsia="en-GB"/>
              </w:rPr>
            </w:pPr>
            <w:r w:rsidRPr="00000498">
              <w:rPr>
                <w:rFonts w:asciiTheme="minorHAnsi" w:eastAsia="Times New Roman" w:hAnsiTheme="minorHAnsi" w:cstheme="minorHAnsi"/>
                <w:b/>
                <w:iCs/>
                <w:szCs w:val="24"/>
                <w:lang w:val="pl-PL" w:eastAsia="en-GB"/>
              </w:rPr>
              <w:t>Cel szczegółowy</w:t>
            </w:r>
          </w:p>
        </w:tc>
        <w:tc>
          <w:tcPr>
            <w:tcW w:w="1204" w:type="dxa"/>
          </w:tcPr>
          <w:p w14:paraId="1A765F4A" w14:textId="27566DAB" w:rsidR="00DC072F" w:rsidRPr="00000498" w:rsidRDefault="00871A6C" w:rsidP="00DE180F">
            <w:pPr>
              <w:spacing w:line="240" w:lineRule="auto"/>
              <w:jc w:val="both"/>
              <w:rPr>
                <w:rFonts w:asciiTheme="minorHAnsi" w:eastAsia="Times New Roman" w:hAnsiTheme="minorHAnsi" w:cstheme="minorHAnsi"/>
                <w:b/>
                <w:iCs/>
                <w:szCs w:val="24"/>
                <w:lang w:val="pl-PL" w:eastAsia="en-GB"/>
              </w:rPr>
            </w:pPr>
            <w:r w:rsidRPr="00000498">
              <w:rPr>
                <w:rFonts w:asciiTheme="minorHAnsi" w:eastAsia="Times New Roman" w:hAnsiTheme="minorHAnsi" w:cstheme="minorHAnsi"/>
                <w:b/>
                <w:iCs/>
                <w:szCs w:val="24"/>
                <w:lang w:val="pl-PL" w:eastAsia="en-GB"/>
              </w:rPr>
              <w:t>Kod</w:t>
            </w:r>
            <w:r w:rsidR="00DC072F" w:rsidRPr="00000498">
              <w:rPr>
                <w:rFonts w:asciiTheme="minorHAnsi" w:eastAsia="Times New Roman" w:hAnsiTheme="minorHAnsi" w:cstheme="minorHAnsi"/>
                <w:b/>
                <w:iCs/>
                <w:szCs w:val="24"/>
                <w:lang w:val="pl-PL" w:eastAsia="en-GB"/>
              </w:rPr>
              <w:t xml:space="preserve"> </w:t>
            </w:r>
          </w:p>
        </w:tc>
        <w:tc>
          <w:tcPr>
            <w:tcW w:w="2659" w:type="dxa"/>
          </w:tcPr>
          <w:p w14:paraId="4A326543" w14:textId="7DC60912" w:rsidR="00DC072F" w:rsidRPr="00000498" w:rsidRDefault="00871A6C" w:rsidP="00DE180F">
            <w:pPr>
              <w:spacing w:line="240" w:lineRule="auto"/>
              <w:jc w:val="both"/>
              <w:rPr>
                <w:rFonts w:asciiTheme="minorHAnsi" w:eastAsia="Times New Roman" w:hAnsiTheme="minorHAnsi" w:cstheme="minorHAnsi"/>
                <w:b/>
                <w:iCs/>
                <w:szCs w:val="24"/>
                <w:lang w:val="pl-PL" w:eastAsia="en-GB"/>
              </w:rPr>
            </w:pPr>
            <w:r w:rsidRPr="00000498">
              <w:rPr>
                <w:rFonts w:asciiTheme="minorHAnsi" w:eastAsia="Times New Roman" w:hAnsiTheme="minorHAnsi" w:cstheme="minorHAnsi"/>
                <w:b/>
                <w:iCs/>
                <w:szCs w:val="24"/>
                <w:lang w:val="pl-PL" w:eastAsia="en-GB"/>
              </w:rPr>
              <w:t>Kwota</w:t>
            </w:r>
            <w:r w:rsidR="00DC072F" w:rsidRPr="00000498">
              <w:rPr>
                <w:rFonts w:asciiTheme="minorHAnsi" w:eastAsia="Times New Roman" w:hAnsiTheme="minorHAnsi" w:cstheme="minorHAnsi"/>
                <w:b/>
                <w:iCs/>
                <w:szCs w:val="24"/>
                <w:lang w:val="pl-PL" w:eastAsia="en-GB"/>
              </w:rPr>
              <w:t xml:space="preserve"> (EUR)</w:t>
            </w:r>
          </w:p>
        </w:tc>
      </w:tr>
      <w:tr w:rsidR="00DC072F" w:rsidRPr="00767B72" w14:paraId="6878646C" w14:textId="77777777" w:rsidTr="00DE180F">
        <w:tc>
          <w:tcPr>
            <w:tcW w:w="1870" w:type="dxa"/>
          </w:tcPr>
          <w:p w14:paraId="27D2293B" w14:textId="77777777" w:rsidR="00DC072F" w:rsidRPr="00000498" w:rsidRDefault="00DC072F" w:rsidP="00DE180F">
            <w:pPr>
              <w:spacing w:line="240" w:lineRule="auto"/>
              <w:jc w:val="both"/>
              <w:rPr>
                <w:rFonts w:asciiTheme="minorHAnsi" w:eastAsia="Times New Roman" w:hAnsiTheme="minorHAnsi" w:cstheme="minorHAnsi"/>
                <w:b/>
                <w:iCs/>
                <w:szCs w:val="24"/>
                <w:lang w:val="pl-PL" w:eastAsia="en-GB"/>
              </w:rPr>
            </w:pPr>
          </w:p>
        </w:tc>
        <w:tc>
          <w:tcPr>
            <w:tcW w:w="1657" w:type="dxa"/>
          </w:tcPr>
          <w:p w14:paraId="44848F14" w14:textId="77777777" w:rsidR="00DC072F" w:rsidRPr="00000498" w:rsidRDefault="00DC072F" w:rsidP="00DE180F">
            <w:pPr>
              <w:spacing w:line="240" w:lineRule="auto"/>
              <w:jc w:val="both"/>
              <w:rPr>
                <w:rFonts w:asciiTheme="minorHAnsi" w:eastAsia="Times New Roman" w:hAnsiTheme="minorHAnsi" w:cstheme="minorHAnsi"/>
                <w:b/>
                <w:iCs/>
                <w:szCs w:val="24"/>
                <w:lang w:val="pl-PL" w:eastAsia="en-GB"/>
              </w:rPr>
            </w:pPr>
          </w:p>
        </w:tc>
        <w:tc>
          <w:tcPr>
            <w:tcW w:w="1898" w:type="dxa"/>
          </w:tcPr>
          <w:p w14:paraId="2C71D985" w14:textId="77777777" w:rsidR="00DC072F" w:rsidRPr="00000498" w:rsidRDefault="00DC072F" w:rsidP="00DE180F">
            <w:pPr>
              <w:spacing w:line="240" w:lineRule="auto"/>
              <w:jc w:val="both"/>
              <w:rPr>
                <w:rFonts w:asciiTheme="minorHAnsi" w:eastAsia="Times New Roman" w:hAnsiTheme="minorHAnsi" w:cstheme="minorHAnsi"/>
                <w:b/>
                <w:iCs/>
                <w:szCs w:val="24"/>
                <w:lang w:val="pl-PL" w:eastAsia="en-GB"/>
              </w:rPr>
            </w:pPr>
          </w:p>
        </w:tc>
        <w:tc>
          <w:tcPr>
            <w:tcW w:w="1204" w:type="dxa"/>
          </w:tcPr>
          <w:p w14:paraId="26B28255" w14:textId="77777777" w:rsidR="00DC072F" w:rsidRPr="00000498" w:rsidRDefault="00DC072F" w:rsidP="00DE180F">
            <w:pPr>
              <w:spacing w:line="240" w:lineRule="auto"/>
              <w:jc w:val="both"/>
              <w:rPr>
                <w:rFonts w:asciiTheme="minorHAnsi" w:eastAsia="Times New Roman" w:hAnsiTheme="minorHAnsi" w:cstheme="minorHAnsi"/>
                <w:b/>
                <w:iCs/>
                <w:szCs w:val="24"/>
                <w:lang w:val="pl-PL" w:eastAsia="en-GB"/>
              </w:rPr>
            </w:pPr>
          </w:p>
        </w:tc>
        <w:tc>
          <w:tcPr>
            <w:tcW w:w="2659" w:type="dxa"/>
          </w:tcPr>
          <w:p w14:paraId="293EC781" w14:textId="77777777" w:rsidR="00DC072F" w:rsidRPr="00000498" w:rsidRDefault="00DC072F" w:rsidP="00DE180F">
            <w:pPr>
              <w:spacing w:line="240" w:lineRule="auto"/>
              <w:jc w:val="both"/>
              <w:rPr>
                <w:rFonts w:asciiTheme="minorHAnsi" w:eastAsia="Times New Roman" w:hAnsiTheme="minorHAnsi" w:cstheme="minorHAnsi"/>
                <w:b/>
                <w:iCs/>
                <w:szCs w:val="24"/>
                <w:lang w:val="pl-PL" w:eastAsia="en-GB"/>
              </w:rPr>
            </w:pPr>
          </w:p>
        </w:tc>
      </w:tr>
    </w:tbl>
    <w:p w14:paraId="27289C1B" w14:textId="77777777" w:rsidR="00DC072F" w:rsidRPr="00F879CC" w:rsidRDefault="00DC072F" w:rsidP="00DC072F">
      <w:pPr>
        <w:spacing w:before="240" w:after="240" w:line="240" w:lineRule="auto"/>
        <w:ind w:left="360"/>
        <w:jc w:val="both"/>
        <w:rPr>
          <w:rFonts w:asciiTheme="minorHAnsi" w:eastAsia="Times New Roman" w:hAnsiTheme="minorHAnsi" w:cstheme="minorHAnsi"/>
          <w:b/>
          <w:iCs/>
          <w:szCs w:val="24"/>
          <w:lang w:val="en-IE" w:eastAsia="en-GB"/>
        </w:rPr>
      </w:pPr>
    </w:p>
    <w:p w14:paraId="0C84BF78" w14:textId="660A84F6" w:rsidR="005B1732" w:rsidRPr="00767B72" w:rsidRDefault="005B1732" w:rsidP="00000498">
      <w:pPr>
        <w:spacing w:before="240" w:after="240" w:line="276" w:lineRule="auto"/>
        <w:ind w:left="709" w:hanging="709"/>
        <w:rPr>
          <w:rFonts w:asciiTheme="minorHAnsi" w:eastAsia="Times New Roman" w:hAnsiTheme="minorHAnsi" w:cstheme="minorHAnsi"/>
          <w:b/>
          <w:iCs/>
          <w:szCs w:val="24"/>
          <w:lang w:val="pl-PL" w:eastAsia="en-GB"/>
        </w:rPr>
      </w:pPr>
      <w:r w:rsidRPr="00767B72">
        <w:rPr>
          <w:rFonts w:asciiTheme="minorHAnsi" w:eastAsia="Times New Roman" w:hAnsiTheme="minorHAnsi" w:cstheme="minorHAnsi"/>
          <w:b/>
          <w:iCs/>
          <w:szCs w:val="24"/>
          <w:lang w:val="pl-PL" w:eastAsia="en-GB"/>
        </w:rPr>
        <w:t>2.3.3.</w:t>
      </w:r>
      <w:r w:rsidRPr="00767B72">
        <w:rPr>
          <w:rFonts w:asciiTheme="minorHAnsi" w:eastAsia="Times New Roman" w:hAnsiTheme="minorHAnsi" w:cstheme="minorHAnsi"/>
          <w:b/>
          <w:iCs/>
          <w:szCs w:val="24"/>
          <w:lang w:val="pl-PL" w:eastAsia="en-GB"/>
        </w:rPr>
        <w:tab/>
      </w:r>
      <w:r w:rsidR="00871A6C" w:rsidRPr="00767B72">
        <w:rPr>
          <w:rFonts w:asciiTheme="minorHAnsi" w:eastAsia="Times New Roman" w:hAnsiTheme="minorHAnsi" w:cstheme="minorHAnsi"/>
          <w:b/>
          <w:iCs/>
          <w:szCs w:val="24"/>
          <w:lang w:val="pl-PL" w:eastAsia="en-GB"/>
        </w:rPr>
        <w:t>Cel szczegółowy</w:t>
      </w:r>
      <w:r w:rsidRPr="00767B72">
        <w:rPr>
          <w:rFonts w:asciiTheme="minorHAnsi" w:eastAsia="Times New Roman" w:hAnsiTheme="minorHAnsi" w:cstheme="minorHAnsi"/>
          <w:b/>
          <w:iCs/>
          <w:szCs w:val="24"/>
          <w:lang w:val="pl-PL" w:eastAsia="en-GB"/>
        </w:rPr>
        <w:t xml:space="preserve"> (viii) </w:t>
      </w:r>
      <w:r w:rsidR="00466A32" w:rsidRPr="00767B72">
        <w:rPr>
          <w:rFonts w:asciiTheme="minorHAnsi" w:eastAsia="Times New Roman" w:hAnsiTheme="minorHAnsi" w:cstheme="minorHAnsi"/>
          <w:b/>
          <w:iCs/>
          <w:szCs w:val="24"/>
          <w:lang w:val="pl-PL" w:eastAsia="en-GB"/>
        </w:rPr>
        <w:t>promowanie zrównoważonej, multimodalnej mobilności miejskiej, jako elementu transformacji w kierunku gospodarki o zerowej emisji dwutlenku węgla netto</w:t>
      </w:r>
    </w:p>
    <w:p w14:paraId="57597F61" w14:textId="57343AAE" w:rsidR="005B1732" w:rsidRPr="00000498" w:rsidRDefault="00466A32" w:rsidP="00000498">
      <w:pPr>
        <w:spacing w:before="240" w:after="240" w:line="276" w:lineRule="auto"/>
        <w:ind w:left="709" w:hanging="709"/>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Dotyczy: art. 17 ust. 4 lit. e)</w:t>
      </w:r>
    </w:p>
    <w:p w14:paraId="1F788722" w14:textId="7B5765D7" w:rsidR="005B1732" w:rsidRPr="00767B72" w:rsidRDefault="005B1732" w:rsidP="00000498">
      <w:pPr>
        <w:spacing w:before="240" w:after="240" w:line="276" w:lineRule="auto"/>
        <w:ind w:left="709" w:hanging="709"/>
        <w:rPr>
          <w:rFonts w:asciiTheme="minorHAnsi" w:eastAsia="Times New Roman" w:hAnsiTheme="minorHAnsi" w:cstheme="minorHAnsi"/>
          <w:iCs/>
          <w:szCs w:val="24"/>
          <w:lang w:val="pl-PL" w:eastAsia="en-GB"/>
        </w:rPr>
      </w:pPr>
      <w:r w:rsidRPr="00767B72">
        <w:rPr>
          <w:rFonts w:asciiTheme="minorHAnsi" w:eastAsia="Times New Roman" w:hAnsiTheme="minorHAnsi" w:cstheme="minorHAnsi"/>
          <w:b/>
          <w:iCs/>
          <w:szCs w:val="24"/>
          <w:lang w:val="pl-PL" w:eastAsia="en-GB"/>
        </w:rPr>
        <w:t>2.3.3.1</w:t>
      </w:r>
      <w:r w:rsidRPr="00767B72">
        <w:rPr>
          <w:rFonts w:asciiTheme="minorHAnsi" w:eastAsia="Times New Roman" w:hAnsiTheme="minorHAnsi" w:cstheme="minorHAnsi"/>
          <w:b/>
          <w:iCs/>
          <w:szCs w:val="24"/>
          <w:lang w:val="pl-PL" w:eastAsia="en-GB"/>
        </w:rPr>
        <w:tab/>
      </w:r>
      <w:r w:rsidR="00767B72">
        <w:rPr>
          <w:rFonts w:asciiTheme="minorHAnsi" w:eastAsia="Times New Roman" w:hAnsiTheme="minorHAnsi" w:cstheme="minorHAnsi"/>
          <w:b/>
          <w:iCs/>
          <w:szCs w:val="24"/>
          <w:lang w:val="pl-PL" w:eastAsia="en-GB"/>
        </w:rPr>
        <w:t xml:space="preserve"> </w:t>
      </w:r>
      <w:r w:rsidR="00466A32" w:rsidRPr="00767B72">
        <w:rPr>
          <w:rFonts w:asciiTheme="minorHAnsi" w:eastAsia="Times New Roman" w:hAnsiTheme="minorHAnsi" w:cstheme="minorHAnsi"/>
          <w:b/>
          <w:iCs/>
          <w:szCs w:val="24"/>
          <w:lang w:val="pl-PL" w:eastAsia="en-GB"/>
        </w:rPr>
        <w:t>Powiązane rodzaje działań i ich oczekiwany wkład w osiągnięcie tych celów szczegółowych oraz w stosownych przypadkach w strategie makroregionalne i strategie basenów morskich</w:t>
      </w:r>
    </w:p>
    <w:p w14:paraId="6DE4D421" w14:textId="13D37019" w:rsidR="005B1732" w:rsidRPr="00000498" w:rsidRDefault="00466A32" w:rsidP="00000498">
      <w:pPr>
        <w:spacing w:after="20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Dotyczy: art. 17 ust. 4 lit. e) ppkt (i), art. 17 ust. 9 lit. c) ppkt (ii)</w:t>
      </w:r>
    </w:p>
    <w:p w14:paraId="2C617E3F" w14:textId="62CFCA66" w:rsidR="00DD19D7" w:rsidRPr="00115F56" w:rsidRDefault="00466A32" w:rsidP="00115F56">
      <w:pPr>
        <w:pStyle w:val="Nagwek3"/>
        <w:rPr>
          <w:rFonts w:eastAsia="Times New Roman"/>
          <w:color w:val="auto"/>
          <w:sz w:val="28"/>
          <w:lang w:val="pl-PL" w:eastAsia="en-GB"/>
        </w:rPr>
      </w:pPr>
      <w:bookmarkStart w:id="112" w:name="_Toc73432988"/>
      <w:r w:rsidRPr="00115F56">
        <w:rPr>
          <w:rFonts w:eastAsia="Times New Roman"/>
          <w:color w:val="auto"/>
          <w:sz w:val="28"/>
          <w:lang w:val="pl-PL" w:eastAsia="en-GB"/>
        </w:rPr>
        <w:lastRenderedPageBreak/>
        <w:t>Cel</w:t>
      </w:r>
      <w:r w:rsidR="00DD19D7" w:rsidRPr="00115F56">
        <w:rPr>
          <w:rFonts w:eastAsia="Times New Roman"/>
          <w:color w:val="auto"/>
          <w:sz w:val="28"/>
          <w:lang w:val="pl-PL" w:eastAsia="en-GB"/>
        </w:rPr>
        <w:t xml:space="preserve"> </w:t>
      </w:r>
      <w:r w:rsidR="00DC4C40" w:rsidRPr="00115F56">
        <w:rPr>
          <w:rFonts w:eastAsia="Times New Roman"/>
          <w:color w:val="auto"/>
          <w:sz w:val="28"/>
          <w:lang w:val="pl-PL" w:eastAsia="en-GB"/>
        </w:rPr>
        <w:t xml:space="preserve">szczegółowy </w:t>
      </w:r>
      <w:r w:rsidR="00DD19D7" w:rsidRPr="00115F56">
        <w:rPr>
          <w:rFonts w:eastAsia="Times New Roman"/>
          <w:color w:val="auto"/>
          <w:sz w:val="28"/>
          <w:lang w:val="pl-PL" w:eastAsia="en-GB"/>
        </w:rPr>
        <w:t xml:space="preserve">3.3 </w:t>
      </w:r>
      <w:r w:rsidRPr="00115F56">
        <w:rPr>
          <w:rFonts w:eastAsia="Times New Roman"/>
          <w:color w:val="auto"/>
          <w:sz w:val="28"/>
          <w:lang w:val="pl-PL" w:eastAsia="en-GB"/>
        </w:rPr>
        <w:t>Inteligentna zielona mobilność</w:t>
      </w:r>
      <w:bookmarkEnd w:id="112"/>
    </w:p>
    <w:p w14:paraId="3334F202" w14:textId="2A19AA5C" w:rsidR="00DD19D7" w:rsidRPr="00000498" w:rsidRDefault="00871A6C" w:rsidP="00000498">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b/>
          <w:szCs w:val="24"/>
          <w:lang w:val="pl-PL" w:eastAsia="en-GB"/>
        </w:rPr>
      </w:pPr>
      <w:r w:rsidRPr="00000498">
        <w:rPr>
          <w:rFonts w:asciiTheme="minorHAnsi" w:eastAsia="Times New Roman" w:hAnsiTheme="minorHAnsi" w:cstheme="minorHAnsi"/>
          <w:b/>
          <w:szCs w:val="24"/>
          <w:lang w:val="pl-PL" w:eastAsia="en-GB"/>
        </w:rPr>
        <w:t>Wprowadzen</w:t>
      </w:r>
      <w:r w:rsidR="00466A32" w:rsidRPr="00000498">
        <w:rPr>
          <w:rFonts w:asciiTheme="minorHAnsi" w:eastAsia="Times New Roman" w:hAnsiTheme="minorHAnsi" w:cstheme="minorHAnsi"/>
          <w:b/>
          <w:szCs w:val="24"/>
          <w:lang w:val="pl-PL" w:eastAsia="en-GB"/>
        </w:rPr>
        <w:t>ie</w:t>
      </w:r>
      <w:r w:rsidRPr="00000498">
        <w:rPr>
          <w:rFonts w:asciiTheme="minorHAnsi" w:eastAsia="Times New Roman" w:hAnsiTheme="minorHAnsi" w:cstheme="minorHAnsi"/>
          <w:b/>
          <w:szCs w:val="24"/>
          <w:lang w:val="pl-PL" w:eastAsia="en-GB"/>
        </w:rPr>
        <w:t xml:space="preserve"> do działań</w:t>
      </w:r>
      <w:r w:rsidR="00DD19D7" w:rsidRPr="00000498">
        <w:rPr>
          <w:rFonts w:asciiTheme="minorHAnsi" w:eastAsia="Times New Roman" w:hAnsiTheme="minorHAnsi" w:cstheme="minorHAnsi"/>
          <w:b/>
          <w:szCs w:val="24"/>
          <w:lang w:val="pl-PL" w:eastAsia="en-GB"/>
        </w:rPr>
        <w:t xml:space="preserve"> </w:t>
      </w:r>
    </w:p>
    <w:p w14:paraId="55CBBAFD" w14:textId="51C2B62C" w:rsidR="00017755" w:rsidRPr="00000498" w:rsidRDefault="00017755" w:rsidP="00000498">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u w:val="single"/>
          <w:lang w:val="pl-PL" w:eastAsia="en-GB"/>
        </w:rPr>
      </w:pPr>
      <w:r w:rsidRPr="00000498">
        <w:rPr>
          <w:rFonts w:asciiTheme="minorHAnsi" w:eastAsia="Times New Roman" w:hAnsiTheme="minorHAnsi" w:cstheme="minorHAnsi"/>
          <w:szCs w:val="24"/>
          <w:lang w:val="pl-PL" w:eastAsia="en-GB"/>
        </w:rPr>
        <w:t xml:space="preserve">Region Morza Bałtyckiego ma duży potencjał w zakresie osiągnięcia </w:t>
      </w:r>
      <w:r w:rsidRPr="00000498">
        <w:rPr>
          <w:rFonts w:asciiTheme="minorHAnsi" w:eastAsia="Times New Roman" w:hAnsiTheme="minorHAnsi" w:cstheme="minorHAnsi"/>
          <w:szCs w:val="24"/>
          <w:u w:val="single"/>
          <w:lang w:val="pl-PL" w:eastAsia="en-GB"/>
        </w:rPr>
        <w:t>zerowej emisji gazów cieplarnianych</w:t>
      </w:r>
      <w:r w:rsidRPr="00000498">
        <w:rPr>
          <w:rFonts w:asciiTheme="minorHAnsi" w:eastAsia="Times New Roman" w:hAnsiTheme="minorHAnsi" w:cstheme="minorHAnsi"/>
          <w:szCs w:val="24"/>
          <w:lang w:val="pl-PL" w:eastAsia="en-GB"/>
        </w:rPr>
        <w:t xml:space="preserve"> w sektorze transportu dzięki wykorzystaniu paliw odnawialnych, czystej energii elektrycznej i cyfryzacji.</w:t>
      </w:r>
      <w:r w:rsidR="00846B5B" w:rsidRPr="00000498">
        <w:rPr>
          <w:rFonts w:asciiTheme="minorHAnsi" w:eastAsia="Times New Roman" w:hAnsiTheme="minorHAnsi" w:cstheme="minorHAnsi"/>
          <w:szCs w:val="24"/>
          <w:lang w:val="pl-PL" w:eastAsia="en-GB"/>
        </w:rPr>
        <w:t xml:space="preserve"> </w:t>
      </w:r>
      <w:r w:rsidRPr="00000498">
        <w:rPr>
          <w:rFonts w:asciiTheme="minorHAnsi" w:eastAsia="Times New Roman" w:hAnsiTheme="minorHAnsi" w:cstheme="minorHAnsi"/>
          <w:szCs w:val="24"/>
          <w:u w:val="single"/>
          <w:lang w:val="pl-PL" w:eastAsia="en-GB"/>
        </w:rPr>
        <w:t>Ekologiczny (zielony) i dobrze funkcjonujący system mobilności transgranicznej</w:t>
      </w:r>
      <w:r w:rsidRPr="00000498">
        <w:rPr>
          <w:rFonts w:asciiTheme="minorHAnsi" w:eastAsia="Times New Roman" w:hAnsiTheme="minorHAnsi" w:cstheme="minorHAnsi"/>
          <w:szCs w:val="24"/>
          <w:lang w:val="pl-PL" w:eastAsia="en-GB"/>
        </w:rPr>
        <w:t xml:space="preserve"> ma kluczowe znaczenie dla rozwoju RMB. Program wspiera działania zapewniające płynny przepływ osób i towarów na obszarach miejskich i wiejskich oraz między nimi, przy jednoczesnym oszczędzaniu zasobów poprzez </w:t>
      </w:r>
      <w:r w:rsidRPr="00000498">
        <w:rPr>
          <w:rFonts w:asciiTheme="minorHAnsi" w:eastAsia="Times New Roman" w:hAnsiTheme="minorHAnsi" w:cstheme="minorHAnsi"/>
          <w:szCs w:val="24"/>
          <w:u w:val="single"/>
          <w:lang w:val="pl-PL" w:eastAsia="en-GB"/>
        </w:rPr>
        <w:t>zwiększanie wydajności, integrację różnych rodzajów transportu i przyspieszenie cyfryzacji.</w:t>
      </w:r>
    </w:p>
    <w:p w14:paraId="2BEF0947" w14:textId="737062DE" w:rsidR="00915CD0" w:rsidRPr="00000498" w:rsidRDefault="00915CD0" w:rsidP="00000498">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 xml:space="preserve">Program zachęca do opracowywania rozwiązań </w:t>
      </w:r>
      <w:r w:rsidRPr="00000498">
        <w:rPr>
          <w:rFonts w:asciiTheme="minorHAnsi" w:eastAsia="Times New Roman" w:hAnsiTheme="minorHAnsi" w:cstheme="minorHAnsi"/>
          <w:szCs w:val="24"/>
          <w:u w:val="single"/>
          <w:lang w:val="pl-PL" w:eastAsia="en-GB"/>
        </w:rPr>
        <w:t>harmonizujących</w:t>
      </w:r>
      <w:r w:rsidRPr="00000498">
        <w:rPr>
          <w:rFonts w:asciiTheme="minorHAnsi" w:eastAsia="Times New Roman" w:hAnsiTheme="minorHAnsi" w:cstheme="minorHAnsi"/>
          <w:szCs w:val="24"/>
          <w:lang w:val="pl-PL" w:eastAsia="en-GB"/>
        </w:rPr>
        <w:t xml:space="preserve"> transgranicznie </w:t>
      </w:r>
      <w:r w:rsidRPr="00000498">
        <w:rPr>
          <w:rFonts w:asciiTheme="minorHAnsi" w:eastAsia="Times New Roman" w:hAnsiTheme="minorHAnsi" w:cstheme="minorHAnsi"/>
          <w:szCs w:val="24"/>
          <w:u w:val="single"/>
          <w:lang w:val="pl-PL" w:eastAsia="en-GB"/>
        </w:rPr>
        <w:t>systemy mobilności</w:t>
      </w:r>
      <w:r w:rsidRPr="00000498">
        <w:rPr>
          <w:rFonts w:asciiTheme="minorHAnsi" w:eastAsia="Times New Roman" w:hAnsiTheme="minorHAnsi" w:cstheme="minorHAnsi"/>
          <w:szCs w:val="24"/>
          <w:lang w:val="pl-PL" w:eastAsia="en-GB"/>
        </w:rPr>
        <w:t xml:space="preserve"> umożliwiając, tym samym, </w:t>
      </w:r>
      <w:r w:rsidRPr="00000498">
        <w:rPr>
          <w:rFonts w:asciiTheme="minorHAnsi" w:eastAsia="Times New Roman" w:hAnsiTheme="minorHAnsi" w:cstheme="minorHAnsi"/>
          <w:szCs w:val="24"/>
          <w:u w:val="single"/>
          <w:lang w:val="pl-PL" w:eastAsia="en-GB"/>
        </w:rPr>
        <w:t>spójne wykorzystanie rozwiązań w zakresie zielonej mobilności</w:t>
      </w:r>
      <w:r w:rsidRPr="00000498">
        <w:rPr>
          <w:rFonts w:asciiTheme="minorHAnsi" w:eastAsia="Times New Roman" w:hAnsiTheme="minorHAnsi" w:cstheme="minorHAnsi"/>
          <w:szCs w:val="24"/>
          <w:lang w:val="pl-PL" w:eastAsia="en-GB"/>
        </w:rPr>
        <w:t xml:space="preserve">. Ponadto, Program zachęca do działań zwiększających zdolność władz publicznych w planowaniu krajowym, regionalnym i miejskim do wprowadzania </w:t>
      </w:r>
      <w:r w:rsidRPr="00000498">
        <w:rPr>
          <w:rFonts w:asciiTheme="minorHAnsi" w:eastAsia="Times New Roman" w:hAnsiTheme="minorHAnsi" w:cstheme="minorHAnsi"/>
          <w:szCs w:val="24"/>
          <w:u w:val="single"/>
          <w:lang w:val="pl-PL" w:eastAsia="en-GB"/>
        </w:rPr>
        <w:t>zielonych i inteligentnych rozwiązań transportowych w celu zmniejszenia zanieczyszczenia</w:t>
      </w:r>
      <w:r w:rsidRPr="00000498">
        <w:rPr>
          <w:rFonts w:asciiTheme="minorHAnsi" w:eastAsia="Times New Roman" w:hAnsiTheme="minorHAnsi" w:cstheme="minorHAnsi"/>
          <w:szCs w:val="24"/>
          <w:lang w:val="pl-PL" w:eastAsia="en-GB"/>
        </w:rPr>
        <w:t xml:space="preserve">, w tym zanieczyszczenia powietrza w miastach. Program pragnie </w:t>
      </w:r>
      <w:r w:rsidRPr="00000498">
        <w:rPr>
          <w:rFonts w:asciiTheme="minorHAnsi" w:eastAsia="Times New Roman" w:hAnsiTheme="minorHAnsi" w:cstheme="minorHAnsi"/>
          <w:szCs w:val="24"/>
          <w:u w:val="single"/>
          <w:lang w:val="pl-PL" w:eastAsia="en-GB"/>
        </w:rPr>
        <w:t>zmobilizować firmy transportowe i obywateli</w:t>
      </w:r>
      <w:r w:rsidRPr="00000498">
        <w:rPr>
          <w:rFonts w:asciiTheme="minorHAnsi" w:eastAsia="Times New Roman" w:hAnsiTheme="minorHAnsi" w:cstheme="minorHAnsi"/>
          <w:szCs w:val="24"/>
          <w:lang w:val="pl-PL" w:eastAsia="en-GB"/>
        </w:rPr>
        <w:t xml:space="preserve"> do aktywnego korzystania z ekologicznych i inteligentnych rozwiązań w zakresie mobilności. W ten sposób celem nie jest jedynie wprowadzenie rozwiązań technicznych, ale także zmiana zachowań i wymagań związanych z mobilnością</w:t>
      </w:r>
      <w:r w:rsidR="00846B5B" w:rsidRPr="00000498">
        <w:rPr>
          <w:rFonts w:asciiTheme="minorHAnsi" w:eastAsia="Times New Roman" w:hAnsiTheme="minorHAnsi" w:cstheme="minorHAnsi"/>
          <w:szCs w:val="24"/>
          <w:lang w:val="pl-PL" w:eastAsia="en-GB"/>
        </w:rPr>
        <w:t>.</w:t>
      </w:r>
    </w:p>
    <w:p w14:paraId="045D6C1A" w14:textId="256EBAB4" w:rsidR="00DD19D7" w:rsidRPr="00000498" w:rsidRDefault="002827BD" w:rsidP="00000498">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b/>
          <w:szCs w:val="24"/>
          <w:lang w:val="pl-PL" w:eastAsia="en-GB"/>
        </w:rPr>
      </w:pPr>
      <w:r w:rsidRPr="00000498">
        <w:rPr>
          <w:rFonts w:asciiTheme="minorHAnsi" w:eastAsia="Times New Roman" w:hAnsiTheme="minorHAnsi" w:cstheme="minorHAnsi"/>
          <w:b/>
          <w:szCs w:val="24"/>
          <w:lang w:val="pl-PL" w:eastAsia="en-GB"/>
        </w:rPr>
        <w:t xml:space="preserve">Przykłady działań (lista </w:t>
      </w:r>
      <w:r w:rsidRPr="00F42A23">
        <w:rPr>
          <w:rFonts w:asciiTheme="minorHAnsi" w:eastAsia="Times New Roman" w:hAnsiTheme="minorHAnsi" w:cstheme="minorHAnsi"/>
          <w:b/>
          <w:szCs w:val="24"/>
          <w:lang w:val="pl-PL" w:eastAsia="en-GB"/>
        </w:rPr>
        <w:t xml:space="preserve">nie jest </w:t>
      </w:r>
      <w:r w:rsidR="00305E0A" w:rsidRPr="00F42A23">
        <w:rPr>
          <w:rFonts w:asciiTheme="minorHAnsi" w:eastAsia="Times New Roman" w:hAnsiTheme="minorHAnsi" w:cstheme="minorHAnsi"/>
          <w:b/>
          <w:szCs w:val="24"/>
          <w:lang w:val="pl-PL" w:eastAsia="en-GB"/>
        </w:rPr>
        <w:t>zamknięta</w:t>
      </w:r>
      <w:r w:rsidRPr="00F42A23">
        <w:rPr>
          <w:rFonts w:asciiTheme="minorHAnsi" w:eastAsia="Times New Roman" w:hAnsiTheme="minorHAnsi" w:cstheme="minorHAnsi"/>
          <w:b/>
          <w:szCs w:val="24"/>
          <w:lang w:val="pl-PL" w:eastAsia="en-GB"/>
        </w:rPr>
        <w:t>)</w:t>
      </w:r>
      <w:r w:rsidR="00DD19D7" w:rsidRPr="00F42A23">
        <w:rPr>
          <w:rFonts w:asciiTheme="minorHAnsi" w:eastAsia="Times New Roman" w:hAnsiTheme="minorHAnsi" w:cstheme="minorHAnsi"/>
          <w:b/>
          <w:szCs w:val="24"/>
          <w:lang w:val="pl-PL" w:eastAsia="en-GB"/>
        </w:rPr>
        <w:t>:</w:t>
      </w:r>
    </w:p>
    <w:p w14:paraId="2B6B47D4" w14:textId="35D3A64E" w:rsidR="00915CD0" w:rsidRPr="00000498" w:rsidRDefault="00915CD0" w:rsidP="00000498">
      <w:pPr>
        <w:pStyle w:val="Akapitzlist"/>
        <w:numPr>
          <w:ilvl w:val="0"/>
          <w:numId w:val="38"/>
        </w:numPr>
        <w:pBdr>
          <w:top w:val="single" w:sz="4" w:space="1" w:color="auto"/>
          <w:left w:val="single" w:sz="4" w:space="4" w:color="auto"/>
          <w:bottom w:val="single" w:sz="4" w:space="1" w:color="auto"/>
          <w:right w:val="single" w:sz="4" w:space="4" w:color="auto"/>
        </w:pBdr>
        <w:ind w:left="431" w:hanging="431"/>
        <w:rPr>
          <w:rFonts w:eastAsia="Times New Roman" w:cstheme="minorHAnsi"/>
          <w:sz w:val="24"/>
          <w:szCs w:val="24"/>
          <w:lang w:val="pl-PL" w:eastAsia="en-GB"/>
        </w:rPr>
      </w:pPr>
      <w:r w:rsidRPr="00000498">
        <w:rPr>
          <w:rFonts w:eastAsia="Times New Roman" w:cstheme="minorHAnsi"/>
          <w:sz w:val="24"/>
          <w:szCs w:val="24"/>
          <w:lang w:val="pl-PL" w:eastAsia="en-GB"/>
        </w:rPr>
        <w:t xml:space="preserve">opracowanie wspólnych standardów na rzecz harmonizacji systemów mobilności w celu zapewnienia kompatybilności ekologicznych rozwiązań wzdłuż korytarzy transportowych i w kontekście transgranicznym, </w:t>
      </w:r>
      <w:r w:rsidR="00A05A16" w:rsidRPr="00000498">
        <w:rPr>
          <w:rFonts w:eastAsia="Times New Roman" w:cstheme="minorHAnsi"/>
          <w:sz w:val="24"/>
          <w:szCs w:val="24"/>
          <w:lang w:val="pl-PL" w:eastAsia="en-GB"/>
        </w:rPr>
        <w:t>np. w</w:t>
      </w:r>
      <w:r w:rsidRPr="00000498">
        <w:rPr>
          <w:rFonts w:eastAsia="Times New Roman" w:cstheme="minorHAnsi"/>
          <w:sz w:val="24"/>
          <w:szCs w:val="24"/>
          <w:lang w:val="pl-PL" w:eastAsia="en-GB"/>
        </w:rPr>
        <w:t xml:space="preserve"> przypadku systemów ładowania - nowe rodzaje pojazdów;</w:t>
      </w:r>
    </w:p>
    <w:p w14:paraId="4DAF5F11" w14:textId="2A4DF288" w:rsidR="00915CD0" w:rsidRPr="00000498" w:rsidRDefault="00915CD0" w:rsidP="00000498">
      <w:pPr>
        <w:pStyle w:val="Akapitzlist"/>
        <w:numPr>
          <w:ilvl w:val="0"/>
          <w:numId w:val="38"/>
        </w:numPr>
        <w:pBdr>
          <w:top w:val="single" w:sz="4" w:space="1" w:color="auto"/>
          <w:left w:val="single" w:sz="4" w:space="4" w:color="auto"/>
          <w:bottom w:val="single" w:sz="4" w:space="1" w:color="auto"/>
          <w:right w:val="single" w:sz="4" w:space="4" w:color="auto"/>
        </w:pBdr>
        <w:ind w:left="431" w:hanging="431"/>
        <w:rPr>
          <w:rFonts w:eastAsia="Times New Roman" w:cstheme="minorHAnsi"/>
          <w:sz w:val="24"/>
          <w:szCs w:val="24"/>
          <w:lang w:val="pl-PL" w:eastAsia="en-GB"/>
        </w:rPr>
      </w:pPr>
      <w:r w:rsidRPr="00000498">
        <w:rPr>
          <w:rFonts w:eastAsia="Times New Roman" w:cstheme="minorHAnsi"/>
          <w:sz w:val="24"/>
          <w:szCs w:val="24"/>
          <w:lang w:val="pl-PL" w:eastAsia="en-GB"/>
        </w:rPr>
        <w:t>wykorzystanie innowacyjnych technologii i</w:t>
      </w:r>
      <w:r w:rsidR="00367EF1">
        <w:rPr>
          <w:rFonts w:eastAsia="Times New Roman" w:cstheme="minorHAnsi"/>
          <w:sz w:val="24"/>
          <w:szCs w:val="24"/>
          <w:lang w:val="pl-PL" w:eastAsia="en-GB"/>
        </w:rPr>
        <w:t xml:space="preserve"> planowanie </w:t>
      </w:r>
      <w:r w:rsidRPr="00000498">
        <w:rPr>
          <w:rFonts w:eastAsia="Times New Roman" w:cstheme="minorHAnsi"/>
          <w:sz w:val="24"/>
          <w:szCs w:val="24"/>
          <w:lang w:val="pl-PL" w:eastAsia="en-GB"/>
        </w:rPr>
        <w:t>infrastruktury do rozwoju niskoemisyjnych, zielonych i inteligentnych rozwiązań w transporcie multimodalnym;</w:t>
      </w:r>
    </w:p>
    <w:p w14:paraId="5BDEDADA" w14:textId="721057BD" w:rsidR="00915CD0" w:rsidRPr="00000498" w:rsidRDefault="00915CD0" w:rsidP="00000498">
      <w:pPr>
        <w:pStyle w:val="Akapitzlist"/>
        <w:numPr>
          <w:ilvl w:val="0"/>
          <w:numId w:val="38"/>
        </w:numPr>
        <w:pBdr>
          <w:top w:val="single" w:sz="4" w:space="1" w:color="auto"/>
          <w:left w:val="single" w:sz="4" w:space="4" w:color="auto"/>
          <w:bottom w:val="single" w:sz="4" w:space="1" w:color="auto"/>
          <w:right w:val="single" w:sz="4" w:space="4" w:color="auto"/>
        </w:pBdr>
        <w:ind w:left="431" w:hanging="431"/>
        <w:rPr>
          <w:rFonts w:eastAsia="Times New Roman" w:cstheme="minorHAnsi"/>
          <w:sz w:val="24"/>
          <w:szCs w:val="24"/>
          <w:lang w:val="pl-PL" w:eastAsia="en-GB"/>
        </w:rPr>
      </w:pPr>
      <w:r w:rsidRPr="00000498">
        <w:rPr>
          <w:rFonts w:eastAsia="Times New Roman" w:cstheme="minorHAnsi"/>
          <w:sz w:val="24"/>
          <w:szCs w:val="24"/>
          <w:lang w:val="pl-PL" w:eastAsia="en-GB"/>
        </w:rPr>
        <w:t>wspieranie krajowych, regionalnych i lokalnych władz publicznych w opracowywaniu, testowaniu, zamawianiu i wdrażaniu ekologicznego i multimodalnego transportu, jako zintegrowanej usługi wykorzystującej narzędzia cyfrowe;</w:t>
      </w:r>
    </w:p>
    <w:p w14:paraId="5D590031" w14:textId="7802DF8C" w:rsidR="00DD19D7" w:rsidRPr="00000498" w:rsidRDefault="00915CD0" w:rsidP="00000498">
      <w:pPr>
        <w:pStyle w:val="Akapitzlist"/>
        <w:numPr>
          <w:ilvl w:val="0"/>
          <w:numId w:val="38"/>
        </w:numPr>
        <w:pBdr>
          <w:top w:val="single" w:sz="4" w:space="1" w:color="auto"/>
          <w:left w:val="single" w:sz="4" w:space="4" w:color="auto"/>
          <w:bottom w:val="single" w:sz="4" w:space="1" w:color="auto"/>
          <w:right w:val="single" w:sz="4" w:space="4" w:color="auto"/>
        </w:pBdr>
        <w:ind w:left="431" w:hanging="431"/>
        <w:rPr>
          <w:rFonts w:eastAsia="Times New Roman" w:cstheme="minorHAnsi"/>
          <w:sz w:val="24"/>
          <w:szCs w:val="24"/>
          <w:lang w:val="pl-PL" w:eastAsia="en-GB"/>
        </w:rPr>
      </w:pPr>
      <w:r w:rsidRPr="00000498">
        <w:rPr>
          <w:rFonts w:eastAsia="Times New Roman" w:cstheme="minorHAnsi"/>
          <w:sz w:val="24"/>
          <w:szCs w:val="24"/>
          <w:lang w:val="pl-PL" w:eastAsia="en-GB"/>
        </w:rPr>
        <w:t>ponowne przemyślenie miejskiego, wiejskiego i regionalnego planowania przestrzennego i transportowego w celu dostosowania do innowacji w zakresie pojazdów i usług, a także promowanie efektywnej przestrzennie mobilności wszystkich rodzajów (autonomiczne, połączone, elektryczne, współdzielone i aktywne opcje mobilności, np. ruch pieszy i rowerowy);</w:t>
      </w:r>
    </w:p>
    <w:p w14:paraId="3A69304B" w14:textId="3C17775A" w:rsidR="00DD19D7" w:rsidRPr="00000498" w:rsidRDefault="00997175" w:rsidP="00000498">
      <w:pPr>
        <w:pStyle w:val="Akapitzlist"/>
        <w:numPr>
          <w:ilvl w:val="0"/>
          <w:numId w:val="38"/>
        </w:numPr>
        <w:pBdr>
          <w:top w:val="single" w:sz="4" w:space="1" w:color="auto"/>
          <w:left w:val="single" w:sz="4" w:space="4" w:color="auto"/>
          <w:bottom w:val="single" w:sz="4" w:space="1" w:color="auto"/>
          <w:right w:val="single" w:sz="4" w:space="4" w:color="auto"/>
        </w:pBdr>
        <w:ind w:left="431" w:hanging="431"/>
        <w:rPr>
          <w:rFonts w:eastAsia="Times New Roman" w:cstheme="minorHAnsi"/>
          <w:sz w:val="24"/>
          <w:szCs w:val="24"/>
          <w:lang w:val="pl-PL" w:eastAsia="en-GB"/>
        </w:rPr>
      </w:pPr>
      <w:r w:rsidRPr="00000498">
        <w:rPr>
          <w:rFonts w:eastAsia="Times New Roman" w:cstheme="minorHAnsi"/>
          <w:sz w:val="24"/>
          <w:szCs w:val="24"/>
          <w:lang w:val="pl-PL" w:eastAsia="en-GB"/>
        </w:rPr>
        <w:t>testowanie i stosowanie rozwiązań cyfrowych (analityka big data, przetwarzanie danych w czasie rzeczywistym, inteligentne systemy transportowe) regulujących przepływ ruchu, optymalizujących linie transportu publicznego i przewidujących zmieniające się wzorce mobilności;</w:t>
      </w:r>
    </w:p>
    <w:p w14:paraId="346AEB4D" w14:textId="079E809A" w:rsidR="00915CD0" w:rsidRPr="00000498" w:rsidRDefault="00915CD0" w:rsidP="00000498">
      <w:pPr>
        <w:pStyle w:val="Akapitzlist"/>
        <w:numPr>
          <w:ilvl w:val="0"/>
          <w:numId w:val="38"/>
        </w:numPr>
        <w:pBdr>
          <w:top w:val="single" w:sz="4" w:space="1" w:color="auto"/>
          <w:left w:val="single" w:sz="4" w:space="4" w:color="auto"/>
          <w:bottom w:val="single" w:sz="4" w:space="1" w:color="auto"/>
          <w:right w:val="single" w:sz="4" w:space="4" w:color="auto"/>
        </w:pBdr>
        <w:ind w:left="431" w:hanging="431"/>
        <w:rPr>
          <w:rFonts w:eastAsia="Times New Roman" w:cstheme="minorHAnsi"/>
          <w:sz w:val="24"/>
          <w:szCs w:val="24"/>
          <w:lang w:val="pl-PL" w:eastAsia="en-GB"/>
        </w:rPr>
      </w:pPr>
      <w:r w:rsidRPr="00000498">
        <w:rPr>
          <w:rFonts w:eastAsia="Times New Roman" w:cstheme="minorHAnsi"/>
          <w:sz w:val="24"/>
          <w:szCs w:val="24"/>
          <w:lang w:val="pl-PL" w:eastAsia="en-GB"/>
        </w:rPr>
        <w:t>testowanie i wdrażanie innowacyjnych technologii i</w:t>
      </w:r>
      <w:r w:rsidR="00C93217">
        <w:rPr>
          <w:rFonts w:eastAsia="Times New Roman" w:cstheme="minorHAnsi"/>
          <w:sz w:val="24"/>
          <w:szCs w:val="24"/>
          <w:lang w:val="pl-PL" w:eastAsia="en-GB"/>
        </w:rPr>
        <w:t xml:space="preserve"> planowania</w:t>
      </w:r>
      <w:bookmarkStart w:id="113" w:name="_GoBack"/>
      <w:bookmarkEnd w:id="113"/>
      <w:r w:rsidRPr="00000498">
        <w:rPr>
          <w:rFonts w:eastAsia="Times New Roman" w:cstheme="minorHAnsi"/>
          <w:sz w:val="24"/>
          <w:szCs w:val="24"/>
          <w:lang w:val="pl-PL" w:eastAsia="en-GB"/>
        </w:rPr>
        <w:t xml:space="preserve"> infrastruktury w celu produkcji, przechowywania i dystrybucji paliw odnawialnych (np. biopaliw, wodoru) w miastach i regionach w celu zastąpienia oleju napędowego i benzyny w transporcie;</w:t>
      </w:r>
    </w:p>
    <w:p w14:paraId="04D1B4CE" w14:textId="26D2258A" w:rsidR="00915CD0" w:rsidRPr="00000498" w:rsidRDefault="00915CD0" w:rsidP="00000498">
      <w:pPr>
        <w:pStyle w:val="Akapitzlist"/>
        <w:numPr>
          <w:ilvl w:val="0"/>
          <w:numId w:val="38"/>
        </w:numPr>
        <w:pBdr>
          <w:top w:val="single" w:sz="4" w:space="1" w:color="auto"/>
          <w:left w:val="single" w:sz="4" w:space="4" w:color="auto"/>
          <w:bottom w:val="single" w:sz="4" w:space="1" w:color="auto"/>
          <w:right w:val="single" w:sz="4" w:space="4" w:color="auto"/>
        </w:pBdr>
        <w:ind w:left="431" w:hanging="431"/>
        <w:rPr>
          <w:rFonts w:eastAsia="Times New Roman" w:cstheme="minorHAnsi"/>
          <w:sz w:val="24"/>
          <w:szCs w:val="24"/>
          <w:lang w:val="pl-PL" w:eastAsia="en-GB"/>
        </w:rPr>
      </w:pPr>
      <w:r w:rsidRPr="00000498">
        <w:rPr>
          <w:rFonts w:eastAsia="Times New Roman" w:cstheme="minorHAnsi"/>
          <w:sz w:val="24"/>
          <w:szCs w:val="24"/>
          <w:lang w:val="pl-PL" w:eastAsia="en-GB"/>
        </w:rPr>
        <w:lastRenderedPageBreak/>
        <w:t>planowanie i pilotowanie e-mobilności, usług inteligentnych sieci i stacji ładowania, w tym wytwarzanej lokalnie energii elektrycznej oraz podłączanie zielonej energii do istniejących sieci energetycznych;</w:t>
      </w:r>
    </w:p>
    <w:p w14:paraId="7C11EF6A" w14:textId="66F6DBBF" w:rsidR="00915CD0" w:rsidRPr="00000498" w:rsidRDefault="00915CD0" w:rsidP="00000498">
      <w:pPr>
        <w:pStyle w:val="Akapitzlist"/>
        <w:numPr>
          <w:ilvl w:val="0"/>
          <w:numId w:val="38"/>
        </w:numPr>
        <w:pBdr>
          <w:top w:val="single" w:sz="4" w:space="1" w:color="auto"/>
          <w:left w:val="single" w:sz="4" w:space="4" w:color="auto"/>
          <w:bottom w:val="single" w:sz="4" w:space="1" w:color="auto"/>
          <w:right w:val="single" w:sz="4" w:space="4" w:color="auto"/>
        </w:pBdr>
        <w:ind w:left="431" w:hanging="431"/>
        <w:rPr>
          <w:rFonts w:eastAsia="Times New Roman" w:cstheme="minorHAnsi"/>
          <w:sz w:val="24"/>
          <w:szCs w:val="24"/>
          <w:lang w:val="pl-PL" w:eastAsia="en-GB"/>
        </w:rPr>
      </w:pPr>
      <w:r w:rsidRPr="00000498">
        <w:rPr>
          <w:rFonts w:eastAsia="Times New Roman" w:cstheme="minorHAnsi"/>
          <w:sz w:val="24"/>
          <w:szCs w:val="24"/>
          <w:lang w:val="pl-PL" w:eastAsia="en-GB"/>
        </w:rPr>
        <w:t>planowanie infrastruktury ładowania na stacjach transportu publicznego i węzłach towarowych, zmiana przeznaczenia stacji gazowych lub benzynowych na węzły ładowania paliw odnawialnych;</w:t>
      </w:r>
    </w:p>
    <w:p w14:paraId="69C10F68" w14:textId="27592C91" w:rsidR="00DD19D7" w:rsidRPr="00000498" w:rsidRDefault="00915CD0" w:rsidP="00000498">
      <w:pPr>
        <w:pStyle w:val="Akapitzlist"/>
        <w:numPr>
          <w:ilvl w:val="0"/>
          <w:numId w:val="38"/>
        </w:numPr>
        <w:pBdr>
          <w:top w:val="single" w:sz="4" w:space="1" w:color="auto"/>
          <w:left w:val="single" w:sz="4" w:space="4" w:color="auto"/>
          <w:bottom w:val="single" w:sz="4" w:space="1" w:color="auto"/>
          <w:right w:val="single" w:sz="4" w:space="4" w:color="auto"/>
        </w:pBdr>
        <w:ind w:left="431" w:hanging="431"/>
        <w:rPr>
          <w:rFonts w:eastAsia="Times New Roman" w:cstheme="minorHAnsi"/>
          <w:sz w:val="24"/>
          <w:szCs w:val="24"/>
          <w:lang w:val="pl-PL" w:eastAsia="en-GB"/>
        </w:rPr>
      </w:pPr>
      <w:r w:rsidRPr="00000498">
        <w:rPr>
          <w:rFonts w:eastAsia="Times New Roman" w:cstheme="minorHAnsi"/>
          <w:sz w:val="24"/>
          <w:szCs w:val="24"/>
          <w:lang w:val="pl-PL" w:eastAsia="en-GB"/>
        </w:rPr>
        <w:t>zwiększanie mobilności towarów poprzez wprowadzanie wspólnych rozwiązań i rozproszonych centrów wykorzystujących platformy cyfrowe, w celu maksymalizacji efektywności wykorzystania pojazdów</w:t>
      </w:r>
      <w:r w:rsidR="00D53BD6" w:rsidRPr="00000498">
        <w:rPr>
          <w:rFonts w:eastAsia="Times New Roman" w:cstheme="minorHAnsi"/>
          <w:sz w:val="24"/>
          <w:szCs w:val="24"/>
          <w:lang w:val="pl-PL" w:eastAsia="en-GB"/>
        </w:rPr>
        <w:t>.</w:t>
      </w:r>
    </w:p>
    <w:p w14:paraId="2E78EEAF" w14:textId="3A30163E" w:rsidR="00DD19D7" w:rsidRPr="00000498" w:rsidRDefault="002827BD" w:rsidP="00000498">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b/>
          <w:szCs w:val="24"/>
          <w:lang w:val="pl-PL" w:eastAsia="en-GB"/>
        </w:rPr>
      </w:pPr>
      <w:r w:rsidRPr="00000498">
        <w:rPr>
          <w:rFonts w:asciiTheme="minorHAnsi" w:eastAsia="Times New Roman" w:hAnsiTheme="minorHAnsi" w:cstheme="minorHAnsi"/>
          <w:b/>
          <w:szCs w:val="24"/>
          <w:lang w:val="pl-PL" w:eastAsia="en-GB"/>
        </w:rPr>
        <w:t>Wkład do wybranego celu</w:t>
      </w:r>
    </w:p>
    <w:p w14:paraId="70698A9C" w14:textId="5A5683A6" w:rsidR="00DD19D7" w:rsidRPr="00000498" w:rsidRDefault="00997175" w:rsidP="00000498">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 xml:space="preserve">Działania te przyczyniają się do realizacji celu szczegółowego, </w:t>
      </w:r>
      <w:r w:rsidR="00A05A16" w:rsidRPr="00000498">
        <w:rPr>
          <w:rFonts w:asciiTheme="minorHAnsi" w:eastAsia="Times New Roman" w:hAnsiTheme="minorHAnsi" w:cstheme="minorHAnsi"/>
          <w:szCs w:val="24"/>
          <w:lang w:val="pl-PL" w:eastAsia="en-GB"/>
        </w:rPr>
        <w:t>poprzez</w:t>
      </w:r>
      <w:r w:rsidRPr="00000498">
        <w:rPr>
          <w:rFonts w:asciiTheme="minorHAnsi" w:eastAsia="Times New Roman" w:hAnsiTheme="minorHAnsi" w:cstheme="minorHAnsi"/>
          <w:szCs w:val="24"/>
          <w:lang w:val="pl-PL" w:eastAsia="en-GB"/>
        </w:rPr>
        <w:t xml:space="preserve"> ułatwianie, opracowywanie, testowanie i stosowanie rozwiązań zmniejszających zanieczyszczenie w sektorze transportu. Pomogą one regionowi znacznie zmniejszyć emisje z transportu, a tym samym, osiągnąć neutralność klimatyczną. Ze względu na charakterystykę RMB, istotne jest podjęcie wyzwań klimatycznych związanych z mobilnością zarówno na obszarach miejskich jak i wiejskich. Dlatego też, działania wspierają tworzenie infrastruktury zielonej mobilności zarówno na obszarach miejskich jak i wiejskich. Przyczyniają się </w:t>
      </w:r>
      <w:r w:rsidR="00C94B2A">
        <w:rPr>
          <w:rFonts w:asciiTheme="minorHAnsi" w:eastAsia="Times New Roman" w:hAnsiTheme="minorHAnsi" w:cstheme="minorHAnsi"/>
          <w:szCs w:val="24"/>
          <w:lang w:val="pl-PL" w:eastAsia="en-GB"/>
        </w:rPr>
        <w:t xml:space="preserve">one </w:t>
      </w:r>
      <w:r w:rsidRPr="00000498">
        <w:rPr>
          <w:rFonts w:asciiTheme="minorHAnsi" w:eastAsia="Times New Roman" w:hAnsiTheme="minorHAnsi" w:cstheme="minorHAnsi"/>
          <w:szCs w:val="24"/>
          <w:lang w:val="pl-PL" w:eastAsia="en-GB"/>
        </w:rPr>
        <w:t>do wdrażania zrównoważonych paliw dla transportu, publicznych punktów ładowania i tankowania, a także łączą zielone i lokalne zasoby energii z sieciami energetycznymi i e-mobilnością. Działania mające na celu automatyzację i połączenie mobilności multimodalnej zwiększą efektywność systemu transportowego</w:t>
      </w:r>
      <w:r w:rsidR="00DD19D7" w:rsidRPr="00000498">
        <w:rPr>
          <w:rFonts w:asciiTheme="minorHAnsi" w:eastAsia="Times New Roman" w:hAnsiTheme="minorHAnsi" w:cstheme="minorHAnsi"/>
          <w:szCs w:val="24"/>
          <w:lang w:val="pl-PL" w:eastAsia="en-GB"/>
        </w:rPr>
        <w:t xml:space="preserve">.   </w:t>
      </w:r>
    </w:p>
    <w:p w14:paraId="1BF7771D" w14:textId="4D413149" w:rsidR="00DD19D7" w:rsidRPr="00000498" w:rsidRDefault="002827BD" w:rsidP="00000498">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b/>
          <w:szCs w:val="24"/>
          <w:lang w:val="pl-PL" w:eastAsia="en-GB"/>
        </w:rPr>
      </w:pPr>
      <w:r w:rsidRPr="00000498">
        <w:rPr>
          <w:rFonts w:asciiTheme="minorHAnsi" w:eastAsia="Times New Roman" w:hAnsiTheme="minorHAnsi" w:cstheme="minorHAnsi"/>
          <w:b/>
          <w:szCs w:val="24"/>
          <w:lang w:val="pl-PL" w:eastAsia="en-GB"/>
        </w:rPr>
        <w:t xml:space="preserve">Wkład w </w:t>
      </w:r>
      <w:r w:rsidR="00C94B2A">
        <w:rPr>
          <w:rFonts w:asciiTheme="minorHAnsi" w:eastAsia="Times New Roman" w:hAnsiTheme="minorHAnsi" w:cstheme="minorHAnsi"/>
          <w:b/>
          <w:szCs w:val="24"/>
          <w:lang w:val="pl-PL" w:eastAsia="en-GB"/>
        </w:rPr>
        <w:t>S</w:t>
      </w:r>
      <w:r w:rsidRPr="00000498">
        <w:rPr>
          <w:rFonts w:asciiTheme="minorHAnsi" w:eastAsia="Times New Roman" w:hAnsiTheme="minorHAnsi" w:cstheme="minorHAnsi"/>
          <w:b/>
          <w:szCs w:val="24"/>
          <w:lang w:val="pl-PL" w:eastAsia="en-GB"/>
        </w:rPr>
        <w:t>trategię UE dla regionu Morza Bałtyckiego</w:t>
      </w:r>
    </w:p>
    <w:p w14:paraId="7FA1517F" w14:textId="62EADF6A" w:rsidR="00DD19D7" w:rsidRPr="00FE3950" w:rsidRDefault="00997175" w:rsidP="00000498">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 xml:space="preserve">Działania te przyczyniają się do osiągnięcia celu SUE </w:t>
      </w:r>
      <w:r w:rsidR="00A05A16" w:rsidRPr="00000498">
        <w:rPr>
          <w:rFonts w:asciiTheme="minorHAnsi" w:eastAsia="Times New Roman" w:hAnsiTheme="minorHAnsi" w:cstheme="minorHAnsi"/>
          <w:szCs w:val="24"/>
          <w:lang w:val="pl-PL" w:eastAsia="en-GB"/>
        </w:rPr>
        <w:t>RMB, jakim</w:t>
      </w:r>
      <w:r w:rsidRPr="00000498">
        <w:rPr>
          <w:rFonts w:asciiTheme="minorHAnsi" w:eastAsia="Times New Roman" w:hAnsiTheme="minorHAnsi" w:cstheme="minorHAnsi"/>
          <w:szCs w:val="24"/>
          <w:lang w:val="pl-PL" w:eastAsia="en-GB"/>
        </w:rPr>
        <w:t xml:space="preserve"> jest połączenie regionu i zwiększenie dobrobytu.</w:t>
      </w:r>
      <w:r w:rsidR="000C6338" w:rsidRPr="00000498">
        <w:rPr>
          <w:rFonts w:asciiTheme="minorHAnsi" w:eastAsia="Times New Roman" w:hAnsiTheme="minorHAnsi" w:cstheme="minorHAnsi"/>
          <w:szCs w:val="24"/>
          <w:lang w:val="pl-PL" w:eastAsia="en-GB"/>
        </w:rPr>
        <w:t xml:space="preserve"> </w:t>
      </w:r>
      <w:r w:rsidRPr="00000498">
        <w:rPr>
          <w:rFonts w:asciiTheme="minorHAnsi" w:eastAsia="Times New Roman" w:hAnsiTheme="minorHAnsi" w:cstheme="minorHAnsi"/>
          <w:szCs w:val="24"/>
          <w:lang w:val="pl-PL" w:eastAsia="en-GB"/>
        </w:rPr>
        <w:t xml:space="preserve">Działania wspierają </w:t>
      </w:r>
      <w:r w:rsidR="000C5539" w:rsidRPr="00000498">
        <w:rPr>
          <w:rFonts w:asciiTheme="minorHAnsi" w:eastAsia="Times New Roman" w:hAnsiTheme="minorHAnsi" w:cstheme="minorHAnsi"/>
          <w:szCs w:val="24"/>
          <w:lang w:val="pl-PL" w:eastAsia="en-GB"/>
        </w:rPr>
        <w:t>OT</w:t>
      </w:r>
      <w:r w:rsidRPr="00000498">
        <w:rPr>
          <w:rFonts w:asciiTheme="minorHAnsi" w:eastAsia="Times New Roman" w:hAnsiTheme="minorHAnsi" w:cstheme="minorHAnsi"/>
          <w:szCs w:val="24"/>
          <w:lang w:val="pl-PL" w:eastAsia="en-GB"/>
        </w:rPr>
        <w:t xml:space="preserve"> Transport we wzm</w:t>
      </w:r>
      <w:r w:rsidR="00C94B2A">
        <w:rPr>
          <w:rFonts w:asciiTheme="minorHAnsi" w:eastAsia="Times New Roman" w:hAnsiTheme="minorHAnsi" w:cstheme="minorHAnsi"/>
          <w:szCs w:val="24"/>
          <w:lang w:val="pl-PL" w:eastAsia="en-GB"/>
        </w:rPr>
        <w:t>a</w:t>
      </w:r>
      <w:r w:rsidRPr="00FE3950">
        <w:rPr>
          <w:rFonts w:asciiTheme="minorHAnsi" w:eastAsia="Times New Roman" w:hAnsiTheme="minorHAnsi" w:cstheme="minorHAnsi"/>
          <w:szCs w:val="24"/>
          <w:lang w:val="pl-PL" w:eastAsia="en-GB"/>
        </w:rPr>
        <w:t>cni</w:t>
      </w:r>
      <w:r w:rsidR="000C6338" w:rsidRPr="00FE3950">
        <w:rPr>
          <w:rFonts w:asciiTheme="minorHAnsi" w:eastAsia="Times New Roman" w:hAnsiTheme="minorHAnsi" w:cstheme="minorHAnsi"/>
          <w:szCs w:val="24"/>
          <w:lang w:val="pl-PL" w:eastAsia="en-GB"/>
        </w:rPr>
        <w:t>a</w:t>
      </w:r>
      <w:r w:rsidRPr="00FE3950">
        <w:rPr>
          <w:rFonts w:asciiTheme="minorHAnsi" w:eastAsia="Times New Roman" w:hAnsiTheme="minorHAnsi" w:cstheme="minorHAnsi"/>
          <w:szCs w:val="24"/>
          <w:lang w:val="pl-PL" w:eastAsia="en-GB"/>
        </w:rPr>
        <w:t xml:space="preserve">niu wysiłków na rzecz opracowania środków w zakresie transportu neutralnego dla klimatu oraz ułatwiania tworzenia innowacyjnych technologii i rozwiązań transportowych w RMB. Celem tych działań jest opracowanie strategii zrównoważonego łańcucha dostaw, jako podejścia wielopaliwowego w RMB (z paliwami alternatywnymi takimi jak biopaliwa i wodór). Jednocześnie, rozwijane będą działania w zakresie zrównoważonego transportu, zwłaszcza transportu transgranicznego.  Ponadto, działania wspierają </w:t>
      </w:r>
      <w:r w:rsidR="000C5539" w:rsidRPr="00FE3950">
        <w:rPr>
          <w:rFonts w:asciiTheme="minorHAnsi" w:eastAsia="Times New Roman" w:hAnsiTheme="minorHAnsi" w:cstheme="minorHAnsi"/>
          <w:szCs w:val="24"/>
          <w:lang w:val="pl-PL" w:eastAsia="en-GB"/>
        </w:rPr>
        <w:t>OT</w:t>
      </w:r>
      <w:r w:rsidRPr="00FE3950">
        <w:rPr>
          <w:rFonts w:asciiTheme="minorHAnsi" w:eastAsia="Times New Roman" w:hAnsiTheme="minorHAnsi" w:cstheme="minorHAnsi"/>
          <w:szCs w:val="24"/>
          <w:lang w:val="pl-PL" w:eastAsia="en-GB"/>
        </w:rPr>
        <w:t xml:space="preserve"> Energia w promowaniu zaawansowanych biopaliw i elektryfikacji w transporcie, a także integrację sektorową i łączenie sektorów, które mogą pomóc w dekarbonizacji sektora transportu. Działania wspierają </w:t>
      </w:r>
      <w:r w:rsidR="000C5539" w:rsidRPr="00FE3950">
        <w:rPr>
          <w:rFonts w:asciiTheme="minorHAnsi" w:eastAsia="Times New Roman" w:hAnsiTheme="minorHAnsi" w:cstheme="minorHAnsi"/>
          <w:szCs w:val="24"/>
          <w:lang w:val="pl-PL" w:eastAsia="en-GB"/>
        </w:rPr>
        <w:t>OT</w:t>
      </w:r>
      <w:r w:rsidRPr="00FE3950">
        <w:rPr>
          <w:rFonts w:asciiTheme="minorHAnsi" w:eastAsia="Times New Roman" w:hAnsiTheme="minorHAnsi" w:cstheme="minorHAnsi"/>
          <w:szCs w:val="24"/>
          <w:lang w:val="pl-PL" w:eastAsia="en-GB"/>
        </w:rPr>
        <w:t xml:space="preserve"> Planowanie Przestrzenne w zachęcaniu do działań transnarodowych w celu poprawy dostępności i łączności regionu</w:t>
      </w:r>
      <w:r w:rsidR="00DD19D7" w:rsidRPr="00FE3950">
        <w:rPr>
          <w:rFonts w:asciiTheme="minorHAnsi" w:eastAsia="Times New Roman" w:hAnsiTheme="minorHAnsi" w:cstheme="minorHAnsi"/>
          <w:szCs w:val="24"/>
          <w:lang w:val="pl-PL" w:eastAsia="en-GB"/>
        </w:rPr>
        <w:t>.</w:t>
      </w:r>
    </w:p>
    <w:p w14:paraId="6AC07DA7" w14:textId="24553536" w:rsidR="00DD19D7" w:rsidRPr="00FE3950" w:rsidRDefault="002827BD" w:rsidP="00000498">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b/>
          <w:szCs w:val="24"/>
          <w:lang w:val="pl-PL" w:eastAsia="en-GB"/>
        </w:rPr>
      </w:pPr>
      <w:r w:rsidRPr="00FE3950">
        <w:rPr>
          <w:rFonts w:asciiTheme="minorHAnsi" w:eastAsia="Times New Roman" w:hAnsiTheme="minorHAnsi" w:cstheme="minorHAnsi"/>
          <w:b/>
          <w:szCs w:val="24"/>
          <w:lang w:val="pl-PL" w:eastAsia="en-GB"/>
        </w:rPr>
        <w:t>Oczekiwany rezultat</w:t>
      </w:r>
    </w:p>
    <w:p w14:paraId="34615FE2" w14:textId="6789DE84" w:rsidR="005B1732" w:rsidRPr="00000498" w:rsidRDefault="00997175" w:rsidP="00000498">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FE3950">
        <w:rPr>
          <w:rFonts w:asciiTheme="minorHAnsi" w:eastAsia="Times New Roman" w:hAnsiTheme="minorHAnsi" w:cstheme="minorHAnsi"/>
          <w:szCs w:val="24"/>
          <w:lang w:val="pl-PL" w:eastAsia="en-GB"/>
        </w:rPr>
        <w:t xml:space="preserve">Podsumowując, działania intensyfikują rozwój, testowanie </w:t>
      </w:r>
      <w:r w:rsidR="0004395F">
        <w:rPr>
          <w:rFonts w:asciiTheme="minorHAnsi" w:eastAsia="Times New Roman" w:hAnsiTheme="minorHAnsi" w:cstheme="minorHAnsi"/>
          <w:szCs w:val="24"/>
          <w:lang w:val="pl-PL" w:eastAsia="en-GB"/>
        </w:rPr>
        <w:t>oraz</w:t>
      </w:r>
      <w:r w:rsidRPr="00000498">
        <w:rPr>
          <w:rFonts w:asciiTheme="minorHAnsi" w:eastAsia="Times New Roman" w:hAnsiTheme="minorHAnsi" w:cstheme="minorHAnsi"/>
          <w:szCs w:val="24"/>
          <w:lang w:val="pl-PL" w:eastAsia="en-GB"/>
        </w:rPr>
        <w:t xml:space="preserve"> stosowanie zielonych i inteligentnych rozwiązań w zakresie transportu i mobilności. Działania pomagają w rozwoju zielonej infrastruktury transportowej, zwiększeniu wykorzystania zrównoważonych, alternatywnych paliw w transporcie oraz inteligentnej mobilności. Tym samym, podstawowe </w:t>
      </w:r>
      <w:r w:rsidRPr="00000498">
        <w:rPr>
          <w:rFonts w:asciiTheme="minorHAnsi" w:eastAsia="Times New Roman" w:hAnsiTheme="minorHAnsi" w:cstheme="minorHAnsi"/>
          <w:szCs w:val="24"/>
          <w:lang w:val="pl-PL" w:eastAsia="en-GB"/>
        </w:rPr>
        <w:lastRenderedPageBreak/>
        <w:t>grupy docelowe Programów zwiększają swoją zdolność do kierowania społeczeństwa i gospodarki w kierunku zielonych i inteligentnych systemów mobilności o zwiększonej efektywności energetycznej, zwiększonym wykorzystaniu paliw odnawialnych i zmniejszonym zanieczyszczeniu.</w:t>
      </w:r>
    </w:p>
    <w:p w14:paraId="16A81EFF" w14:textId="689CBADE" w:rsidR="005B1732" w:rsidRPr="0004395F" w:rsidRDefault="00997175" w:rsidP="00000498">
      <w:pPr>
        <w:spacing w:before="240" w:after="240" w:line="276" w:lineRule="auto"/>
        <w:ind w:left="709" w:hanging="709"/>
        <w:rPr>
          <w:rFonts w:asciiTheme="minorHAnsi" w:eastAsia="Times New Roman" w:hAnsiTheme="minorHAnsi" w:cstheme="minorHAnsi"/>
          <w:b/>
          <w:iCs/>
          <w:szCs w:val="24"/>
          <w:lang w:val="pl-PL" w:eastAsia="en-GB"/>
        </w:rPr>
      </w:pPr>
      <w:r w:rsidRPr="0004395F">
        <w:rPr>
          <w:rFonts w:asciiTheme="minorHAnsi" w:eastAsia="Times New Roman" w:hAnsiTheme="minorHAnsi" w:cstheme="minorHAnsi"/>
          <w:b/>
          <w:iCs/>
          <w:szCs w:val="24"/>
          <w:lang w:val="pl-PL" w:eastAsia="en-GB"/>
        </w:rPr>
        <w:t>2.3.3.2</w:t>
      </w:r>
      <w:r w:rsidRPr="0004395F">
        <w:rPr>
          <w:rFonts w:asciiTheme="minorHAnsi" w:eastAsia="Times New Roman" w:hAnsiTheme="minorHAnsi" w:cstheme="minorHAnsi"/>
          <w:b/>
          <w:iCs/>
          <w:szCs w:val="24"/>
          <w:lang w:val="pl-PL" w:eastAsia="en-GB"/>
        </w:rPr>
        <w:tab/>
      </w:r>
      <w:r w:rsidR="0004395F">
        <w:rPr>
          <w:rFonts w:asciiTheme="minorHAnsi" w:eastAsia="Times New Roman" w:hAnsiTheme="minorHAnsi" w:cstheme="minorHAnsi"/>
          <w:b/>
          <w:iCs/>
          <w:szCs w:val="24"/>
          <w:lang w:val="pl-PL" w:eastAsia="en-GB"/>
        </w:rPr>
        <w:t xml:space="preserve"> </w:t>
      </w:r>
      <w:r w:rsidRPr="0004395F">
        <w:rPr>
          <w:rFonts w:asciiTheme="minorHAnsi" w:eastAsia="Times New Roman" w:hAnsiTheme="minorHAnsi" w:cstheme="minorHAnsi"/>
          <w:b/>
          <w:iCs/>
          <w:szCs w:val="24"/>
          <w:lang w:val="pl-PL" w:eastAsia="en-GB"/>
        </w:rPr>
        <w:t>Wskaźniki</w:t>
      </w:r>
    </w:p>
    <w:p w14:paraId="4AB9D176" w14:textId="395ED2E0" w:rsidR="005B1732" w:rsidRPr="00000498" w:rsidRDefault="00DC4DB8" w:rsidP="00000498">
      <w:pPr>
        <w:spacing w:after="20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Dotyczy: art. 17 ust. 4 lit. e) ppkt (ii), art. 17 ust. 9 lit. c) ppkt (iii)</w:t>
      </w:r>
    </w:p>
    <w:p w14:paraId="242112C9" w14:textId="446B0C5C" w:rsidR="00477962" w:rsidRPr="00000498" w:rsidRDefault="00871A6C" w:rsidP="00000498">
      <w:pPr>
        <w:spacing w:before="240" w:after="240" w:line="276" w:lineRule="auto"/>
        <w:rPr>
          <w:rFonts w:asciiTheme="minorHAnsi" w:eastAsia="Times New Roman" w:hAnsiTheme="minorHAnsi" w:cstheme="minorHAnsi"/>
          <w:iCs/>
          <w:szCs w:val="24"/>
          <w:lang w:val="pl-PL" w:eastAsia="en-GB"/>
        </w:rPr>
      </w:pPr>
      <w:r w:rsidRPr="00000498">
        <w:rPr>
          <w:rFonts w:asciiTheme="minorHAnsi" w:eastAsia="Times New Roman" w:hAnsiTheme="minorHAnsi" w:cstheme="minorHAnsi"/>
          <w:iCs/>
          <w:szCs w:val="24"/>
          <w:lang w:val="pl-PL" w:eastAsia="en-GB"/>
        </w:rPr>
        <w:t>Tabela</w:t>
      </w:r>
      <w:r w:rsidR="00477962" w:rsidRPr="00000498">
        <w:rPr>
          <w:rFonts w:asciiTheme="minorHAnsi" w:eastAsia="Times New Roman" w:hAnsiTheme="minorHAnsi" w:cstheme="minorHAnsi"/>
          <w:iCs/>
          <w:szCs w:val="24"/>
          <w:lang w:val="pl-PL" w:eastAsia="en-GB"/>
        </w:rPr>
        <w:t xml:space="preserve"> 2: </w:t>
      </w:r>
      <w:r w:rsidR="00813365" w:rsidRPr="00000498">
        <w:rPr>
          <w:rFonts w:asciiTheme="minorHAnsi" w:eastAsia="Times New Roman" w:hAnsiTheme="minorHAnsi" w:cstheme="minorHAnsi"/>
          <w:iCs/>
          <w:szCs w:val="24"/>
          <w:lang w:val="pl-PL" w:eastAsia="en-GB"/>
        </w:rPr>
        <w:t>Wskaźniki produktu wyjściowego</w:t>
      </w:r>
      <w:r w:rsidR="00477962" w:rsidRPr="00000498">
        <w:rPr>
          <w:rFonts w:asciiTheme="minorHAnsi" w:eastAsia="Times New Roman" w:hAnsiTheme="minorHAnsi" w:cstheme="minorHAnsi"/>
          <w:iCs/>
          <w:szCs w:val="24"/>
          <w:lang w:val="pl-PL" w:eastAsia="en-GB"/>
        </w:rPr>
        <w:t xml:space="preserve"> </w:t>
      </w:r>
    </w:p>
    <w:tbl>
      <w:tblPr>
        <w:tblW w:w="3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ela dotycząca wskaźników produktu wyjściowego"/>
      </w:tblPr>
      <w:tblGrid>
        <w:gridCol w:w="1104"/>
        <w:gridCol w:w="1452"/>
        <w:gridCol w:w="999"/>
        <w:gridCol w:w="1740"/>
        <w:gridCol w:w="1420"/>
        <w:gridCol w:w="970"/>
        <w:gridCol w:w="1285"/>
      </w:tblGrid>
      <w:tr w:rsidR="00802AE7" w:rsidRPr="0004395F" w14:paraId="35EAA426" w14:textId="534BEA34" w:rsidTr="00000498">
        <w:trPr>
          <w:trHeight w:val="836"/>
          <w:tblHeader/>
        </w:trPr>
        <w:tc>
          <w:tcPr>
            <w:tcW w:w="535" w:type="pct"/>
          </w:tcPr>
          <w:p w14:paraId="23DA657D" w14:textId="0F55F242" w:rsidR="00802AE7" w:rsidRPr="00000498" w:rsidRDefault="00813365" w:rsidP="00D06AD1">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Priorytet</w:t>
            </w:r>
            <w:r w:rsidR="00802AE7" w:rsidRPr="00000498">
              <w:rPr>
                <w:rFonts w:asciiTheme="minorHAnsi" w:hAnsiTheme="minorHAnsi" w:cstheme="minorHAnsi"/>
                <w:b/>
                <w:szCs w:val="24"/>
                <w:lang w:val="pl-PL"/>
              </w:rPr>
              <w:t xml:space="preserve"> </w:t>
            </w:r>
          </w:p>
        </w:tc>
        <w:tc>
          <w:tcPr>
            <w:tcW w:w="586" w:type="pct"/>
          </w:tcPr>
          <w:p w14:paraId="0C74364B" w14:textId="70CA20D0" w:rsidR="00802AE7" w:rsidRPr="00000498" w:rsidRDefault="00871A6C" w:rsidP="00D06AD1">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Cel szczegółowy</w:t>
            </w:r>
          </w:p>
        </w:tc>
        <w:tc>
          <w:tcPr>
            <w:tcW w:w="705" w:type="pct"/>
          </w:tcPr>
          <w:p w14:paraId="61539277" w14:textId="77777777" w:rsidR="00802AE7" w:rsidRPr="00000498" w:rsidRDefault="00802AE7" w:rsidP="00D06AD1">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ID</w:t>
            </w:r>
          </w:p>
          <w:p w14:paraId="5E26DA69" w14:textId="77777777" w:rsidR="00802AE7" w:rsidRPr="00000498" w:rsidRDefault="00802AE7" w:rsidP="00D06AD1">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[5]</w:t>
            </w:r>
          </w:p>
        </w:tc>
        <w:tc>
          <w:tcPr>
            <w:tcW w:w="1016" w:type="pct"/>
            <w:shd w:val="clear" w:color="auto" w:fill="auto"/>
          </w:tcPr>
          <w:p w14:paraId="1395DFAA" w14:textId="4FAA0106" w:rsidR="00802AE7" w:rsidRPr="00000498" w:rsidRDefault="00813365" w:rsidP="00D06AD1">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Wskaźnik</w:t>
            </w:r>
            <w:r w:rsidR="00802AE7" w:rsidRPr="00000498">
              <w:rPr>
                <w:rFonts w:asciiTheme="minorHAnsi" w:hAnsiTheme="minorHAnsi" w:cstheme="minorHAnsi"/>
                <w:b/>
                <w:szCs w:val="24"/>
                <w:lang w:val="pl-PL"/>
              </w:rPr>
              <w:t xml:space="preserve"> </w:t>
            </w:r>
          </w:p>
        </w:tc>
        <w:tc>
          <w:tcPr>
            <w:tcW w:w="955" w:type="pct"/>
          </w:tcPr>
          <w:p w14:paraId="77B23759" w14:textId="6521B59E" w:rsidR="00802AE7" w:rsidRPr="00000498" w:rsidRDefault="00813365" w:rsidP="00D06AD1">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Jednostka miary</w:t>
            </w:r>
          </w:p>
          <w:p w14:paraId="0B025330" w14:textId="77777777" w:rsidR="00802AE7" w:rsidRPr="00000498" w:rsidRDefault="00802AE7" w:rsidP="00D06AD1">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[255]</w:t>
            </w:r>
          </w:p>
        </w:tc>
        <w:tc>
          <w:tcPr>
            <w:tcW w:w="623" w:type="pct"/>
            <w:shd w:val="clear" w:color="auto" w:fill="auto"/>
          </w:tcPr>
          <w:p w14:paraId="733E03AB" w14:textId="128F79E5" w:rsidR="00802AE7" w:rsidRPr="00000498" w:rsidRDefault="00813365" w:rsidP="00D06AD1">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Kamień milowy</w:t>
            </w:r>
            <w:r w:rsidR="00802AE7" w:rsidRPr="00000498">
              <w:rPr>
                <w:rFonts w:asciiTheme="minorHAnsi" w:hAnsiTheme="minorHAnsi" w:cstheme="minorHAnsi"/>
                <w:b/>
                <w:szCs w:val="24"/>
                <w:lang w:val="pl-PL"/>
              </w:rPr>
              <w:t xml:space="preserve"> (2024)</w:t>
            </w:r>
          </w:p>
          <w:p w14:paraId="2D1FAFE8" w14:textId="77777777" w:rsidR="00802AE7" w:rsidRPr="00000498" w:rsidRDefault="00802AE7" w:rsidP="00D06AD1">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[200]</w:t>
            </w:r>
          </w:p>
        </w:tc>
        <w:tc>
          <w:tcPr>
            <w:tcW w:w="580" w:type="pct"/>
            <w:shd w:val="clear" w:color="auto" w:fill="auto"/>
          </w:tcPr>
          <w:p w14:paraId="33AC29A1" w14:textId="0A704EC6" w:rsidR="00802AE7" w:rsidRPr="00000498" w:rsidRDefault="00813365" w:rsidP="00D06AD1">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Cel ostateczny</w:t>
            </w:r>
            <w:r w:rsidR="00802AE7" w:rsidRPr="00000498">
              <w:rPr>
                <w:rFonts w:asciiTheme="minorHAnsi" w:hAnsiTheme="minorHAnsi" w:cstheme="minorHAnsi"/>
                <w:b/>
                <w:szCs w:val="24"/>
                <w:lang w:val="pl-PL"/>
              </w:rPr>
              <w:t xml:space="preserve"> (2029)</w:t>
            </w:r>
          </w:p>
          <w:p w14:paraId="6EC5D0DD" w14:textId="77777777" w:rsidR="00802AE7" w:rsidRPr="00000498" w:rsidRDefault="00802AE7" w:rsidP="00D06AD1">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[200]</w:t>
            </w:r>
          </w:p>
        </w:tc>
      </w:tr>
      <w:tr w:rsidR="00802AE7" w:rsidRPr="0004395F" w14:paraId="36142CA1" w14:textId="0C798D4C" w:rsidTr="00802AE7">
        <w:trPr>
          <w:trHeight w:val="579"/>
        </w:trPr>
        <w:tc>
          <w:tcPr>
            <w:tcW w:w="535" w:type="pct"/>
          </w:tcPr>
          <w:p w14:paraId="4F2CC6C2" w14:textId="77777777" w:rsidR="00802AE7" w:rsidRPr="00000498" w:rsidRDefault="00802AE7" w:rsidP="00D06AD1">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3</w:t>
            </w:r>
          </w:p>
        </w:tc>
        <w:tc>
          <w:tcPr>
            <w:tcW w:w="586" w:type="pct"/>
          </w:tcPr>
          <w:p w14:paraId="03D1DB85" w14:textId="77777777" w:rsidR="00802AE7" w:rsidRPr="00000498" w:rsidRDefault="00802AE7" w:rsidP="00D06AD1">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viii</w:t>
            </w:r>
          </w:p>
        </w:tc>
        <w:tc>
          <w:tcPr>
            <w:tcW w:w="705" w:type="pct"/>
          </w:tcPr>
          <w:p w14:paraId="24DF2508" w14:textId="77777777" w:rsidR="00802AE7" w:rsidRPr="00000498" w:rsidRDefault="00802AE7" w:rsidP="00D06AD1">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RCO84</w:t>
            </w:r>
          </w:p>
        </w:tc>
        <w:tc>
          <w:tcPr>
            <w:tcW w:w="1016" w:type="pct"/>
            <w:shd w:val="clear" w:color="auto" w:fill="auto"/>
          </w:tcPr>
          <w:p w14:paraId="1F9C61B9" w14:textId="7A997BCF" w:rsidR="00802AE7" w:rsidRPr="00000498" w:rsidRDefault="002827BD" w:rsidP="00D06AD1">
            <w:pPr>
              <w:spacing w:before="120" w:after="120" w:line="240" w:lineRule="auto"/>
              <w:rPr>
                <w:rFonts w:asciiTheme="minorHAnsi" w:hAnsiTheme="minorHAnsi" w:cstheme="minorHAnsi"/>
                <w:szCs w:val="24"/>
                <w:lang w:val="pl-PL"/>
              </w:rPr>
            </w:pPr>
            <w:r w:rsidRPr="00000498">
              <w:rPr>
                <w:rFonts w:asciiTheme="minorHAnsi" w:hAnsiTheme="minorHAnsi" w:cstheme="minorHAnsi"/>
                <w:szCs w:val="24"/>
                <w:lang w:val="pl-PL"/>
              </w:rPr>
              <w:t>Działania pilotażowe opracowywane wspólnie i wdrażane w projektach</w:t>
            </w:r>
          </w:p>
        </w:tc>
        <w:tc>
          <w:tcPr>
            <w:tcW w:w="955" w:type="pct"/>
          </w:tcPr>
          <w:p w14:paraId="4D5DCA6D" w14:textId="30414644" w:rsidR="00802AE7" w:rsidRPr="00000498" w:rsidRDefault="00DC4DB8" w:rsidP="00D06AD1">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Działanie pilotażowe</w:t>
            </w:r>
          </w:p>
        </w:tc>
        <w:tc>
          <w:tcPr>
            <w:tcW w:w="623" w:type="pct"/>
            <w:shd w:val="clear" w:color="auto" w:fill="auto"/>
          </w:tcPr>
          <w:p w14:paraId="222B97BC" w14:textId="5F927BAD" w:rsidR="00802AE7" w:rsidRPr="00000498" w:rsidRDefault="00802AE7" w:rsidP="00D06AD1">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1</w:t>
            </w:r>
          </w:p>
        </w:tc>
        <w:tc>
          <w:tcPr>
            <w:tcW w:w="580" w:type="pct"/>
            <w:shd w:val="clear" w:color="auto" w:fill="auto"/>
          </w:tcPr>
          <w:p w14:paraId="7D68BC7E" w14:textId="55788083" w:rsidR="00802AE7" w:rsidRPr="00000498" w:rsidRDefault="00802AE7" w:rsidP="00D06AD1">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34</w:t>
            </w:r>
          </w:p>
        </w:tc>
      </w:tr>
      <w:tr w:rsidR="00802AE7" w:rsidRPr="0004395F" w14:paraId="4F4CC5DC" w14:textId="40927B5F" w:rsidTr="00802AE7">
        <w:trPr>
          <w:trHeight w:val="579"/>
        </w:trPr>
        <w:tc>
          <w:tcPr>
            <w:tcW w:w="535" w:type="pct"/>
          </w:tcPr>
          <w:p w14:paraId="05A81502" w14:textId="77777777" w:rsidR="00802AE7" w:rsidRPr="00000498" w:rsidRDefault="00802AE7" w:rsidP="00D06AD1">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3</w:t>
            </w:r>
          </w:p>
        </w:tc>
        <w:tc>
          <w:tcPr>
            <w:tcW w:w="586" w:type="pct"/>
          </w:tcPr>
          <w:p w14:paraId="1C3AA0FB" w14:textId="2D546547" w:rsidR="00802AE7" w:rsidRPr="00000498" w:rsidRDefault="00802AE7" w:rsidP="00D06AD1">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viii</w:t>
            </w:r>
          </w:p>
        </w:tc>
        <w:tc>
          <w:tcPr>
            <w:tcW w:w="705" w:type="pct"/>
          </w:tcPr>
          <w:p w14:paraId="103E79F4" w14:textId="77777777" w:rsidR="00802AE7" w:rsidRPr="00000498" w:rsidRDefault="00802AE7" w:rsidP="00D06AD1">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RCO87</w:t>
            </w:r>
          </w:p>
        </w:tc>
        <w:tc>
          <w:tcPr>
            <w:tcW w:w="1016" w:type="pct"/>
            <w:shd w:val="clear" w:color="auto" w:fill="auto"/>
          </w:tcPr>
          <w:p w14:paraId="47D94508" w14:textId="1BA88A62" w:rsidR="00802AE7" w:rsidRPr="00000498" w:rsidRDefault="00223EB0" w:rsidP="00D06AD1">
            <w:pPr>
              <w:spacing w:before="120" w:after="120" w:line="240" w:lineRule="auto"/>
              <w:rPr>
                <w:rFonts w:asciiTheme="minorHAnsi" w:hAnsiTheme="minorHAnsi" w:cstheme="minorHAnsi"/>
                <w:szCs w:val="24"/>
                <w:lang w:val="pl-PL"/>
              </w:rPr>
            </w:pPr>
            <w:r w:rsidRPr="00000498">
              <w:rPr>
                <w:rFonts w:asciiTheme="minorHAnsi" w:hAnsiTheme="minorHAnsi" w:cstheme="minorHAnsi"/>
                <w:szCs w:val="24"/>
                <w:lang w:val="pl-PL"/>
              </w:rPr>
              <w:t>Organizacje współpracujące transgranicznie</w:t>
            </w:r>
          </w:p>
        </w:tc>
        <w:tc>
          <w:tcPr>
            <w:tcW w:w="955" w:type="pct"/>
          </w:tcPr>
          <w:p w14:paraId="753A1101" w14:textId="5DD63EB2" w:rsidR="00802AE7" w:rsidRPr="00000498" w:rsidRDefault="00802AE7" w:rsidP="00DC4DB8">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Organ</w:t>
            </w:r>
            <w:r w:rsidR="00DC4DB8" w:rsidRPr="00000498">
              <w:rPr>
                <w:rFonts w:asciiTheme="minorHAnsi" w:hAnsiTheme="minorHAnsi" w:cstheme="minorHAnsi"/>
                <w:szCs w:val="24"/>
                <w:lang w:val="pl-PL"/>
              </w:rPr>
              <w:t>izacja</w:t>
            </w:r>
          </w:p>
        </w:tc>
        <w:tc>
          <w:tcPr>
            <w:tcW w:w="623" w:type="pct"/>
            <w:shd w:val="clear" w:color="auto" w:fill="auto"/>
          </w:tcPr>
          <w:p w14:paraId="4FAB500B" w14:textId="31C840B1" w:rsidR="00802AE7" w:rsidRPr="00000498" w:rsidRDefault="00802AE7" w:rsidP="00D06AD1">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21</w:t>
            </w:r>
          </w:p>
        </w:tc>
        <w:tc>
          <w:tcPr>
            <w:tcW w:w="580" w:type="pct"/>
            <w:shd w:val="clear" w:color="auto" w:fill="auto"/>
          </w:tcPr>
          <w:p w14:paraId="7A2A996C" w14:textId="5A25FE2F" w:rsidR="00802AE7" w:rsidRPr="00000498" w:rsidRDefault="00802AE7" w:rsidP="00D06AD1">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346</w:t>
            </w:r>
          </w:p>
        </w:tc>
      </w:tr>
      <w:tr w:rsidR="00802AE7" w:rsidRPr="0004395F" w14:paraId="530536DE" w14:textId="182EC68A" w:rsidTr="00802AE7">
        <w:trPr>
          <w:trHeight w:val="579"/>
        </w:trPr>
        <w:tc>
          <w:tcPr>
            <w:tcW w:w="535" w:type="pct"/>
          </w:tcPr>
          <w:p w14:paraId="4F4F6C0D" w14:textId="77777777" w:rsidR="00802AE7" w:rsidRPr="00000498" w:rsidRDefault="00802AE7" w:rsidP="00D06AD1">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3</w:t>
            </w:r>
          </w:p>
        </w:tc>
        <w:tc>
          <w:tcPr>
            <w:tcW w:w="586" w:type="pct"/>
          </w:tcPr>
          <w:p w14:paraId="34F1147A" w14:textId="48820D73" w:rsidR="00802AE7" w:rsidRPr="00000498" w:rsidRDefault="00802AE7" w:rsidP="00D06AD1">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viii</w:t>
            </w:r>
          </w:p>
        </w:tc>
        <w:tc>
          <w:tcPr>
            <w:tcW w:w="705" w:type="pct"/>
          </w:tcPr>
          <w:p w14:paraId="1FAB596C" w14:textId="77777777" w:rsidR="00802AE7" w:rsidRPr="00000498" w:rsidRDefault="00802AE7" w:rsidP="00D06AD1">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RCO116</w:t>
            </w:r>
          </w:p>
        </w:tc>
        <w:tc>
          <w:tcPr>
            <w:tcW w:w="1016" w:type="pct"/>
            <w:shd w:val="clear" w:color="auto" w:fill="auto"/>
          </w:tcPr>
          <w:p w14:paraId="0B925A8E" w14:textId="5CF19605" w:rsidR="00802AE7" w:rsidRPr="00000498" w:rsidRDefault="00223EB0" w:rsidP="00D06AD1">
            <w:pPr>
              <w:spacing w:before="120" w:after="120" w:line="240" w:lineRule="auto"/>
              <w:rPr>
                <w:rFonts w:asciiTheme="minorHAnsi" w:hAnsiTheme="minorHAnsi" w:cstheme="minorHAnsi"/>
                <w:szCs w:val="24"/>
                <w:lang w:val="pl-PL"/>
              </w:rPr>
            </w:pPr>
            <w:r w:rsidRPr="00000498">
              <w:rPr>
                <w:rFonts w:asciiTheme="minorHAnsi" w:hAnsiTheme="minorHAnsi" w:cstheme="minorHAnsi"/>
                <w:szCs w:val="24"/>
                <w:lang w:val="pl-PL"/>
              </w:rPr>
              <w:t>Wspólnie opracowane rozwiązania</w:t>
            </w:r>
          </w:p>
        </w:tc>
        <w:tc>
          <w:tcPr>
            <w:tcW w:w="955" w:type="pct"/>
          </w:tcPr>
          <w:p w14:paraId="08A8B6A8" w14:textId="31B1C5F3" w:rsidR="00802AE7" w:rsidRPr="00000498" w:rsidRDefault="00DC4DB8" w:rsidP="00D06AD1">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Rozwiązanie</w:t>
            </w:r>
          </w:p>
        </w:tc>
        <w:tc>
          <w:tcPr>
            <w:tcW w:w="623" w:type="pct"/>
            <w:shd w:val="clear" w:color="auto" w:fill="auto"/>
          </w:tcPr>
          <w:p w14:paraId="4B73FFEE" w14:textId="7B5CF64D" w:rsidR="00802AE7" w:rsidRPr="00000498" w:rsidRDefault="00802AE7" w:rsidP="00D06AD1">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1</w:t>
            </w:r>
          </w:p>
        </w:tc>
        <w:tc>
          <w:tcPr>
            <w:tcW w:w="580" w:type="pct"/>
            <w:shd w:val="clear" w:color="auto" w:fill="auto"/>
          </w:tcPr>
          <w:p w14:paraId="3C2E3071" w14:textId="3D345251" w:rsidR="00802AE7" w:rsidRPr="00000498" w:rsidRDefault="00802AE7" w:rsidP="00D06AD1">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18</w:t>
            </w:r>
          </w:p>
        </w:tc>
      </w:tr>
    </w:tbl>
    <w:p w14:paraId="0A16B7FF" w14:textId="7BF1B357" w:rsidR="00477962" w:rsidRPr="00000498" w:rsidRDefault="00871A6C" w:rsidP="00000498">
      <w:pPr>
        <w:spacing w:before="240" w:after="240" w:line="276" w:lineRule="auto"/>
        <w:rPr>
          <w:rFonts w:asciiTheme="minorHAnsi" w:eastAsia="Times New Roman" w:hAnsiTheme="minorHAnsi" w:cstheme="minorHAnsi"/>
          <w:iCs/>
          <w:szCs w:val="24"/>
          <w:lang w:val="pl-PL" w:eastAsia="en-GB"/>
        </w:rPr>
      </w:pPr>
      <w:r w:rsidRPr="00000498">
        <w:rPr>
          <w:rFonts w:asciiTheme="minorHAnsi" w:eastAsia="Times New Roman" w:hAnsiTheme="minorHAnsi" w:cstheme="minorHAnsi"/>
          <w:iCs/>
          <w:szCs w:val="24"/>
          <w:lang w:val="pl-PL" w:eastAsia="en-GB"/>
        </w:rPr>
        <w:t>Tabela</w:t>
      </w:r>
      <w:r w:rsidR="00477962" w:rsidRPr="00000498">
        <w:rPr>
          <w:rFonts w:asciiTheme="minorHAnsi" w:eastAsia="Times New Roman" w:hAnsiTheme="minorHAnsi" w:cstheme="minorHAnsi"/>
          <w:iCs/>
          <w:szCs w:val="24"/>
          <w:lang w:val="pl-PL" w:eastAsia="en-GB"/>
        </w:rPr>
        <w:t xml:space="preserve"> 3: </w:t>
      </w:r>
      <w:r w:rsidR="00813365" w:rsidRPr="00000498">
        <w:rPr>
          <w:rFonts w:asciiTheme="minorHAnsi" w:eastAsia="Times New Roman" w:hAnsiTheme="minorHAnsi" w:cstheme="minorHAnsi"/>
          <w:iCs/>
          <w:szCs w:val="24"/>
          <w:lang w:val="pl-PL" w:eastAsia="en-GB"/>
        </w:rPr>
        <w:t>Wskaźniki rezultatu</w:t>
      </w:r>
      <w:r w:rsidR="00477962" w:rsidRPr="00000498">
        <w:rPr>
          <w:rFonts w:asciiTheme="minorHAnsi" w:eastAsia="Times New Roman" w:hAnsiTheme="minorHAnsi" w:cstheme="minorHAnsi"/>
          <w:iCs/>
          <w:szCs w:val="24"/>
          <w:lang w:val="pl-PL" w:eastAsia="en-GB"/>
        </w:rPr>
        <w:t xml:space="preserve"> </w:t>
      </w:r>
    </w:p>
    <w:tbl>
      <w:tblPr>
        <w:tblW w:w="56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abela dotycząca wskaźników rezultatu"/>
      </w:tblPr>
      <w:tblGrid>
        <w:gridCol w:w="861"/>
        <w:gridCol w:w="1066"/>
        <w:gridCol w:w="642"/>
        <w:gridCol w:w="1533"/>
        <w:gridCol w:w="1257"/>
        <w:gridCol w:w="816"/>
        <w:gridCol w:w="1006"/>
        <w:gridCol w:w="661"/>
        <w:gridCol w:w="1016"/>
        <w:gridCol w:w="1598"/>
      </w:tblGrid>
      <w:tr w:rsidR="003E22FB" w:rsidRPr="0004395F" w14:paraId="62C1FF31" w14:textId="77777777" w:rsidTr="00000498">
        <w:trPr>
          <w:trHeight w:val="947"/>
          <w:tblHeader/>
        </w:trPr>
        <w:tc>
          <w:tcPr>
            <w:tcW w:w="412" w:type="pct"/>
          </w:tcPr>
          <w:p w14:paraId="249D60D8" w14:textId="570D85E4" w:rsidR="00477962" w:rsidRPr="00000498" w:rsidRDefault="00813365" w:rsidP="006A6B69">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Priorytet</w:t>
            </w:r>
            <w:r w:rsidR="00477962" w:rsidRPr="00000498">
              <w:rPr>
                <w:rFonts w:asciiTheme="minorHAnsi" w:hAnsiTheme="minorHAnsi" w:cstheme="minorHAnsi"/>
                <w:b/>
                <w:szCs w:val="24"/>
                <w:lang w:val="pl-PL"/>
              </w:rPr>
              <w:t xml:space="preserve"> </w:t>
            </w:r>
          </w:p>
        </w:tc>
        <w:tc>
          <w:tcPr>
            <w:tcW w:w="510" w:type="pct"/>
          </w:tcPr>
          <w:p w14:paraId="44990294" w14:textId="0834C7B9" w:rsidR="00477962" w:rsidRPr="00000498" w:rsidRDefault="00871A6C" w:rsidP="006A6B69">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Cel szczegółowy</w:t>
            </w:r>
          </w:p>
        </w:tc>
        <w:tc>
          <w:tcPr>
            <w:tcW w:w="307" w:type="pct"/>
          </w:tcPr>
          <w:p w14:paraId="3D04C5E0" w14:textId="77777777" w:rsidR="00477962" w:rsidRPr="00000498" w:rsidRDefault="00477962" w:rsidP="006A6B69">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ID</w:t>
            </w:r>
          </w:p>
        </w:tc>
        <w:tc>
          <w:tcPr>
            <w:tcW w:w="733" w:type="pct"/>
            <w:shd w:val="clear" w:color="auto" w:fill="auto"/>
          </w:tcPr>
          <w:p w14:paraId="7B28019B" w14:textId="4A509D22" w:rsidR="00477962" w:rsidRPr="00000498" w:rsidRDefault="00813365" w:rsidP="006A6B69">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Wskaźnik</w:t>
            </w:r>
            <w:r w:rsidR="00477962" w:rsidRPr="00000498">
              <w:rPr>
                <w:rFonts w:asciiTheme="minorHAnsi" w:hAnsiTheme="minorHAnsi" w:cstheme="minorHAnsi"/>
                <w:b/>
                <w:szCs w:val="24"/>
                <w:lang w:val="pl-PL"/>
              </w:rPr>
              <w:t xml:space="preserve"> </w:t>
            </w:r>
          </w:p>
        </w:tc>
        <w:tc>
          <w:tcPr>
            <w:tcW w:w="601" w:type="pct"/>
          </w:tcPr>
          <w:p w14:paraId="48D29257" w14:textId="3BAD791B" w:rsidR="00477962" w:rsidRPr="00000498" w:rsidRDefault="00813365" w:rsidP="006A6B69">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Jednostka miary</w:t>
            </w:r>
          </w:p>
        </w:tc>
        <w:tc>
          <w:tcPr>
            <w:tcW w:w="390" w:type="pct"/>
          </w:tcPr>
          <w:p w14:paraId="5144F756" w14:textId="6BC834C3" w:rsidR="00477962" w:rsidRPr="00000498" w:rsidRDefault="00813365" w:rsidP="006A6B69">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Wartość bazowa</w:t>
            </w:r>
          </w:p>
        </w:tc>
        <w:tc>
          <w:tcPr>
            <w:tcW w:w="481" w:type="pct"/>
          </w:tcPr>
          <w:p w14:paraId="5DD16F03" w14:textId="1BB73B95" w:rsidR="00477962" w:rsidRPr="00000498" w:rsidRDefault="00813365" w:rsidP="006A6B69">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Rok odniesienia</w:t>
            </w:r>
          </w:p>
        </w:tc>
        <w:tc>
          <w:tcPr>
            <w:tcW w:w="316" w:type="pct"/>
            <w:shd w:val="clear" w:color="auto" w:fill="auto"/>
          </w:tcPr>
          <w:p w14:paraId="469CBEF3" w14:textId="143B277A" w:rsidR="00477962" w:rsidRPr="00000498" w:rsidRDefault="00813365" w:rsidP="006A6B69">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Cel ostateczny</w:t>
            </w:r>
            <w:r w:rsidR="00477962" w:rsidRPr="00000498">
              <w:rPr>
                <w:rFonts w:asciiTheme="minorHAnsi" w:hAnsiTheme="minorHAnsi" w:cstheme="minorHAnsi"/>
                <w:b/>
                <w:szCs w:val="24"/>
                <w:lang w:val="pl-PL"/>
              </w:rPr>
              <w:t xml:space="preserve"> (2029)</w:t>
            </w:r>
          </w:p>
        </w:tc>
        <w:tc>
          <w:tcPr>
            <w:tcW w:w="486" w:type="pct"/>
            <w:shd w:val="clear" w:color="auto" w:fill="auto"/>
          </w:tcPr>
          <w:p w14:paraId="06564999" w14:textId="008B377A" w:rsidR="00477962" w:rsidRPr="00000498" w:rsidRDefault="00813365" w:rsidP="004056FF">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Źródło danych</w:t>
            </w:r>
          </w:p>
        </w:tc>
        <w:tc>
          <w:tcPr>
            <w:tcW w:w="765" w:type="pct"/>
          </w:tcPr>
          <w:p w14:paraId="3752137A" w14:textId="74F87600" w:rsidR="00477962" w:rsidRPr="00000498" w:rsidRDefault="00813365" w:rsidP="006A6B69">
            <w:pPr>
              <w:spacing w:before="120" w:after="120" w:line="48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Uwagi</w:t>
            </w:r>
          </w:p>
        </w:tc>
      </w:tr>
      <w:tr w:rsidR="003E22FB" w:rsidRPr="00367EF1" w14:paraId="4B29BEB5" w14:textId="77777777" w:rsidTr="00F879CC">
        <w:trPr>
          <w:trHeight w:val="629"/>
        </w:trPr>
        <w:tc>
          <w:tcPr>
            <w:tcW w:w="412" w:type="pct"/>
          </w:tcPr>
          <w:p w14:paraId="4767ECC4" w14:textId="77777777" w:rsidR="00435B15" w:rsidRPr="00000498" w:rsidRDefault="00435B15" w:rsidP="00435B15">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3</w:t>
            </w:r>
          </w:p>
        </w:tc>
        <w:tc>
          <w:tcPr>
            <w:tcW w:w="510" w:type="pct"/>
          </w:tcPr>
          <w:p w14:paraId="78F2FF9B" w14:textId="104A1C0F" w:rsidR="00435B15" w:rsidRPr="00000498" w:rsidRDefault="00435B15" w:rsidP="00435B15">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viii</w:t>
            </w:r>
          </w:p>
        </w:tc>
        <w:tc>
          <w:tcPr>
            <w:tcW w:w="307" w:type="pct"/>
          </w:tcPr>
          <w:p w14:paraId="1D44C66F" w14:textId="77777777" w:rsidR="00435B15" w:rsidRPr="00000498" w:rsidRDefault="00435B15" w:rsidP="00435B15">
            <w:pPr>
              <w:spacing w:before="120" w:after="120" w:line="240" w:lineRule="auto"/>
              <w:jc w:val="both"/>
              <w:rPr>
                <w:rFonts w:asciiTheme="minorHAnsi" w:hAnsiTheme="minorHAnsi" w:cstheme="minorHAnsi"/>
                <w:szCs w:val="24"/>
                <w:lang w:val="pl-PL"/>
              </w:rPr>
            </w:pPr>
            <w:bookmarkStart w:id="114" w:name="OLE_LINK244"/>
            <w:bookmarkStart w:id="115" w:name="OLE_LINK245"/>
            <w:r w:rsidRPr="00000498">
              <w:rPr>
                <w:rFonts w:asciiTheme="minorHAnsi" w:hAnsiTheme="minorHAnsi" w:cstheme="minorHAnsi"/>
                <w:szCs w:val="24"/>
                <w:lang w:val="pl-PL"/>
              </w:rPr>
              <w:t>PSR1</w:t>
            </w:r>
            <w:bookmarkEnd w:id="114"/>
            <w:bookmarkEnd w:id="115"/>
          </w:p>
        </w:tc>
        <w:tc>
          <w:tcPr>
            <w:tcW w:w="733" w:type="pct"/>
            <w:shd w:val="clear" w:color="auto" w:fill="auto"/>
          </w:tcPr>
          <w:p w14:paraId="727D642B" w14:textId="3B127361" w:rsidR="00435B15" w:rsidRPr="00000498" w:rsidRDefault="003E22FB" w:rsidP="00435B15">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 xml:space="preserve">Organizacje o zwiększonych zdolnościach instytucjonalnych ze względu na </w:t>
            </w:r>
            <w:r w:rsidRPr="00000498">
              <w:rPr>
                <w:rFonts w:asciiTheme="minorHAnsi" w:hAnsiTheme="minorHAnsi" w:cstheme="minorHAnsi"/>
                <w:szCs w:val="24"/>
                <w:lang w:val="pl-PL"/>
              </w:rPr>
              <w:lastRenderedPageBreak/>
              <w:t>udział we współpracy transgranicznej</w:t>
            </w:r>
          </w:p>
        </w:tc>
        <w:tc>
          <w:tcPr>
            <w:tcW w:w="601" w:type="pct"/>
          </w:tcPr>
          <w:p w14:paraId="4F78A946" w14:textId="5B35EC3D" w:rsidR="00435B15" w:rsidRPr="00000498" w:rsidRDefault="00DC4DB8" w:rsidP="00435B15">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lastRenderedPageBreak/>
              <w:t>Organizacja</w:t>
            </w:r>
          </w:p>
        </w:tc>
        <w:tc>
          <w:tcPr>
            <w:tcW w:w="390" w:type="pct"/>
          </w:tcPr>
          <w:p w14:paraId="6302D2BF" w14:textId="0DBC02E1" w:rsidR="00435B15" w:rsidRPr="00000498" w:rsidRDefault="00435B15" w:rsidP="00435B15">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0</w:t>
            </w:r>
          </w:p>
        </w:tc>
        <w:tc>
          <w:tcPr>
            <w:tcW w:w="481" w:type="pct"/>
          </w:tcPr>
          <w:p w14:paraId="7E5BCDF0" w14:textId="00C72E6F" w:rsidR="00435B15" w:rsidRPr="00000498" w:rsidRDefault="00435B15" w:rsidP="00435B15">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szCs w:val="24"/>
                <w:lang w:val="pl-PL"/>
              </w:rPr>
              <w:t>2022</w:t>
            </w:r>
          </w:p>
        </w:tc>
        <w:tc>
          <w:tcPr>
            <w:tcW w:w="316" w:type="pct"/>
            <w:shd w:val="clear" w:color="auto" w:fill="auto"/>
          </w:tcPr>
          <w:p w14:paraId="22F86740" w14:textId="744D10BE" w:rsidR="00435B15" w:rsidRPr="00000498" w:rsidRDefault="00435B15" w:rsidP="00435B15">
            <w:pPr>
              <w:spacing w:before="120" w:after="120" w:line="240" w:lineRule="auto"/>
              <w:jc w:val="center"/>
              <w:rPr>
                <w:rFonts w:asciiTheme="minorHAnsi" w:hAnsiTheme="minorHAnsi" w:cstheme="minorHAnsi"/>
                <w:b/>
                <w:szCs w:val="24"/>
                <w:lang w:val="pl-PL"/>
              </w:rPr>
            </w:pPr>
            <w:r w:rsidRPr="00000498">
              <w:rPr>
                <w:rFonts w:asciiTheme="minorHAnsi" w:hAnsiTheme="minorHAnsi" w:cstheme="minorHAnsi"/>
                <w:szCs w:val="24"/>
                <w:lang w:val="pl-PL"/>
              </w:rPr>
              <w:t>471</w:t>
            </w:r>
          </w:p>
        </w:tc>
        <w:tc>
          <w:tcPr>
            <w:tcW w:w="486" w:type="pct"/>
            <w:shd w:val="clear" w:color="auto" w:fill="auto"/>
          </w:tcPr>
          <w:p w14:paraId="2E9DCDDB" w14:textId="6C6CDD9D" w:rsidR="00435B15" w:rsidRPr="00000498" w:rsidRDefault="00435B15" w:rsidP="00435B15">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Sprawozdania z postępów projektów</w:t>
            </w:r>
          </w:p>
        </w:tc>
        <w:tc>
          <w:tcPr>
            <w:tcW w:w="765" w:type="pct"/>
          </w:tcPr>
          <w:p w14:paraId="1A580FEF" w14:textId="77777777" w:rsidR="00435B15" w:rsidRPr="00000498" w:rsidRDefault="00435B15" w:rsidP="000C6338">
            <w:pPr>
              <w:spacing w:before="120" w:after="120" w:line="240" w:lineRule="auto"/>
              <w:ind w:right="656"/>
              <w:rPr>
                <w:rFonts w:asciiTheme="minorHAnsi" w:eastAsia="Calibri" w:hAnsiTheme="minorHAnsi" w:cstheme="minorHAnsi"/>
                <w:b/>
                <w:szCs w:val="24"/>
                <w:lang w:val="pl-PL"/>
              </w:rPr>
            </w:pPr>
            <w:r w:rsidRPr="00000498">
              <w:rPr>
                <w:rFonts w:asciiTheme="minorHAnsi" w:eastAsia="Calibri" w:hAnsiTheme="minorHAnsi" w:cstheme="minorHAnsi"/>
                <w:b/>
                <w:szCs w:val="24"/>
                <w:lang w:val="pl-PL"/>
              </w:rPr>
              <w:t>Regularne projekty</w:t>
            </w:r>
          </w:p>
          <w:p w14:paraId="3F67FF2B" w14:textId="77777777" w:rsidR="00435B15" w:rsidRPr="00000498" w:rsidRDefault="00435B15" w:rsidP="00DC4DB8">
            <w:pPr>
              <w:spacing w:before="120" w:after="120" w:line="240" w:lineRule="auto"/>
              <w:ind w:right="496"/>
              <w:rPr>
                <w:rFonts w:asciiTheme="minorHAnsi" w:eastAsia="Calibri" w:hAnsiTheme="minorHAnsi" w:cstheme="minorHAnsi"/>
                <w:szCs w:val="24"/>
                <w:lang w:val="pl-PL"/>
              </w:rPr>
            </w:pPr>
            <w:r w:rsidRPr="00000498">
              <w:rPr>
                <w:rFonts w:asciiTheme="minorHAnsi" w:eastAsia="Calibri" w:hAnsiTheme="minorHAnsi" w:cstheme="minorHAnsi"/>
                <w:szCs w:val="24"/>
                <w:lang w:val="pl-PL"/>
              </w:rPr>
              <w:t>Szacuje się, że oprócz organiza</w:t>
            </w:r>
            <w:r w:rsidRPr="00000498">
              <w:rPr>
                <w:rFonts w:asciiTheme="minorHAnsi" w:eastAsia="Calibri" w:hAnsiTheme="minorHAnsi" w:cstheme="minorHAnsi"/>
                <w:szCs w:val="24"/>
                <w:lang w:val="pl-PL"/>
              </w:rPr>
              <w:lastRenderedPageBreak/>
              <w:t>cji obliczonych dla RCO87, 10 organizacji spoza partnerstwa na projekt zwiększy swoje możliwości instytucjonalne (łącznie 421 organizacji)</w:t>
            </w:r>
          </w:p>
          <w:p w14:paraId="13B4E911" w14:textId="77777777" w:rsidR="00435B15" w:rsidRPr="00000498" w:rsidRDefault="00435B15" w:rsidP="00435B15">
            <w:pPr>
              <w:spacing w:before="120" w:after="120" w:line="240" w:lineRule="auto"/>
              <w:rPr>
                <w:rFonts w:asciiTheme="minorHAnsi" w:eastAsia="Calibri" w:hAnsiTheme="minorHAnsi" w:cstheme="minorHAnsi"/>
                <w:b/>
                <w:szCs w:val="24"/>
                <w:lang w:val="pl-PL"/>
              </w:rPr>
            </w:pPr>
            <w:r w:rsidRPr="00000498">
              <w:rPr>
                <w:rFonts w:asciiTheme="minorHAnsi" w:eastAsia="Calibri" w:hAnsiTheme="minorHAnsi" w:cstheme="minorHAnsi"/>
                <w:b/>
                <w:szCs w:val="24"/>
                <w:lang w:val="pl-PL"/>
              </w:rPr>
              <w:t>Małe projekty</w:t>
            </w:r>
          </w:p>
          <w:p w14:paraId="76EF0899" w14:textId="1E5DFFDA" w:rsidR="00435B15" w:rsidRPr="00000498" w:rsidRDefault="00435B15" w:rsidP="00DC4DB8">
            <w:pPr>
              <w:spacing w:after="200" w:line="276" w:lineRule="auto"/>
              <w:ind w:right="496"/>
              <w:rPr>
                <w:rFonts w:asciiTheme="minorHAnsi" w:hAnsiTheme="minorHAnsi" w:cstheme="minorHAnsi"/>
                <w:szCs w:val="24"/>
                <w:lang w:val="pl-PL"/>
              </w:rPr>
            </w:pPr>
            <w:r w:rsidRPr="00000498">
              <w:rPr>
                <w:rFonts w:asciiTheme="minorHAnsi" w:eastAsia="Calibri" w:hAnsiTheme="minorHAnsi" w:cstheme="minorHAnsi"/>
                <w:szCs w:val="24"/>
                <w:lang w:val="pl-PL"/>
              </w:rPr>
              <w:t>Szacuje się, że oprócz organizacji obliczonych dla RCO87, 5 organizacji spoza partnerstwa na projekt zwiększy swoje możliwo</w:t>
            </w:r>
            <w:r w:rsidRPr="00000498">
              <w:rPr>
                <w:rFonts w:asciiTheme="minorHAnsi" w:eastAsia="Calibri" w:hAnsiTheme="minorHAnsi" w:cstheme="minorHAnsi"/>
                <w:szCs w:val="24"/>
                <w:lang w:val="pl-PL"/>
              </w:rPr>
              <w:lastRenderedPageBreak/>
              <w:t>ści instytucjonalne (łącznie 50 organizacji).</w:t>
            </w:r>
          </w:p>
        </w:tc>
      </w:tr>
      <w:tr w:rsidR="003E22FB" w:rsidRPr="00367EF1" w14:paraId="541B1BFB" w14:textId="77777777" w:rsidTr="00F879CC">
        <w:trPr>
          <w:trHeight w:val="629"/>
        </w:trPr>
        <w:tc>
          <w:tcPr>
            <w:tcW w:w="412" w:type="pct"/>
          </w:tcPr>
          <w:p w14:paraId="1B85F99A" w14:textId="77777777" w:rsidR="00D06AD1" w:rsidRPr="00000498" w:rsidRDefault="00D06AD1" w:rsidP="00D06AD1">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lastRenderedPageBreak/>
              <w:t>3</w:t>
            </w:r>
          </w:p>
        </w:tc>
        <w:tc>
          <w:tcPr>
            <w:tcW w:w="510" w:type="pct"/>
          </w:tcPr>
          <w:p w14:paraId="7DC5463C" w14:textId="0B2FC9BE" w:rsidR="00D06AD1" w:rsidRPr="00000498" w:rsidRDefault="00D06AD1" w:rsidP="00D06AD1">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viii</w:t>
            </w:r>
          </w:p>
        </w:tc>
        <w:tc>
          <w:tcPr>
            <w:tcW w:w="307" w:type="pct"/>
          </w:tcPr>
          <w:p w14:paraId="14245BF8" w14:textId="77777777" w:rsidR="00D06AD1" w:rsidRPr="00000498" w:rsidRDefault="00D06AD1" w:rsidP="00D06AD1">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RCR</w:t>
            </w:r>
            <w:r w:rsidRPr="00000498">
              <w:rPr>
                <w:rFonts w:asciiTheme="minorHAnsi" w:hAnsiTheme="minorHAnsi" w:cstheme="minorHAnsi"/>
                <w:szCs w:val="24"/>
                <w:lang w:val="pl-PL"/>
              </w:rPr>
              <w:br/>
              <w:t>104</w:t>
            </w:r>
          </w:p>
        </w:tc>
        <w:tc>
          <w:tcPr>
            <w:tcW w:w="733" w:type="pct"/>
            <w:shd w:val="clear" w:color="auto" w:fill="auto"/>
          </w:tcPr>
          <w:p w14:paraId="51E8E96C" w14:textId="1060922E" w:rsidR="00D06AD1" w:rsidRPr="00000498" w:rsidRDefault="003E22FB" w:rsidP="00D06AD1">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Rozwiązania przyjęte lub rozbudowane przez organizacje</w:t>
            </w:r>
          </w:p>
        </w:tc>
        <w:tc>
          <w:tcPr>
            <w:tcW w:w="601" w:type="pct"/>
          </w:tcPr>
          <w:p w14:paraId="6F4FB424" w14:textId="6797C697" w:rsidR="00D06AD1" w:rsidRPr="00000498" w:rsidRDefault="00DC4DB8" w:rsidP="00D06AD1">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Rozwiązanie</w:t>
            </w:r>
          </w:p>
        </w:tc>
        <w:tc>
          <w:tcPr>
            <w:tcW w:w="390" w:type="pct"/>
          </w:tcPr>
          <w:p w14:paraId="5FBEB619" w14:textId="45238227" w:rsidR="00D06AD1" w:rsidRPr="00000498" w:rsidRDefault="00D06AD1" w:rsidP="00D06AD1">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0</w:t>
            </w:r>
          </w:p>
        </w:tc>
        <w:tc>
          <w:tcPr>
            <w:tcW w:w="481" w:type="pct"/>
          </w:tcPr>
          <w:p w14:paraId="325CC203" w14:textId="7E44F811" w:rsidR="00D06AD1" w:rsidRPr="00000498" w:rsidRDefault="00D06AD1" w:rsidP="00D06AD1">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szCs w:val="24"/>
                <w:lang w:val="pl-PL"/>
              </w:rPr>
              <w:t>2022</w:t>
            </w:r>
          </w:p>
        </w:tc>
        <w:tc>
          <w:tcPr>
            <w:tcW w:w="316" w:type="pct"/>
            <w:shd w:val="clear" w:color="auto" w:fill="auto"/>
          </w:tcPr>
          <w:p w14:paraId="2B8BBA44" w14:textId="36EDA594" w:rsidR="00D06AD1" w:rsidRPr="00000498" w:rsidRDefault="00D06AD1" w:rsidP="00D06AD1">
            <w:pPr>
              <w:spacing w:before="120" w:after="120" w:line="240" w:lineRule="auto"/>
              <w:jc w:val="center"/>
              <w:rPr>
                <w:rFonts w:asciiTheme="minorHAnsi" w:hAnsiTheme="minorHAnsi" w:cstheme="minorHAnsi"/>
                <w:b/>
                <w:szCs w:val="24"/>
                <w:lang w:val="pl-PL"/>
              </w:rPr>
            </w:pPr>
            <w:r w:rsidRPr="00000498">
              <w:rPr>
                <w:rFonts w:asciiTheme="minorHAnsi" w:hAnsiTheme="minorHAnsi" w:cstheme="minorHAnsi"/>
                <w:szCs w:val="24"/>
                <w:lang w:val="pl-PL"/>
              </w:rPr>
              <w:t>12</w:t>
            </w:r>
          </w:p>
        </w:tc>
        <w:tc>
          <w:tcPr>
            <w:tcW w:w="486" w:type="pct"/>
            <w:shd w:val="clear" w:color="auto" w:fill="auto"/>
          </w:tcPr>
          <w:p w14:paraId="2A759FFE" w14:textId="438F4DF2" w:rsidR="00D06AD1" w:rsidRPr="00000498" w:rsidRDefault="00813365" w:rsidP="00D06AD1">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Sprawozdania z postępów projektów</w:t>
            </w:r>
          </w:p>
        </w:tc>
        <w:tc>
          <w:tcPr>
            <w:tcW w:w="765" w:type="pct"/>
          </w:tcPr>
          <w:p w14:paraId="57597D32" w14:textId="77777777" w:rsidR="003E22FB" w:rsidRPr="00000498" w:rsidRDefault="003E22FB" w:rsidP="003E22FB">
            <w:pPr>
              <w:spacing w:before="120" w:after="120" w:line="240" w:lineRule="auto"/>
              <w:rPr>
                <w:rFonts w:asciiTheme="minorHAnsi" w:eastAsia="Calibri" w:hAnsiTheme="minorHAnsi" w:cstheme="minorHAnsi"/>
                <w:b/>
                <w:szCs w:val="24"/>
                <w:lang w:val="pl-PL"/>
              </w:rPr>
            </w:pPr>
            <w:r w:rsidRPr="00000498">
              <w:rPr>
                <w:rFonts w:asciiTheme="minorHAnsi" w:eastAsia="Calibri" w:hAnsiTheme="minorHAnsi" w:cstheme="minorHAnsi"/>
                <w:b/>
                <w:szCs w:val="24"/>
                <w:lang w:val="pl-PL"/>
              </w:rPr>
              <w:t>Regularne projekty</w:t>
            </w:r>
          </w:p>
          <w:p w14:paraId="1F24BC0F" w14:textId="77777777" w:rsidR="003E22FB" w:rsidRPr="00000498" w:rsidRDefault="003E22FB" w:rsidP="00DC4DB8">
            <w:pPr>
              <w:spacing w:before="120" w:after="120" w:line="240" w:lineRule="auto"/>
              <w:ind w:right="496"/>
              <w:rPr>
                <w:rFonts w:asciiTheme="minorHAnsi" w:eastAsia="Calibri" w:hAnsiTheme="minorHAnsi" w:cstheme="minorHAnsi"/>
                <w:szCs w:val="24"/>
                <w:lang w:val="pl-PL"/>
              </w:rPr>
            </w:pPr>
            <w:r w:rsidRPr="00000498">
              <w:rPr>
                <w:rFonts w:asciiTheme="minorHAnsi" w:eastAsia="Calibri" w:hAnsiTheme="minorHAnsi" w:cstheme="minorHAnsi"/>
                <w:szCs w:val="24"/>
                <w:lang w:val="pl-PL"/>
              </w:rPr>
              <w:t>Oczekuje się, iż w ramach (średnio) każdego projektu zostanie opracowane 1 rozwiązanie, które zostanie zastosowane lub rozbudowane (łącznie 11 rozwiązań)</w:t>
            </w:r>
          </w:p>
          <w:p w14:paraId="5F4F5D92" w14:textId="77777777" w:rsidR="003E22FB" w:rsidRPr="00000498" w:rsidRDefault="003E22FB" w:rsidP="003E22FB">
            <w:pPr>
              <w:spacing w:before="120" w:after="120" w:line="240" w:lineRule="auto"/>
              <w:rPr>
                <w:rFonts w:asciiTheme="minorHAnsi" w:eastAsia="Calibri" w:hAnsiTheme="minorHAnsi" w:cstheme="minorHAnsi"/>
                <w:b/>
                <w:szCs w:val="24"/>
                <w:lang w:val="pl-PL"/>
              </w:rPr>
            </w:pPr>
            <w:r w:rsidRPr="00000498">
              <w:rPr>
                <w:rFonts w:asciiTheme="minorHAnsi" w:eastAsia="Calibri" w:hAnsiTheme="minorHAnsi" w:cstheme="minorHAnsi"/>
                <w:b/>
                <w:szCs w:val="24"/>
                <w:lang w:val="pl-PL"/>
              </w:rPr>
              <w:t>Małe projekty</w:t>
            </w:r>
          </w:p>
          <w:p w14:paraId="7D878C37" w14:textId="02C586E1" w:rsidR="00D06AD1" w:rsidRPr="00000498" w:rsidRDefault="003E22FB" w:rsidP="00DC4DB8">
            <w:pPr>
              <w:spacing w:after="200" w:line="276" w:lineRule="auto"/>
              <w:ind w:right="496"/>
              <w:rPr>
                <w:rFonts w:asciiTheme="minorHAnsi" w:hAnsiTheme="minorHAnsi" w:cstheme="minorHAnsi"/>
                <w:szCs w:val="24"/>
                <w:lang w:val="pl-PL"/>
              </w:rPr>
            </w:pPr>
            <w:r w:rsidRPr="00000498">
              <w:rPr>
                <w:rFonts w:asciiTheme="minorHAnsi" w:eastAsia="Calibri" w:hAnsiTheme="minorHAnsi" w:cstheme="minorHAnsi"/>
                <w:szCs w:val="24"/>
                <w:lang w:val="pl-PL"/>
              </w:rPr>
              <w:t xml:space="preserve">Oczekuje się, że w ramach </w:t>
            </w:r>
            <w:r w:rsidRPr="00000498">
              <w:rPr>
                <w:rFonts w:asciiTheme="minorHAnsi" w:eastAsia="Calibri" w:hAnsiTheme="minorHAnsi" w:cstheme="minorHAnsi"/>
                <w:szCs w:val="24"/>
                <w:lang w:val="pl-PL"/>
              </w:rPr>
              <w:lastRenderedPageBreak/>
              <w:t>(średnio) 20% projektów zostanie opracowane 1 rozwiązanie, które zostanie zastosowane lub rozbudowane (łącznie 1 rozwiązanie</w:t>
            </w:r>
          </w:p>
        </w:tc>
      </w:tr>
    </w:tbl>
    <w:p w14:paraId="46EB0B7F" w14:textId="112F14DC" w:rsidR="005B1732" w:rsidRPr="0004395F" w:rsidRDefault="005B1732" w:rsidP="0004395F">
      <w:pPr>
        <w:spacing w:before="240" w:after="240" w:line="276" w:lineRule="auto"/>
        <w:ind w:left="709" w:hanging="709"/>
        <w:rPr>
          <w:rFonts w:asciiTheme="minorHAnsi" w:eastAsia="Times New Roman" w:hAnsiTheme="minorHAnsi" w:cstheme="minorHAnsi"/>
          <w:b/>
          <w:iCs/>
          <w:szCs w:val="24"/>
          <w:lang w:val="pl-PL" w:eastAsia="en-GB"/>
        </w:rPr>
      </w:pPr>
      <w:r w:rsidRPr="0004395F">
        <w:rPr>
          <w:rFonts w:asciiTheme="minorHAnsi" w:eastAsia="Times New Roman" w:hAnsiTheme="minorHAnsi" w:cstheme="minorHAnsi"/>
          <w:b/>
          <w:iCs/>
          <w:szCs w:val="24"/>
          <w:lang w:val="pl-PL" w:eastAsia="en-GB"/>
        </w:rPr>
        <w:lastRenderedPageBreak/>
        <w:t>2.3.3.3</w:t>
      </w:r>
      <w:r w:rsidR="0004395F">
        <w:rPr>
          <w:rFonts w:asciiTheme="minorHAnsi" w:eastAsia="Times New Roman" w:hAnsiTheme="minorHAnsi" w:cstheme="minorHAnsi"/>
          <w:b/>
          <w:iCs/>
          <w:szCs w:val="24"/>
          <w:lang w:val="pl-PL" w:eastAsia="en-GB"/>
        </w:rPr>
        <w:t xml:space="preserve"> </w:t>
      </w:r>
      <w:r w:rsidR="00813365" w:rsidRPr="0004395F">
        <w:rPr>
          <w:rFonts w:asciiTheme="minorHAnsi" w:eastAsia="Times New Roman" w:hAnsiTheme="minorHAnsi" w:cstheme="minorHAnsi"/>
          <w:b/>
          <w:iCs/>
          <w:szCs w:val="24"/>
          <w:lang w:val="pl-PL" w:eastAsia="en-GB"/>
        </w:rPr>
        <w:t>Podstawowe grupy docelowe</w:t>
      </w:r>
    </w:p>
    <w:p w14:paraId="4224DF2D" w14:textId="15933AC5" w:rsidR="005B1732" w:rsidRPr="00000498" w:rsidRDefault="00DC4DB8" w:rsidP="00000498">
      <w:pPr>
        <w:spacing w:after="20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Dotyczy: art. 17 ust. 4 lit. e) ppkt (iii), art. 17 ust. 9 lit. c) ppkt (iv)</w:t>
      </w:r>
    </w:p>
    <w:p w14:paraId="1B92AB99" w14:textId="3E64DCAB" w:rsidR="005B1732" w:rsidRPr="00000498" w:rsidRDefault="00713DD6" w:rsidP="00000498">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Program skierowany jest do władz publicznych na szczeblu lokalnym, regionalnym i krajowym, odpowiedzialnych za transport, planowanie i ochronę środowiska.</w:t>
      </w:r>
      <w:r w:rsidR="000C6338" w:rsidRPr="00000498">
        <w:rPr>
          <w:rFonts w:asciiTheme="minorHAnsi" w:eastAsia="Times New Roman" w:hAnsiTheme="minorHAnsi" w:cstheme="minorHAnsi"/>
          <w:szCs w:val="24"/>
          <w:lang w:val="pl-PL" w:eastAsia="en-GB"/>
        </w:rPr>
        <w:t xml:space="preserve"> </w:t>
      </w:r>
      <w:r w:rsidRPr="00000498">
        <w:rPr>
          <w:rFonts w:asciiTheme="minorHAnsi" w:eastAsia="Times New Roman" w:hAnsiTheme="minorHAnsi" w:cstheme="minorHAnsi"/>
          <w:szCs w:val="24"/>
          <w:lang w:val="pl-PL" w:eastAsia="en-GB"/>
        </w:rPr>
        <w:t>Gminy, rady regionalne, ministerstwa, a także agencje rządowe odgrywają ważną rolę w organizowaniu usług transportowych w regionie.</w:t>
      </w:r>
      <w:r w:rsidR="00253070" w:rsidRPr="00000498">
        <w:rPr>
          <w:rFonts w:asciiTheme="minorHAnsi" w:eastAsia="Times New Roman" w:hAnsiTheme="minorHAnsi" w:cstheme="minorHAnsi"/>
          <w:szCs w:val="24"/>
          <w:lang w:val="pl-PL" w:eastAsia="en-GB"/>
        </w:rPr>
        <w:t xml:space="preserve"> </w:t>
      </w:r>
      <w:r w:rsidRPr="00000498">
        <w:rPr>
          <w:rFonts w:asciiTheme="minorHAnsi" w:eastAsia="Times New Roman" w:hAnsiTheme="minorHAnsi" w:cstheme="minorHAnsi"/>
          <w:szCs w:val="24"/>
          <w:lang w:val="pl-PL" w:eastAsia="en-GB"/>
        </w:rPr>
        <w:t xml:space="preserve">Ponadto, program skierowany jest do organizacji z sektorów oferujących i wykorzystujących różne środki transportu. Są to operatorzy </w:t>
      </w:r>
      <w:r w:rsidR="00253070" w:rsidRPr="00000498">
        <w:rPr>
          <w:rFonts w:asciiTheme="minorHAnsi" w:eastAsia="Times New Roman" w:hAnsiTheme="minorHAnsi" w:cstheme="minorHAnsi"/>
          <w:szCs w:val="24"/>
          <w:lang w:val="pl-PL" w:eastAsia="en-GB"/>
        </w:rPr>
        <w:t xml:space="preserve">z branży </w:t>
      </w:r>
      <w:r w:rsidRPr="00000498">
        <w:rPr>
          <w:rFonts w:asciiTheme="minorHAnsi" w:eastAsia="Times New Roman" w:hAnsiTheme="minorHAnsi" w:cstheme="minorHAnsi"/>
          <w:szCs w:val="24"/>
          <w:lang w:val="pl-PL" w:eastAsia="en-GB"/>
        </w:rPr>
        <w:t>logistyczn</w:t>
      </w:r>
      <w:r w:rsidR="00253070" w:rsidRPr="00000498">
        <w:rPr>
          <w:rFonts w:asciiTheme="minorHAnsi" w:eastAsia="Times New Roman" w:hAnsiTheme="minorHAnsi" w:cstheme="minorHAnsi"/>
          <w:szCs w:val="24"/>
          <w:lang w:val="pl-PL" w:eastAsia="en-GB"/>
        </w:rPr>
        <w:t>ej</w:t>
      </w:r>
      <w:r w:rsidRPr="00000498">
        <w:rPr>
          <w:rFonts w:asciiTheme="minorHAnsi" w:eastAsia="Times New Roman" w:hAnsiTheme="minorHAnsi" w:cstheme="minorHAnsi"/>
          <w:szCs w:val="24"/>
          <w:lang w:val="pl-PL" w:eastAsia="en-GB"/>
        </w:rPr>
        <w:t xml:space="preserve"> i transporto</w:t>
      </w:r>
      <w:r w:rsidR="00253070" w:rsidRPr="00000498">
        <w:rPr>
          <w:rFonts w:asciiTheme="minorHAnsi" w:eastAsia="Times New Roman" w:hAnsiTheme="minorHAnsi" w:cstheme="minorHAnsi"/>
          <w:szCs w:val="24"/>
          <w:lang w:val="pl-PL" w:eastAsia="en-GB"/>
        </w:rPr>
        <w:t>wej</w:t>
      </w:r>
      <w:r w:rsidRPr="00000498">
        <w:rPr>
          <w:rFonts w:asciiTheme="minorHAnsi" w:eastAsia="Times New Roman" w:hAnsiTheme="minorHAnsi" w:cstheme="minorHAnsi"/>
          <w:szCs w:val="24"/>
          <w:lang w:val="pl-PL" w:eastAsia="en-GB"/>
        </w:rPr>
        <w:t>, inni dostawcy infrastruktury i usług oraz przedsiębiorstwa. Zaangażowanie obywateli jest wspierane przez stowarzyszenia lub organizacje pozarządowe. Instytucje szkolnictwa wyższego i badawcze mogą przyłączać się do działań w ramach współpracy transnarodowej, ponieważ ich wiedza i kompetencje są ważne w procesie opracowywania innowacyjnych i wydajnych rozwiązań w zakresie transportu i mobilności</w:t>
      </w:r>
      <w:r w:rsidR="005B1732" w:rsidRPr="00000498">
        <w:rPr>
          <w:rFonts w:asciiTheme="minorHAnsi" w:eastAsia="Times New Roman" w:hAnsiTheme="minorHAnsi" w:cstheme="minorHAnsi"/>
          <w:szCs w:val="24"/>
          <w:lang w:val="pl-PL" w:eastAsia="en-GB"/>
        </w:rPr>
        <w:t>.</w:t>
      </w:r>
    </w:p>
    <w:p w14:paraId="64CDD5C9" w14:textId="6BFB67DA" w:rsidR="005B1732" w:rsidRPr="00E20902" w:rsidRDefault="005B1732" w:rsidP="00000498">
      <w:pPr>
        <w:spacing w:before="240" w:after="240" w:line="276" w:lineRule="auto"/>
        <w:ind w:left="709" w:hanging="709"/>
        <w:rPr>
          <w:rFonts w:asciiTheme="minorHAnsi" w:eastAsia="Times New Roman" w:hAnsiTheme="minorHAnsi" w:cstheme="minorHAnsi"/>
          <w:b/>
          <w:iCs/>
          <w:szCs w:val="24"/>
          <w:lang w:val="pl-PL" w:eastAsia="en-GB"/>
        </w:rPr>
      </w:pPr>
      <w:r w:rsidRPr="0004395F">
        <w:rPr>
          <w:rFonts w:asciiTheme="minorHAnsi" w:eastAsia="Times New Roman" w:hAnsiTheme="minorHAnsi" w:cstheme="minorHAnsi"/>
          <w:b/>
          <w:iCs/>
          <w:szCs w:val="24"/>
          <w:lang w:val="pl-PL" w:eastAsia="en-GB"/>
        </w:rPr>
        <w:lastRenderedPageBreak/>
        <w:t>2.3.3.4</w:t>
      </w:r>
      <w:r w:rsidRPr="0004395F">
        <w:rPr>
          <w:rFonts w:asciiTheme="minorHAnsi" w:eastAsia="Times New Roman" w:hAnsiTheme="minorHAnsi" w:cstheme="minorHAnsi"/>
          <w:b/>
          <w:iCs/>
          <w:szCs w:val="24"/>
          <w:lang w:val="pl-PL" w:eastAsia="en-GB"/>
        </w:rPr>
        <w:tab/>
      </w:r>
      <w:r w:rsidR="00813365" w:rsidRPr="0004395F">
        <w:rPr>
          <w:rFonts w:asciiTheme="minorHAnsi" w:eastAsia="Times New Roman" w:hAnsiTheme="minorHAnsi" w:cstheme="minorHAnsi"/>
          <w:b/>
          <w:iCs/>
          <w:szCs w:val="24"/>
          <w:lang w:val="pl-PL" w:eastAsia="en-GB"/>
        </w:rPr>
        <w:t>Wskazanie konkretnych terytoriów docelowych w tym planowane wykorzystanie ZIT, RLKS lub innych narzędzi terytorialnych</w:t>
      </w:r>
    </w:p>
    <w:p w14:paraId="478F6B9E" w14:textId="277C04FF" w:rsidR="005B1732" w:rsidRPr="00000498" w:rsidRDefault="00713DD6" w:rsidP="00000498">
      <w:pPr>
        <w:spacing w:after="20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Dotyczy: art. 17 ust. 4 lit. e) ppkt (iv)</w:t>
      </w:r>
    </w:p>
    <w:p w14:paraId="64205FF1" w14:textId="3E72600B" w:rsidR="005B1732" w:rsidRPr="00000498" w:rsidRDefault="00713DD6" w:rsidP="00000498">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 xml:space="preserve">Program nie przewiduje wykorzystania jakichkolwiek narzędzi </w:t>
      </w:r>
      <w:r w:rsidR="00A05A16" w:rsidRPr="00000498">
        <w:rPr>
          <w:rFonts w:asciiTheme="minorHAnsi" w:eastAsia="Times New Roman" w:hAnsiTheme="minorHAnsi" w:cstheme="minorHAnsi"/>
          <w:szCs w:val="24"/>
          <w:lang w:val="pl-PL" w:eastAsia="en-GB"/>
        </w:rPr>
        <w:t>terytorialnych, o których</w:t>
      </w:r>
      <w:r w:rsidRPr="00000498">
        <w:rPr>
          <w:rFonts w:asciiTheme="minorHAnsi" w:eastAsia="Times New Roman" w:hAnsiTheme="minorHAnsi" w:cstheme="minorHAnsi"/>
          <w:szCs w:val="24"/>
          <w:lang w:val="pl-PL" w:eastAsia="en-GB"/>
        </w:rPr>
        <w:t xml:space="preserve"> mowa powyżej. Działania w ramach tego celu szczegółowego dotyczą wyzwań i szans całego regionu Morza Bałtyckiego. Różne działania skupiają się na potrzebach określonych obszarów szczebla krajowego lub regionalnego, zwłaszcza obszarów miejskich, ale także wiejskich. Ekologiczne (zielone) rozwiązania transportowe na różnych terytoriach wymagają dostosowania w podejściu i zaangażowania określonych grup docelowych</w:t>
      </w:r>
      <w:r w:rsidR="005B1732" w:rsidRPr="00000498">
        <w:rPr>
          <w:rFonts w:asciiTheme="minorHAnsi" w:eastAsia="Times New Roman" w:hAnsiTheme="minorHAnsi" w:cstheme="minorHAnsi"/>
          <w:szCs w:val="24"/>
          <w:lang w:val="pl-PL" w:eastAsia="en-GB"/>
        </w:rPr>
        <w:t>.</w:t>
      </w:r>
    </w:p>
    <w:p w14:paraId="490D8EB2" w14:textId="7A3128B3" w:rsidR="005B1732" w:rsidRPr="00571D86" w:rsidRDefault="005B1732" w:rsidP="00000498">
      <w:pPr>
        <w:spacing w:before="240" w:after="240" w:line="276" w:lineRule="auto"/>
        <w:ind w:left="709" w:hanging="709"/>
        <w:rPr>
          <w:rFonts w:asciiTheme="minorHAnsi" w:eastAsia="Times New Roman" w:hAnsiTheme="minorHAnsi" w:cstheme="minorHAnsi"/>
          <w:b/>
          <w:iCs/>
          <w:szCs w:val="24"/>
          <w:lang w:val="pl-PL" w:eastAsia="en-GB"/>
        </w:rPr>
      </w:pPr>
      <w:r w:rsidRPr="00571D86">
        <w:rPr>
          <w:rFonts w:asciiTheme="minorHAnsi" w:eastAsia="Times New Roman" w:hAnsiTheme="minorHAnsi" w:cstheme="minorHAnsi"/>
          <w:b/>
          <w:iCs/>
          <w:szCs w:val="24"/>
          <w:lang w:val="pl-PL" w:eastAsia="en-GB"/>
        </w:rPr>
        <w:t>2.3.3.5</w:t>
      </w:r>
      <w:r w:rsidRPr="00571D86">
        <w:rPr>
          <w:rFonts w:asciiTheme="minorHAnsi" w:eastAsia="Times New Roman" w:hAnsiTheme="minorHAnsi" w:cstheme="minorHAnsi"/>
          <w:b/>
          <w:iCs/>
          <w:szCs w:val="24"/>
          <w:lang w:val="pl-PL" w:eastAsia="en-GB"/>
        </w:rPr>
        <w:tab/>
      </w:r>
      <w:r w:rsidR="00571D86" w:rsidRPr="00571D86">
        <w:rPr>
          <w:rFonts w:asciiTheme="minorHAnsi" w:eastAsia="Times New Roman" w:hAnsiTheme="minorHAnsi" w:cstheme="minorHAnsi"/>
          <w:b/>
          <w:iCs/>
          <w:szCs w:val="24"/>
          <w:lang w:val="pl-PL" w:eastAsia="en-GB"/>
        </w:rPr>
        <w:t xml:space="preserve"> </w:t>
      </w:r>
      <w:r w:rsidR="00871A6C" w:rsidRPr="00571D86">
        <w:rPr>
          <w:rFonts w:asciiTheme="minorHAnsi" w:eastAsia="Times New Roman" w:hAnsiTheme="minorHAnsi" w:cstheme="minorHAnsi"/>
          <w:b/>
          <w:iCs/>
          <w:szCs w:val="24"/>
          <w:lang w:val="pl-PL" w:eastAsia="en-GB"/>
        </w:rPr>
        <w:t>Planowane wykorzystanie instrumentów finansowych</w:t>
      </w:r>
    </w:p>
    <w:p w14:paraId="28281CF4" w14:textId="2D7A5361" w:rsidR="005B1732" w:rsidRPr="00000498" w:rsidRDefault="00713DD6" w:rsidP="00000498">
      <w:pPr>
        <w:spacing w:after="20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Dotyczy: art. 17 ust. 4 lit. e) ppkt (v)</w:t>
      </w:r>
    </w:p>
    <w:p w14:paraId="38A6C4A8" w14:textId="3633CE54" w:rsidR="00714AD5" w:rsidRPr="00000498" w:rsidRDefault="00713DD6" w:rsidP="00000498">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iCs/>
          <w:szCs w:val="24"/>
          <w:lang w:val="pl-PL" w:eastAsia="en-GB"/>
        </w:rPr>
      </w:pPr>
      <w:r w:rsidRPr="00571D86">
        <w:rPr>
          <w:rFonts w:asciiTheme="minorHAnsi" w:eastAsia="Times New Roman" w:hAnsiTheme="minorHAnsi" w:cstheme="minorHAnsi"/>
          <w:szCs w:val="24"/>
          <w:lang w:val="pl-PL" w:eastAsia="en-GB"/>
        </w:rPr>
        <w:t>Nie dotyczy</w:t>
      </w:r>
    </w:p>
    <w:p w14:paraId="13577357" w14:textId="745ABAA3" w:rsidR="005B1732" w:rsidRPr="00D86525" w:rsidRDefault="005B1732" w:rsidP="00000498">
      <w:pPr>
        <w:spacing w:before="240" w:after="240" w:line="276" w:lineRule="auto"/>
        <w:ind w:left="709" w:hanging="709"/>
        <w:rPr>
          <w:rFonts w:asciiTheme="minorHAnsi" w:eastAsia="Times New Roman" w:hAnsiTheme="minorHAnsi" w:cstheme="minorHAnsi"/>
          <w:b/>
          <w:iCs/>
          <w:szCs w:val="24"/>
          <w:lang w:val="pl-PL" w:eastAsia="en-GB"/>
        </w:rPr>
      </w:pPr>
      <w:r w:rsidRPr="00571D86">
        <w:rPr>
          <w:rFonts w:asciiTheme="minorHAnsi" w:eastAsia="Times New Roman" w:hAnsiTheme="minorHAnsi" w:cstheme="minorHAnsi"/>
          <w:b/>
          <w:iCs/>
          <w:szCs w:val="24"/>
          <w:lang w:val="pl-PL" w:eastAsia="en-GB"/>
        </w:rPr>
        <w:t>2.3.3.6</w:t>
      </w:r>
      <w:r w:rsidRPr="00571D86">
        <w:rPr>
          <w:rFonts w:asciiTheme="minorHAnsi" w:eastAsia="Times New Roman" w:hAnsiTheme="minorHAnsi" w:cstheme="minorHAnsi"/>
          <w:b/>
          <w:iCs/>
          <w:szCs w:val="24"/>
          <w:lang w:val="pl-PL" w:eastAsia="en-GB"/>
        </w:rPr>
        <w:tab/>
      </w:r>
      <w:r w:rsidR="00571D86" w:rsidRPr="00571D86">
        <w:rPr>
          <w:rFonts w:asciiTheme="minorHAnsi" w:eastAsia="Times New Roman" w:hAnsiTheme="minorHAnsi" w:cstheme="minorHAnsi"/>
          <w:b/>
          <w:iCs/>
          <w:szCs w:val="24"/>
          <w:lang w:val="pl-PL" w:eastAsia="en-GB"/>
        </w:rPr>
        <w:t xml:space="preserve"> </w:t>
      </w:r>
      <w:r w:rsidR="00813365" w:rsidRPr="00571D86">
        <w:rPr>
          <w:rFonts w:asciiTheme="minorHAnsi" w:eastAsia="Times New Roman" w:hAnsiTheme="minorHAnsi" w:cstheme="minorHAnsi"/>
          <w:b/>
          <w:iCs/>
          <w:szCs w:val="24"/>
          <w:lang w:val="pl-PL" w:eastAsia="en-GB"/>
        </w:rPr>
        <w:t>Indykatywny podział środków programu UE według rodzaju interwencji</w:t>
      </w:r>
    </w:p>
    <w:p w14:paraId="1CF0873B" w14:textId="750DA62C" w:rsidR="005B1732" w:rsidRPr="00000498" w:rsidRDefault="00713DD6" w:rsidP="00000498">
      <w:pPr>
        <w:spacing w:after="20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Dotyczy: art. 17 ust. 4 lit. e) ppkt (vi), art. 17 ust. 9 lit. c) ppkt (v)</w:t>
      </w:r>
    </w:p>
    <w:p w14:paraId="2BEE9DBC" w14:textId="28F1F1BB" w:rsidR="00CC222E" w:rsidRPr="00000498" w:rsidRDefault="00713DD6" w:rsidP="00000498">
      <w:pPr>
        <w:spacing w:after="200" w:line="276" w:lineRule="auto"/>
        <w:rPr>
          <w:rFonts w:asciiTheme="minorHAnsi" w:eastAsia="Times New Roman" w:hAnsiTheme="minorHAnsi" w:cstheme="minorHAnsi"/>
          <w:szCs w:val="24"/>
          <w:lang w:val="pl-PL" w:eastAsia="en-GB"/>
        </w:rPr>
      </w:pPr>
      <w:r w:rsidRPr="00571D86">
        <w:rPr>
          <w:rFonts w:asciiTheme="minorHAnsi" w:hAnsiTheme="minorHAnsi" w:cstheme="minorHAnsi"/>
          <w:lang w:val="pl-PL"/>
        </w:rPr>
        <w:t>Kody interwencji zostaną uwzględnione po opublikowani</w:t>
      </w:r>
      <w:r w:rsidR="00252C2D" w:rsidRPr="00571D86">
        <w:rPr>
          <w:rFonts w:asciiTheme="minorHAnsi" w:hAnsiTheme="minorHAnsi" w:cstheme="minorHAnsi"/>
          <w:lang w:val="pl-PL"/>
        </w:rPr>
        <w:t>u ostatecznych wersji regulacji</w:t>
      </w:r>
      <w:r w:rsidR="00CC222E" w:rsidRPr="00571D86">
        <w:rPr>
          <w:rFonts w:asciiTheme="minorHAnsi" w:hAnsiTheme="minorHAnsi" w:cstheme="minorHAnsi"/>
          <w:lang w:val="pl-PL"/>
        </w:rPr>
        <w:t>.</w:t>
      </w:r>
    </w:p>
    <w:p w14:paraId="5280A5DE" w14:textId="03C50875" w:rsidR="005B1732" w:rsidRPr="00000498" w:rsidRDefault="00871A6C" w:rsidP="00000498">
      <w:pPr>
        <w:spacing w:after="200" w:line="276" w:lineRule="auto"/>
        <w:rPr>
          <w:rFonts w:asciiTheme="minorHAnsi" w:eastAsia="Times New Roman" w:hAnsiTheme="minorHAnsi" w:cstheme="minorHAnsi"/>
          <w:szCs w:val="24"/>
          <w:lang w:val="pl-PL" w:eastAsia="en-GB"/>
        </w:rPr>
      </w:pPr>
      <w:r w:rsidRPr="00571D86">
        <w:rPr>
          <w:rFonts w:asciiTheme="minorHAnsi" w:eastAsia="Times New Roman" w:hAnsiTheme="minorHAnsi" w:cstheme="minorHAnsi"/>
          <w:iCs/>
          <w:szCs w:val="24"/>
          <w:lang w:val="pl-PL" w:eastAsia="en-GB"/>
        </w:rPr>
        <w:t>Tabela</w:t>
      </w:r>
      <w:r w:rsidR="005B1732" w:rsidRPr="00571D86">
        <w:rPr>
          <w:rFonts w:asciiTheme="minorHAnsi" w:eastAsia="Times New Roman" w:hAnsiTheme="minorHAnsi" w:cstheme="minorHAnsi"/>
          <w:iCs/>
          <w:szCs w:val="24"/>
          <w:lang w:val="pl-PL" w:eastAsia="en-GB"/>
        </w:rPr>
        <w:t xml:space="preserve"> 4: </w:t>
      </w:r>
      <w:r w:rsidRPr="00571D86">
        <w:rPr>
          <w:rFonts w:asciiTheme="minorHAnsi" w:eastAsia="Times New Roman" w:hAnsiTheme="minorHAnsi" w:cstheme="minorHAnsi"/>
          <w:iCs/>
          <w:szCs w:val="24"/>
          <w:lang w:val="pl-PL" w:eastAsia="en-GB"/>
        </w:rPr>
        <w:t>Wymiar</w:t>
      </w:r>
      <w:r w:rsidR="005B1732" w:rsidRPr="00571D86">
        <w:rPr>
          <w:rFonts w:asciiTheme="minorHAnsi" w:eastAsia="Times New Roman" w:hAnsiTheme="minorHAnsi" w:cstheme="minorHAnsi"/>
          <w:iCs/>
          <w:szCs w:val="24"/>
          <w:lang w:val="pl-PL" w:eastAsia="en-GB"/>
        </w:rPr>
        <w:t xml:space="preserve"> 1 – </w:t>
      </w:r>
      <w:r w:rsidRPr="00571D86">
        <w:rPr>
          <w:rFonts w:asciiTheme="minorHAnsi" w:eastAsia="Times New Roman" w:hAnsiTheme="minorHAnsi" w:cstheme="minorHAnsi"/>
          <w:iCs/>
          <w:szCs w:val="24"/>
          <w:lang w:val="pl-PL" w:eastAsia="en-GB"/>
        </w:rPr>
        <w:t>pole interwencji</w:t>
      </w:r>
      <w:r w:rsidR="00F54FDB" w:rsidRPr="00571D86">
        <w:rPr>
          <w:rFonts w:asciiTheme="minorHAnsi" w:eastAsia="Times New Roman" w:hAnsiTheme="minorHAnsi" w:cstheme="minorHAnsi"/>
          <w:iCs/>
          <w:szCs w:val="24"/>
          <w:lang w:val="pl-PL" w:eastAsia="en-GB"/>
        </w:rPr>
        <w:t xml:space="preserve"> </w:t>
      </w:r>
      <w:r w:rsidR="00F54FDB" w:rsidRPr="00571D86">
        <w:rPr>
          <w:rFonts w:asciiTheme="minorHAnsi" w:eastAsia="Times New Roman" w:hAnsiTheme="minorHAnsi" w:cstheme="minorHAnsi"/>
          <w:szCs w:val="24"/>
          <w:lang w:val="pl-PL" w:eastAsia="en-GB"/>
        </w:rPr>
        <w:t>(</w:t>
      </w:r>
      <w:r w:rsidRPr="00571D86">
        <w:rPr>
          <w:rFonts w:asciiTheme="minorHAnsi" w:hAnsiTheme="minorHAnsi" w:cstheme="minorHAnsi"/>
          <w:lang w:val="pl-PL"/>
        </w:rPr>
        <w:t>do wypełnienia/uwzględnienia w kolejnych krokach</w:t>
      </w:r>
      <w:r w:rsidR="00F54FDB" w:rsidRPr="00571D86">
        <w:rPr>
          <w:rFonts w:asciiTheme="minorHAnsi" w:eastAsia="Times New Roman" w:hAnsiTheme="minorHAnsi" w:cstheme="minorHAnsi"/>
          <w:szCs w:val="24"/>
          <w:lang w:val="pl-PL" w:eastAsia="en-GB"/>
        </w:rPr>
        <w:t>)</w:t>
      </w:r>
    </w:p>
    <w:tbl>
      <w:tblPr>
        <w:tblStyle w:val="TableGrid1"/>
        <w:tblW w:w="0" w:type="auto"/>
        <w:tblLook w:val="04A0" w:firstRow="1" w:lastRow="0" w:firstColumn="1" w:lastColumn="0" w:noHBand="0" w:noVBand="1"/>
        <w:tblCaption w:val="Tabela dotycząca wymiaru 1 - pola interwencji"/>
      </w:tblPr>
      <w:tblGrid>
        <w:gridCol w:w="1870"/>
        <w:gridCol w:w="1657"/>
        <w:gridCol w:w="1898"/>
        <w:gridCol w:w="1204"/>
        <w:gridCol w:w="2659"/>
      </w:tblGrid>
      <w:tr w:rsidR="005B1732" w:rsidRPr="00571D86" w14:paraId="2A7FDCE7" w14:textId="77777777" w:rsidTr="00000498">
        <w:trPr>
          <w:tblHeader/>
        </w:trPr>
        <w:tc>
          <w:tcPr>
            <w:tcW w:w="1870" w:type="dxa"/>
          </w:tcPr>
          <w:p w14:paraId="2C6821C5" w14:textId="6B7BB473" w:rsidR="005B1732" w:rsidRPr="00000498" w:rsidRDefault="00871A6C" w:rsidP="00DE180F">
            <w:pPr>
              <w:spacing w:line="240" w:lineRule="auto"/>
              <w:jc w:val="both"/>
              <w:rPr>
                <w:rFonts w:asciiTheme="minorHAnsi" w:eastAsia="Times New Roman" w:hAnsiTheme="minorHAnsi" w:cstheme="minorHAnsi"/>
                <w:b/>
                <w:iCs/>
                <w:szCs w:val="24"/>
                <w:lang w:val="pl-PL" w:eastAsia="en-GB"/>
              </w:rPr>
            </w:pPr>
            <w:r w:rsidRPr="00000498">
              <w:rPr>
                <w:rFonts w:asciiTheme="minorHAnsi" w:eastAsia="Times New Roman" w:hAnsiTheme="minorHAnsi" w:cstheme="minorHAnsi"/>
                <w:b/>
                <w:iCs/>
                <w:szCs w:val="24"/>
                <w:lang w:val="pl-PL" w:eastAsia="en-GB"/>
              </w:rPr>
              <w:t>Nr priorytetu</w:t>
            </w:r>
          </w:p>
        </w:tc>
        <w:tc>
          <w:tcPr>
            <w:tcW w:w="1657" w:type="dxa"/>
          </w:tcPr>
          <w:p w14:paraId="31E46087" w14:textId="69B32540" w:rsidR="005B1732" w:rsidRPr="00000498" w:rsidRDefault="00871A6C" w:rsidP="00DE180F">
            <w:pPr>
              <w:spacing w:line="240" w:lineRule="auto"/>
              <w:jc w:val="both"/>
              <w:rPr>
                <w:rFonts w:asciiTheme="minorHAnsi" w:eastAsia="Times New Roman" w:hAnsiTheme="minorHAnsi" w:cstheme="minorHAnsi"/>
                <w:b/>
                <w:iCs/>
                <w:szCs w:val="24"/>
                <w:lang w:val="pl-PL" w:eastAsia="en-GB"/>
              </w:rPr>
            </w:pPr>
            <w:r w:rsidRPr="00000498">
              <w:rPr>
                <w:rFonts w:asciiTheme="minorHAnsi" w:eastAsia="Times New Roman" w:hAnsiTheme="minorHAnsi" w:cstheme="minorHAnsi"/>
                <w:b/>
                <w:iCs/>
                <w:szCs w:val="24"/>
                <w:lang w:val="pl-PL" w:eastAsia="en-GB"/>
              </w:rPr>
              <w:t>Fundusz</w:t>
            </w:r>
          </w:p>
        </w:tc>
        <w:tc>
          <w:tcPr>
            <w:tcW w:w="1898" w:type="dxa"/>
          </w:tcPr>
          <w:p w14:paraId="2157EC58" w14:textId="5AC0A02B" w:rsidR="005B1732" w:rsidRPr="00000498" w:rsidRDefault="00871A6C" w:rsidP="00DE180F">
            <w:pPr>
              <w:spacing w:line="240" w:lineRule="auto"/>
              <w:jc w:val="both"/>
              <w:rPr>
                <w:rFonts w:asciiTheme="minorHAnsi" w:eastAsia="Times New Roman" w:hAnsiTheme="minorHAnsi" w:cstheme="minorHAnsi"/>
                <w:b/>
                <w:iCs/>
                <w:szCs w:val="24"/>
                <w:lang w:val="pl-PL" w:eastAsia="en-GB"/>
              </w:rPr>
            </w:pPr>
            <w:r w:rsidRPr="00000498">
              <w:rPr>
                <w:rFonts w:asciiTheme="minorHAnsi" w:eastAsia="Times New Roman" w:hAnsiTheme="minorHAnsi" w:cstheme="minorHAnsi"/>
                <w:b/>
                <w:iCs/>
                <w:szCs w:val="24"/>
                <w:lang w:val="pl-PL" w:eastAsia="en-GB"/>
              </w:rPr>
              <w:t>Cel szczegółowy</w:t>
            </w:r>
          </w:p>
        </w:tc>
        <w:tc>
          <w:tcPr>
            <w:tcW w:w="1204" w:type="dxa"/>
          </w:tcPr>
          <w:p w14:paraId="4512A284" w14:textId="2EDB828E" w:rsidR="005B1732" w:rsidRPr="00000498" w:rsidRDefault="00871A6C" w:rsidP="00DE180F">
            <w:pPr>
              <w:spacing w:line="240" w:lineRule="auto"/>
              <w:jc w:val="both"/>
              <w:rPr>
                <w:rFonts w:asciiTheme="minorHAnsi" w:eastAsia="Times New Roman" w:hAnsiTheme="minorHAnsi" w:cstheme="minorHAnsi"/>
                <w:b/>
                <w:iCs/>
                <w:szCs w:val="24"/>
                <w:lang w:val="pl-PL" w:eastAsia="en-GB"/>
              </w:rPr>
            </w:pPr>
            <w:r w:rsidRPr="00000498">
              <w:rPr>
                <w:rFonts w:asciiTheme="minorHAnsi" w:eastAsia="Times New Roman" w:hAnsiTheme="minorHAnsi" w:cstheme="minorHAnsi"/>
                <w:b/>
                <w:iCs/>
                <w:szCs w:val="24"/>
                <w:lang w:val="pl-PL" w:eastAsia="en-GB"/>
              </w:rPr>
              <w:t>Kod</w:t>
            </w:r>
            <w:r w:rsidR="005B1732" w:rsidRPr="00000498">
              <w:rPr>
                <w:rFonts w:asciiTheme="minorHAnsi" w:eastAsia="Times New Roman" w:hAnsiTheme="minorHAnsi" w:cstheme="minorHAnsi"/>
                <w:b/>
                <w:iCs/>
                <w:szCs w:val="24"/>
                <w:lang w:val="pl-PL" w:eastAsia="en-GB"/>
              </w:rPr>
              <w:t xml:space="preserve"> </w:t>
            </w:r>
          </w:p>
        </w:tc>
        <w:tc>
          <w:tcPr>
            <w:tcW w:w="2659" w:type="dxa"/>
          </w:tcPr>
          <w:p w14:paraId="76F184C8" w14:textId="6F03B602" w:rsidR="005B1732" w:rsidRPr="00000498" w:rsidRDefault="00871A6C" w:rsidP="00DE180F">
            <w:pPr>
              <w:spacing w:line="240" w:lineRule="auto"/>
              <w:jc w:val="both"/>
              <w:rPr>
                <w:rFonts w:asciiTheme="minorHAnsi" w:eastAsia="Times New Roman" w:hAnsiTheme="minorHAnsi" w:cstheme="minorHAnsi"/>
                <w:b/>
                <w:iCs/>
                <w:szCs w:val="24"/>
                <w:lang w:val="pl-PL" w:eastAsia="en-GB"/>
              </w:rPr>
            </w:pPr>
            <w:r w:rsidRPr="00000498">
              <w:rPr>
                <w:rFonts w:asciiTheme="minorHAnsi" w:eastAsia="Times New Roman" w:hAnsiTheme="minorHAnsi" w:cstheme="minorHAnsi"/>
                <w:b/>
                <w:iCs/>
                <w:szCs w:val="24"/>
                <w:lang w:val="pl-PL" w:eastAsia="en-GB"/>
              </w:rPr>
              <w:t>Kwota</w:t>
            </w:r>
            <w:r w:rsidR="005B1732" w:rsidRPr="00000498">
              <w:rPr>
                <w:rFonts w:asciiTheme="minorHAnsi" w:eastAsia="Times New Roman" w:hAnsiTheme="minorHAnsi" w:cstheme="minorHAnsi"/>
                <w:b/>
                <w:iCs/>
                <w:szCs w:val="24"/>
                <w:lang w:val="pl-PL" w:eastAsia="en-GB"/>
              </w:rPr>
              <w:t xml:space="preserve"> (EUR)</w:t>
            </w:r>
          </w:p>
        </w:tc>
      </w:tr>
      <w:tr w:rsidR="005B1732" w:rsidRPr="00571D86" w14:paraId="49988EB8" w14:textId="77777777" w:rsidTr="00DE180F">
        <w:tc>
          <w:tcPr>
            <w:tcW w:w="1870" w:type="dxa"/>
          </w:tcPr>
          <w:p w14:paraId="064A414B" w14:textId="77777777" w:rsidR="005B1732" w:rsidRPr="00000498" w:rsidRDefault="005B1732" w:rsidP="00DE180F">
            <w:pPr>
              <w:spacing w:line="240" w:lineRule="auto"/>
              <w:jc w:val="both"/>
              <w:rPr>
                <w:rFonts w:asciiTheme="minorHAnsi" w:eastAsia="Times New Roman" w:hAnsiTheme="minorHAnsi" w:cstheme="minorHAnsi"/>
                <w:iCs/>
                <w:szCs w:val="24"/>
                <w:lang w:val="pl-PL" w:eastAsia="en-GB"/>
              </w:rPr>
            </w:pPr>
          </w:p>
        </w:tc>
        <w:tc>
          <w:tcPr>
            <w:tcW w:w="1657" w:type="dxa"/>
          </w:tcPr>
          <w:p w14:paraId="69B796A3" w14:textId="77777777" w:rsidR="005B1732" w:rsidRPr="00000498" w:rsidRDefault="005B1732" w:rsidP="00DE180F">
            <w:pPr>
              <w:spacing w:line="240" w:lineRule="auto"/>
              <w:jc w:val="both"/>
              <w:rPr>
                <w:rFonts w:asciiTheme="minorHAnsi" w:eastAsia="Times New Roman" w:hAnsiTheme="minorHAnsi" w:cstheme="minorHAnsi"/>
                <w:b/>
                <w:iCs/>
                <w:szCs w:val="24"/>
                <w:lang w:val="pl-PL" w:eastAsia="en-GB"/>
              </w:rPr>
            </w:pPr>
          </w:p>
        </w:tc>
        <w:tc>
          <w:tcPr>
            <w:tcW w:w="1898" w:type="dxa"/>
          </w:tcPr>
          <w:p w14:paraId="431AD47D" w14:textId="77777777" w:rsidR="005B1732" w:rsidRPr="00000498" w:rsidRDefault="005B1732" w:rsidP="00DE180F">
            <w:pPr>
              <w:spacing w:line="240" w:lineRule="auto"/>
              <w:jc w:val="both"/>
              <w:rPr>
                <w:rFonts w:asciiTheme="minorHAnsi" w:eastAsia="Times New Roman" w:hAnsiTheme="minorHAnsi" w:cstheme="minorHAnsi"/>
                <w:b/>
                <w:iCs/>
                <w:szCs w:val="24"/>
                <w:lang w:val="pl-PL" w:eastAsia="en-GB"/>
              </w:rPr>
            </w:pPr>
          </w:p>
        </w:tc>
        <w:tc>
          <w:tcPr>
            <w:tcW w:w="1204" w:type="dxa"/>
          </w:tcPr>
          <w:p w14:paraId="7756A11D" w14:textId="77777777" w:rsidR="005B1732" w:rsidRPr="00000498" w:rsidRDefault="005B1732" w:rsidP="00DE180F">
            <w:pPr>
              <w:spacing w:line="240" w:lineRule="auto"/>
              <w:jc w:val="both"/>
              <w:rPr>
                <w:rFonts w:asciiTheme="minorHAnsi" w:eastAsia="Times New Roman" w:hAnsiTheme="minorHAnsi" w:cstheme="minorHAnsi"/>
                <w:b/>
                <w:iCs/>
                <w:szCs w:val="24"/>
                <w:lang w:val="pl-PL" w:eastAsia="en-GB"/>
              </w:rPr>
            </w:pPr>
          </w:p>
        </w:tc>
        <w:tc>
          <w:tcPr>
            <w:tcW w:w="2659" w:type="dxa"/>
          </w:tcPr>
          <w:p w14:paraId="516FD058" w14:textId="77777777" w:rsidR="005B1732" w:rsidRPr="00000498" w:rsidRDefault="005B1732" w:rsidP="00DE180F">
            <w:pPr>
              <w:spacing w:line="240" w:lineRule="auto"/>
              <w:jc w:val="both"/>
              <w:rPr>
                <w:rFonts w:asciiTheme="minorHAnsi" w:eastAsia="Times New Roman" w:hAnsiTheme="minorHAnsi" w:cstheme="minorHAnsi"/>
                <w:b/>
                <w:iCs/>
                <w:szCs w:val="24"/>
                <w:lang w:val="pl-PL" w:eastAsia="en-GB"/>
              </w:rPr>
            </w:pPr>
          </w:p>
        </w:tc>
      </w:tr>
    </w:tbl>
    <w:p w14:paraId="7CA7FF02" w14:textId="77777777" w:rsidR="005B1732" w:rsidRPr="00F879CC" w:rsidRDefault="005B1732" w:rsidP="005B1732">
      <w:pPr>
        <w:spacing w:after="200" w:line="276" w:lineRule="auto"/>
        <w:rPr>
          <w:rFonts w:asciiTheme="minorHAnsi" w:eastAsia="Times New Roman" w:hAnsiTheme="minorHAnsi" w:cstheme="minorHAnsi"/>
          <w:iCs/>
          <w:szCs w:val="24"/>
          <w:lang w:val="en-IE" w:eastAsia="en-GB"/>
        </w:rPr>
      </w:pPr>
    </w:p>
    <w:p w14:paraId="53EEEB95" w14:textId="703DF93B" w:rsidR="005B1732" w:rsidRPr="00F879CC" w:rsidRDefault="00871A6C" w:rsidP="00000498">
      <w:pPr>
        <w:spacing w:after="200" w:line="276" w:lineRule="auto"/>
        <w:rPr>
          <w:rFonts w:asciiTheme="minorHAnsi" w:eastAsia="Times New Roman" w:hAnsiTheme="minorHAnsi" w:cstheme="minorHAnsi"/>
          <w:i/>
          <w:szCs w:val="24"/>
          <w:lang w:val="pl-PL" w:eastAsia="en-GB"/>
        </w:rPr>
      </w:pPr>
      <w:r w:rsidRPr="00F879CC">
        <w:rPr>
          <w:rFonts w:asciiTheme="minorHAnsi" w:eastAsia="Times New Roman" w:hAnsiTheme="minorHAnsi" w:cstheme="minorHAnsi"/>
          <w:iCs/>
          <w:szCs w:val="24"/>
          <w:lang w:val="pl-PL" w:eastAsia="en-GB"/>
        </w:rPr>
        <w:t>Tabela</w:t>
      </w:r>
      <w:r w:rsidR="005B1732" w:rsidRPr="00F879CC">
        <w:rPr>
          <w:rFonts w:asciiTheme="minorHAnsi" w:eastAsia="Times New Roman" w:hAnsiTheme="minorHAnsi" w:cstheme="minorHAnsi"/>
          <w:iCs/>
          <w:szCs w:val="24"/>
          <w:lang w:val="pl-PL" w:eastAsia="en-GB"/>
        </w:rPr>
        <w:t xml:space="preserve"> 5: </w:t>
      </w:r>
      <w:r w:rsidRPr="00F879CC">
        <w:rPr>
          <w:rFonts w:asciiTheme="minorHAnsi" w:eastAsia="Times New Roman" w:hAnsiTheme="minorHAnsi" w:cstheme="minorHAnsi"/>
          <w:iCs/>
          <w:szCs w:val="24"/>
          <w:lang w:val="pl-PL" w:eastAsia="en-GB"/>
        </w:rPr>
        <w:t>Wymiar</w:t>
      </w:r>
      <w:r w:rsidR="005B1732" w:rsidRPr="00F879CC">
        <w:rPr>
          <w:rFonts w:asciiTheme="minorHAnsi" w:eastAsia="Times New Roman" w:hAnsiTheme="minorHAnsi" w:cstheme="minorHAnsi"/>
          <w:iCs/>
          <w:szCs w:val="24"/>
          <w:lang w:val="pl-PL" w:eastAsia="en-GB"/>
        </w:rPr>
        <w:t xml:space="preserve"> 2 – </w:t>
      </w:r>
      <w:r w:rsidRPr="00F879CC">
        <w:rPr>
          <w:rFonts w:asciiTheme="minorHAnsi" w:eastAsia="Times New Roman" w:hAnsiTheme="minorHAnsi" w:cstheme="minorHAnsi"/>
          <w:iCs/>
          <w:szCs w:val="24"/>
          <w:lang w:val="pl-PL" w:eastAsia="en-GB"/>
        </w:rPr>
        <w:t>forma finansowania</w:t>
      </w:r>
      <w:r w:rsidR="00F54FDB" w:rsidRPr="00F879CC">
        <w:rPr>
          <w:rFonts w:asciiTheme="minorHAnsi" w:eastAsia="Times New Roman" w:hAnsiTheme="minorHAnsi" w:cstheme="minorHAnsi"/>
          <w:iCs/>
          <w:szCs w:val="24"/>
          <w:lang w:val="pl-PL" w:eastAsia="en-GB"/>
        </w:rPr>
        <w:t xml:space="preserve"> </w:t>
      </w:r>
      <w:r w:rsidR="00F54FDB" w:rsidRPr="00F879CC">
        <w:rPr>
          <w:rFonts w:asciiTheme="minorHAnsi" w:eastAsia="Times New Roman" w:hAnsiTheme="minorHAnsi" w:cstheme="minorHAnsi"/>
          <w:szCs w:val="24"/>
          <w:lang w:val="pl-PL" w:eastAsia="en-GB"/>
        </w:rPr>
        <w:t>(</w:t>
      </w:r>
      <w:r w:rsidRPr="00F879CC">
        <w:rPr>
          <w:rFonts w:asciiTheme="minorHAnsi" w:hAnsiTheme="minorHAnsi" w:cstheme="minorHAnsi"/>
          <w:lang w:val="pl-PL"/>
        </w:rPr>
        <w:t>do wypełnienia/uwzględnienia w kolejnych krokach</w:t>
      </w:r>
      <w:r w:rsidR="00F54FDB" w:rsidRPr="00F879CC">
        <w:rPr>
          <w:rFonts w:asciiTheme="minorHAnsi" w:eastAsia="Times New Roman" w:hAnsiTheme="minorHAnsi" w:cstheme="minorHAnsi"/>
          <w:szCs w:val="24"/>
          <w:lang w:val="pl-PL" w:eastAsia="en-GB"/>
        </w:rPr>
        <w:t>)</w:t>
      </w:r>
    </w:p>
    <w:tbl>
      <w:tblPr>
        <w:tblStyle w:val="TableGrid1"/>
        <w:tblW w:w="0" w:type="auto"/>
        <w:tblLook w:val="04A0" w:firstRow="1" w:lastRow="0" w:firstColumn="1" w:lastColumn="0" w:noHBand="0" w:noVBand="1"/>
        <w:tblCaption w:val="Tabela dotycząca wymiaru 2 - formy finansowania"/>
      </w:tblPr>
      <w:tblGrid>
        <w:gridCol w:w="1870"/>
        <w:gridCol w:w="1657"/>
        <w:gridCol w:w="1898"/>
        <w:gridCol w:w="1204"/>
        <w:gridCol w:w="2659"/>
      </w:tblGrid>
      <w:tr w:rsidR="005B1732" w:rsidRPr="00571D86" w14:paraId="35729070" w14:textId="77777777" w:rsidTr="00000498">
        <w:trPr>
          <w:tblHeader/>
        </w:trPr>
        <w:tc>
          <w:tcPr>
            <w:tcW w:w="1870" w:type="dxa"/>
          </w:tcPr>
          <w:p w14:paraId="0FD096B6" w14:textId="75225B71" w:rsidR="005B1732" w:rsidRPr="00000498" w:rsidRDefault="00871A6C" w:rsidP="00DE180F">
            <w:pPr>
              <w:spacing w:line="240" w:lineRule="auto"/>
              <w:jc w:val="both"/>
              <w:rPr>
                <w:rFonts w:asciiTheme="minorHAnsi" w:eastAsia="Times New Roman" w:hAnsiTheme="minorHAnsi" w:cstheme="minorHAnsi"/>
                <w:b/>
                <w:iCs/>
                <w:szCs w:val="24"/>
                <w:lang w:val="pl-PL" w:eastAsia="en-GB"/>
              </w:rPr>
            </w:pPr>
            <w:r w:rsidRPr="00000498">
              <w:rPr>
                <w:rFonts w:asciiTheme="minorHAnsi" w:eastAsia="Times New Roman" w:hAnsiTheme="minorHAnsi" w:cstheme="minorHAnsi"/>
                <w:b/>
                <w:iCs/>
                <w:szCs w:val="24"/>
                <w:lang w:val="pl-PL" w:eastAsia="en-GB"/>
              </w:rPr>
              <w:t>Nr priorytetu</w:t>
            </w:r>
          </w:p>
        </w:tc>
        <w:tc>
          <w:tcPr>
            <w:tcW w:w="1657" w:type="dxa"/>
          </w:tcPr>
          <w:p w14:paraId="503286F4" w14:textId="2301B201" w:rsidR="005B1732" w:rsidRPr="00000498" w:rsidRDefault="00871A6C" w:rsidP="00DE180F">
            <w:pPr>
              <w:spacing w:line="240" w:lineRule="auto"/>
              <w:jc w:val="both"/>
              <w:rPr>
                <w:rFonts w:asciiTheme="minorHAnsi" w:eastAsia="Times New Roman" w:hAnsiTheme="minorHAnsi" w:cstheme="minorHAnsi"/>
                <w:b/>
                <w:iCs/>
                <w:szCs w:val="24"/>
                <w:lang w:val="pl-PL" w:eastAsia="en-GB"/>
              </w:rPr>
            </w:pPr>
            <w:r w:rsidRPr="00000498">
              <w:rPr>
                <w:rFonts w:asciiTheme="minorHAnsi" w:eastAsia="Times New Roman" w:hAnsiTheme="minorHAnsi" w:cstheme="minorHAnsi"/>
                <w:b/>
                <w:iCs/>
                <w:szCs w:val="24"/>
                <w:lang w:val="pl-PL" w:eastAsia="en-GB"/>
              </w:rPr>
              <w:t>Fundusz</w:t>
            </w:r>
          </w:p>
        </w:tc>
        <w:tc>
          <w:tcPr>
            <w:tcW w:w="1898" w:type="dxa"/>
          </w:tcPr>
          <w:p w14:paraId="3D701961" w14:textId="254A236C" w:rsidR="005B1732" w:rsidRPr="00000498" w:rsidRDefault="00871A6C" w:rsidP="00DE180F">
            <w:pPr>
              <w:spacing w:line="240" w:lineRule="auto"/>
              <w:jc w:val="both"/>
              <w:rPr>
                <w:rFonts w:asciiTheme="minorHAnsi" w:eastAsia="Times New Roman" w:hAnsiTheme="minorHAnsi" w:cstheme="minorHAnsi"/>
                <w:b/>
                <w:iCs/>
                <w:szCs w:val="24"/>
                <w:lang w:val="pl-PL" w:eastAsia="en-GB"/>
              </w:rPr>
            </w:pPr>
            <w:r w:rsidRPr="00000498">
              <w:rPr>
                <w:rFonts w:asciiTheme="minorHAnsi" w:eastAsia="Times New Roman" w:hAnsiTheme="minorHAnsi" w:cstheme="minorHAnsi"/>
                <w:b/>
                <w:iCs/>
                <w:szCs w:val="24"/>
                <w:lang w:val="pl-PL" w:eastAsia="en-GB"/>
              </w:rPr>
              <w:t>Cel szczegółowy</w:t>
            </w:r>
          </w:p>
        </w:tc>
        <w:tc>
          <w:tcPr>
            <w:tcW w:w="1204" w:type="dxa"/>
          </w:tcPr>
          <w:p w14:paraId="108A76CF" w14:textId="5BB13951" w:rsidR="005B1732" w:rsidRPr="00000498" w:rsidRDefault="00871A6C" w:rsidP="00DE180F">
            <w:pPr>
              <w:spacing w:line="240" w:lineRule="auto"/>
              <w:jc w:val="both"/>
              <w:rPr>
                <w:rFonts w:asciiTheme="minorHAnsi" w:eastAsia="Times New Roman" w:hAnsiTheme="minorHAnsi" w:cstheme="minorHAnsi"/>
                <w:b/>
                <w:iCs/>
                <w:szCs w:val="24"/>
                <w:lang w:val="pl-PL" w:eastAsia="en-GB"/>
              </w:rPr>
            </w:pPr>
            <w:r w:rsidRPr="00000498">
              <w:rPr>
                <w:rFonts w:asciiTheme="minorHAnsi" w:eastAsia="Times New Roman" w:hAnsiTheme="minorHAnsi" w:cstheme="minorHAnsi"/>
                <w:b/>
                <w:iCs/>
                <w:szCs w:val="24"/>
                <w:lang w:val="pl-PL" w:eastAsia="en-GB"/>
              </w:rPr>
              <w:t>Kod</w:t>
            </w:r>
            <w:r w:rsidR="005B1732" w:rsidRPr="00000498">
              <w:rPr>
                <w:rFonts w:asciiTheme="minorHAnsi" w:eastAsia="Times New Roman" w:hAnsiTheme="minorHAnsi" w:cstheme="minorHAnsi"/>
                <w:b/>
                <w:iCs/>
                <w:szCs w:val="24"/>
                <w:lang w:val="pl-PL" w:eastAsia="en-GB"/>
              </w:rPr>
              <w:t xml:space="preserve"> </w:t>
            </w:r>
          </w:p>
        </w:tc>
        <w:tc>
          <w:tcPr>
            <w:tcW w:w="2659" w:type="dxa"/>
          </w:tcPr>
          <w:p w14:paraId="2AFC8B23" w14:textId="18502CE6" w:rsidR="005B1732" w:rsidRPr="00000498" w:rsidRDefault="00871A6C" w:rsidP="00DE180F">
            <w:pPr>
              <w:spacing w:line="240" w:lineRule="auto"/>
              <w:jc w:val="both"/>
              <w:rPr>
                <w:rFonts w:asciiTheme="minorHAnsi" w:eastAsia="Times New Roman" w:hAnsiTheme="minorHAnsi" w:cstheme="minorHAnsi"/>
                <w:b/>
                <w:iCs/>
                <w:szCs w:val="24"/>
                <w:lang w:val="pl-PL" w:eastAsia="en-GB"/>
              </w:rPr>
            </w:pPr>
            <w:r w:rsidRPr="00000498">
              <w:rPr>
                <w:rFonts w:asciiTheme="minorHAnsi" w:eastAsia="Times New Roman" w:hAnsiTheme="minorHAnsi" w:cstheme="minorHAnsi"/>
                <w:b/>
                <w:iCs/>
                <w:szCs w:val="24"/>
                <w:lang w:val="pl-PL" w:eastAsia="en-GB"/>
              </w:rPr>
              <w:t>Kwota</w:t>
            </w:r>
            <w:r w:rsidR="005B1732" w:rsidRPr="00000498">
              <w:rPr>
                <w:rFonts w:asciiTheme="minorHAnsi" w:eastAsia="Times New Roman" w:hAnsiTheme="minorHAnsi" w:cstheme="minorHAnsi"/>
                <w:b/>
                <w:iCs/>
                <w:szCs w:val="24"/>
                <w:lang w:val="pl-PL" w:eastAsia="en-GB"/>
              </w:rPr>
              <w:t xml:space="preserve"> (EUR)</w:t>
            </w:r>
          </w:p>
        </w:tc>
      </w:tr>
      <w:tr w:rsidR="005B1732" w:rsidRPr="00571D86" w14:paraId="3739E684" w14:textId="77777777" w:rsidTr="00DE180F">
        <w:tc>
          <w:tcPr>
            <w:tcW w:w="1870" w:type="dxa"/>
          </w:tcPr>
          <w:p w14:paraId="071BE08C" w14:textId="77777777" w:rsidR="005B1732" w:rsidRPr="00000498" w:rsidRDefault="005B1732" w:rsidP="00DE180F">
            <w:pPr>
              <w:spacing w:line="240" w:lineRule="auto"/>
              <w:jc w:val="both"/>
              <w:rPr>
                <w:rFonts w:asciiTheme="minorHAnsi" w:eastAsia="Times New Roman" w:hAnsiTheme="minorHAnsi" w:cstheme="minorHAnsi"/>
                <w:b/>
                <w:iCs/>
                <w:szCs w:val="24"/>
                <w:lang w:val="pl-PL" w:eastAsia="en-GB"/>
              </w:rPr>
            </w:pPr>
          </w:p>
        </w:tc>
        <w:tc>
          <w:tcPr>
            <w:tcW w:w="1657" w:type="dxa"/>
          </w:tcPr>
          <w:p w14:paraId="538215C1" w14:textId="77777777" w:rsidR="005B1732" w:rsidRPr="00000498" w:rsidRDefault="005B1732" w:rsidP="00DE180F">
            <w:pPr>
              <w:spacing w:line="240" w:lineRule="auto"/>
              <w:jc w:val="both"/>
              <w:rPr>
                <w:rFonts w:asciiTheme="minorHAnsi" w:eastAsia="Times New Roman" w:hAnsiTheme="minorHAnsi" w:cstheme="minorHAnsi"/>
                <w:b/>
                <w:iCs/>
                <w:szCs w:val="24"/>
                <w:lang w:val="pl-PL" w:eastAsia="en-GB"/>
              </w:rPr>
            </w:pPr>
          </w:p>
        </w:tc>
        <w:tc>
          <w:tcPr>
            <w:tcW w:w="1898" w:type="dxa"/>
          </w:tcPr>
          <w:p w14:paraId="40895E1C" w14:textId="77777777" w:rsidR="005B1732" w:rsidRPr="00000498" w:rsidRDefault="005B1732" w:rsidP="00DE180F">
            <w:pPr>
              <w:spacing w:line="240" w:lineRule="auto"/>
              <w:jc w:val="both"/>
              <w:rPr>
                <w:rFonts w:asciiTheme="minorHAnsi" w:eastAsia="Times New Roman" w:hAnsiTheme="minorHAnsi" w:cstheme="minorHAnsi"/>
                <w:b/>
                <w:iCs/>
                <w:szCs w:val="24"/>
                <w:lang w:val="pl-PL" w:eastAsia="en-GB"/>
              </w:rPr>
            </w:pPr>
          </w:p>
        </w:tc>
        <w:tc>
          <w:tcPr>
            <w:tcW w:w="1204" w:type="dxa"/>
          </w:tcPr>
          <w:p w14:paraId="70EC3F92" w14:textId="77777777" w:rsidR="005B1732" w:rsidRPr="00000498" w:rsidRDefault="005B1732" w:rsidP="00DE180F">
            <w:pPr>
              <w:spacing w:line="240" w:lineRule="auto"/>
              <w:jc w:val="both"/>
              <w:rPr>
                <w:rFonts w:asciiTheme="minorHAnsi" w:eastAsia="Times New Roman" w:hAnsiTheme="minorHAnsi" w:cstheme="minorHAnsi"/>
                <w:b/>
                <w:iCs/>
                <w:szCs w:val="24"/>
                <w:lang w:val="pl-PL" w:eastAsia="en-GB"/>
              </w:rPr>
            </w:pPr>
          </w:p>
        </w:tc>
        <w:tc>
          <w:tcPr>
            <w:tcW w:w="2659" w:type="dxa"/>
          </w:tcPr>
          <w:p w14:paraId="324FB75B" w14:textId="77777777" w:rsidR="005B1732" w:rsidRPr="00000498" w:rsidRDefault="005B1732" w:rsidP="00DE180F">
            <w:pPr>
              <w:spacing w:line="240" w:lineRule="auto"/>
              <w:jc w:val="both"/>
              <w:rPr>
                <w:rFonts w:asciiTheme="minorHAnsi" w:eastAsia="Times New Roman" w:hAnsiTheme="minorHAnsi" w:cstheme="minorHAnsi"/>
                <w:b/>
                <w:iCs/>
                <w:szCs w:val="24"/>
                <w:lang w:val="pl-PL" w:eastAsia="en-GB"/>
              </w:rPr>
            </w:pPr>
          </w:p>
        </w:tc>
      </w:tr>
    </w:tbl>
    <w:p w14:paraId="434D223B" w14:textId="77777777" w:rsidR="005B1732" w:rsidRPr="00F879CC" w:rsidRDefault="005B1732" w:rsidP="00000498">
      <w:pPr>
        <w:spacing w:after="200" w:line="276" w:lineRule="auto"/>
        <w:rPr>
          <w:rFonts w:asciiTheme="minorHAnsi" w:eastAsia="Times New Roman" w:hAnsiTheme="minorHAnsi" w:cstheme="minorHAnsi"/>
          <w:iCs/>
          <w:szCs w:val="24"/>
          <w:lang w:val="en-IE" w:eastAsia="en-GB"/>
        </w:rPr>
      </w:pPr>
    </w:p>
    <w:p w14:paraId="012707D4" w14:textId="1C7D6C0A" w:rsidR="005B1732" w:rsidRPr="00F879CC" w:rsidRDefault="00871A6C" w:rsidP="00000498">
      <w:pPr>
        <w:spacing w:line="276" w:lineRule="auto"/>
        <w:rPr>
          <w:rFonts w:asciiTheme="minorHAnsi" w:eastAsia="Times New Roman" w:hAnsiTheme="minorHAnsi" w:cstheme="minorHAnsi"/>
          <w:iCs/>
          <w:szCs w:val="24"/>
          <w:lang w:val="pl-PL" w:eastAsia="en-GB"/>
        </w:rPr>
      </w:pPr>
      <w:r w:rsidRPr="00F879CC">
        <w:rPr>
          <w:rFonts w:asciiTheme="minorHAnsi" w:eastAsia="Times New Roman" w:hAnsiTheme="minorHAnsi" w:cstheme="minorHAnsi"/>
          <w:iCs/>
          <w:szCs w:val="24"/>
          <w:lang w:val="pl-PL" w:eastAsia="en-GB"/>
        </w:rPr>
        <w:t>Tabela</w:t>
      </w:r>
      <w:r w:rsidR="005B1732" w:rsidRPr="00F879CC">
        <w:rPr>
          <w:rFonts w:asciiTheme="minorHAnsi" w:eastAsia="Times New Roman" w:hAnsiTheme="minorHAnsi" w:cstheme="minorHAnsi"/>
          <w:iCs/>
          <w:szCs w:val="24"/>
          <w:lang w:val="pl-PL" w:eastAsia="en-GB"/>
        </w:rPr>
        <w:t xml:space="preserve"> 6: </w:t>
      </w:r>
      <w:r w:rsidRPr="00F879CC">
        <w:rPr>
          <w:rFonts w:asciiTheme="minorHAnsi" w:eastAsia="Times New Roman" w:hAnsiTheme="minorHAnsi" w:cstheme="minorHAnsi"/>
          <w:iCs/>
          <w:szCs w:val="24"/>
          <w:lang w:val="pl-PL" w:eastAsia="en-GB"/>
        </w:rPr>
        <w:t>Wymiar</w:t>
      </w:r>
      <w:r w:rsidR="005B1732" w:rsidRPr="00F879CC">
        <w:rPr>
          <w:rFonts w:asciiTheme="minorHAnsi" w:eastAsia="Times New Roman" w:hAnsiTheme="minorHAnsi" w:cstheme="minorHAnsi"/>
          <w:iCs/>
          <w:szCs w:val="24"/>
          <w:lang w:val="pl-PL" w:eastAsia="en-GB"/>
        </w:rPr>
        <w:t xml:space="preserve"> 3 – </w:t>
      </w:r>
      <w:r w:rsidRPr="00F879CC">
        <w:rPr>
          <w:rFonts w:asciiTheme="minorHAnsi" w:eastAsia="Times New Roman" w:hAnsiTheme="minorHAnsi" w:cstheme="minorHAnsi"/>
          <w:iCs/>
          <w:szCs w:val="24"/>
          <w:lang w:val="pl-PL" w:eastAsia="en-GB"/>
        </w:rPr>
        <w:t xml:space="preserve">terytorialny mechanizm realizacji i skupienie </w:t>
      </w:r>
      <w:r w:rsidR="0096482A" w:rsidRPr="00F879CC">
        <w:rPr>
          <w:rFonts w:asciiTheme="minorHAnsi" w:eastAsia="Times New Roman" w:hAnsiTheme="minorHAnsi" w:cstheme="minorHAnsi"/>
          <w:iCs/>
          <w:szCs w:val="24"/>
          <w:lang w:val="pl-PL" w:eastAsia="en-GB"/>
        </w:rPr>
        <w:t xml:space="preserve">uwagi </w:t>
      </w:r>
      <w:r w:rsidRPr="00F879CC">
        <w:rPr>
          <w:rFonts w:asciiTheme="minorHAnsi" w:eastAsia="Times New Roman" w:hAnsiTheme="minorHAnsi" w:cstheme="minorHAnsi"/>
          <w:iCs/>
          <w:szCs w:val="24"/>
          <w:lang w:val="pl-PL" w:eastAsia="en-GB"/>
        </w:rPr>
        <w:t>na terytorium</w:t>
      </w:r>
    </w:p>
    <w:p w14:paraId="78DB42F5" w14:textId="58F065EB" w:rsidR="00F54FDB" w:rsidRPr="00F879CC" w:rsidRDefault="00F54FDB" w:rsidP="00000498">
      <w:pPr>
        <w:spacing w:after="200" w:line="276" w:lineRule="auto"/>
        <w:rPr>
          <w:rFonts w:asciiTheme="minorHAnsi" w:eastAsia="Times New Roman" w:hAnsiTheme="minorHAnsi" w:cstheme="minorHAnsi"/>
          <w:i/>
          <w:szCs w:val="24"/>
          <w:lang w:val="pl-PL" w:eastAsia="en-GB"/>
        </w:rPr>
      </w:pPr>
      <w:r w:rsidRPr="00F879CC">
        <w:rPr>
          <w:rFonts w:asciiTheme="minorHAnsi" w:eastAsia="Times New Roman" w:hAnsiTheme="minorHAnsi" w:cstheme="minorHAnsi"/>
          <w:szCs w:val="24"/>
          <w:lang w:val="pl-PL" w:eastAsia="en-GB"/>
        </w:rPr>
        <w:t>(</w:t>
      </w:r>
      <w:r w:rsidR="00871A6C" w:rsidRPr="00F879CC">
        <w:rPr>
          <w:rFonts w:asciiTheme="minorHAnsi" w:hAnsiTheme="minorHAnsi" w:cstheme="minorHAnsi"/>
          <w:lang w:val="pl-PL"/>
        </w:rPr>
        <w:t>do wypełnienia/uwzględnienia w kolejnych krokach</w:t>
      </w:r>
      <w:r w:rsidRPr="00F879CC">
        <w:rPr>
          <w:rFonts w:asciiTheme="minorHAnsi" w:eastAsia="Times New Roman" w:hAnsiTheme="minorHAnsi" w:cstheme="minorHAnsi"/>
          <w:szCs w:val="24"/>
          <w:lang w:val="pl-PL" w:eastAsia="en-GB"/>
        </w:rPr>
        <w:t>)</w:t>
      </w:r>
    </w:p>
    <w:tbl>
      <w:tblPr>
        <w:tblStyle w:val="TableGrid1"/>
        <w:tblW w:w="0" w:type="auto"/>
        <w:tblLook w:val="04A0" w:firstRow="1" w:lastRow="0" w:firstColumn="1" w:lastColumn="0" w:noHBand="0" w:noVBand="1"/>
        <w:tblCaption w:val="Tabela dotycząca wymiaru 3 - terytorialnego mechanizmu realizacji i skupienia uwagi na terytorium"/>
      </w:tblPr>
      <w:tblGrid>
        <w:gridCol w:w="1870"/>
        <w:gridCol w:w="1657"/>
        <w:gridCol w:w="1898"/>
        <w:gridCol w:w="1204"/>
        <w:gridCol w:w="2659"/>
      </w:tblGrid>
      <w:tr w:rsidR="005B1732" w:rsidRPr="00571D86" w14:paraId="000B6A01" w14:textId="77777777" w:rsidTr="00000498">
        <w:trPr>
          <w:tblHeader/>
        </w:trPr>
        <w:tc>
          <w:tcPr>
            <w:tcW w:w="1870" w:type="dxa"/>
          </w:tcPr>
          <w:p w14:paraId="5164140D" w14:textId="21B568A2" w:rsidR="005B1732" w:rsidRPr="00000498" w:rsidRDefault="00871A6C" w:rsidP="00DE180F">
            <w:pPr>
              <w:spacing w:line="240" w:lineRule="auto"/>
              <w:jc w:val="both"/>
              <w:rPr>
                <w:rFonts w:asciiTheme="minorHAnsi" w:eastAsia="Times New Roman" w:hAnsiTheme="minorHAnsi" w:cstheme="minorHAnsi"/>
                <w:b/>
                <w:iCs/>
                <w:szCs w:val="24"/>
                <w:lang w:val="pl-PL" w:eastAsia="en-GB"/>
              </w:rPr>
            </w:pPr>
            <w:r w:rsidRPr="00000498">
              <w:rPr>
                <w:rFonts w:asciiTheme="minorHAnsi" w:eastAsia="Times New Roman" w:hAnsiTheme="minorHAnsi" w:cstheme="minorHAnsi"/>
                <w:b/>
                <w:iCs/>
                <w:szCs w:val="24"/>
                <w:lang w:val="pl-PL" w:eastAsia="en-GB"/>
              </w:rPr>
              <w:t>Nr priorytetu</w:t>
            </w:r>
          </w:p>
        </w:tc>
        <w:tc>
          <w:tcPr>
            <w:tcW w:w="1657" w:type="dxa"/>
          </w:tcPr>
          <w:p w14:paraId="07620DDF" w14:textId="61C9C0E8" w:rsidR="005B1732" w:rsidRPr="00000498" w:rsidRDefault="00871A6C" w:rsidP="00DE180F">
            <w:pPr>
              <w:spacing w:line="240" w:lineRule="auto"/>
              <w:jc w:val="both"/>
              <w:rPr>
                <w:rFonts w:asciiTheme="minorHAnsi" w:eastAsia="Times New Roman" w:hAnsiTheme="minorHAnsi" w:cstheme="minorHAnsi"/>
                <w:b/>
                <w:iCs/>
                <w:szCs w:val="24"/>
                <w:lang w:val="pl-PL" w:eastAsia="en-GB"/>
              </w:rPr>
            </w:pPr>
            <w:r w:rsidRPr="00000498">
              <w:rPr>
                <w:rFonts w:asciiTheme="minorHAnsi" w:eastAsia="Times New Roman" w:hAnsiTheme="minorHAnsi" w:cstheme="minorHAnsi"/>
                <w:b/>
                <w:iCs/>
                <w:szCs w:val="24"/>
                <w:lang w:val="pl-PL" w:eastAsia="en-GB"/>
              </w:rPr>
              <w:t>Fundusz</w:t>
            </w:r>
          </w:p>
        </w:tc>
        <w:tc>
          <w:tcPr>
            <w:tcW w:w="1898" w:type="dxa"/>
          </w:tcPr>
          <w:p w14:paraId="57BAC61A" w14:textId="5F751ED2" w:rsidR="005B1732" w:rsidRPr="00000498" w:rsidRDefault="00871A6C" w:rsidP="00DE180F">
            <w:pPr>
              <w:spacing w:line="240" w:lineRule="auto"/>
              <w:jc w:val="both"/>
              <w:rPr>
                <w:rFonts w:asciiTheme="minorHAnsi" w:eastAsia="Times New Roman" w:hAnsiTheme="minorHAnsi" w:cstheme="minorHAnsi"/>
                <w:b/>
                <w:iCs/>
                <w:szCs w:val="24"/>
                <w:lang w:val="pl-PL" w:eastAsia="en-GB"/>
              </w:rPr>
            </w:pPr>
            <w:r w:rsidRPr="00000498">
              <w:rPr>
                <w:rFonts w:asciiTheme="minorHAnsi" w:eastAsia="Times New Roman" w:hAnsiTheme="minorHAnsi" w:cstheme="minorHAnsi"/>
                <w:b/>
                <w:iCs/>
                <w:szCs w:val="24"/>
                <w:lang w:val="pl-PL" w:eastAsia="en-GB"/>
              </w:rPr>
              <w:t>Cel szczegółowy</w:t>
            </w:r>
          </w:p>
        </w:tc>
        <w:tc>
          <w:tcPr>
            <w:tcW w:w="1204" w:type="dxa"/>
          </w:tcPr>
          <w:p w14:paraId="334EC616" w14:textId="7C2FE29B" w:rsidR="005B1732" w:rsidRPr="00000498" w:rsidRDefault="00871A6C" w:rsidP="00DE180F">
            <w:pPr>
              <w:spacing w:line="240" w:lineRule="auto"/>
              <w:jc w:val="both"/>
              <w:rPr>
                <w:rFonts w:asciiTheme="minorHAnsi" w:eastAsia="Times New Roman" w:hAnsiTheme="minorHAnsi" w:cstheme="minorHAnsi"/>
                <w:b/>
                <w:iCs/>
                <w:szCs w:val="24"/>
                <w:lang w:val="pl-PL" w:eastAsia="en-GB"/>
              </w:rPr>
            </w:pPr>
            <w:r w:rsidRPr="00000498">
              <w:rPr>
                <w:rFonts w:asciiTheme="minorHAnsi" w:eastAsia="Times New Roman" w:hAnsiTheme="minorHAnsi" w:cstheme="minorHAnsi"/>
                <w:b/>
                <w:iCs/>
                <w:szCs w:val="24"/>
                <w:lang w:val="pl-PL" w:eastAsia="en-GB"/>
              </w:rPr>
              <w:t>Kod</w:t>
            </w:r>
            <w:r w:rsidR="005B1732" w:rsidRPr="00000498">
              <w:rPr>
                <w:rFonts w:asciiTheme="minorHAnsi" w:eastAsia="Times New Roman" w:hAnsiTheme="minorHAnsi" w:cstheme="minorHAnsi"/>
                <w:b/>
                <w:iCs/>
                <w:szCs w:val="24"/>
                <w:lang w:val="pl-PL" w:eastAsia="en-GB"/>
              </w:rPr>
              <w:t xml:space="preserve"> </w:t>
            </w:r>
          </w:p>
        </w:tc>
        <w:tc>
          <w:tcPr>
            <w:tcW w:w="2659" w:type="dxa"/>
          </w:tcPr>
          <w:p w14:paraId="70121062" w14:textId="19D58EFE" w:rsidR="005B1732" w:rsidRPr="00000498" w:rsidRDefault="00871A6C" w:rsidP="00DE180F">
            <w:pPr>
              <w:spacing w:line="240" w:lineRule="auto"/>
              <w:jc w:val="both"/>
              <w:rPr>
                <w:rFonts w:asciiTheme="minorHAnsi" w:eastAsia="Times New Roman" w:hAnsiTheme="minorHAnsi" w:cstheme="minorHAnsi"/>
                <w:b/>
                <w:iCs/>
                <w:szCs w:val="24"/>
                <w:lang w:val="pl-PL" w:eastAsia="en-GB"/>
              </w:rPr>
            </w:pPr>
            <w:r w:rsidRPr="00000498">
              <w:rPr>
                <w:rFonts w:asciiTheme="minorHAnsi" w:eastAsia="Times New Roman" w:hAnsiTheme="minorHAnsi" w:cstheme="minorHAnsi"/>
                <w:b/>
                <w:iCs/>
                <w:szCs w:val="24"/>
                <w:lang w:val="pl-PL" w:eastAsia="en-GB"/>
              </w:rPr>
              <w:t>Kwota</w:t>
            </w:r>
            <w:r w:rsidR="005B1732" w:rsidRPr="00000498">
              <w:rPr>
                <w:rFonts w:asciiTheme="minorHAnsi" w:eastAsia="Times New Roman" w:hAnsiTheme="minorHAnsi" w:cstheme="minorHAnsi"/>
                <w:b/>
                <w:iCs/>
                <w:szCs w:val="24"/>
                <w:lang w:val="pl-PL" w:eastAsia="en-GB"/>
              </w:rPr>
              <w:t xml:space="preserve"> (EUR)</w:t>
            </w:r>
          </w:p>
        </w:tc>
      </w:tr>
      <w:tr w:rsidR="005B1732" w:rsidRPr="00571D86" w14:paraId="027A7B66" w14:textId="77777777" w:rsidTr="00DE180F">
        <w:tc>
          <w:tcPr>
            <w:tcW w:w="1870" w:type="dxa"/>
          </w:tcPr>
          <w:p w14:paraId="50EE5924" w14:textId="77777777" w:rsidR="005B1732" w:rsidRPr="00000498" w:rsidRDefault="005B1732" w:rsidP="00DE180F">
            <w:pPr>
              <w:spacing w:line="240" w:lineRule="auto"/>
              <w:jc w:val="both"/>
              <w:rPr>
                <w:rFonts w:asciiTheme="minorHAnsi" w:eastAsia="Times New Roman" w:hAnsiTheme="minorHAnsi" w:cstheme="minorHAnsi"/>
                <w:b/>
                <w:iCs/>
                <w:szCs w:val="24"/>
                <w:lang w:val="pl-PL" w:eastAsia="en-GB"/>
              </w:rPr>
            </w:pPr>
          </w:p>
        </w:tc>
        <w:tc>
          <w:tcPr>
            <w:tcW w:w="1657" w:type="dxa"/>
          </w:tcPr>
          <w:p w14:paraId="62DE9D6F" w14:textId="77777777" w:rsidR="005B1732" w:rsidRPr="00000498" w:rsidRDefault="005B1732" w:rsidP="00DE180F">
            <w:pPr>
              <w:spacing w:line="240" w:lineRule="auto"/>
              <w:jc w:val="both"/>
              <w:rPr>
                <w:rFonts w:asciiTheme="minorHAnsi" w:eastAsia="Times New Roman" w:hAnsiTheme="minorHAnsi" w:cstheme="minorHAnsi"/>
                <w:b/>
                <w:iCs/>
                <w:szCs w:val="24"/>
                <w:lang w:val="pl-PL" w:eastAsia="en-GB"/>
              </w:rPr>
            </w:pPr>
          </w:p>
        </w:tc>
        <w:tc>
          <w:tcPr>
            <w:tcW w:w="1898" w:type="dxa"/>
          </w:tcPr>
          <w:p w14:paraId="114A8D42" w14:textId="77777777" w:rsidR="005B1732" w:rsidRPr="00000498" w:rsidRDefault="005B1732" w:rsidP="00DE180F">
            <w:pPr>
              <w:spacing w:line="240" w:lineRule="auto"/>
              <w:jc w:val="both"/>
              <w:rPr>
                <w:rFonts w:asciiTheme="minorHAnsi" w:eastAsia="Times New Roman" w:hAnsiTheme="minorHAnsi" w:cstheme="minorHAnsi"/>
                <w:b/>
                <w:iCs/>
                <w:szCs w:val="24"/>
                <w:lang w:val="pl-PL" w:eastAsia="en-GB"/>
              </w:rPr>
            </w:pPr>
          </w:p>
        </w:tc>
        <w:tc>
          <w:tcPr>
            <w:tcW w:w="1204" w:type="dxa"/>
          </w:tcPr>
          <w:p w14:paraId="7419DFF6" w14:textId="77777777" w:rsidR="005B1732" w:rsidRPr="00000498" w:rsidRDefault="005B1732" w:rsidP="00DE180F">
            <w:pPr>
              <w:spacing w:line="240" w:lineRule="auto"/>
              <w:jc w:val="both"/>
              <w:rPr>
                <w:rFonts w:asciiTheme="minorHAnsi" w:eastAsia="Times New Roman" w:hAnsiTheme="minorHAnsi" w:cstheme="minorHAnsi"/>
                <w:b/>
                <w:iCs/>
                <w:szCs w:val="24"/>
                <w:lang w:val="pl-PL" w:eastAsia="en-GB"/>
              </w:rPr>
            </w:pPr>
          </w:p>
        </w:tc>
        <w:tc>
          <w:tcPr>
            <w:tcW w:w="2659" w:type="dxa"/>
          </w:tcPr>
          <w:p w14:paraId="1FB1C90B" w14:textId="77777777" w:rsidR="005B1732" w:rsidRPr="00000498" w:rsidRDefault="005B1732" w:rsidP="00DE180F">
            <w:pPr>
              <w:spacing w:line="240" w:lineRule="auto"/>
              <w:jc w:val="both"/>
              <w:rPr>
                <w:rFonts w:asciiTheme="minorHAnsi" w:eastAsia="Times New Roman" w:hAnsiTheme="minorHAnsi" w:cstheme="minorHAnsi"/>
                <w:b/>
                <w:iCs/>
                <w:szCs w:val="24"/>
                <w:lang w:val="pl-PL" w:eastAsia="en-GB"/>
              </w:rPr>
            </w:pPr>
          </w:p>
        </w:tc>
      </w:tr>
    </w:tbl>
    <w:p w14:paraId="3683C7B9" w14:textId="77777777" w:rsidR="005B1732" w:rsidRPr="00F879CC" w:rsidRDefault="005B1732" w:rsidP="005B1732">
      <w:pPr>
        <w:spacing w:before="240" w:after="240" w:line="240" w:lineRule="auto"/>
        <w:ind w:left="360"/>
        <w:jc w:val="both"/>
        <w:rPr>
          <w:rFonts w:asciiTheme="minorHAnsi" w:eastAsia="Times New Roman" w:hAnsiTheme="minorHAnsi" w:cstheme="minorHAnsi"/>
          <w:b/>
          <w:iCs/>
          <w:szCs w:val="24"/>
          <w:lang w:val="en-IE" w:eastAsia="en-GB"/>
        </w:rPr>
      </w:pPr>
    </w:p>
    <w:p w14:paraId="204FCF68" w14:textId="6F910B85" w:rsidR="005B1732" w:rsidRPr="00571D86" w:rsidRDefault="00871A6C" w:rsidP="00000498">
      <w:pPr>
        <w:numPr>
          <w:ilvl w:val="1"/>
          <w:numId w:val="3"/>
        </w:numPr>
        <w:spacing w:before="240" w:after="240" w:line="276" w:lineRule="auto"/>
        <w:ind w:left="431" w:hanging="431"/>
        <w:rPr>
          <w:rFonts w:asciiTheme="minorHAnsi" w:eastAsia="Times New Roman" w:hAnsiTheme="minorHAnsi" w:cstheme="minorHAnsi"/>
          <w:b/>
          <w:szCs w:val="24"/>
          <w:lang w:val="pl-PL" w:eastAsia="en-GB"/>
        </w:rPr>
      </w:pPr>
      <w:r w:rsidRPr="00000498">
        <w:rPr>
          <w:rFonts w:asciiTheme="minorHAnsi" w:eastAsia="Times New Roman" w:hAnsiTheme="minorHAnsi" w:cstheme="minorHAnsi"/>
          <w:b/>
          <w:sz w:val="26"/>
          <w:szCs w:val="26"/>
          <w:lang w:val="pl-PL" w:eastAsia="en-GB"/>
        </w:rPr>
        <w:t>Nazwa priorytetu</w:t>
      </w:r>
      <w:r w:rsidR="005B1732" w:rsidRPr="00571D86">
        <w:rPr>
          <w:rFonts w:asciiTheme="minorHAnsi" w:eastAsia="Times New Roman" w:hAnsiTheme="minorHAnsi" w:cstheme="minorHAnsi"/>
          <w:b/>
          <w:szCs w:val="24"/>
          <w:lang w:val="pl-PL" w:eastAsia="en-GB"/>
        </w:rPr>
        <w:t xml:space="preserve"> </w:t>
      </w:r>
      <w:r w:rsidR="005B1732" w:rsidRPr="00571D86">
        <w:rPr>
          <w:rFonts w:asciiTheme="minorHAnsi" w:eastAsia="Times New Roman" w:hAnsiTheme="minorHAnsi" w:cstheme="minorHAnsi"/>
          <w:szCs w:val="24"/>
          <w:lang w:val="pl-PL" w:eastAsia="en-GB"/>
        </w:rPr>
        <w:t>(</w:t>
      </w:r>
      <w:r w:rsidRPr="00571D86">
        <w:rPr>
          <w:rFonts w:asciiTheme="minorHAnsi" w:eastAsia="Times New Roman" w:hAnsiTheme="minorHAnsi" w:cstheme="minorHAnsi"/>
          <w:szCs w:val="24"/>
          <w:lang w:val="pl-PL" w:eastAsia="en-GB"/>
        </w:rPr>
        <w:t>powtórzona dla każdego priorytetu</w:t>
      </w:r>
      <w:r w:rsidR="005B1732" w:rsidRPr="00571D86">
        <w:rPr>
          <w:rFonts w:asciiTheme="minorHAnsi" w:eastAsia="Times New Roman" w:hAnsiTheme="minorHAnsi" w:cstheme="minorHAnsi"/>
          <w:szCs w:val="24"/>
          <w:lang w:val="pl-PL" w:eastAsia="en-GB"/>
        </w:rPr>
        <w:t>)</w:t>
      </w:r>
    </w:p>
    <w:p w14:paraId="30D47F41" w14:textId="300D8A71" w:rsidR="005B1732" w:rsidRPr="00000498" w:rsidRDefault="00713DD6" w:rsidP="00000498">
      <w:pPr>
        <w:spacing w:after="20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Dotyczy: art. 17 ust. 4 lit. d)</w:t>
      </w:r>
    </w:p>
    <w:p w14:paraId="018D04E7" w14:textId="29A31DDF" w:rsidR="003349E4" w:rsidRPr="000C22D9" w:rsidRDefault="003349E4" w:rsidP="000C22D9">
      <w:pPr>
        <w:pStyle w:val="Nagwek2"/>
        <w:rPr>
          <w:rFonts w:eastAsia="Times New Roman"/>
          <w:color w:val="auto"/>
          <w:sz w:val="28"/>
          <w:lang w:val="en-IE" w:eastAsia="en-GB"/>
        </w:rPr>
      </w:pPr>
      <w:bookmarkStart w:id="116" w:name="_Toc73432989"/>
      <w:r w:rsidRPr="000C22D9">
        <w:rPr>
          <w:rFonts w:eastAsia="Times New Roman"/>
          <w:color w:val="auto"/>
          <w:sz w:val="28"/>
          <w:lang w:val="en-IE" w:eastAsia="en-GB"/>
        </w:rPr>
        <w:lastRenderedPageBreak/>
        <w:t>4</w:t>
      </w:r>
      <w:r w:rsidR="005B1732" w:rsidRPr="000C22D9">
        <w:rPr>
          <w:rFonts w:eastAsia="Times New Roman"/>
          <w:color w:val="auto"/>
          <w:sz w:val="28"/>
          <w:lang w:val="en-IE" w:eastAsia="en-GB"/>
        </w:rPr>
        <w:t xml:space="preserve">. </w:t>
      </w:r>
      <w:r w:rsidR="00713DD6" w:rsidRPr="000C22D9">
        <w:rPr>
          <w:rFonts w:eastAsia="Times New Roman"/>
          <w:color w:val="auto"/>
          <w:sz w:val="28"/>
          <w:lang w:val="en-IE" w:eastAsia="en-GB"/>
        </w:rPr>
        <w:t>Zarządzanie współpracą</w:t>
      </w:r>
      <w:bookmarkEnd w:id="116"/>
      <w:r w:rsidRPr="000C22D9">
        <w:rPr>
          <w:rFonts w:eastAsia="Times New Roman"/>
          <w:color w:val="auto"/>
          <w:sz w:val="28"/>
          <w:lang w:val="en-IE" w:eastAsia="en-GB"/>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B1732" w:rsidRPr="00A56C60" w14:paraId="51B9C100" w14:textId="77777777" w:rsidTr="00DE180F">
        <w:tc>
          <w:tcPr>
            <w:tcW w:w="9322" w:type="dxa"/>
          </w:tcPr>
          <w:p w14:paraId="46A56252" w14:textId="5DCEC66A" w:rsidR="005B1732" w:rsidRPr="00000498" w:rsidRDefault="005B1732" w:rsidP="00CF429A">
            <w:pPr>
              <w:spacing w:line="240" w:lineRule="auto"/>
              <w:rPr>
                <w:rFonts w:asciiTheme="minorHAnsi" w:eastAsia="Calibri" w:hAnsiTheme="minorHAnsi" w:cstheme="minorHAnsi"/>
                <w:szCs w:val="24"/>
                <w:lang w:val="pl-PL" w:eastAsia="en-GB"/>
              </w:rPr>
            </w:pPr>
            <w:r w:rsidRPr="00F42A23">
              <w:rPr>
                <w:rFonts w:asciiTheme="minorHAnsi" w:eastAsia="Calibri" w:hAnsiTheme="minorHAnsi" w:cstheme="minorHAnsi"/>
                <w:szCs w:val="24"/>
                <w:lang w:val="en-IE" w:eastAsia="en-GB"/>
              </w:rPr>
              <w:fldChar w:fldCharType="begin">
                <w:ffData>
                  <w:name w:val="Check1"/>
                  <w:enabled/>
                  <w:calcOnExit w:val="0"/>
                  <w:checkBox>
                    <w:sizeAuto/>
                    <w:default w:val="0"/>
                  </w:checkBox>
                </w:ffData>
              </w:fldChar>
            </w:r>
            <w:r w:rsidRPr="00F42A23">
              <w:rPr>
                <w:rFonts w:asciiTheme="minorHAnsi" w:eastAsia="Calibri" w:hAnsiTheme="minorHAnsi" w:cstheme="minorHAnsi"/>
                <w:szCs w:val="24"/>
                <w:lang w:val="pl-PL" w:eastAsia="en-GB"/>
              </w:rPr>
              <w:instrText xml:space="preserve"> FORMCHECKBOX </w:instrText>
            </w:r>
            <w:r w:rsidR="00C93217">
              <w:rPr>
                <w:rFonts w:asciiTheme="minorHAnsi" w:eastAsia="Calibri" w:hAnsiTheme="minorHAnsi" w:cstheme="minorHAnsi"/>
                <w:szCs w:val="24"/>
                <w:lang w:val="en-IE" w:eastAsia="en-GB"/>
              </w:rPr>
            </w:r>
            <w:r w:rsidR="00C93217">
              <w:rPr>
                <w:rFonts w:asciiTheme="minorHAnsi" w:eastAsia="Calibri" w:hAnsiTheme="minorHAnsi" w:cstheme="minorHAnsi"/>
                <w:szCs w:val="24"/>
                <w:lang w:val="en-IE" w:eastAsia="en-GB"/>
              </w:rPr>
              <w:fldChar w:fldCharType="separate"/>
            </w:r>
            <w:r w:rsidRPr="00F42A23">
              <w:rPr>
                <w:rFonts w:asciiTheme="minorHAnsi" w:eastAsia="Calibri" w:hAnsiTheme="minorHAnsi" w:cstheme="minorHAnsi"/>
                <w:szCs w:val="24"/>
                <w:lang w:val="en-IE" w:eastAsia="en-GB"/>
              </w:rPr>
              <w:fldChar w:fldCharType="end"/>
            </w:r>
            <w:r w:rsidRPr="00F42A23">
              <w:rPr>
                <w:rFonts w:asciiTheme="minorHAnsi" w:eastAsia="Calibri" w:hAnsiTheme="minorHAnsi" w:cstheme="minorHAnsi"/>
                <w:szCs w:val="24"/>
                <w:lang w:val="pl-PL" w:eastAsia="en-GB"/>
              </w:rPr>
              <w:t xml:space="preserve"> </w:t>
            </w:r>
            <w:r w:rsidR="00CF429A" w:rsidRPr="00F42A23">
              <w:rPr>
                <w:rFonts w:asciiTheme="minorHAnsi" w:eastAsia="Calibri" w:hAnsiTheme="minorHAnsi" w:cstheme="minorHAnsi"/>
                <w:szCs w:val="24"/>
                <w:lang w:val="pl-PL" w:eastAsia="en-GB"/>
              </w:rPr>
              <w:t>Art</w:t>
            </w:r>
            <w:r w:rsidR="00713DD6" w:rsidRPr="00F42A23">
              <w:rPr>
                <w:rFonts w:asciiTheme="minorHAnsi" w:eastAsia="Calibri" w:hAnsiTheme="minorHAnsi" w:cstheme="minorHAnsi"/>
                <w:szCs w:val="24"/>
                <w:lang w:val="pl-PL" w:eastAsia="en-GB"/>
              </w:rPr>
              <w:t>. 17 ust. 3</w:t>
            </w:r>
          </w:p>
        </w:tc>
      </w:tr>
    </w:tbl>
    <w:p w14:paraId="5E2DF557" w14:textId="7B43145B" w:rsidR="005B1732" w:rsidRPr="00571D86" w:rsidRDefault="005B1732" w:rsidP="00000498">
      <w:pPr>
        <w:spacing w:before="240" w:after="240" w:line="276" w:lineRule="auto"/>
        <w:ind w:left="709" w:hanging="709"/>
        <w:rPr>
          <w:rFonts w:asciiTheme="minorHAnsi" w:eastAsia="Times New Roman" w:hAnsiTheme="minorHAnsi" w:cstheme="minorHAnsi"/>
          <w:iCs/>
          <w:szCs w:val="24"/>
          <w:lang w:val="pl-PL" w:eastAsia="en-GB"/>
        </w:rPr>
      </w:pPr>
      <w:r w:rsidRPr="00571D86">
        <w:rPr>
          <w:rFonts w:asciiTheme="minorHAnsi" w:eastAsia="Times New Roman" w:hAnsiTheme="minorHAnsi" w:cstheme="minorHAnsi"/>
          <w:b/>
          <w:iCs/>
          <w:szCs w:val="24"/>
          <w:lang w:val="pl-PL" w:eastAsia="en-GB"/>
        </w:rPr>
        <w:t>2.</w:t>
      </w:r>
      <w:r w:rsidR="003349E4" w:rsidRPr="00571D86">
        <w:rPr>
          <w:rFonts w:asciiTheme="minorHAnsi" w:eastAsia="Times New Roman" w:hAnsiTheme="minorHAnsi" w:cstheme="minorHAnsi"/>
          <w:b/>
          <w:iCs/>
          <w:szCs w:val="24"/>
          <w:lang w:val="pl-PL" w:eastAsia="en-GB"/>
        </w:rPr>
        <w:t>4</w:t>
      </w:r>
      <w:r w:rsidRPr="00571D86">
        <w:rPr>
          <w:rFonts w:asciiTheme="minorHAnsi" w:eastAsia="Times New Roman" w:hAnsiTheme="minorHAnsi" w:cstheme="minorHAnsi"/>
          <w:b/>
          <w:iCs/>
          <w:szCs w:val="24"/>
          <w:lang w:val="pl-PL" w:eastAsia="en-GB"/>
        </w:rPr>
        <w:t>.1.</w:t>
      </w:r>
      <w:r w:rsidRPr="00571D86">
        <w:rPr>
          <w:rFonts w:asciiTheme="minorHAnsi" w:eastAsia="Times New Roman" w:hAnsiTheme="minorHAnsi" w:cstheme="minorHAnsi"/>
          <w:b/>
          <w:iCs/>
          <w:szCs w:val="24"/>
          <w:lang w:val="pl-PL" w:eastAsia="en-GB"/>
        </w:rPr>
        <w:tab/>
      </w:r>
      <w:r w:rsidR="00713DD6" w:rsidRPr="00571D86">
        <w:rPr>
          <w:rFonts w:asciiTheme="minorHAnsi" w:eastAsia="Times New Roman" w:hAnsiTheme="minorHAnsi" w:cstheme="minorHAnsi"/>
          <w:b/>
          <w:iCs/>
          <w:szCs w:val="24"/>
          <w:lang w:val="pl-PL" w:eastAsia="en-GB"/>
        </w:rPr>
        <w:t>Działanie f) inne działania wspierające lepsze zarządzanie współpracą</w:t>
      </w:r>
    </w:p>
    <w:p w14:paraId="2429EA5E" w14:textId="0469A050" w:rsidR="005B1732" w:rsidRPr="00000498" w:rsidRDefault="00713DD6" w:rsidP="00000498">
      <w:pPr>
        <w:spacing w:after="20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Dotyczy: art. 17 ust. 4 lit. e)</w:t>
      </w:r>
    </w:p>
    <w:p w14:paraId="7710D0DE" w14:textId="18A00399" w:rsidR="005B1732" w:rsidRPr="00571D86" w:rsidRDefault="005B1732" w:rsidP="00000498">
      <w:pPr>
        <w:spacing w:before="240" w:after="240" w:line="276" w:lineRule="auto"/>
        <w:ind w:left="709" w:hanging="709"/>
        <w:rPr>
          <w:rFonts w:asciiTheme="minorHAnsi" w:eastAsia="Times New Roman" w:hAnsiTheme="minorHAnsi" w:cstheme="minorHAnsi"/>
          <w:iCs/>
          <w:szCs w:val="24"/>
          <w:lang w:val="pl-PL" w:eastAsia="en-GB"/>
        </w:rPr>
      </w:pPr>
      <w:r w:rsidRPr="00571D86">
        <w:rPr>
          <w:rFonts w:asciiTheme="minorHAnsi" w:eastAsia="Times New Roman" w:hAnsiTheme="minorHAnsi" w:cstheme="minorHAnsi"/>
          <w:b/>
          <w:iCs/>
          <w:szCs w:val="24"/>
          <w:lang w:val="pl-PL" w:eastAsia="en-GB"/>
        </w:rPr>
        <w:t>2.</w:t>
      </w:r>
      <w:r w:rsidR="003349E4" w:rsidRPr="00571D86">
        <w:rPr>
          <w:rFonts w:asciiTheme="minorHAnsi" w:eastAsia="Times New Roman" w:hAnsiTheme="minorHAnsi" w:cstheme="minorHAnsi"/>
          <w:b/>
          <w:iCs/>
          <w:szCs w:val="24"/>
          <w:lang w:val="pl-PL" w:eastAsia="en-GB"/>
        </w:rPr>
        <w:t>4</w:t>
      </w:r>
      <w:r w:rsidRPr="00571D86">
        <w:rPr>
          <w:rFonts w:asciiTheme="minorHAnsi" w:eastAsia="Times New Roman" w:hAnsiTheme="minorHAnsi" w:cstheme="minorHAnsi"/>
          <w:b/>
          <w:iCs/>
          <w:szCs w:val="24"/>
          <w:lang w:val="pl-PL" w:eastAsia="en-GB"/>
        </w:rPr>
        <w:t>.1.1</w:t>
      </w:r>
      <w:r w:rsidRPr="00571D86">
        <w:rPr>
          <w:rFonts w:asciiTheme="minorHAnsi" w:eastAsia="Times New Roman" w:hAnsiTheme="minorHAnsi" w:cstheme="minorHAnsi"/>
          <w:b/>
          <w:iCs/>
          <w:szCs w:val="24"/>
          <w:lang w:val="pl-PL" w:eastAsia="en-GB"/>
        </w:rPr>
        <w:tab/>
      </w:r>
      <w:r w:rsidR="00713DD6" w:rsidRPr="00571D86">
        <w:rPr>
          <w:rFonts w:asciiTheme="minorHAnsi" w:eastAsia="Times New Roman" w:hAnsiTheme="minorHAnsi" w:cstheme="minorHAnsi"/>
          <w:b/>
          <w:iCs/>
          <w:szCs w:val="24"/>
          <w:lang w:val="pl-PL" w:eastAsia="en-GB"/>
        </w:rPr>
        <w:t>Powiązane rodzaje działań i ich oczekiwany wkład w osiągnięcie tych celów szczegółowych oraz w stosownych przypadkach w str</w:t>
      </w:r>
      <w:r w:rsidR="00713DD6" w:rsidRPr="00E20902">
        <w:rPr>
          <w:rFonts w:asciiTheme="minorHAnsi" w:eastAsia="Times New Roman" w:hAnsiTheme="minorHAnsi" w:cstheme="minorHAnsi"/>
          <w:b/>
          <w:iCs/>
          <w:szCs w:val="24"/>
          <w:lang w:val="pl-PL" w:eastAsia="en-GB"/>
        </w:rPr>
        <w:t>ategie makroregionalne i strategie na basenów morskich</w:t>
      </w:r>
    </w:p>
    <w:p w14:paraId="5B29C1BE" w14:textId="7DC3F538" w:rsidR="005B1732" w:rsidRPr="00000498" w:rsidRDefault="00713DD6" w:rsidP="00000498">
      <w:pPr>
        <w:spacing w:after="20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Dotyczy: art. 17 ust. 4 lit. e) ppkt (i), art. 17 ust. 9 lit. c) ppkt (ii)</w:t>
      </w:r>
    </w:p>
    <w:p w14:paraId="0D4E0938" w14:textId="3B587143" w:rsidR="00DD19D7" w:rsidRPr="00035701" w:rsidRDefault="00713DD6" w:rsidP="00035701">
      <w:pPr>
        <w:pStyle w:val="Nagwek3"/>
        <w:rPr>
          <w:rFonts w:eastAsia="Times New Roman"/>
          <w:color w:val="auto"/>
          <w:sz w:val="28"/>
          <w:lang w:val="pl-PL" w:eastAsia="en-GB"/>
        </w:rPr>
      </w:pPr>
      <w:bookmarkStart w:id="117" w:name="_Toc73432990"/>
      <w:r w:rsidRPr="00035701">
        <w:rPr>
          <w:rFonts w:eastAsia="Times New Roman"/>
          <w:color w:val="auto"/>
          <w:sz w:val="28"/>
          <w:lang w:val="pl-PL" w:eastAsia="en-GB"/>
        </w:rPr>
        <w:t xml:space="preserve">Cel </w:t>
      </w:r>
      <w:r w:rsidR="00DC4C40" w:rsidRPr="00035701">
        <w:rPr>
          <w:rFonts w:eastAsia="Times New Roman"/>
          <w:color w:val="auto"/>
          <w:sz w:val="28"/>
          <w:lang w:val="pl-PL" w:eastAsia="en-GB"/>
        </w:rPr>
        <w:t xml:space="preserve">szczegółowy </w:t>
      </w:r>
      <w:r w:rsidR="00DD19D7" w:rsidRPr="00035701">
        <w:rPr>
          <w:rFonts w:eastAsia="Times New Roman"/>
          <w:color w:val="auto"/>
          <w:sz w:val="28"/>
          <w:lang w:val="pl-PL" w:eastAsia="en-GB"/>
        </w:rPr>
        <w:t xml:space="preserve">4.1 </w:t>
      </w:r>
      <w:r w:rsidRPr="00035701">
        <w:rPr>
          <w:rFonts w:eastAsia="Times New Roman"/>
          <w:color w:val="auto"/>
          <w:sz w:val="28"/>
          <w:lang w:val="pl-PL" w:eastAsia="en-GB"/>
        </w:rPr>
        <w:t>Platformy projektów</w:t>
      </w:r>
      <w:bookmarkEnd w:id="117"/>
    </w:p>
    <w:p w14:paraId="5B519D21" w14:textId="78DC5879" w:rsidR="00DD19D7" w:rsidRPr="00000498" w:rsidRDefault="00871A6C" w:rsidP="00000498">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b/>
          <w:szCs w:val="24"/>
          <w:lang w:val="pl-PL" w:eastAsia="en-GB"/>
        </w:rPr>
      </w:pPr>
      <w:r w:rsidRPr="00000498">
        <w:rPr>
          <w:rFonts w:asciiTheme="minorHAnsi" w:eastAsia="Times New Roman" w:hAnsiTheme="minorHAnsi" w:cstheme="minorHAnsi"/>
          <w:b/>
          <w:szCs w:val="24"/>
          <w:lang w:val="pl-PL" w:eastAsia="en-GB"/>
        </w:rPr>
        <w:t>Wprowadzen</w:t>
      </w:r>
      <w:r w:rsidR="00713DD6" w:rsidRPr="00000498">
        <w:rPr>
          <w:rFonts w:asciiTheme="minorHAnsi" w:eastAsia="Times New Roman" w:hAnsiTheme="minorHAnsi" w:cstheme="minorHAnsi"/>
          <w:b/>
          <w:szCs w:val="24"/>
          <w:lang w:val="pl-PL" w:eastAsia="en-GB"/>
        </w:rPr>
        <w:t>ie</w:t>
      </w:r>
      <w:r w:rsidRPr="00000498">
        <w:rPr>
          <w:rFonts w:asciiTheme="minorHAnsi" w:eastAsia="Times New Roman" w:hAnsiTheme="minorHAnsi" w:cstheme="minorHAnsi"/>
          <w:b/>
          <w:szCs w:val="24"/>
          <w:lang w:val="pl-PL" w:eastAsia="en-GB"/>
        </w:rPr>
        <w:t xml:space="preserve"> do działań</w:t>
      </w:r>
      <w:r w:rsidR="0085670A" w:rsidRPr="00000498">
        <w:rPr>
          <w:rFonts w:asciiTheme="minorHAnsi" w:eastAsia="Times New Roman" w:hAnsiTheme="minorHAnsi" w:cstheme="minorHAnsi"/>
          <w:b/>
          <w:szCs w:val="24"/>
          <w:lang w:val="pl-PL" w:eastAsia="en-GB"/>
        </w:rPr>
        <w:t xml:space="preserve"> </w:t>
      </w:r>
      <w:r w:rsidR="00DD19D7" w:rsidRPr="00000498">
        <w:rPr>
          <w:rFonts w:asciiTheme="minorHAnsi" w:eastAsia="Times New Roman" w:hAnsiTheme="minorHAnsi" w:cstheme="minorHAnsi"/>
          <w:szCs w:val="24"/>
          <w:lang w:val="pl-PL" w:eastAsia="en-GB"/>
        </w:rPr>
        <w:t xml:space="preserve"> </w:t>
      </w:r>
    </w:p>
    <w:p w14:paraId="0429E803" w14:textId="638A5EB3" w:rsidR="00713DD6" w:rsidRPr="00000498" w:rsidRDefault="00713DD6" w:rsidP="00000498">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 xml:space="preserve">Program wspiera </w:t>
      </w:r>
      <w:r w:rsidRPr="00000498">
        <w:rPr>
          <w:rFonts w:asciiTheme="minorHAnsi" w:eastAsia="Times New Roman" w:hAnsiTheme="minorHAnsi" w:cstheme="minorHAnsi"/>
          <w:szCs w:val="24"/>
          <w:u w:val="single"/>
          <w:lang w:val="pl-PL" w:eastAsia="en-GB"/>
        </w:rPr>
        <w:t>współpracę projektów finansowanych przez UE</w:t>
      </w:r>
      <w:r w:rsidRPr="00000498">
        <w:rPr>
          <w:rFonts w:asciiTheme="minorHAnsi" w:eastAsia="Times New Roman" w:hAnsiTheme="minorHAnsi" w:cstheme="minorHAnsi"/>
          <w:szCs w:val="24"/>
          <w:lang w:val="pl-PL" w:eastAsia="en-GB"/>
        </w:rPr>
        <w:t xml:space="preserve"> w platformach projektów. Działania te, </w:t>
      </w:r>
      <w:r w:rsidRPr="00000498">
        <w:rPr>
          <w:rFonts w:asciiTheme="minorHAnsi" w:eastAsia="Times New Roman" w:hAnsiTheme="minorHAnsi" w:cstheme="minorHAnsi"/>
          <w:szCs w:val="24"/>
          <w:u w:val="single"/>
          <w:lang w:val="pl-PL" w:eastAsia="en-GB"/>
        </w:rPr>
        <w:t>w uporządkowany sposób, przekazują</w:t>
      </w:r>
      <w:r w:rsidRPr="00000498">
        <w:rPr>
          <w:rFonts w:asciiTheme="minorHAnsi" w:eastAsia="Times New Roman" w:hAnsiTheme="minorHAnsi" w:cstheme="minorHAnsi"/>
          <w:szCs w:val="24"/>
          <w:lang w:val="pl-PL" w:eastAsia="en-GB"/>
        </w:rPr>
        <w:t xml:space="preserve"> interesariuszom w regionie Morza Bałtyckiego </w:t>
      </w:r>
      <w:r w:rsidRPr="00000498">
        <w:rPr>
          <w:rFonts w:asciiTheme="minorHAnsi" w:eastAsia="Times New Roman" w:hAnsiTheme="minorHAnsi" w:cstheme="minorHAnsi"/>
          <w:szCs w:val="24"/>
          <w:u w:val="single"/>
          <w:lang w:val="pl-PL" w:eastAsia="en-GB"/>
        </w:rPr>
        <w:t>wyniki</w:t>
      </w:r>
      <w:r w:rsidRPr="00000498">
        <w:rPr>
          <w:rFonts w:asciiTheme="minorHAnsi" w:eastAsia="Times New Roman" w:hAnsiTheme="minorHAnsi" w:cstheme="minorHAnsi"/>
          <w:szCs w:val="24"/>
          <w:lang w:val="pl-PL" w:eastAsia="en-GB"/>
        </w:rPr>
        <w:t xml:space="preserve"> szeregu projektów z </w:t>
      </w:r>
      <w:r w:rsidRPr="00000498">
        <w:rPr>
          <w:rFonts w:asciiTheme="minorHAnsi" w:eastAsia="Times New Roman" w:hAnsiTheme="minorHAnsi" w:cstheme="minorHAnsi"/>
          <w:szCs w:val="24"/>
          <w:u w:val="single"/>
          <w:lang w:val="pl-PL" w:eastAsia="en-GB"/>
        </w:rPr>
        <w:t>różnych programów finansowania UE</w:t>
      </w:r>
      <w:r w:rsidRPr="00000498">
        <w:rPr>
          <w:rFonts w:asciiTheme="minorHAnsi" w:eastAsia="Times New Roman" w:hAnsiTheme="minorHAnsi" w:cstheme="minorHAnsi"/>
          <w:szCs w:val="24"/>
          <w:lang w:val="pl-PL" w:eastAsia="en-GB"/>
        </w:rPr>
        <w:t xml:space="preserve">. Działania platform projektów </w:t>
      </w:r>
      <w:r w:rsidRPr="00000498">
        <w:rPr>
          <w:rFonts w:asciiTheme="minorHAnsi" w:eastAsia="Times New Roman" w:hAnsiTheme="minorHAnsi" w:cstheme="minorHAnsi"/>
          <w:szCs w:val="24"/>
          <w:u w:val="single"/>
          <w:lang w:val="pl-PL" w:eastAsia="en-GB"/>
        </w:rPr>
        <w:t>pomagają władzom publicznym</w:t>
      </w:r>
      <w:r w:rsidRPr="00000498">
        <w:rPr>
          <w:rFonts w:asciiTheme="minorHAnsi" w:eastAsia="Times New Roman" w:hAnsiTheme="minorHAnsi" w:cstheme="minorHAnsi"/>
          <w:szCs w:val="24"/>
          <w:lang w:val="pl-PL" w:eastAsia="en-GB"/>
        </w:rPr>
        <w:t xml:space="preserve"> i </w:t>
      </w:r>
      <w:r w:rsidRPr="00000498">
        <w:rPr>
          <w:rFonts w:asciiTheme="minorHAnsi" w:eastAsia="Times New Roman" w:hAnsiTheme="minorHAnsi" w:cstheme="minorHAnsi"/>
          <w:szCs w:val="24"/>
          <w:u w:val="single"/>
          <w:lang w:val="pl-PL" w:eastAsia="en-GB"/>
        </w:rPr>
        <w:t>innym organizacjom w łatwiejszym dostępie do wyników projektów</w:t>
      </w:r>
      <w:r w:rsidRPr="00000498">
        <w:rPr>
          <w:rFonts w:asciiTheme="minorHAnsi" w:eastAsia="Times New Roman" w:hAnsiTheme="minorHAnsi" w:cstheme="minorHAnsi"/>
          <w:szCs w:val="24"/>
          <w:lang w:val="pl-PL" w:eastAsia="en-GB"/>
        </w:rPr>
        <w:t xml:space="preserve">. Pokazują, w jaki sposób różne </w:t>
      </w:r>
      <w:r w:rsidRPr="00000498">
        <w:rPr>
          <w:rFonts w:asciiTheme="minorHAnsi" w:eastAsia="Times New Roman" w:hAnsiTheme="minorHAnsi" w:cstheme="minorHAnsi"/>
          <w:szCs w:val="24"/>
          <w:u w:val="single"/>
          <w:lang w:val="pl-PL" w:eastAsia="en-GB"/>
        </w:rPr>
        <w:t>wyniki wzajemnie się uzupełniają</w:t>
      </w:r>
      <w:r w:rsidRPr="00000498">
        <w:rPr>
          <w:rFonts w:asciiTheme="minorHAnsi" w:eastAsia="Times New Roman" w:hAnsiTheme="minorHAnsi" w:cstheme="minorHAnsi"/>
          <w:szCs w:val="24"/>
          <w:lang w:val="pl-PL" w:eastAsia="en-GB"/>
        </w:rPr>
        <w:t xml:space="preserve"> wykorzystując </w:t>
      </w:r>
      <w:r w:rsidRPr="00000498">
        <w:rPr>
          <w:rFonts w:asciiTheme="minorHAnsi" w:eastAsia="Times New Roman" w:hAnsiTheme="minorHAnsi" w:cstheme="minorHAnsi"/>
          <w:szCs w:val="24"/>
          <w:u w:val="single"/>
          <w:lang w:val="pl-PL" w:eastAsia="en-GB"/>
        </w:rPr>
        <w:t>synergie między funduszami UE</w:t>
      </w:r>
      <w:r w:rsidR="0085670A" w:rsidRPr="00000498">
        <w:rPr>
          <w:rFonts w:asciiTheme="minorHAnsi" w:eastAsia="Times New Roman" w:hAnsiTheme="minorHAnsi" w:cstheme="minorHAnsi"/>
          <w:szCs w:val="24"/>
          <w:u w:val="single"/>
          <w:lang w:val="pl-PL" w:eastAsia="en-GB"/>
        </w:rPr>
        <w:t>.</w:t>
      </w:r>
    </w:p>
    <w:p w14:paraId="6E215556" w14:textId="3D750050" w:rsidR="0085670A" w:rsidRPr="00000498" w:rsidRDefault="0085670A" w:rsidP="00000498">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 xml:space="preserve">Proponowane działania identyfikują </w:t>
      </w:r>
      <w:r w:rsidRPr="00000498">
        <w:rPr>
          <w:rFonts w:asciiTheme="minorHAnsi" w:eastAsia="Times New Roman" w:hAnsiTheme="minorHAnsi" w:cstheme="minorHAnsi"/>
          <w:szCs w:val="24"/>
          <w:u w:val="single"/>
          <w:lang w:val="pl-PL" w:eastAsia="en-GB"/>
        </w:rPr>
        <w:t>rozwiązania opracowane w ramach projektów</w:t>
      </w:r>
      <w:r w:rsidRPr="00000498">
        <w:rPr>
          <w:rFonts w:asciiTheme="minorHAnsi" w:eastAsia="Times New Roman" w:hAnsiTheme="minorHAnsi" w:cstheme="minorHAnsi"/>
          <w:szCs w:val="24"/>
          <w:lang w:val="pl-PL" w:eastAsia="en-GB"/>
        </w:rPr>
        <w:t xml:space="preserve"> i innych inicjatyw w programach finansowania UE, także współfinansowanych przez kraje partnerskie Norwegię i Rosję, istotne dla regionu Morza Bałtyckiego oraz </w:t>
      </w:r>
      <w:r w:rsidRPr="00000498">
        <w:rPr>
          <w:rFonts w:asciiTheme="minorHAnsi" w:eastAsia="Times New Roman" w:hAnsiTheme="minorHAnsi" w:cstheme="minorHAnsi"/>
          <w:szCs w:val="24"/>
          <w:u w:val="single"/>
          <w:lang w:val="pl-PL" w:eastAsia="en-GB"/>
        </w:rPr>
        <w:t>łączą</w:t>
      </w:r>
      <w:r w:rsidRPr="00000498">
        <w:rPr>
          <w:rFonts w:asciiTheme="minorHAnsi" w:eastAsia="Times New Roman" w:hAnsiTheme="minorHAnsi" w:cstheme="minorHAnsi"/>
          <w:szCs w:val="24"/>
          <w:lang w:val="pl-PL" w:eastAsia="en-GB"/>
        </w:rPr>
        <w:t xml:space="preserve"> je </w:t>
      </w:r>
      <w:r w:rsidRPr="00000498">
        <w:rPr>
          <w:rFonts w:asciiTheme="minorHAnsi" w:eastAsia="Times New Roman" w:hAnsiTheme="minorHAnsi" w:cstheme="minorHAnsi"/>
          <w:szCs w:val="24"/>
          <w:u w:val="single"/>
          <w:lang w:val="pl-PL" w:eastAsia="en-GB"/>
        </w:rPr>
        <w:t>i syntetyzują</w:t>
      </w:r>
      <w:r w:rsidRPr="00000498">
        <w:rPr>
          <w:rFonts w:asciiTheme="minorHAnsi" w:eastAsia="Times New Roman" w:hAnsiTheme="minorHAnsi" w:cstheme="minorHAnsi"/>
          <w:szCs w:val="24"/>
          <w:lang w:val="pl-PL" w:eastAsia="en-GB"/>
        </w:rPr>
        <w:t xml:space="preserve">. Działania skupiają się na </w:t>
      </w:r>
      <w:r w:rsidRPr="00000498">
        <w:rPr>
          <w:rFonts w:asciiTheme="minorHAnsi" w:eastAsia="Times New Roman" w:hAnsiTheme="minorHAnsi" w:cstheme="minorHAnsi"/>
          <w:szCs w:val="24"/>
          <w:u w:val="single"/>
          <w:lang w:val="pl-PL" w:eastAsia="en-GB"/>
        </w:rPr>
        <w:t>komunikowaniu i przenoszeniu</w:t>
      </w:r>
      <w:r w:rsidRPr="00000498">
        <w:rPr>
          <w:rFonts w:asciiTheme="minorHAnsi" w:eastAsia="Times New Roman" w:hAnsiTheme="minorHAnsi" w:cstheme="minorHAnsi"/>
          <w:szCs w:val="24"/>
          <w:lang w:val="pl-PL" w:eastAsia="en-GB"/>
        </w:rPr>
        <w:t xml:space="preserve"> tych syntez rozwiązań do szerszych grup docelowych, wykraczając poza zwykłe partnerstwa.</w:t>
      </w:r>
    </w:p>
    <w:p w14:paraId="0DCA3789" w14:textId="590CA2F9" w:rsidR="0085670A" w:rsidRPr="00000498" w:rsidRDefault="0085670A" w:rsidP="00000498">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 xml:space="preserve">W szczególności działania te są </w:t>
      </w:r>
      <w:r w:rsidRPr="00000498">
        <w:rPr>
          <w:rFonts w:asciiTheme="minorHAnsi" w:eastAsia="Times New Roman" w:hAnsiTheme="minorHAnsi" w:cstheme="minorHAnsi"/>
          <w:szCs w:val="24"/>
          <w:u w:val="single"/>
          <w:lang w:val="pl-PL" w:eastAsia="en-GB"/>
        </w:rPr>
        <w:t>skierowane do władz publicznych</w:t>
      </w:r>
      <w:r w:rsidRPr="00000498">
        <w:rPr>
          <w:rFonts w:asciiTheme="minorHAnsi" w:eastAsia="Times New Roman" w:hAnsiTheme="minorHAnsi" w:cstheme="minorHAnsi"/>
          <w:szCs w:val="24"/>
          <w:lang w:val="pl-PL" w:eastAsia="en-GB"/>
        </w:rPr>
        <w:t xml:space="preserve">, jako głównych sił napędowych zmiany polityki w regionie. Ponadto, działania ściśle angażują odpowiednie </w:t>
      </w:r>
      <w:r w:rsidRPr="00000498">
        <w:rPr>
          <w:rFonts w:asciiTheme="minorHAnsi" w:eastAsia="Times New Roman" w:hAnsiTheme="minorHAnsi" w:cstheme="minorHAnsi"/>
          <w:szCs w:val="24"/>
          <w:u w:val="single"/>
          <w:lang w:val="pl-PL" w:eastAsia="en-GB"/>
        </w:rPr>
        <w:t>organizacje panbałtyckie</w:t>
      </w:r>
      <w:r w:rsidRPr="00000498">
        <w:rPr>
          <w:rFonts w:asciiTheme="minorHAnsi" w:eastAsia="Times New Roman" w:hAnsiTheme="minorHAnsi" w:cstheme="minorHAnsi"/>
          <w:szCs w:val="24"/>
          <w:lang w:val="pl-PL" w:eastAsia="en-GB"/>
        </w:rPr>
        <w:t xml:space="preserve"> w celu wzmocnienia komunikacji, a także </w:t>
      </w:r>
      <w:r w:rsidRPr="00000498">
        <w:rPr>
          <w:rFonts w:asciiTheme="minorHAnsi" w:eastAsia="Times New Roman" w:hAnsiTheme="minorHAnsi" w:cstheme="minorHAnsi"/>
          <w:szCs w:val="24"/>
          <w:u w:val="single"/>
          <w:lang w:val="pl-PL" w:eastAsia="en-GB"/>
        </w:rPr>
        <w:t>koordynatorów obszarów polityki</w:t>
      </w:r>
      <w:r w:rsidRPr="00000498">
        <w:rPr>
          <w:rFonts w:asciiTheme="minorHAnsi" w:eastAsia="Times New Roman" w:hAnsiTheme="minorHAnsi" w:cstheme="minorHAnsi"/>
          <w:szCs w:val="24"/>
          <w:lang w:val="pl-PL" w:eastAsia="en-GB"/>
        </w:rPr>
        <w:t xml:space="preserve"> w ramach </w:t>
      </w:r>
      <w:r w:rsidR="00655F90">
        <w:rPr>
          <w:rFonts w:asciiTheme="minorHAnsi" w:eastAsia="Times New Roman" w:hAnsiTheme="minorHAnsi" w:cstheme="minorHAnsi"/>
          <w:szCs w:val="24"/>
          <w:lang w:val="pl-PL" w:eastAsia="en-GB"/>
        </w:rPr>
        <w:t>S</w:t>
      </w:r>
      <w:r w:rsidRPr="00000498">
        <w:rPr>
          <w:rFonts w:asciiTheme="minorHAnsi" w:eastAsia="Times New Roman" w:hAnsiTheme="minorHAnsi" w:cstheme="minorHAnsi"/>
          <w:szCs w:val="24"/>
          <w:lang w:val="pl-PL" w:eastAsia="en-GB"/>
        </w:rPr>
        <w:t xml:space="preserve">trategii UE dla regionu Morza Bałtyckiego w celu wprowadzenia tej </w:t>
      </w:r>
      <w:r w:rsidRPr="00000498">
        <w:rPr>
          <w:rFonts w:asciiTheme="minorHAnsi" w:eastAsia="Times New Roman" w:hAnsiTheme="minorHAnsi" w:cstheme="minorHAnsi"/>
          <w:szCs w:val="24"/>
          <w:u w:val="single"/>
          <w:lang w:val="pl-PL" w:eastAsia="en-GB"/>
        </w:rPr>
        <w:t>syntezy do ram polityki regionalnej</w:t>
      </w:r>
      <w:r w:rsidRPr="00000498">
        <w:rPr>
          <w:rFonts w:asciiTheme="minorHAnsi" w:eastAsia="Times New Roman" w:hAnsiTheme="minorHAnsi" w:cstheme="minorHAnsi"/>
          <w:szCs w:val="24"/>
          <w:lang w:val="pl-PL" w:eastAsia="en-GB"/>
        </w:rPr>
        <w:t xml:space="preserve">. Program wspiera prace przy platformach projektów zgodnie z </w:t>
      </w:r>
      <w:r w:rsidRPr="00000498">
        <w:rPr>
          <w:rFonts w:asciiTheme="minorHAnsi" w:eastAsia="Times New Roman" w:hAnsiTheme="minorHAnsi" w:cstheme="minorHAnsi"/>
          <w:szCs w:val="24"/>
          <w:u w:val="single"/>
          <w:lang w:val="pl-PL" w:eastAsia="en-GB"/>
        </w:rPr>
        <w:t>priorytetami tematycznymi</w:t>
      </w:r>
      <w:r w:rsidRPr="00000498">
        <w:rPr>
          <w:rFonts w:asciiTheme="minorHAnsi" w:eastAsia="Times New Roman" w:hAnsiTheme="minorHAnsi" w:cstheme="minorHAnsi"/>
          <w:szCs w:val="24"/>
          <w:lang w:val="pl-PL" w:eastAsia="en-GB"/>
        </w:rPr>
        <w:t xml:space="preserve"> Programów</w:t>
      </w:r>
      <w:r w:rsidR="00AB561F" w:rsidRPr="00000498">
        <w:rPr>
          <w:rFonts w:asciiTheme="minorHAnsi" w:eastAsia="Times New Roman" w:hAnsiTheme="minorHAnsi" w:cstheme="minorHAnsi"/>
          <w:szCs w:val="24"/>
          <w:lang w:val="pl-PL" w:eastAsia="en-GB"/>
        </w:rPr>
        <w:t>.</w:t>
      </w:r>
    </w:p>
    <w:p w14:paraId="02DE1AFF" w14:textId="3BD09EA5" w:rsidR="00DD19D7" w:rsidRPr="00000498" w:rsidRDefault="00AB561F" w:rsidP="00000498">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b/>
          <w:szCs w:val="24"/>
          <w:lang w:val="pl-PL" w:eastAsia="en-GB"/>
        </w:rPr>
      </w:pPr>
      <w:r w:rsidRPr="00000498">
        <w:rPr>
          <w:rFonts w:asciiTheme="minorHAnsi" w:eastAsia="Times New Roman" w:hAnsiTheme="minorHAnsi" w:cstheme="minorHAnsi"/>
          <w:b/>
          <w:szCs w:val="24"/>
          <w:lang w:val="pl-PL" w:eastAsia="en-GB"/>
        </w:rPr>
        <w:t>Przykładowe działania w ramach platform projektów</w:t>
      </w:r>
      <w:r w:rsidR="00DD19D7" w:rsidRPr="00000498">
        <w:rPr>
          <w:rFonts w:asciiTheme="minorHAnsi" w:eastAsia="Times New Roman" w:hAnsiTheme="minorHAnsi" w:cstheme="minorHAnsi"/>
          <w:b/>
          <w:szCs w:val="24"/>
          <w:lang w:val="pl-PL" w:eastAsia="en-GB"/>
        </w:rPr>
        <w:t>:</w:t>
      </w:r>
    </w:p>
    <w:p w14:paraId="511E3711" w14:textId="44DB4A41" w:rsidR="00AB561F" w:rsidRPr="00000498" w:rsidRDefault="00AB561F" w:rsidP="00000498">
      <w:pPr>
        <w:pStyle w:val="Akapitzlist"/>
        <w:numPr>
          <w:ilvl w:val="0"/>
          <w:numId w:val="39"/>
        </w:numPr>
        <w:pBdr>
          <w:top w:val="single" w:sz="4" w:space="1" w:color="auto"/>
          <w:left w:val="single" w:sz="4" w:space="4" w:color="auto"/>
          <w:bottom w:val="single" w:sz="4" w:space="1" w:color="auto"/>
          <w:right w:val="single" w:sz="4" w:space="4" w:color="auto"/>
        </w:pBdr>
        <w:ind w:left="431" w:hanging="431"/>
        <w:rPr>
          <w:rFonts w:eastAsia="Times New Roman" w:cstheme="minorHAnsi"/>
          <w:sz w:val="24"/>
          <w:szCs w:val="24"/>
          <w:lang w:val="pl-PL" w:eastAsia="en-GB"/>
        </w:rPr>
      </w:pPr>
      <w:r w:rsidRPr="00655F90">
        <w:rPr>
          <w:rFonts w:eastAsia="Times New Roman" w:cstheme="minorHAnsi"/>
          <w:sz w:val="24"/>
          <w:szCs w:val="24"/>
          <w:lang w:val="pl-PL" w:eastAsia="en-GB"/>
        </w:rPr>
        <w:t>identyfikacja rozwiązań opracowanych w ramach różnych projektów Interreg i innych finansowanych przez UE odpowiednich dla regionu Morza Bałtyckiego, ich strukturyzacja i dokonywanie syntez w oparciu o potrzeby grup docelowych;</w:t>
      </w:r>
    </w:p>
    <w:p w14:paraId="0F335794" w14:textId="2BBC8BA9" w:rsidR="00AB561F" w:rsidRPr="00000498" w:rsidRDefault="00AB561F" w:rsidP="00000498">
      <w:pPr>
        <w:pStyle w:val="Akapitzlist"/>
        <w:numPr>
          <w:ilvl w:val="0"/>
          <w:numId w:val="39"/>
        </w:numPr>
        <w:pBdr>
          <w:top w:val="single" w:sz="4" w:space="1" w:color="auto"/>
          <w:left w:val="single" w:sz="4" w:space="4" w:color="auto"/>
          <w:bottom w:val="single" w:sz="4" w:space="1" w:color="auto"/>
          <w:right w:val="single" w:sz="4" w:space="4" w:color="auto"/>
        </w:pBdr>
        <w:ind w:left="431" w:hanging="431"/>
        <w:rPr>
          <w:rFonts w:eastAsia="Times New Roman" w:cstheme="minorHAnsi"/>
          <w:sz w:val="24"/>
          <w:szCs w:val="24"/>
          <w:lang w:val="pl-PL" w:eastAsia="en-GB"/>
        </w:rPr>
      </w:pPr>
      <w:r w:rsidRPr="00000498">
        <w:rPr>
          <w:rFonts w:eastAsia="Times New Roman" w:cstheme="minorHAnsi"/>
          <w:sz w:val="24"/>
          <w:szCs w:val="24"/>
          <w:lang w:val="pl-PL" w:eastAsia="en-GB"/>
        </w:rPr>
        <w:t>analiza know-how wypracowanego w ramach projektów badawczych i innowacyjnych oraz doświadczeń z projektami inwestycyjnymi współfinansowanymi ze środków UE i łączenie ich z wynikami projektów Interreg;</w:t>
      </w:r>
    </w:p>
    <w:p w14:paraId="427260DF" w14:textId="7B46A962" w:rsidR="00DD19D7" w:rsidRPr="00000498" w:rsidRDefault="00AB561F" w:rsidP="00000498">
      <w:pPr>
        <w:pStyle w:val="Akapitzlist"/>
        <w:numPr>
          <w:ilvl w:val="0"/>
          <w:numId w:val="39"/>
        </w:numPr>
        <w:pBdr>
          <w:top w:val="single" w:sz="4" w:space="1" w:color="auto"/>
          <w:left w:val="single" w:sz="4" w:space="4" w:color="auto"/>
          <w:bottom w:val="single" w:sz="4" w:space="1" w:color="auto"/>
          <w:right w:val="single" w:sz="4" w:space="4" w:color="auto"/>
        </w:pBdr>
        <w:ind w:left="431" w:hanging="431"/>
        <w:rPr>
          <w:rFonts w:eastAsia="Times New Roman" w:cstheme="minorHAnsi"/>
          <w:sz w:val="24"/>
          <w:szCs w:val="24"/>
          <w:lang w:val="pl-PL" w:eastAsia="en-GB"/>
        </w:rPr>
      </w:pPr>
      <w:r w:rsidRPr="00000498">
        <w:rPr>
          <w:rFonts w:eastAsia="Times New Roman" w:cstheme="minorHAnsi"/>
          <w:sz w:val="24"/>
          <w:szCs w:val="24"/>
          <w:lang w:val="pl-PL" w:eastAsia="en-GB"/>
        </w:rPr>
        <w:lastRenderedPageBreak/>
        <w:t>ustanowienie kanałów komunikacji i narzędzi edukacyjnych w celu dotarcia do władz publicznych i innych organizacji na rzecz zapewnienia im dostępu do syntez rozwiązań</w:t>
      </w:r>
      <w:r w:rsidR="00DD19D7" w:rsidRPr="00000498">
        <w:rPr>
          <w:rFonts w:eastAsia="Times New Roman" w:cstheme="minorHAnsi"/>
          <w:sz w:val="24"/>
          <w:szCs w:val="24"/>
          <w:lang w:val="pl-PL" w:eastAsia="en-GB"/>
        </w:rPr>
        <w:t>;</w:t>
      </w:r>
    </w:p>
    <w:p w14:paraId="1E93C035" w14:textId="60DD1062" w:rsidR="00AB561F" w:rsidRPr="00000498" w:rsidRDefault="00AB561F" w:rsidP="00000498">
      <w:pPr>
        <w:pStyle w:val="Akapitzlist"/>
        <w:numPr>
          <w:ilvl w:val="0"/>
          <w:numId w:val="39"/>
        </w:numPr>
        <w:pBdr>
          <w:top w:val="single" w:sz="4" w:space="1" w:color="auto"/>
          <w:left w:val="single" w:sz="4" w:space="4" w:color="auto"/>
          <w:bottom w:val="single" w:sz="4" w:space="1" w:color="auto"/>
          <w:right w:val="single" w:sz="4" w:space="4" w:color="auto"/>
        </w:pBdr>
        <w:ind w:left="431" w:hanging="431"/>
        <w:rPr>
          <w:rFonts w:eastAsia="Times New Roman" w:cstheme="minorHAnsi"/>
          <w:sz w:val="24"/>
          <w:szCs w:val="24"/>
          <w:lang w:val="pl-PL" w:eastAsia="en-GB"/>
        </w:rPr>
      </w:pPr>
      <w:r w:rsidRPr="00000498">
        <w:rPr>
          <w:rFonts w:eastAsia="Times New Roman" w:cstheme="minorHAnsi"/>
          <w:sz w:val="24"/>
          <w:szCs w:val="24"/>
          <w:lang w:val="pl-PL" w:eastAsia="en-GB"/>
        </w:rPr>
        <w:t>wprowadzanie syntez rozwiązań do codziennej pracy władz publicznych, wyspecjalizowanych agencji i innych organizacji działających w tych obszarach tematycznych;</w:t>
      </w:r>
    </w:p>
    <w:p w14:paraId="254165A1" w14:textId="1BCA5C24" w:rsidR="00AB561F" w:rsidRPr="00000498" w:rsidRDefault="00AB561F" w:rsidP="00000498">
      <w:pPr>
        <w:pStyle w:val="Akapitzlist"/>
        <w:numPr>
          <w:ilvl w:val="0"/>
          <w:numId w:val="39"/>
        </w:numPr>
        <w:pBdr>
          <w:top w:val="single" w:sz="4" w:space="1" w:color="auto"/>
          <w:left w:val="single" w:sz="4" w:space="4" w:color="auto"/>
          <w:bottom w:val="single" w:sz="4" w:space="1" w:color="auto"/>
          <w:right w:val="single" w:sz="4" w:space="4" w:color="auto"/>
        </w:pBdr>
        <w:ind w:left="431" w:hanging="431"/>
        <w:rPr>
          <w:rFonts w:eastAsia="Times New Roman" w:cstheme="minorHAnsi"/>
          <w:sz w:val="24"/>
          <w:szCs w:val="24"/>
          <w:lang w:val="pl-PL" w:eastAsia="en-GB"/>
        </w:rPr>
      </w:pPr>
      <w:r w:rsidRPr="00000498">
        <w:rPr>
          <w:rFonts w:eastAsia="Times New Roman" w:cstheme="minorHAnsi"/>
          <w:sz w:val="24"/>
          <w:szCs w:val="24"/>
          <w:lang w:val="pl-PL" w:eastAsia="en-GB"/>
        </w:rPr>
        <w:t>odpowiadanie na potrzeby w zakresie kształtowania polityki dotyczące złożonych wyzwań wymagających rozwiązań pochodzących z różnych programów Interreg i innych finansowanych przez UE na różnych poziomach zarządzania i w różnych sektorach;</w:t>
      </w:r>
    </w:p>
    <w:p w14:paraId="33FFA266" w14:textId="3D3D9111" w:rsidR="00DD19D7" w:rsidRPr="00000498" w:rsidRDefault="00AB561F" w:rsidP="00000498">
      <w:pPr>
        <w:pStyle w:val="Akapitzlist"/>
        <w:numPr>
          <w:ilvl w:val="0"/>
          <w:numId w:val="39"/>
        </w:numPr>
        <w:pBdr>
          <w:top w:val="single" w:sz="4" w:space="1" w:color="auto"/>
          <w:left w:val="single" w:sz="4" w:space="4" w:color="auto"/>
          <w:bottom w:val="single" w:sz="4" w:space="1" w:color="auto"/>
          <w:right w:val="single" w:sz="4" w:space="4" w:color="auto"/>
        </w:pBdr>
        <w:ind w:left="431" w:hanging="431"/>
        <w:rPr>
          <w:rFonts w:eastAsia="Times New Roman" w:cstheme="minorHAnsi"/>
          <w:sz w:val="24"/>
          <w:szCs w:val="24"/>
          <w:lang w:val="pl-PL" w:eastAsia="en-GB"/>
        </w:rPr>
      </w:pPr>
      <w:r w:rsidRPr="00000498">
        <w:rPr>
          <w:rFonts w:eastAsia="Times New Roman" w:cstheme="minorHAnsi"/>
          <w:sz w:val="24"/>
          <w:szCs w:val="24"/>
          <w:lang w:val="pl-PL" w:eastAsia="en-GB"/>
        </w:rPr>
        <w:t>docieranie do odpowiednich organów politycznych i decyzyjnych oraz innych organizacji na poziomie krajowym i panbałtyckim oraz dostarczanie im ulepszonych wyników z różnych projektów Interreg i innych finansowanych przez UE, w celu bardziej efektywnego opracowywania polityki i struktur zarządzania</w:t>
      </w:r>
      <w:r w:rsidR="00DD19D7" w:rsidRPr="00000498">
        <w:rPr>
          <w:rFonts w:eastAsia="Times New Roman" w:cstheme="minorHAnsi"/>
          <w:sz w:val="24"/>
          <w:szCs w:val="24"/>
          <w:lang w:val="pl-PL" w:eastAsia="en-GB"/>
        </w:rPr>
        <w:t>.</w:t>
      </w:r>
    </w:p>
    <w:p w14:paraId="7105F6E6" w14:textId="5706EDF5" w:rsidR="00DD19D7" w:rsidRPr="00000498" w:rsidRDefault="00813365" w:rsidP="00000498">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b/>
          <w:szCs w:val="24"/>
          <w:lang w:val="pl-PL" w:eastAsia="en-GB"/>
        </w:rPr>
      </w:pPr>
      <w:r w:rsidRPr="00000498">
        <w:rPr>
          <w:rFonts w:asciiTheme="minorHAnsi" w:eastAsia="Times New Roman" w:hAnsiTheme="minorHAnsi" w:cstheme="minorHAnsi"/>
          <w:b/>
          <w:szCs w:val="24"/>
          <w:lang w:val="pl-PL" w:eastAsia="en-GB"/>
        </w:rPr>
        <w:t>Wkład do wybranego działania</w:t>
      </w:r>
    </w:p>
    <w:p w14:paraId="0CDDB936" w14:textId="0C2BB157" w:rsidR="00DD19D7" w:rsidRPr="00000498" w:rsidRDefault="00AB561F" w:rsidP="00000498">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 xml:space="preserve">Działania te przyczyniają się do tego wybranego działania poprzez wzmacnianie zdolności instytucjonalnych władz publicznych i innych interesariuszy do kierowania i zarządzania ich obszarami odpowiedzialności poprzez syntezę wyników z różnych programów finansowania UE, w różnych obszarach tematycznych. Działania te </w:t>
      </w:r>
      <w:r w:rsidR="00253070" w:rsidRPr="00000498">
        <w:rPr>
          <w:rFonts w:asciiTheme="minorHAnsi" w:eastAsia="Times New Roman" w:hAnsiTheme="minorHAnsi" w:cstheme="minorHAnsi"/>
          <w:szCs w:val="24"/>
          <w:lang w:val="pl-PL" w:eastAsia="en-GB"/>
        </w:rPr>
        <w:t xml:space="preserve">zwiększają wpływ </w:t>
      </w:r>
      <w:r w:rsidRPr="00000498">
        <w:rPr>
          <w:rFonts w:asciiTheme="minorHAnsi" w:eastAsia="Times New Roman" w:hAnsiTheme="minorHAnsi" w:cstheme="minorHAnsi"/>
          <w:szCs w:val="24"/>
          <w:lang w:val="pl-PL" w:eastAsia="en-GB"/>
        </w:rPr>
        <w:t>rezultat</w:t>
      </w:r>
      <w:r w:rsidR="00253070" w:rsidRPr="00000498">
        <w:rPr>
          <w:rFonts w:asciiTheme="minorHAnsi" w:eastAsia="Times New Roman" w:hAnsiTheme="minorHAnsi" w:cstheme="minorHAnsi"/>
          <w:szCs w:val="24"/>
          <w:lang w:val="pl-PL" w:eastAsia="en-GB"/>
        </w:rPr>
        <w:t>ów</w:t>
      </w:r>
      <w:r w:rsidRPr="00000498">
        <w:rPr>
          <w:rFonts w:asciiTheme="minorHAnsi" w:eastAsia="Times New Roman" w:hAnsiTheme="minorHAnsi" w:cstheme="minorHAnsi"/>
          <w:szCs w:val="24"/>
          <w:lang w:val="pl-PL" w:eastAsia="en-GB"/>
        </w:rPr>
        <w:t xml:space="preserve"> projektów oraz </w:t>
      </w:r>
      <w:r w:rsidR="00253070" w:rsidRPr="00000498">
        <w:rPr>
          <w:rFonts w:asciiTheme="minorHAnsi" w:eastAsia="Times New Roman" w:hAnsiTheme="minorHAnsi" w:cstheme="minorHAnsi"/>
          <w:szCs w:val="24"/>
          <w:lang w:val="pl-PL" w:eastAsia="en-GB"/>
        </w:rPr>
        <w:t xml:space="preserve">wspierają w </w:t>
      </w:r>
      <w:r w:rsidRPr="00000498">
        <w:rPr>
          <w:rFonts w:asciiTheme="minorHAnsi" w:eastAsia="Times New Roman" w:hAnsiTheme="minorHAnsi" w:cstheme="minorHAnsi"/>
          <w:szCs w:val="24"/>
          <w:lang w:val="pl-PL" w:eastAsia="en-GB"/>
        </w:rPr>
        <w:t>aktywn</w:t>
      </w:r>
      <w:r w:rsidR="00253070" w:rsidRPr="00000498">
        <w:rPr>
          <w:rFonts w:asciiTheme="minorHAnsi" w:eastAsia="Times New Roman" w:hAnsiTheme="minorHAnsi" w:cstheme="minorHAnsi"/>
          <w:szCs w:val="24"/>
          <w:lang w:val="pl-PL" w:eastAsia="en-GB"/>
        </w:rPr>
        <w:t>ym</w:t>
      </w:r>
      <w:r w:rsidRPr="00000498">
        <w:rPr>
          <w:rFonts w:asciiTheme="minorHAnsi" w:eastAsia="Times New Roman" w:hAnsiTheme="minorHAnsi" w:cstheme="minorHAnsi"/>
          <w:szCs w:val="24"/>
          <w:lang w:val="pl-PL" w:eastAsia="en-GB"/>
        </w:rPr>
        <w:t xml:space="preserve"> poszukiwa</w:t>
      </w:r>
      <w:r w:rsidR="00253070" w:rsidRPr="00000498">
        <w:rPr>
          <w:rFonts w:asciiTheme="minorHAnsi" w:eastAsia="Times New Roman" w:hAnsiTheme="minorHAnsi" w:cstheme="minorHAnsi"/>
          <w:szCs w:val="24"/>
          <w:lang w:val="pl-PL" w:eastAsia="en-GB"/>
        </w:rPr>
        <w:t>niu</w:t>
      </w:r>
      <w:r w:rsidRPr="00000498">
        <w:rPr>
          <w:rFonts w:asciiTheme="minorHAnsi" w:eastAsia="Times New Roman" w:hAnsiTheme="minorHAnsi" w:cstheme="minorHAnsi"/>
          <w:szCs w:val="24"/>
          <w:lang w:val="pl-PL" w:eastAsia="en-GB"/>
        </w:rPr>
        <w:t xml:space="preserve"> i wykorzystywa</w:t>
      </w:r>
      <w:r w:rsidR="00253070" w:rsidRPr="00000498">
        <w:rPr>
          <w:rFonts w:asciiTheme="minorHAnsi" w:eastAsia="Times New Roman" w:hAnsiTheme="minorHAnsi" w:cstheme="minorHAnsi"/>
          <w:szCs w:val="24"/>
          <w:lang w:val="pl-PL" w:eastAsia="en-GB"/>
        </w:rPr>
        <w:t xml:space="preserve">niu </w:t>
      </w:r>
      <w:r w:rsidRPr="00000498">
        <w:rPr>
          <w:rFonts w:asciiTheme="minorHAnsi" w:eastAsia="Times New Roman" w:hAnsiTheme="minorHAnsi" w:cstheme="minorHAnsi"/>
          <w:szCs w:val="24"/>
          <w:lang w:val="pl-PL" w:eastAsia="en-GB"/>
        </w:rPr>
        <w:t>synergi</w:t>
      </w:r>
      <w:r w:rsidR="00253070" w:rsidRPr="00000498">
        <w:rPr>
          <w:rFonts w:asciiTheme="minorHAnsi" w:eastAsia="Times New Roman" w:hAnsiTheme="minorHAnsi" w:cstheme="minorHAnsi"/>
          <w:szCs w:val="24"/>
          <w:lang w:val="pl-PL" w:eastAsia="en-GB"/>
        </w:rPr>
        <w:t>i</w:t>
      </w:r>
      <w:r w:rsidRPr="00000498">
        <w:rPr>
          <w:rFonts w:asciiTheme="minorHAnsi" w:eastAsia="Times New Roman" w:hAnsiTheme="minorHAnsi" w:cstheme="minorHAnsi"/>
          <w:szCs w:val="24"/>
          <w:lang w:val="pl-PL" w:eastAsia="en-GB"/>
        </w:rPr>
        <w:t xml:space="preserve"> między funduszami UE</w:t>
      </w:r>
      <w:r w:rsidR="00DD19D7" w:rsidRPr="00000498">
        <w:rPr>
          <w:rFonts w:asciiTheme="minorHAnsi" w:eastAsia="Times New Roman" w:hAnsiTheme="minorHAnsi" w:cstheme="minorHAnsi"/>
          <w:szCs w:val="24"/>
          <w:lang w:val="pl-PL" w:eastAsia="en-GB"/>
        </w:rPr>
        <w:t xml:space="preserve">. </w:t>
      </w:r>
    </w:p>
    <w:p w14:paraId="31171693" w14:textId="2F2A5535" w:rsidR="00DD19D7" w:rsidRPr="00000498" w:rsidRDefault="002827BD" w:rsidP="00000498">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b/>
          <w:szCs w:val="24"/>
          <w:lang w:val="pl-PL" w:eastAsia="en-GB"/>
        </w:rPr>
      </w:pPr>
      <w:r w:rsidRPr="00000498">
        <w:rPr>
          <w:rFonts w:asciiTheme="minorHAnsi" w:eastAsia="Times New Roman" w:hAnsiTheme="minorHAnsi" w:cstheme="minorHAnsi"/>
          <w:b/>
          <w:szCs w:val="24"/>
          <w:lang w:val="pl-PL" w:eastAsia="en-GB"/>
        </w:rPr>
        <w:t xml:space="preserve">Wkład w </w:t>
      </w:r>
      <w:r w:rsidR="00655F90">
        <w:rPr>
          <w:rFonts w:asciiTheme="minorHAnsi" w:eastAsia="Times New Roman" w:hAnsiTheme="minorHAnsi" w:cstheme="minorHAnsi"/>
          <w:b/>
          <w:szCs w:val="24"/>
          <w:lang w:val="pl-PL" w:eastAsia="en-GB"/>
        </w:rPr>
        <w:t>S</w:t>
      </w:r>
      <w:r w:rsidRPr="00000498">
        <w:rPr>
          <w:rFonts w:asciiTheme="minorHAnsi" w:eastAsia="Times New Roman" w:hAnsiTheme="minorHAnsi" w:cstheme="minorHAnsi"/>
          <w:b/>
          <w:szCs w:val="24"/>
          <w:lang w:val="pl-PL" w:eastAsia="en-GB"/>
        </w:rPr>
        <w:t>trategię UE dla regionu Morza Bałtyckiego</w:t>
      </w:r>
    </w:p>
    <w:p w14:paraId="5DC9C397" w14:textId="472D0918" w:rsidR="00DD19D7" w:rsidRPr="00000498" w:rsidRDefault="004557AC" w:rsidP="00000498">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Przedmiotowe działania</w:t>
      </w:r>
      <w:r w:rsidR="00AB561F" w:rsidRPr="00000498">
        <w:rPr>
          <w:rFonts w:asciiTheme="minorHAnsi" w:eastAsia="Times New Roman" w:hAnsiTheme="minorHAnsi" w:cstheme="minorHAnsi"/>
          <w:szCs w:val="24"/>
          <w:lang w:val="pl-PL" w:eastAsia="en-GB"/>
        </w:rPr>
        <w:t xml:space="preserve"> przyczyniają się do realizacji wszystkich trzech celów SUE RMB, tj. </w:t>
      </w:r>
      <w:r w:rsidR="002C70F0" w:rsidRPr="00000498">
        <w:rPr>
          <w:rFonts w:asciiTheme="minorHAnsi" w:eastAsia="Times New Roman" w:hAnsiTheme="minorHAnsi" w:cstheme="minorHAnsi"/>
          <w:szCs w:val="24"/>
          <w:lang w:val="pl-PL" w:eastAsia="en-GB"/>
        </w:rPr>
        <w:t>ochrona</w:t>
      </w:r>
      <w:r w:rsidR="00AB561F" w:rsidRPr="00000498">
        <w:rPr>
          <w:rFonts w:asciiTheme="minorHAnsi" w:eastAsia="Times New Roman" w:hAnsiTheme="minorHAnsi" w:cstheme="minorHAnsi"/>
          <w:szCs w:val="24"/>
          <w:lang w:val="pl-PL" w:eastAsia="en-GB"/>
        </w:rPr>
        <w:t xml:space="preserve"> morza, łączenie regionu i zwiększenie dobrobytu. Działania stanowią syntezę rozwiązań zgodnych z wieloma </w:t>
      </w:r>
      <w:r w:rsidR="000C5539" w:rsidRPr="00000498">
        <w:rPr>
          <w:rFonts w:asciiTheme="minorHAnsi" w:eastAsia="Times New Roman" w:hAnsiTheme="minorHAnsi" w:cstheme="minorHAnsi"/>
          <w:szCs w:val="24"/>
          <w:lang w:val="pl-PL" w:eastAsia="en-GB"/>
        </w:rPr>
        <w:t>Obszarami Tematycznymi</w:t>
      </w:r>
      <w:r w:rsidR="00AB561F" w:rsidRPr="00000498">
        <w:rPr>
          <w:rFonts w:asciiTheme="minorHAnsi" w:eastAsia="Times New Roman" w:hAnsiTheme="minorHAnsi" w:cstheme="minorHAnsi"/>
          <w:szCs w:val="24"/>
          <w:lang w:val="pl-PL" w:eastAsia="en-GB"/>
        </w:rPr>
        <w:t xml:space="preserve"> (</w:t>
      </w:r>
      <w:r w:rsidR="000C5539" w:rsidRPr="00000498">
        <w:rPr>
          <w:rFonts w:asciiTheme="minorHAnsi" w:eastAsia="Times New Roman" w:hAnsiTheme="minorHAnsi" w:cstheme="minorHAnsi"/>
          <w:szCs w:val="24"/>
          <w:lang w:val="pl-PL" w:eastAsia="en-GB"/>
        </w:rPr>
        <w:t>OT</w:t>
      </w:r>
      <w:r w:rsidR="00AB561F" w:rsidRPr="00000498">
        <w:rPr>
          <w:rFonts w:asciiTheme="minorHAnsi" w:eastAsia="Times New Roman" w:hAnsiTheme="minorHAnsi" w:cstheme="minorHAnsi"/>
          <w:szCs w:val="24"/>
          <w:lang w:val="pl-PL" w:eastAsia="en-GB"/>
        </w:rPr>
        <w:t xml:space="preserve">) SUE RMB, np. </w:t>
      </w:r>
      <w:r w:rsidR="000C5539" w:rsidRPr="00000498">
        <w:rPr>
          <w:rFonts w:asciiTheme="minorHAnsi" w:eastAsia="Times New Roman" w:hAnsiTheme="minorHAnsi" w:cstheme="minorHAnsi"/>
          <w:szCs w:val="24"/>
          <w:lang w:val="pl-PL" w:eastAsia="en-GB"/>
        </w:rPr>
        <w:t>OT Biogeny</w:t>
      </w:r>
      <w:r w:rsidR="00AB561F" w:rsidRPr="00000498">
        <w:rPr>
          <w:rFonts w:asciiTheme="minorHAnsi" w:eastAsia="Times New Roman" w:hAnsiTheme="minorHAnsi" w:cstheme="minorHAnsi"/>
          <w:szCs w:val="24"/>
          <w:lang w:val="pl-PL" w:eastAsia="en-GB"/>
        </w:rPr>
        <w:t xml:space="preserve">, Biogospodarka, Innowacje, Statki, Planowanie Przestrzenne, Zagrożenia, Energia i Transport. </w:t>
      </w:r>
      <w:r w:rsidR="00253070" w:rsidRPr="00000498">
        <w:rPr>
          <w:rFonts w:asciiTheme="minorHAnsi" w:eastAsia="Times New Roman" w:hAnsiTheme="minorHAnsi" w:cstheme="minorHAnsi"/>
          <w:szCs w:val="24"/>
          <w:lang w:val="pl-PL" w:eastAsia="en-GB"/>
        </w:rPr>
        <w:t>D</w:t>
      </w:r>
      <w:r w:rsidR="00AB561F" w:rsidRPr="00000498">
        <w:rPr>
          <w:rFonts w:asciiTheme="minorHAnsi" w:eastAsia="Times New Roman" w:hAnsiTheme="minorHAnsi" w:cstheme="minorHAnsi"/>
          <w:szCs w:val="24"/>
          <w:lang w:val="pl-PL" w:eastAsia="en-GB"/>
        </w:rPr>
        <w:t xml:space="preserve">okonują </w:t>
      </w:r>
      <w:r w:rsidR="00253070" w:rsidRPr="00000498">
        <w:rPr>
          <w:rFonts w:asciiTheme="minorHAnsi" w:eastAsia="Times New Roman" w:hAnsiTheme="minorHAnsi" w:cstheme="minorHAnsi"/>
          <w:szCs w:val="24"/>
          <w:lang w:val="pl-PL" w:eastAsia="en-GB"/>
        </w:rPr>
        <w:t xml:space="preserve">aktywnego </w:t>
      </w:r>
      <w:r w:rsidR="00AB561F" w:rsidRPr="00000498">
        <w:rPr>
          <w:rFonts w:asciiTheme="minorHAnsi" w:eastAsia="Times New Roman" w:hAnsiTheme="minorHAnsi" w:cstheme="minorHAnsi"/>
          <w:szCs w:val="24"/>
          <w:lang w:val="pl-PL" w:eastAsia="en-GB"/>
        </w:rPr>
        <w:t xml:space="preserve">przeglądu rozwiązań opracowanych w ramach różnych programów finansowania UE, zgodnie z celami </w:t>
      </w:r>
      <w:r w:rsidR="000C5539" w:rsidRPr="00000498">
        <w:rPr>
          <w:rFonts w:asciiTheme="minorHAnsi" w:eastAsia="Times New Roman" w:hAnsiTheme="minorHAnsi" w:cstheme="minorHAnsi"/>
          <w:szCs w:val="24"/>
          <w:lang w:val="pl-PL" w:eastAsia="en-GB"/>
        </w:rPr>
        <w:t>Obszarów Tematycznych</w:t>
      </w:r>
      <w:r w:rsidR="00AB561F" w:rsidRPr="00000498">
        <w:rPr>
          <w:rFonts w:asciiTheme="minorHAnsi" w:eastAsia="Times New Roman" w:hAnsiTheme="minorHAnsi" w:cstheme="minorHAnsi"/>
          <w:szCs w:val="24"/>
          <w:lang w:val="pl-PL" w:eastAsia="en-GB"/>
        </w:rPr>
        <w:t xml:space="preserve"> a także z ich komunikacją i zastosowaniem na poziomie polityki i wśród praktyków</w:t>
      </w:r>
      <w:r w:rsidR="00DD19D7" w:rsidRPr="00000498">
        <w:rPr>
          <w:rFonts w:asciiTheme="minorHAnsi" w:eastAsia="Times New Roman" w:hAnsiTheme="minorHAnsi" w:cstheme="minorHAnsi"/>
          <w:szCs w:val="24"/>
          <w:lang w:val="pl-PL" w:eastAsia="en-GB"/>
        </w:rPr>
        <w:t xml:space="preserve">. </w:t>
      </w:r>
    </w:p>
    <w:p w14:paraId="20616EEB" w14:textId="01D625C0" w:rsidR="00DD19D7" w:rsidRPr="00000498" w:rsidRDefault="002827BD" w:rsidP="00000498">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b/>
          <w:szCs w:val="24"/>
          <w:lang w:val="pl-PL" w:eastAsia="en-GB"/>
        </w:rPr>
      </w:pPr>
      <w:r w:rsidRPr="00000498">
        <w:rPr>
          <w:rFonts w:asciiTheme="minorHAnsi" w:eastAsia="Times New Roman" w:hAnsiTheme="minorHAnsi" w:cstheme="minorHAnsi"/>
          <w:b/>
          <w:szCs w:val="24"/>
          <w:lang w:val="pl-PL" w:eastAsia="en-GB"/>
        </w:rPr>
        <w:t>Oczekiwany rezultat</w:t>
      </w:r>
      <w:r w:rsidR="00DD19D7" w:rsidRPr="00000498">
        <w:rPr>
          <w:rFonts w:asciiTheme="minorHAnsi" w:eastAsia="Times New Roman" w:hAnsiTheme="minorHAnsi" w:cstheme="minorHAnsi"/>
          <w:b/>
          <w:szCs w:val="24"/>
          <w:lang w:val="pl-PL" w:eastAsia="en-GB"/>
        </w:rPr>
        <w:t xml:space="preserve"> </w:t>
      </w:r>
    </w:p>
    <w:p w14:paraId="5F2C30A6" w14:textId="638DB081" w:rsidR="005B1732" w:rsidRPr="00000498" w:rsidRDefault="00AB561F" w:rsidP="00000498">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 xml:space="preserve">Działania </w:t>
      </w:r>
      <w:r w:rsidR="004557AC" w:rsidRPr="00000498">
        <w:rPr>
          <w:rFonts w:asciiTheme="minorHAnsi" w:eastAsia="Times New Roman" w:hAnsiTheme="minorHAnsi" w:cstheme="minorHAnsi"/>
          <w:szCs w:val="24"/>
          <w:lang w:val="pl-PL" w:eastAsia="en-GB"/>
        </w:rPr>
        <w:t>oferują</w:t>
      </w:r>
      <w:r w:rsidRPr="00000498">
        <w:rPr>
          <w:rFonts w:asciiTheme="minorHAnsi" w:eastAsia="Times New Roman" w:hAnsiTheme="minorHAnsi" w:cstheme="minorHAnsi"/>
          <w:szCs w:val="24"/>
          <w:lang w:val="pl-PL" w:eastAsia="en-GB"/>
        </w:rPr>
        <w:t xml:space="preserve"> </w:t>
      </w:r>
      <w:r w:rsidR="004557AC" w:rsidRPr="00000498">
        <w:rPr>
          <w:rFonts w:asciiTheme="minorHAnsi" w:eastAsia="Times New Roman" w:hAnsiTheme="minorHAnsi" w:cstheme="minorHAnsi"/>
          <w:szCs w:val="24"/>
          <w:lang w:val="pl-PL" w:eastAsia="en-GB"/>
        </w:rPr>
        <w:t xml:space="preserve">również wsparcie dla </w:t>
      </w:r>
      <w:r w:rsidRPr="00000498">
        <w:rPr>
          <w:rFonts w:asciiTheme="minorHAnsi" w:eastAsia="Times New Roman" w:hAnsiTheme="minorHAnsi" w:cstheme="minorHAnsi"/>
          <w:szCs w:val="24"/>
          <w:lang w:val="pl-PL" w:eastAsia="en-GB"/>
        </w:rPr>
        <w:t>władz publiczn</w:t>
      </w:r>
      <w:r w:rsidR="004557AC" w:rsidRPr="00000498">
        <w:rPr>
          <w:rFonts w:asciiTheme="minorHAnsi" w:eastAsia="Times New Roman" w:hAnsiTheme="minorHAnsi" w:cstheme="minorHAnsi"/>
          <w:szCs w:val="24"/>
          <w:lang w:val="pl-PL" w:eastAsia="en-GB"/>
        </w:rPr>
        <w:t>ych</w:t>
      </w:r>
      <w:r w:rsidRPr="00000498">
        <w:rPr>
          <w:rFonts w:asciiTheme="minorHAnsi" w:eastAsia="Times New Roman" w:hAnsiTheme="minorHAnsi" w:cstheme="minorHAnsi"/>
          <w:szCs w:val="24"/>
          <w:lang w:val="pl-PL" w:eastAsia="en-GB"/>
        </w:rPr>
        <w:t xml:space="preserve"> i inn</w:t>
      </w:r>
      <w:r w:rsidR="004557AC" w:rsidRPr="00000498">
        <w:rPr>
          <w:rFonts w:asciiTheme="minorHAnsi" w:eastAsia="Times New Roman" w:hAnsiTheme="minorHAnsi" w:cstheme="minorHAnsi"/>
          <w:szCs w:val="24"/>
          <w:lang w:val="pl-PL" w:eastAsia="en-GB"/>
        </w:rPr>
        <w:t>ych</w:t>
      </w:r>
      <w:r w:rsidRPr="00000498">
        <w:rPr>
          <w:rFonts w:asciiTheme="minorHAnsi" w:eastAsia="Times New Roman" w:hAnsiTheme="minorHAnsi" w:cstheme="minorHAnsi"/>
          <w:szCs w:val="24"/>
          <w:lang w:val="pl-PL" w:eastAsia="en-GB"/>
        </w:rPr>
        <w:t xml:space="preserve"> organizacj</w:t>
      </w:r>
      <w:r w:rsidR="004557AC" w:rsidRPr="00000498">
        <w:rPr>
          <w:rFonts w:asciiTheme="minorHAnsi" w:eastAsia="Times New Roman" w:hAnsiTheme="minorHAnsi" w:cstheme="minorHAnsi"/>
          <w:szCs w:val="24"/>
          <w:lang w:val="pl-PL" w:eastAsia="en-GB"/>
        </w:rPr>
        <w:t>i</w:t>
      </w:r>
      <w:r w:rsidRPr="00000498">
        <w:rPr>
          <w:rFonts w:asciiTheme="minorHAnsi" w:eastAsia="Times New Roman" w:hAnsiTheme="minorHAnsi" w:cstheme="minorHAnsi"/>
          <w:szCs w:val="24"/>
          <w:lang w:val="pl-PL" w:eastAsia="en-GB"/>
        </w:rPr>
        <w:t xml:space="preserve"> w poruszaniu się po wynikach wielu projektów opracowanych w ramach różnych programów finansowania UE i w różnych obszarach tematycznych. Działania</w:t>
      </w:r>
      <w:r w:rsidR="00997378" w:rsidRPr="00000498">
        <w:rPr>
          <w:rFonts w:asciiTheme="minorHAnsi" w:eastAsia="Times New Roman" w:hAnsiTheme="minorHAnsi" w:cstheme="minorHAnsi"/>
          <w:szCs w:val="24"/>
          <w:lang w:val="pl-PL" w:eastAsia="en-GB"/>
        </w:rPr>
        <w:t xml:space="preserve"> wspierają te grupy docelowe w </w:t>
      </w:r>
      <w:r w:rsidR="004557AC" w:rsidRPr="00000498">
        <w:rPr>
          <w:rFonts w:asciiTheme="minorHAnsi" w:eastAsia="Times New Roman" w:hAnsiTheme="minorHAnsi" w:cstheme="minorHAnsi"/>
          <w:szCs w:val="24"/>
          <w:lang w:val="pl-PL" w:eastAsia="en-GB"/>
        </w:rPr>
        <w:t>odkrywaniu</w:t>
      </w:r>
      <w:r w:rsidRPr="00000498">
        <w:rPr>
          <w:rFonts w:asciiTheme="minorHAnsi" w:eastAsia="Times New Roman" w:hAnsiTheme="minorHAnsi" w:cstheme="minorHAnsi"/>
          <w:szCs w:val="24"/>
          <w:lang w:val="pl-PL" w:eastAsia="en-GB"/>
        </w:rPr>
        <w:t xml:space="preserve">, jakie rozwiązania są dla nich przydatne i jak zastosować je w codziennej pracy. Pomagają ulepszyć procesy kształtowania polityki i struktury zarządzania w regionach. W rezultacie, główne grupy docelowe Programów zwiększają swoją zdolność do kierowania i zarządzania obszarami odpowiedzialności w swoich regionach i </w:t>
      </w:r>
      <w:r w:rsidR="004557AC" w:rsidRPr="00000498">
        <w:rPr>
          <w:rFonts w:asciiTheme="minorHAnsi" w:eastAsia="Times New Roman" w:hAnsiTheme="minorHAnsi" w:cstheme="minorHAnsi"/>
          <w:szCs w:val="24"/>
          <w:lang w:val="pl-PL" w:eastAsia="en-GB"/>
        </w:rPr>
        <w:t xml:space="preserve">wymiarze </w:t>
      </w:r>
      <w:r w:rsidRPr="00000498">
        <w:rPr>
          <w:rFonts w:asciiTheme="minorHAnsi" w:eastAsia="Times New Roman" w:hAnsiTheme="minorHAnsi" w:cstheme="minorHAnsi"/>
          <w:szCs w:val="24"/>
          <w:lang w:val="pl-PL" w:eastAsia="en-GB"/>
        </w:rPr>
        <w:t>transgraniczn</w:t>
      </w:r>
      <w:r w:rsidR="004557AC" w:rsidRPr="00000498">
        <w:rPr>
          <w:rFonts w:asciiTheme="minorHAnsi" w:eastAsia="Times New Roman" w:hAnsiTheme="minorHAnsi" w:cstheme="minorHAnsi"/>
          <w:szCs w:val="24"/>
          <w:lang w:val="pl-PL" w:eastAsia="en-GB"/>
        </w:rPr>
        <w:t>ym</w:t>
      </w:r>
      <w:r w:rsidRPr="00000498">
        <w:rPr>
          <w:rFonts w:asciiTheme="minorHAnsi" w:eastAsia="Times New Roman" w:hAnsiTheme="minorHAnsi" w:cstheme="minorHAnsi"/>
          <w:szCs w:val="24"/>
          <w:lang w:val="pl-PL" w:eastAsia="en-GB"/>
        </w:rPr>
        <w:t>. Mają większą zdolność do skuteczniejszego radzenia sobie z wyzwaniami terytorialnymi</w:t>
      </w:r>
      <w:r w:rsidR="00DD19D7" w:rsidRPr="00000498">
        <w:rPr>
          <w:rFonts w:asciiTheme="minorHAnsi" w:eastAsia="Times New Roman" w:hAnsiTheme="minorHAnsi" w:cstheme="minorHAnsi"/>
          <w:szCs w:val="24"/>
          <w:lang w:val="pl-PL" w:eastAsia="en-GB"/>
        </w:rPr>
        <w:t xml:space="preserve">.   </w:t>
      </w:r>
      <w:r w:rsidR="003349E4" w:rsidRPr="00000498">
        <w:rPr>
          <w:rFonts w:asciiTheme="minorHAnsi" w:eastAsia="Times New Roman" w:hAnsiTheme="minorHAnsi" w:cstheme="minorHAnsi"/>
          <w:szCs w:val="24"/>
          <w:lang w:val="pl-PL" w:eastAsia="en-GB"/>
        </w:rPr>
        <w:t xml:space="preserve"> </w:t>
      </w:r>
      <w:r w:rsidRPr="00000498">
        <w:rPr>
          <w:rFonts w:asciiTheme="minorHAnsi" w:eastAsia="Times New Roman" w:hAnsiTheme="minorHAnsi" w:cstheme="minorHAnsi"/>
          <w:szCs w:val="24"/>
          <w:lang w:val="pl-PL" w:eastAsia="en-GB"/>
        </w:rPr>
        <w:t xml:space="preserve"> </w:t>
      </w:r>
    </w:p>
    <w:p w14:paraId="3D533203" w14:textId="07F7F490" w:rsidR="005B1732" w:rsidRPr="00655F90" w:rsidRDefault="005B1732" w:rsidP="00000498">
      <w:pPr>
        <w:spacing w:before="240" w:after="240" w:line="276" w:lineRule="auto"/>
        <w:ind w:left="709" w:hanging="709"/>
        <w:rPr>
          <w:rFonts w:asciiTheme="minorHAnsi" w:eastAsia="Times New Roman" w:hAnsiTheme="minorHAnsi" w:cstheme="minorHAnsi"/>
          <w:b/>
          <w:iCs/>
          <w:szCs w:val="24"/>
          <w:lang w:val="pl-PL" w:eastAsia="en-GB"/>
        </w:rPr>
      </w:pPr>
      <w:r w:rsidRPr="00655F90">
        <w:rPr>
          <w:rFonts w:asciiTheme="minorHAnsi" w:eastAsia="Times New Roman" w:hAnsiTheme="minorHAnsi" w:cstheme="minorHAnsi"/>
          <w:b/>
          <w:iCs/>
          <w:szCs w:val="24"/>
          <w:lang w:val="pl-PL" w:eastAsia="en-GB"/>
        </w:rPr>
        <w:t>2.</w:t>
      </w:r>
      <w:r w:rsidR="003349E4" w:rsidRPr="00655F90">
        <w:rPr>
          <w:rFonts w:asciiTheme="minorHAnsi" w:eastAsia="Times New Roman" w:hAnsiTheme="minorHAnsi" w:cstheme="minorHAnsi"/>
          <w:b/>
          <w:iCs/>
          <w:szCs w:val="24"/>
          <w:lang w:val="pl-PL" w:eastAsia="en-GB"/>
        </w:rPr>
        <w:t>4</w:t>
      </w:r>
      <w:r w:rsidR="00AB561F" w:rsidRPr="00655F90">
        <w:rPr>
          <w:rFonts w:asciiTheme="minorHAnsi" w:eastAsia="Times New Roman" w:hAnsiTheme="minorHAnsi" w:cstheme="minorHAnsi"/>
          <w:b/>
          <w:iCs/>
          <w:szCs w:val="24"/>
          <w:lang w:val="pl-PL" w:eastAsia="en-GB"/>
        </w:rPr>
        <w:t>.1.2</w:t>
      </w:r>
      <w:r w:rsidR="00AB561F" w:rsidRPr="00655F90">
        <w:rPr>
          <w:rFonts w:asciiTheme="minorHAnsi" w:eastAsia="Times New Roman" w:hAnsiTheme="minorHAnsi" w:cstheme="minorHAnsi"/>
          <w:b/>
          <w:iCs/>
          <w:szCs w:val="24"/>
          <w:lang w:val="pl-PL" w:eastAsia="en-GB"/>
        </w:rPr>
        <w:tab/>
      </w:r>
      <w:r w:rsidR="00655F90" w:rsidRPr="00655F90">
        <w:rPr>
          <w:rFonts w:asciiTheme="minorHAnsi" w:eastAsia="Times New Roman" w:hAnsiTheme="minorHAnsi" w:cstheme="minorHAnsi"/>
          <w:b/>
          <w:iCs/>
          <w:szCs w:val="24"/>
          <w:lang w:val="pl-PL" w:eastAsia="en-GB"/>
        </w:rPr>
        <w:t xml:space="preserve"> </w:t>
      </w:r>
      <w:r w:rsidR="00AB561F" w:rsidRPr="00655F90">
        <w:rPr>
          <w:rFonts w:asciiTheme="minorHAnsi" w:eastAsia="Times New Roman" w:hAnsiTheme="minorHAnsi" w:cstheme="minorHAnsi"/>
          <w:b/>
          <w:iCs/>
          <w:szCs w:val="24"/>
          <w:lang w:val="pl-PL" w:eastAsia="en-GB"/>
        </w:rPr>
        <w:t>Wskaźniki</w:t>
      </w:r>
    </w:p>
    <w:p w14:paraId="3BB27189" w14:textId="31BC8BDF" w:rsidR="005B1732" w:rsidRPr="00000498" w:rsidRDefault="00997378" w:rsidP="00000498">
      <w:pPr>
        <w:spacing w:after="20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Dotyczy: art. 17 ust. 4 lit. e) ppkt (ii), art. 17 ust. 9 lit. c) ppkt (iii)</w:t>
      </w:r>
    </w:p>
    <w:p w14:paraId="3D1F890D" w14:textId="1D684D4C" w:rsidR="00477962" w:rsidRPr="00000498" w:rsidRDefault="00871A6C" w:rsidP="00000498">
      <w:pPr>
        <w:spacing w:before="240" w:after="240" w:line="276" w:lineRule="auto"/>
        <w:rPr>
          <w:rFonts w:asciiTheme="minorHAnsi" w:eastAsia="Times New Roman" w:hAnsiTheme="minorHAnsi" w:cstheme="minorHAnsi"/>
          <w:iCs/>
          <w:szCs w:val="24"/>
          <w:lang w:val="pl-PL" w:eastAsia="en-GB"/>
        </w:rPr>
      </w:pPr>
      <w:r w:rsidRPr="00000498">
        <w:rPr>
          <w:rFonts w:asciiTheme="minorHAnsi" w:eastAsia="Times New Roman" w:hAnsiTheme="minorHAnsi" w:cstheme="minorHAnsi"/>
          <w:iCs/>
          <w:szCs w:val="24"/>
          <w:lang w:val="pl-PL" w:eastAsia="en-GB"/>
        </w:rPr>
        <w:lastRenderedPageBreak/>
        <w:t>Tabela</w:t>
      </w:r>
      <w:r w:rsidR="00477962" w:rsidRPr="00000498">
        <w:rPr>
          <w:rFonts w:asciiTheme="minorHAnsi" w:eastAsia="Times New Roman" w:hAnsiTheme="minorHAnsi" w:cstheme="minorHAnsi"/>
          <w:iCs/>
          <w:szCs w:val="24"/>
          <w:lang w:val="pl-PL" w:eastAsia="en-GB"/>
        </w:rPr>
        <w:t xml:space="preserve"> 2: </w:t>
      </w:r>
      <w:r w:rsidR="00813365" w:rsidRPr="00000498">
        <w:rPr>
          <w:rFonts w:asciiTheme="minorHAnsi" w:eastAsia="Times New Roman" w:hAnsiTheme="minorHAnsi" w:cstheme="minorHAnsi"/>
          <w:iCs/>
          <w:szCs w:val="24"/>
          <w:lang w:val="pl-PL" w:eastAsia="en-GB"/>
        </w:rPr>
        <w:t>Wskaźniki produktu wyjściowego</w:t>
      </w:r>
      <w:r w:rsidR="00477962" w:rsidRPr="00000498">
        <w:rPr>
          <w:rFonts w:asciiTheme="minorHAnsi" w:eastAsia="Times New Roman" w:hAnsiTheme="minorHAnsi" w:cstheme="minorHAnsi"/>
          <w:iCs/>
          <w:szCs w:val="24"/>
          <w:lang w:val="pl-PL" w:eastAsia="en-GB"/>
        </w:rPr>
        <w:t xml:space="preserve"> </w:t>
      </w:r>
    </w:p>
    <w:tbl>
      <w:tblPr>
        <w:tblW w:w="3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ela dotycząca wskaźników produktu wyjściowego"/>
      </w:tblPr>
      <w:tblGrid>
        <w:gridCol w:w="1104"/>
        <w:gridCol w:w="1452"/>
        <w:gridCol w:w="877"/>
        <w:gridCol w:w="1740"/>
        <w:gridCol w:w="1352"/>
        <w:gridCol w:w="970"/>
        <w:gridCol w:w="1285"/>
      </w:tblGrid>
      <w:tr w:rsidR="00802AE7" w:rsidRPr="00655F90" w14:paraId="0C3B6F4B" w14:textId="774769E4" w:rsidTr="00000498">
        <w:trPr>
          <w:trHeight w:val="836"/>
          <w:tblHeader/>
        </w:trPr>
        <w:tc>
          <w:tcPr>
            <w:tcW w:w="546" w:type="pct"/>
          </w:tcPr>
          <w:p w14:paraId="7DD98C17" w14:textId="088131B0" w:rsidR="00802AE7" w:rsidRPr="00000498" w:rsidRDefault="00813365" w:rsidP="006A6B69">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Priorytet</w:t>
            </w:r>
            <w:r w:rsidR="00802AE7" w:rsidRPr="00000498">
              <w:rPr>
                <w:rFonts w:asciiTheme="minorHAnsi" w:hAnsiTheme="minorHAnsi" w:cstheme="minorHAnsi"/>
                <w:b/>
                <w:szCs w:val="24"/>
                <w:lang w:val="pl-PL"/>
              </w:rPr>
              <w:t xml:space="preserve"> </w:t>
            </w:r>
          </w:p>
        </w:tc>
        <w:tc>
          <w:tcPr>
            <w:tcW w:w="598" w:type="pct"/>
          </w:tcPr>
          <w:p w14:paraId="1DE03C6D" w14:textId="5CAB420D" w:rsidR="00802AE7" w:rsidRPr="00000498" w:rsidRDefault="00871A6C" w:rsidP="006A6B69">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Cel szczegółowy</w:t>
            </w:r>
          </w:p>
        </w:tc>
        <w:tc>
          <w:tcPr>
            <w:tcW w:w="640" w:type="pct"/>
          </w:tcPr>
          <w:p w14:paraId="3E7AF4FE" w14:textId="77777777" w:rsidR="00802AE7" w:rsidRPr="00000498" w:rsidRDefault="00802AE7" w:rsidP="006A6B69">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ID</w:t>
            </w:r>
          </w:p>
          <w:p w14:paraId="0E15947C" w14:textId="77777777" w:rsidR="00802AE7" w:rsidRPr="00000498" w:rsidRDefault="00802AE7" w:rsidP="006A6B69">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[5]</w:t>
            </w:r>
          </w:p>
        </w:tc>
        <w:tc>
          <w:tcPr>
            <w:tcW w:w="1037" w:type="pct"/>
            <w:shd w:val="clear" w:color="auto" w:fill="auto"/>
          </w:tcPr>
          <w:p w14:paraId="6CEE1536" w14:textId="1871D2BA" w:rsidR="00802AE7" w:rsidRPr="00000498" w:rsidRDefault="00813365" w:rsidP="006A6B69">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Wskaźnik</w:t>
            </w:r>
            <w:r w:rsidR="00802AE7" w:rsidRPr="00000498">
              <w:rPr>
                <w:rFonts w:asciiTheme="minorHAnsi" w:hAnsiTheme="minorHAnsi" w:cstheme="minorHAnsi"/>
                <w:b/>
                <w:szCs w:val="24"/>
                <w:lang w:val="pl-PL"/>
              </w:rPr>
              <w:t xml:space="preserve"> </w:t>
            </w:r>
          </w:p>
        </w:tc>
        <w:tc>
          <w:tcPr>
            <w:tcW w:w="975" w:type="pct"/>
          </w:tcPr>
          <w:p w14:paraId="04B0B35B" w14:textId="23D34661" w:rsidR="00802AE7" w:rsidRPr="00000498" w:rsidRDefault="00813365" w:rsidP="006A6B69">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Jednostka miary</w:t>
            </w:r>
          </w:p>
          <w:p w14:paraId="09DD4B8E" w14:textId="77777777" w:rsidR="00802AE7" w:rsidRPr="00000498" w:rsidRDefault="00802AE7" w:rsidP="006A6B69">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[255]</w:t>
            </w:r>
          </w:p>
        </w:tc>
        <w:tc>
          <w:tcPr>
            <w:tcW w:w="636" w:type="pct"/>
            <w:shd w:val="clear" w:color="auto" w:fill="auto"/>
          </w:tcPr>
          <w:p w14:paraId="09A8417C" w14:textId="73A555FC" w:rsidR="00802AE7" w:rsidRPr="00000498" w:rsidRDefault="00813365" w:rsidP="006A6B69">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Kamień milowy</w:t>
            </w:r>
            <w:r w:rsidR="00802AE7" w:rsidRPr="00000498">
              <w:rPr>
                <w:rFonts w:asciiTheme="minorHAnsi" w:hAnsiTheme="minorHAnsi" w:cstheme="minorHAnsi"/>
                <w:b/>
                <w:szCs w:val="24"/>
                <w:lang w:val="pl-PL"/>
              </w:rPr>
              <w:t xml:space="preserve"> (2024)</w:t>
            </w:r>
          </w:p>
          <w:p w14:paraId="16E4DCAF" w14:textId="77777777" w:rsidR="00802AE7" w:rsidRPr="00000498" w:rsidRDefault="00802AE7" w:rsidP="006A6B69">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[200]</w:t>
            </w:r>
          </w:p>
        </w:tc>
        <w:tc>
          <w:tcPr>
            <w:tcW w:w="568" w:type="pct"/>
            <w:shd w:val="clear" w:color="auto" w:fill="auto"/>
          </w:tcPr>
          <w:p w14:paraId="64F2E69C" w14:textId="3957EA56" w:rsidR="00802AE7" w:rsidRPr="00000498" w:rsidRDefault="00813365" w:rsidP="006A6B69">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Cel ostateczny</w:t>
            </w:r>
            <w:r w:rsidR="00802AE7" w:rsidRPr="00000498">
              <w:rPr>
                <w:rFonts w:asciiTheme="minorHAnsi" w:hAnsiTheme="minorHAnsi" w:cstheme="minorHAnsi"/>
                <w:b/>
                <w:szCs w:val="24"/>
                <w:lang w:val="pl-PL"/>
              </w:rPr>
              <w:t xml:space="preserve"> (2029)</w:t>
            </w:r>
          </w:p>
          <w:p w14:paraId="5585E1FC" w14:textId="77777777" w:rsidR="00802AE7" w:rsidRPr="00000498" w:rsidRDefault="00802AE7" w:rsidP="006A6B69">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[200]</w:t>
            </w:r>
          </w:p>
        </w:tc>
      </w:tr>
      <w:tr w:rsidR="00802AE7" w:rsidRPr="00655F90" w14:paraId="1892002C" w14:textId="2FD8EF4C" w:rsidTr="00802AE7">
        <w:trPr>
          <w:trHeight w:val="579"/>
        </w:trPr>
        <w:tc>
          <w:tcPr>
            <w:tcW w:w="546" w:type="pct"/>
          </w:tcPr>
          <w:p w14:paraId="5F29558E" w14:textId="7993CE24" w:rsidR="00802AE7" w:rsidRPr="00000498" w:rsidRDefault="00802AE7" w:rsidP="006A6B69">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4</w:t>
            </w:r>
          </w:p>
        </w:tc>
        <w:tc>
          <w:tcPr>
            <w:tcW w:w="598" w:type="pct"/>
          </w:tcPr>
          <w:p w14:paraId="4FC40319" w14:textId="6921D846" w:rsidR="00802AE7" w:rsidRPr="00000498" w:rsidRDefault="00802AE7" w:rsidP="006A6B69">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f</w:t>
            </w:r>
          </w:p>
        </w:tc>
        <w:tc>
          <w:tcPr>
            <w:tcW w:w="640" w:type="pct"/>
          </w:tcPr>
          <w:p w14:paraId="2DB7C01B" w14:textId="77777777" w:rsidR="00802AE7" w:rsidRPr="00000498" w:rsidRDefault="00802AE7" w:rsidP="006A6B69">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RCO87</w:t>
            </w:r>
          </w:p>
        </w:tc>
        <w:tc>
          <w:tcPr>
            <w:tcW w:w="1037" w:type="pct"/>
            <w:shd w:val="clear" w:color="auto" w:fill="auto"/>
          </w:tcPr>
          <w:p w14:paraId="7D51A678" w14:textId="5444EACD" w:rsidR="00802AE7" w:rsidRPr="00000498" w:rsidRDefault="00223EB0" w:rsidP="006A6B69">
            <w:pPr>
              <w:spacing w:before="120" w:after="120" w:line="240" w:lineRule="auto"/>
              <w:rPr>
                <w:rFonts w:asciiTheme="minorHAnsi" w:hAnsiTheme="minorHAnsi" w:cstheme="minorHAnsi"/>
                <w:szCs w:val="24"/>
                <w:lang w:val="pl-PL"/>
              </w:rPr>
            </w:pPr>
            <w:r w:rsidRPr="00000498">
              <w:rPr>
                <w:rFonts w:asciiTheme="minorHAnsi" w:hAnsiTheme="minorHAnsi" w:cstheme="minorHAnsi"/>
                <w:szCs w:val="24"/>
                <w:lang w:val="pl-PL"/>
              </w:rPr>
              <w:t>Organizacje współpracujące transgranicznie</w:t>
            </w:r>
          </w:p>
        </w:tc>
        <w:tc>
          <w:tcPr>
            <w:tcW w:w="975" w:type="pct"/>
          </w:tcPr>
          <w:p w14:paraId="406C418E" w14:textId="7247793E" w:rsidR="00802AE7" w:rsidRPr="00000498" w:rsidRDefault="00813365" w:rsidP="006A6B69">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Organizacja</w:t>
            </w:r>
          </w:p>
        </w:tc>
        <w:tc>
          <w:tcPr>
            <w:tcW w:w="636" w:type="pct"/>
            <w:shd w:val="clear" w:color="auto" w:fill="auto"/>
          </w:tcPr>
          <w:p w14:paraId="141BB716" w14:textId="31C8071E" w:rsidR="00802AE7" w:rsidRPr="00000498" w:rsidRDefault="00802AE7" w:rsidP="006A6B69">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0</w:t>
            </w:r>
          </w:p>
        </w:tc>
        <w:tc>
          <w:tcPr>
            <w:tcW w:w="568" w:type="pct"/>
            <w:shd w:val="clear" w:color="auto" w:fill="auto"/>
          </w:tcPr>
          <w:p w14:paraId="064B79F3" w14:textId="707FD89C" w:rsidR="00802AE7" w:rsidRPr="00000498" w:rsidRDefault="00802AE7" w:rsidP="006A6B69">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260</w:t>
            </w:r>
          </w:p>
        </w:tc>
      </w:tr>
    </w:tbl>
    <w:p w14:paraId="71F768E6" w14:textId="6AD23186" w:rsidR="00477962" w:rsidRPr="00000498" w:rsidRDefault="00871A6C" w:rsidP="00000498">
      <w:pPr>
        <w:spacing w:before="240" w:after="240" w:line="276" w:lineRule="auto"/>
        <w:rPr>
          <w:rFonts w:asciiTheme="minorHAnsi" w:eastAsia="Times New Roman" w:hAnsiTheme="minorHAnsi" w:cstheme="minorHAnsi"/>
          <w:iCs/>
          <w:szCs w:val="24"/>
          <w:lang w:val="pl-PL" w:eastAsia="en-GB"/>
        </w:rPr>
      </w:pPr>
      <w:r w:rsidRPr="00000498">
        <w:rPr>
          <w:rFonts w:asciiTheme="minorHAnsi" w:eastAsia="Times New Roman" w:hAnsiTheme="minorHAnsi" w:cstheme="minorHAnsi"/>
          <w:iCs/>
          <w:szCs w:val="24"/>
          <w:lang w:val="pl-PL" w:eastAsia="en-GB"/>
        </w:rPr>
        <w:t>Tabela</w:t>
      </w:r>
      <w:r w:rsidR="00477962" w:rsidRPr="00000498">
        <w:rPr>
          <w:rFonts w:asciiTheme="minorHAnsi" w:eastAsia="Times New Roman" w:hAnsiTheme="minorHAnsi" w:cstheme="minorHAnsi"/>
          <w:iCs/>
          <w:szCs w:val="24"/>
          <w:lang w:val="pl-PL" w:eastAsia="en-GB"/>
        </w:rPr>
        <w:t xml:space="preserve"> 3: </w:t>
      </w:r>
      <w:r w:rsidR="00813365" w:rsidRPr="00000498">
        <w:rPr>
          <w:rFonts w:asciiTheme="minorHAnsi" w:eastAsia="Times New Roman" w:hAnsiTheme="minorHAnsi" w:cstheme="minorHAnsi"/>
          <w:iCs/>
          <w:szCs w:val="24"/>
          <w:lang w:val="pl-PL" w:eastAsia="en-GB"/>
        </w:rPr>
        <w:t>Wskaźniki rezultatu</w:t>
      </w:r>
      <w:r w:rsidR="00477962" w:rsidRPr="00000498">
        <w:rPr>
          <w:rFonts w:asciiTheme="minorHAnsi" w:eastAsia="Times New Roman" w:hAnsiTheme="minorHAnsi" w:cstheme="minorHAnsi"/>
          <w:iCs/>
          <w:szCs w:val="24"/>
          <w:lang w:val="pl-PL" w:eastAsia="en-GB"/>
        </w:rPr>
        <w:t xml:space="preserve"> </w:t>
      </w:r>
    </w:p>
    <w:tbl>
      <w:tblPr>
        <w:tblW w:w="56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abela dotycząca wskaźników rezultatu"/>
      </w:tblPr>
      <w:tblGrid>
        <w:gridCol w:w="858"/>
        <w:gridCol w:w="1070"/>
        <w:gridCol w:w="643"/>
        <w:gridCol w:w="1533"/>
        <w:gridCol w:w="1113"/>
        <w:gridCol w:w="813"/>
        <w:gridCol w:w="1006"/>
        <w:gridCol w:w="949"/>
        <w:gridCol w:w="1018"/>
        <w:gridCol w:w="1453"/>
      </w:tblGrid>
      <w:tr w:rsidR="00477962" w:rsidRPr="00655F90" w14:paraId="747B0BBD" w14:textId="77777777" w:rsidTr="00000498">
        <w:trPr>
          <w:trHeight w:val="947"/>
          <w:tblHeader/>
        </w:trPr>
        <w:tc>
          <w:tcPr>
            <w:tcW w:w="410" w:type="pct"/>
          </w:tcPr>
          <w:p w14:paraId="3B8045C0" w14:textId="658BB3D9" w:rsidR="00477962" w:rsidRPr="00000498" w:rsidRDefault="00813365" w:rsidP="006A6B69">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Priorytet</w:t>
            </w:r>
            <w:r w:rsidR="00477962" w:rsidRPr="00000498">
              <w:rPr>
                <w:rFonts w:asciiTheme="minorHAnsi" w:hAnsiTheme="minorHAnsi" w:cstheme="minorHAnsi"/>
                <w:b/>
                <w:szCs w:val="24"/>
                <w:lang w:val="pl-PL"/>
              </w:rPr>
              <w:t xml:space="preserve"> </w:t>
            </w:r>
          </w:p>
        </w:tc>
        <w:tc>
          <w:tcPr>
            <w:tcW w:w="511" w:type="pct"/>
          </w:tcPr>
          <w:p w14:paraId="4300BCE1" w14:textId="161D2465" w:rsidR="00477962" w:rsidRPr="00000498" w:rsidRDefault="00871A6C" w:rsidP="006A6B69">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Cel szczegółowy</w:t>
            </w:r>
          </w:p>
        </w:tc>
        <w:tc>
          <w:tcPr>
            <w:tcW w:w="307" w:type="pct"/>
          </w:tcPr>
          <w:p w14:paraId="0E5ACD52" w14:textId="77777777" w:rsidR="00477962" w:rsidRPr="00000498" w:rsidRDefault="00477962" w:rsidP="006A6B69">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ID</w:t>
            </w:r>
          </w:p>
        </w:tc>
        <w:tc>
          <w:tcPr>
            <w:tcW w:w="733" w:type="pct"/>
            <w:shd w:val="clear" w:color="auto" w:fill="auto"/>
          </w:tcPr>
          <w:p w14:paraId="4C838480" w14:textId="6A97D265" w:rsidR="00477962" w:rsidRPr="00000498" w:rsidRDefault="00813365" w:rsidP="006A6B69">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Wskaźnik</w:t>
            </w:r>
            <w:r w:rsidR="00477962" w:rsidRPr="00000498">
              <w:rPr>
                <w:rFonts w:asciiTheme="minorHAnsi" w:hAnsiTheme="minorHAnsi" w:cstheme="minorHAnsi"/>
                <w:b/>
                <w:szCs w:val="24"/>
                <w:lang w:val="pl-PL"/>
              </w:rPr>
              <w:t xml:space="preserve"> </w:t>
            </w:r>
          </w:p>
        </w:tc>
        <w:tc>
          <w:tcPr>
            <w:tcW w:w="532" w:type="pct"/>
          </w:tcPr>
          <w:p w14:paraId="6C7F07CD" w14:textId="57C0DAE8" w:rsidR="00477962" w:rsidRPr="00000498" w:rsidRDefault="00813365" w:rsidP="006A6B69">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Jednostka miary</w:t>
            </w:r>
          </w:p>
        </w:tc>
        <w:tc>
          <w:tcPr>
            <w:tcW w:w="389" w:type="pct"/>
          </w:tcPr>
          <w:p w14:paraId="605B337D" w14:textId="73CFB606" w:rsidR="00477962" w:rsidRPr="00000498" w:rsidRDefault="00813365" w:rsidP="006A6B69">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Wartość bazowa</w:t>
            </w:r>
          </w:p>
        </w:tc>
        <w:tc>
          <w:tcPr>
            <w:tcW w:w="481" w:type="pct"/>
          </w:tcPr>
          <w:p w14:paraId="25D33188" w14:textId="3A8D1060" w:rsidR="00477962" w:rsidRPr="00000498" w:rsidRDefault="00813365" w:rsidP="006A6B69">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Rok odniesienia</w:t>
            </w:r>
          </w:p>
        </w:tc>
        <w:tc>
          <w:tcPr>
            <w:tcW w:w="454" w:type="pct"/>
            <w:shd w:val="clear" w:color="auto" w:fill="auto"/>
          </w:tcPr>
          <w:p w14:paraId="321FF032" w14:textId="4A8AEB6E" w:rsidR="00477962" w:rsidRPr="00000498" w:rsidRDefault="00813365" w:rsidP="006A6B69">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Cel ostateczny</w:t>
            </w:r>
            <w:r w:rsidR="00477962" w:rsidRPr="00000498">
              <w:rPr>
                <w:rFonts w:asciiTheme="minorHAnsi" w:hAnsiTheme="minorHAnsi" w:cstheme="minorHAnsi"/>
                <w:b/>
                <w:szCs w:val="24"/>
                <w:lang w:val="pl-PL"/>
              </w:rPr>
              <w:t xml:space="preserve"> (2029)</w:t>
            </w:r>
          </w:p>
        </w:tc>
        <w:tc>
          <w:tcPr>
            <w:tcW w:w="487" w:type="pct"/>
            <w:shd w:val="clear" w:color="auto" w:fill="auto"/>
          </w:tcPr>
          <w:p w14:paraId="0E4E7413" w14:textId="4E35AF29" w:rsidR="00477962" w:rsidRPr="00000498" w:rsidRDefault="00813365" w:rsidP="004056FF">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Źródło danych</w:t>
            </w:r>
          </w:p>
        </w:tc>
        <w:tc>
          <w:tcPr>
            <w:tcW w:w="695" w:type="pct"/>
          </w:tcPr>
          <w:p w14:paraId="72C7C26F" w14:textId="55379EEA" w:rsidR="00477962" w:rsidRPr="00000498" w:rsidRDefault="00813365" w:rsidP="006A6B69">
            <w:pPr>
              <w:spacing w:before="120" w:after="120" w:line="48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Uwagi</w:t>
            </w:r>
          </w:p>
        </w:tc>
      </w:tr>
      <w:tr w:rsidR="00477962" w:rsidRPr="00367EF1" w14:paraId="764A5DA4" w14:textId="77777777" w:rsidTr="00F879CC">
        <w:trPr>
          <w:trHeight w:val="629"/>
        </w:trPr>
        <w:tc>
          <w:tcPr>
            <w:tcW w:w="410" w:type="pct"/>
          </w:tcPr>
          <w:p w14:paraId="2F7E55C3" w14:textId="437BDFFB" w:rsidR="00477962" w:rsidRPr="00000498" w:rsidRDefault="00477962" w:rsidP="00477962">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4</w:t>
            </w:r>
          </w:p>
        </w:tc>
        <w:tc>
          <w:tcPr>
            <w:tcW w:w="511" w:type="pct"/>
          </w:tcPr>
          <w:p w14:paraId="1CACD64F" w14:textId="1D604F62" w:rsidR="00477962" w:rsidRPr="00000498" w:rsidRDefault="002C14A7" w:rsidP="00477962">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f</w:t>
            </w:r>
          </w:p>
        </w:tc>
        <w:tc>
          <w:tcPr>
            <w:tcW w:w="307" w:type="pct"/>
          </w:tcPr>
          <w:p w14:paraId="2DA65E94" w14:textId="77777777" w:rsidR="00477962" w:rsidRPr="00000498" w:rsidRDefault="00477962" w:rsidP="00477962">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PSR1</w:t>
            </w:r>
          </w:p>
        </w:tc>
        <w:tc>
          <w:tcPr>
            <w:tcW w:w="733" w:type="pct"/>
            <w:shd w:val="clear" w:color="auto" w:fill="auto"/>
          </w:tcPr>
          <w:p w14:paraId="62873159" w14:textId="7823A7FC" w:rsidR="00477962" w:rsidRPr="00000498" w:rsidRDefault="003E22FB" w:rsidP="00477962">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Organizacje o zwiększonych zdolnościach instytucjonalnych ze względu na udział we współpracy transgranicznej</w:t>
            </w:r>
          </w:p>
        </w:tc>
        <w:tc>
          <w:tcPr>
            <w:tcW w:w="532" w:type="pct"/>
          </w:tcPr>
          <w:p w14:paraId="777D1E83" w14:textId="7CFB5409" w:rsidR="00477962" w:rsidRPr="00000498" w:rsidRDefault="00813365" w:rsidP="00477962">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Organizacja</w:t>
            </w:r>
          </w:p>
        </w:tc>
        <w:tc>
          <w:tcPr>
            <w:tcW w:w="389" w:type="pct"/>
          </w:tcPr>
          <w:p w14:paraId="1608791C" w14:textId="61C5DD71" w:rsidR="00477962" w:rsidRPr="00000498" w:rsidRDefault="0001024B" w:rsidP="00477962">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0</w:t>
            </w:r>
          </w:p>
        </w:tc>
        <w:tc>
          <w:tcPr>
            <w:tcW w:w="481" w:type="pct"/>
            <w:shd w:val="clear" w:color="auto" w:fill="auto"/>
          </w:tcPr>
          <w:p w14:paraId="5E1AE1D7" w14:textId="2B8CBC12" w:rsidR="00477962" w:rsidRPr="00000498" w:rsidRDefault="0001024B" w:rsidP="00477962">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2022</w:t>
            </w:r>
          </w:p>
        </w:tc>
        <w:tc>
          <w:tcPr>
            <w:tcW w:w="454" w:type="pct"/>
            <w:shd w:val="clear" w:color="auto" w:fill="auto"/>
          </w:tcPr>
          <w:p w14:paraId="4856D790" w14:textId="21688537" w:rsidR="00477962" w:rsidRPr="00000498" w:rsidRDefault="0001024B" w:rsidP="00477962">
            <w:pPr>
              <w:spacing w:before="120" w:after="120" w:line="240" w:lineRule="auto"/>
              <w:jc w:val="center"/>
              <w:rPr>
                <w:rFonts w:asciiTheme="minorHAnsi" w:hAnsiTheme="minorHAnsi" w:cstheme="minorHAnsi"/>
                <w:szCs w:val="24"/>
                <w:lang w:val="pl-PL"/>
              </w:rPr>
            </w:pPr>
            <w:r w:rsidRPr="00000498">
              <w:rPr>
                <w:rFonts w:asciiTheme="minorHAnsi" w:hAnsiTheme="minorHAnsi" w:cstheme="minorHAnsi"/>
                <w:szCs w:val="24"/>
                <w:lang w:val="pl-PL"/>
              </w:rPr>
              <w:t>520</w:t>
            </w:r>
          </w:p>
        </w:tc>
        <w:tc>
          <w:tcPr>
            <w:tcW w:w="487" w:type="pct"/>
            <w:shd w:val="clear" w:color="auto" w:fill="auto"/>
          </w:tcPr>
          <w:p w14:paraId="46987CB7" w14:textId="0E0DF9EC" w:rsidR="00477962" w:rsidRPr="00000498" w:rsidRDefault="00813365" w:rsidP="004056FF">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Sprawozdania z postępów projektów</w:t>
            </w:r>
          </w:p>
        </w:tc>
        <w:tc>
          <w:tcPr>
            <w:tcW w:w="695" w:type="pct"/>
          </w:tcPr>
          <w:p w14:paraId="62F5444E" w14:textId="5AA5900B" w:rsidR="00477962" w:rsidRPr="00000498" w:rsidRDefault="00997378" w:rsidP="00A802C0">
            <w:pPr>
              <w:spacing w:after="200" w:line="276" w:lineRule="auto"/>
              <w:rPr>
                <w:rFonts w:asciiTheme="minorHAnsi" w:hAnsiTheme="minorHAnsi" w:cstheme="minorHAnsi"/>
                <w:szCs w:val="24"/>
                <w:lang w:val="pl-PL"/>
              </w:rPr>
            </w:pPr>
            <w:r w:rsidRPr="00000498">
              <w:rPr>
                <w:rFonts w:asciiTheme="minorHAnsi" w:hAnsiTheme="minorHAnsi" w:cstheme="minorHAnsi"/>
                <w:szCs w:val="24"/>
                <w:lang w:val="pl-PL"/>
              </w:rPr>
              <w:t>Szacuje się, że oprócz organizacji obliczonych dla RCO87, 20 organizacji spoza partnerstwa na platformę projektów zwiększy swoje możliwości instytucjonalne (łącznie 520 organizacji</w:t>
            </w:r>
            <w:r w:rsidR="00A802C0" w:rsidRPr="00000498">
              <w:rPr>
                <w:rFonts w:asciiTheme="minorHAnsi" w:hAnsiTheme="minorHAnsi" w:cstheme="minorHAnsi"/>
                <w:szCs w:val="24"/>
                <w:lang w:val="pl-PL"/>
              </w:rPr>
              <w:t>).</w:t>
            </w:r>
          </w:p>
        </w:tc>
      </w:tr>
    </w:tbl>
    <w:p w14:paraId="40AD85ED" w14:textId="0D536F70" w:rsidR="005B1732" w:rsidRPr="00655F90" w:rsidRDefault="005B1732" w:rsidP="00000498">
      <w:pPr>
        <w:spacing w:before="240" w:after="240" w:line="276" w:lineRule="auto"/>
        <w:ind w:left="709" w:hanging="709"/>
        <w:rPr>
          <w:rFonts w:asciiTheme="minorHAnsi" w:eastAsia="Times New Roman" w:hAnsiTheme="minorHAnsi" w:cstheme="minorHAnsi"/>
          <w:b/>
          <w:iCs/>
          <w:szCs w:val="24"/>
          <w:lang w:val="pl-PL" w:eastAsia="en-GB"/>
        </w:rPr>
      </w:pPr>
      <w:r w:rsidRPr="00655F90">
        <w:rPr>
          <w:rFonts w:asciiTheme="minorHAnsi" w:eastAsia="Times New Roman" w:hAnsiTheme="minorHAnsi" w:cstheme="minorHAnsi"/>
          <w:b/>
          <w:iCs/>
          <w:szCs w:val="24"/>
          <w:lang w:val="pl-PL" w:eastAsia="en-GB"/>
        </w:rPr>
        <w:t>2.</w:t>
      </w:r>
      <w:r w:rsidR="003349E4" w:rsidRPr="00655F90">
        <w:rPr>
          <w:rFonts w:asciiTheme="minorHAnsi" w:eastAsia="Times New Roman" w:hAnsiTheme="minorHAnsi" w:cstheme="minorHAnsi"/>
          <w:b/>
          <w:iCs/>
          <w:szCs w:val="24"/>
          <w:lang w:val="pl-PL" w:eastAsia="en-GB"/>
        </w:rPr>
        <w:t>4</w:t>
      </w:r>
      <w:r w:rsidRPr="00655F90">
        <w:rPr>
          <w:rFonts w:asciiTheme="minorHAnsi" w:eastAsia="Times New Roman" w:hAnsiTheme="minorHAnsi" w:cstheme="minorHAnsi"/>
          <w:b/>
          <w:iCs/>
          <w:szCs w:val="24"/>
          <w:lang w:val="pl-PL" w:eastAsia="en-GB"/>
        </w:rPr>
        <w:t>.1.3</w:t>
      </w:r>
      <w:r w:rsidRPr="00655F90">
        <w:rPr>
          <w:rFonts w:asciiTheme="minorHAnsi" w:eastAsia="Times New Roman" w:hAnsiTheme="minorHAnsi" w:cstheme="minorHAnsi"/>
          <w:b/>
          <w:iCs/>
          <w:szCs w:val="24"/>
          <w:lang w:val="pl-PL" w:eastAsia="en-GB"/>
        </w:rPr>
        <w:tab/>
      </w:r>
      <w:r w:rsidR="00655F90" w:rsidRPr="00655F90">
        <w:rPr>
          <w:rFonts w:asciiTheme="minorHAnsi" w:eastAsia="Times New Roman" w:hAnsiTheme="minorHAnsi" w:cstheme="minorHAnsi"/>
          <w:b/>
          <w:iCs/>
          <w:szCs w:val="24"/>
          <w:lang w:val="pl-PL" w:eastAsia="en-GB"/>
        </w:rPr>
        <w:t xml:space="preserve"> </w:t>
      </w:r>
      <w:r w:rsidR="00813365" w:rsidRPr="00655F90">
        <w:rPr>
          <w:rFonts w:asciiTheme="minorHAnsi" w:eastAsia="Times New Roman" w:hAnsiTheme="minorHAnsi" w:cstheme="minorHAnsi"/>
          <w:b/>
          <w:iCs/>
          <w:szCs w:val="24"/>
          <w:lang w:val="pl-PL" w:eastAsia="en-GB"/>
        </w:rPr>
        <w:t>Podstawowe grupy docelowe</w:t>
      </w:r>
    </w:p>
    <w:p w14:paraId="5BF7B42E" w14:textId="0CA6D25B" w:rsidR="005B1732" w:rsidRPr="00000498" w:rsidRDefault="00997378" w:rsidP="00000498">
      <w:pPr>
        <w:spacing w:after="20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Dotyczy: art. 17 ust. 4 lit. e) ppkt (iii), art. 17 ust. 9 lit. c) ppkt (iv)</w:t>
      </w:r>
    </w:p>
    <w:p w14:paraId="30E944F3" w14:textId="1CEF0D4B" w:rsidR="003349E4" w:rsidRPr="00000498" w:rsidRDefault="00997378" w:rsidP="00000498">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 xml:space="preserve">Program skierowany jest do władz publicznych na szczeblu lokalnym, regionalnym i krajowym, jako głównych sił napędowych zmian polityki, a także postępu w rozwoju regionalnym w różnych dziedzinach i sektorach. Gminy, rady regionalne, ministerstwa i </w:t>
      </w:r>
      <w:r w:rsidRPr="00000498">
        <w:rPr>
          <w:rFonts w:asciiTheme="minorHAnsi" w:eastAsia="Times New Roman" w:hAnsiTheme="minorHAnsi" w:cstheme="minorHAnsi"/>
          <w:szCs w:val="24"/>
          <w:lang w:val="pl-PL" w:eastAsia="en-GB"/>
        </w:rPr>
        <w:lastRenderedPageBreak/>
        <w:t xml:space="preserve">agencje rządowe odgrywają ważną rolę w zarządzaniu tym rozwojem. Program skierowany jest również do przedstawicieli Strategii UE dla regionu Morza Bałtyckiego, np. koordynatorów </w:t>
      </w:r>
      <w:r w:rsidR="000C5539" w:rsidRPr="00000498">
        <w:rPr>
          <w:rFonts w:asciiTheme="minorHAnsi" w:eastAsia="Times New Roman" w:hAnsiTheme="minorHAnsi" w:cstheme="minorHAnsi"/>
          <w:szCs w:val="24"/>
          <w:lang w:val="pl-PL" w:eastAsia="en-GB"/>
        </w:rPr>
        <w:t>Obszarów Tematycznych</w:t>
      </w:r>
      <w:r w:rsidRPr="00000498">
        <w:rPr>
          <w:rFonts w:asciiTheme="minorHAnsi" w:eastAsia="Times New Roman" w:hAnsiTheme="minorHAnsi" w:cstheme="minorHAnsi"/>
          <w:szCs w:val="24"/>
          <w:lang w:val="pl-PL" w:eastAsia="en-GB"/>
        </w:rPr>
        <w:t xml:space="preserve"> oraz organizacji panbałtyckich. Ponadto, Program skierowany jest do organizacji działających w sektorach objętych priorytetami tematycznymi Programu. Są to agencje branżowe, ośrodki i rady doradcze, organizacje wspierające biznes, dostawcy infrastruktury i usług oraz przedsiębiorstwa.  Zaangażowanie obywateli jest wspierane przez stowarzyszenia lub organizacje pozarządowe. Przyłączyć się mogą również uczelnie i instytucje badawcze oraz ośrodki edukacyjne i szkoleniowe, ponieważ ich wiedza jest ważna dla syntezy rozwiązań</w:t>
      </w:r>
      <w:r w:rsidR="00567215" w:rsidRPr="00000498">
        <w:rPr>
          <w:rFonts w:asciiTheme="minorHAnsi" w:eastAsia="Times New Roman" w:hAnsiTheme="minorHAnsi" w:cstheme="minorHAnsi"/>
          <w:szCs w:val="24"/>
          <w:lang w:val="pl-PL" w:eastAsia="en-GB"/>
        </w:rPr>
        <w:t>.</w:t>
      </w:r>
    </w:p>
    <w:p w14:paraId="43C50BA8" w14:textId="242DF980" w:rsidR="005B1732" w:rsidRPr="00E20902" w:rsidRDefault="005B1732" w:rsidP="00000498">
      <w:pPr>
        <w:spacing w:before="240" w:after="240" w:line="276" w:lineRule="auto"/>
        <w:ind w:left="709" w:hanging="709"/>
        <w:rPr>
          <w:rFonts w:asciiTheme="minorHAnsi" w:eastAsia="Times New Roman" w:hAnsiTheme="minorHAnsi" w:cstheme="minorHAnsi"/>
          <w:b/>
          <w:iCs/>
          <w:szCs w:val="24"/>
          <w:lang w:val="pl-PL" w:eastAsia="en-GB"/>
        </w:rPr>
      </w:pPr>
      <w:r w:rsidRPr="00655F90">
        <w:rPr>
          <w:rFonts w:asciiTheme="minorHAnsi" w:eastAsia="Times New Roman" w:hAnsiTheme="minorHAnsi" w:cstheme="minorHAnsi"/>
          <w:b/>
          <w:iCs/>
          <w:szCs w:val="24"/>
          <w:lang w:val="pl-PL" w:eastAsia="en-GB"/>
        </w:rPr>
        <w:t>2.</w:t>
      </w:r>
      <w:r w:rsidR="003349E4" w:rsidRPr="00655F90">
        <w:rPr>
          <w:rFonts w:asciiTheme="minorHAnsi" w:eastAsia="Times New Roman" w:hAnsiTheme="minorHAnsi" w:cstheme="minorHAnsi"/>
          <w:b/>
          <w:iCs/>
          <w:szCs w:val="24"/>
          <w:lang w:val="pl-PL" w:eastAsia="en-GB"/>
        </w:rPr>
        <w:t>4</w:t>
      </w:r>
      <w:r w:rsidRPr="00655F90">
        <w:rPr>
          <w:rFonts w:asciiTheme="minorHAnsi" w:eastAsia="Times New Roman" w:hAnsiTheme="minorHAnsi" w:cstheme="minorHAnsi"/>
          <w:b/>
          <w:iCs/>
          <w:szCs w:val="24"/>
          <w:lang w:val="pl-PL" w:eastAsia="en-GB"/>
        </w:rPr>
        <w:t>.1.4</w:t>
      </w:r>
      <w:r w:rsidRPr="00655F90">
        <w:rPr>
          <w:rFonts w:asciiTheme="minorHAnsi" w:eastAsia="Times New Roman" w:hAnsiTheme="minorHAnsi" w:cstheme="minorHAnsi"/>
          <w:b/>
          <w:iCs/>
          <w:szCs w:val="24"/>
          <w:lang w:val="pl-PL" w:eastAsia="en-GB"/>
        </w:rPr>
        <w:tab/>
      </w:r>
      <w:r w:rsidR="00655F90" w:rsidRPr="00655F90">
        <w:rPr>
          <w:rFonts w:asciiTheme="minorHAnsi" w:eastAsia="Times New Roman" w:hAnsiTheme="minorHAnsi" w:cstheme="minorHAnsi"/>
          <w:b/>
          <w:iCs/>
          <w:szCs w:val="24"/>
          <w:lang w:val="pl-PL" w:eastAsia="en-GB"/>
        </w:rPr>
        <w:t xml:space="preserve"> </w:t>
      </w:r>
      <w:r w:rsidR="00813365" w:rsidRPr="00655F90">
        <w:rPr>
          <w:rFonts w:asciiTheme="minorHAnsi" w:eastAsia="Times New Roman" w:hAnsiTheme="minorHAnsi" w:cstheme="minorHAnsi"/>
          <w:b/>
          <w:iCs/>
          <w:szCs w:val="24"/>
          <w:lang w:val="pl-PL" w:eastAsia="en-GB"/>
        </w:rPr>
        <w:t>Wskazanie konkretnych terytoriów docelowych w tym planowane wykorzystanie ZIT, RLKS lub innych narzędzi terytorialnych</w:t>
      </w:r>
    </w:p>
    <w:p w14:paraId="795D147A" w14:textId="5D4A4D5C" w:rsidR="005B1732" w:rsidRPr="00000498" w:rsidRDefault="00997378" w:rsidP="00000498">
      <w:pPr>
        <w:spacing w:after="20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Dotyczy: art. 17 ust. 4 lit. e) ppkt (iv)</w:t>
      </w:r>
    </w:p>
    <w:p w14:paraId="4500348E" w14:textId="6B6E05B7" w:rsidR="003349E4" w:rsidRPr="00000498" w:rsidRDefault="00997378" w:rsidP="00000498">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i/>
          <w:szCs w:val="24"/>
          <w:lang w:val="pl-PL" w:eastAsia="en-GB"/>
        </w:rPr>
      </w:pPr>
      <w:r w:rsidRPr="00000498">
        <w:rPr>
          <w:rFonts w:asciiTheme="minorHAnsi" w:eastAsia="Times New Roman" w:hAnsiTheme="minorHAnsi" w:cstheme="minorHAnsi"/>
          <w:szCs w:val="24"/>
          <w:lang w:val="pl-PL" w:eastAsia="en-GB"/>
        </w:rPr>
        <w:t xml:space="preserve">Program nie przewiduje wykorzystania jakichkolwiek narzędzi </w:t>
      </w:r>
      <w:r w:rsidR="00A05A16" w:rsidRPr="00000498">
        <w:rPr>
          <w:rFonts w:asciiTheme="minorHAnsi" w:eastAsia="Times New Roman" w:hAnsiTheme="minorHAnsi" w:cstheme="minorHAnsi"/>
          <w:szCs w:val="24"/>
          <w:lang w:val="pl-PL" w:eastAsia="en-GB"/>
        </w:rPr>
        <w:t>terytorialnych, o których</w:t>
      </w:r>
      <w:r w:rsidRPr="00000498">
        <w:rPr>
          <w:rFonts w:asciiTheme="minorHAnsi" w:eastAsia="Times New Roman" w:hAnsiTheme="minorHAnsi" w:cstheme="minorHAnsi"/>
          <w:szCs w:val="24"/>
          <w:lang w:val="pl-PL" w:eastAsia="en-GB"/>
        </w:rPr>
        <w:t xml:space="preserve"> mowa powyżej. Działania w ramach tego wybranego działania dotyczą wyzwań i szans całego regionu Morza Bałtyckiego. Działania skupiają się na potrzebach różnych obszarów tematycznych, co może wymagać dostosowania w podejściu do określonych obszarów, na przykład Morza Bałtyckiego, obszarów miejskich lub wiejskich oraz zaangażowania określonych grup docelowych</w:t>
      </w:r>
      <w:r w:rsidR="00567215" w:rsidRPr="00000498">
        <w:rPr>
          <w:rFonts w:asciiTheme="minorHAnsi" w:eastAsia="Times New Roman" w:hAnsiTheme="minorHAnsi" w:cstheme="minorHAnsi"/>
          <w:i/>
          <w:szCs w:val="24"/>
          <w:lang w:val="pl-PL" w:eastAsia="en-GB"/>
        </w:rPr>
        <w:t>.</w:t>
      </w:r>
    </w:p>
    <w:p w14:paraId="093774B9" w14:textId="36585179" w:rsidR="005B1732" w:rsidRPr="00655F90" w:rsidRDefault="005B1732" w:rsidP="00000498">
      <w:pPr>
        <w:spacing w:before="240" w:after="240" w:line="276" w:lineRule="auto"/>
        <w:ind w:left="709" w:hanging="709"/>
        <w:rPr>
          <w:rFonts w:asciiTheme="minorHAnsi" w:eastAsia="Times New Roman" w:hAnsiTheme="minorHAnsi" w:cstheme="minorHAnsi"/>
          <w:b/>
          <w:iCs/>
          <w:szCs w:val="24"/>
          <w:lang w:val="pl-PL" w:eastAsia="en-GB"/>
        </w:rPr>
      </w:pPr>
      <w:r w:rsidRPr="00655F90">
        <w:rPr>
          <w:rFonts w:asciiTheme="minorHAnsi" w:eastAsia="Times New Roman" w:hAnsiTheme="minorHAnsi" w:cstheme="minorHAnsi"/>
          <w:b/>
          <w:iCs/>
          <w:szCs w:val="24"/>
          <w:lang w:val="pl-PL" w:eastAsia="en-GB"/>
        </w:rPr>
        <w:t>2.</w:t>
      </w:r>
      <w:r w:rsidR="003349E4" w:rsidRPr="00655F90">
        <w:rPr>
          <w:rFonts w:asciiTheme="minorHAnsi" w:eastAsia="Times New Roman" w:hAnsiTheme="minorHAnsi" w:cstheme="minorHAnsi"/>
          <w:b/>
          <w:iCs/>
          <w:szCs w:val="24"/>
          <w:lang w:val="pl-PL" w:eastAsia="en-GB"/>
        </w:rPr>
        <w:t>4</w:t>
      </w:r>
      <w:r w:rsidRPr="00655F90">
        <w:rPr>
          <w:rFonts w:asciiTheme="minorHAnsi" w:eastAsia="Times New Roman" w:hAnsiTheme="minorHAnsi" w:cstheme="minorHAnsi"/>
          <w:b/>
          <w:iCs/>
          <w:szCs w:val="24"/>
          <w:lang w:val="pl-PL" w:eastAsia="en-GB"/>
        </w:rPr>
        <w:t>.1.5</w:t>
      </w:r>
      <w:r w:rsidRPr="00655F90">
        <w:rPr>
          <w:rFonts w:asciiTheme="minorHAnsi" w:eastAsia="Times New Roman" w:hAnsiTheme="minorHAnsi" w:cstheme="minorHAnsi"/>
          <w:b/>
          <w:iCs/>
          <w:szCs w:val="24"/>
          <w:lang w:val="pl-PL" w:eastAsia="en-GB"/>
        </w:rPr>
        <w:tab/>
      </w:r>
      <w:r w:rsidR="00655F90" w:rsidRPr="00655F90">
        <w:rPr>
          <w:rFonts w:asciiTheme="minorHAnsi" w:eastAsia="Times New Roman" w:hAnsiTheme="minorHAnsi" w:cstheme="minorHAnsi"/>
          <w:b/>
          <w:iCs/>
          <w:szCs w:val="24"/>
          <w:lang w:val="pl-PL" w:eastAsia="en-GB"/>
        </w:rPr>
        <w:t xml:space="preserve"> </w:t>
      </w:r>
      <w:r w:rsidR="00871A6C" w:rsidRPr="00655F90">
        <w:rPr>
          <w:rFonts w:asciiTheme="minorHAnsi" w:eastAsia="Times New Roman" w:hAnsiTheme="minorHAnsi" w:cstheme="minorHAnsi"/>
          <w:b/>
          <w:iCs/>
          <w:szCs w:val="24"/>
          <w:lang w:val="pl-PL" w:eastAsia="en-GB"/>
        </w:rPr>
        <w:t>Planowane wykorzystanie instrumentów finansowych</w:t>
      </w:r>
    </w:p>
    <w:p w14:paraId="2F85885F" w14:textId="450CDC15" w:rsidR="005B1732" w:rsidRPr="00000498" w:rsidRDefault="00997378" w:rsidP="00000498">
      <w:pPr>
        <w:spacing w:after="20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Dotyczy: art. 17 ust. 4 lit. e) ppkt (v)</w:t>
      </w:r>
    </w:p>
    <w:p w14:paraId="70D343DC" w14:textId="1AB3209B" w:rsidR="00714AD5" w:rsidRPr="00000498" w:rsidRDefault="00997378" w:rsidP="00000498">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iCs/>
          <w:szCs w:val="24"/>
          <w:lang w:val="pl-PL" w:eastAsia="en-GB"/>
        </w:rPr>
      </w:pPr>
      <w:r w:rsidRPr="00655F90">
        <w:rPr>
          <w:rFonts w:asciiTheme="minorHAnsi" w:eastAsia="Times New Roman" w:hAnsiTheme="minorHAnsi" w:cstheme="minorHAnsi"/>
          <w:szCs w:val="24"/>
          <w:lang w:val="pl-PL" w:eastAsia="en-GB"/>
        </w:rPr>
        <w:t>Nie dotyczy</w:t>
      </w:r>
    </w:p>
    <w:p w14:paraId="51FF8BBC" w14:textId="77777777" w:rsidR="005B1732" w:rsidRPr="00F879CC" w:rsidRDefault="005B1732" w:rsidP="005B1732">
      <w:pPr>
        <w:spacing w:before="240" w:after="240" w:line="240" w:lineRule="auto"/>
        <w:ind w:left="709" w:hanging="709"/>
        <w:jc w:val="both"/>
        <w:rPr>
          <w:rFonts w:asciiTheme="minorHAnsi" w:eastAsia="Times New Roman" w:hAnsiTheme="minorHAnsi" w:cstheme="minorHAnsi"/>
          <w:b/>
          <w:iCs/>
          <w:szCs w:val="24"/>
          <w:u w:val="single"/>
          <w:lang w:val="pl-PL" w:eastAsia="en-GB"/>
        </w:rPr>
      </w:pPr>
    </w:p>
    <w:p w14:paraId="53A08BB1" w14:textId="5E3E1A15" w:rsidR="005B1732" w:rsidRPr="00A76651" w:rsidRDefault="005B1732" w:rsidP="00000498">
      <w:pPr>
        <w:spacing w:before="240" w:after="240" w:line="276" w:lineRule="auto"/>
        <w:ind w:left="709" w:hanging="709"/>
        <w:rPr>
          <w:rFonts w:asciiTheme="minorHAnsi" w:eastAsia="Times New Roman" w:hAnsiTheme="minorHAnsi" w:cstheme="minorHAnsi"/>
          <w:b/>
          <w:iCs/>
          <w:szCs w:val="24"/>
          <w:lang w:val="pl-PL" w:eastAsia="en-GB"/>
        </w:rPr>
      </w:pPr>
      <w:r w:rsidRPr="00655F90">
        <w:rPr>
          <w:rFonts w:asciiTheme="minorHAnsi" w:eastAsia="Times New Roman" w:hAnsiTheme="minorHAnsi" w:cstheme="minorHAnsi"/>
          <w:b/>
          <w:iCs/>
          <w:szCs w:val="24"/>
          <w:lang w:val="pl-PL" w:eastAsia="en-GB"/>
        </w:rPr>
        <w:t>2.</w:t>
      </w:r>
      <w:r w:rsidR="003349E4" w:rsidRPr="00655F90">
        <w:rPr>
          <w:rFonts w:asciiTheme="minorHAnsi" w:eastAsia="Times New Roman" w:hAnsiTheme="minorHAnsi" w:cstheme="minorHAnsi"/>
          <w:b/>
          <w:iCs/>
          <w:szCs w:val="24"/>
          <w:lang w:val="pl-PL" w:eastAsia="en-GB"/>
        </w:rPr>
        <w:t>4</w:t>
      </w:r>
      <w:r w:rsidRPr="00655F90">
        <w:rPr>
          <w:rFonts w:asciiTheme="minorHAnsi" w:eastAsia="Times New Roman" w:hAnsiTheme="minorHAnsi" w:cstheme="minorHAnsi"/>
          <w:b/>
          <w:iCs/>
          <w:szCs w:val="24"/>
          <w:lang w:val="pl-PL" w:eastAsia="en-GB"/>
        </w:rPr>
        <w:t>.1.6</w:t>
      </w:r>
      <w:r w:rsidRPr="00655F90">
        <w:rPr>
          <w:rFonts w:asciiTheme="minorHAnsi" w:eastAsia="Times New Roman" w:hAnsiTheme="minorHAnsi" w:cstheme="minorHAnsi"/>
          <w:b/>
          <w:iCs/>
          <w:szCs w:val="24"/>
          <w:lang w:val="pl-PL" w:eastAsia="en-GB"/>
        </w:rPr>
        <w:tab/>
      </w:r>
      <w:r w:rsidR="00655F90" w:rsidRPr="00A76651">
        <w:rPr>
          <w:rFonts w:asciiTheme="minorHAnsi" w:eastAsia="Times New Roman" w:hAnsiTheme="minorHAnsi" w:cstheme="minorHAnsi"/>
          <w:b/>
          <w:iCs/>
          <w:szCs w:val="24"/>
          <w:lang w:val="pl-PL" w:eastAsia="en-GB"/>
        </w:rPr>
        <w:t xml:space="preserve"> </w:t>
      </w:r>
      <w:r w:rsidR="00813365" w:rsidRPr="00A76651">
        <w:rPr>
          <w:rFonts w:asciiTheme="minorHAnsi" w:eastAsia="Times New Roman" w:hAnsiTheme="minorHAnsi" w:cstheme="minorHAnsi"/>
          <w:b/>
          <w:iCs/>
          <w:szCs w:val="24"/>
          <w:lang w:val="pl-PL" w:eastAsia="en-GB"/>
        </w:rPr>
        <w:t>Indykatywny podział środków programu UE według rodzaju interwencji</w:t>
      </w:r>
    </w:p>
    <w:p w14:paraId="511BE61B" w14:textId="347491F1" w:rsidR="005B1732" w:rsidRPr="00000498" w:rsidRDefault="00252C2D" w:rsidP="00000498">
      <w:pPr>
        <w:spacing w:after="20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Dotyczy: art. 17 ust. 4 lit. e) ppkt (vi), art. 17 ust. 9 lit. c) ppkt (v)</w:t>
      </w:r>
    </w:p>
    <w:p w14:paraId="1A906140" w14:textId="1DF00583" w:rsidR="00CC222E" w:rsidRPr="00000498" w:rsidRDefault="00252C2D" w:rsidP="00000498">
      <w:pPr>
        <w:spacing w:after="200" w:line="276" w:lineRule="auto"/>
        <w:rPr>
          <w:rFonts w:asciiTheme="minorHAnsi" w:eastAsia="Times New Roman" w:hAnsiTheme="minorHAnsi" w:cstheme="minorHAnsi"/>
          <w:szCs w:val="24"/>
          <w:lang w:val="pl-PL" w:eastAsia="en-GB"/>
        </w:rPr>
      </w:pPr>
      <w:r w:rsidRPr="00655F90">
        <w:rPr>
          <w:rFonts w:asciiTheme="minorHAnsi" w:hAnsiTheme="minorHAnsi" w:cstheme="minorHAnsi"/>
          <w:lang w:val="pl-PL"/>
        </w:rPr>
        <w:t>Kody interwencji zostaną uwzględnione po opublikowaniu ostatecznych wersji regulacji</w:t>
      </w:r>
      <w:r w:rsidR="00CC222E" w:rsidRPr="00655F90">
        <w:rPr>
          <w:rFonts w:asciiTheme="minorHAnsi" w:hAnsiTheme="minorHAnsi" w:cstheme="minorHAnsi"/>
          <w:lang w:val="pl-PL"/>
        </w:rPr>
        <w:t>.</w:t>
      </w:r>
    </w:p>
    <w:p w14:paraId="36578DB9" w14:textId="53A86717" w:rsidR="005B1732" w:rsidRPr="00000498" w:rsidRDefault="00871A6C" w:rsidP="00000498">
      <w:pPr>
        <w:spacing w:after="200" w:line="276" w:lineRule="auto"/>
        <w:rPr>
          <w:rFonts w:asciiTheme="minorHAnsi" w:eastAsia="Times New Roman" w:hAnsiTheme="minorHAnsi" w:cstheme="minorHAnsi"/>
          <w:szCs w:val="24"/>
          <w:lang w:val="pl-PL" w:eastAsia="en-GB"/>
        </w:rPr>
      </w:pPr>
      <w:r w:rsidRPr="00655F90">
        <w:rPr>
          <w:rFonts w:asciiTheme="minorHAnsi" w:eastAsia="Times New Roman" w:hAnsiTheme="minorHAnsi" w:cstheme="minorHAnsi"/>
          <w:iCs/>
          <w:szCs w:val="24"/>
          <w:lang w:val="pl-PL" w:eastAsia="en-GB"/>
        </w:rPr>
        <w:t>Tabela</w:t>
      </w:r>
      <w:r w:rsidR="005B1732" w:rsidRPr="00655F90">
        <w:rPr>
          <w:rFonts w:asciiTheme="minorHAnsi" w:eastAsia="Times New Roman" w:hAnsiTheme="minorHAnsi" w:cstheme="minorHAnsi"/>
          <w:iCs/>
          <w:szCs w:val="24"/>
          <w:lang w:val="pl-PL" w:eastAsia="en-GB"/>
        </w:rPr>
        <w:t xml:space="preserve"> 4: </w:t>
      </w:r>
      <w:r w:rsidRPr="00655F90">
        <w:rPr>
          <w:rFonts w:asciiTheme="minorHAnsi" w:eastAsia="Times New Roman" w:hAnsiTheme="minorHAnsi" w:cstheme="minorHAnsi"/>
          <w:iCs/>
          <w:szCs w:val="24"/>
          <w:lang w:val="pl-PL" w:eastAsia="en-GB"/>
        </w:rPr>
        <w:t>Wymiar</w:t>
      </w:r>
      <w:r w:rsidR="005B1732" w:rsidRPr="00A76651">
        <w:rPr>
          <w:rFonts w:asciiTheme="minorHAnsi" w:eastAsia="Times New Roman" w:hAnsiTheme="minorHAnsi" w:cstheme="minorHAnsi"/>
          <w:iCs/>
          <w:szCs w:val="24"/>
          <w:lang w:val="pl-PL" w:eastAsia="en-GB"/>
        </w:rPr>
        <w:t xml:space="preserve"> 1 – </w:t>
      </w:r>
      <w:r w:rsidRPr="00A76651">
        <w:rPr>
          <w:rFonts w:asciiTheme="minorHAnsi" w:eastAsia="Times New Roman" w:hAnsiTheme="minorHAnsi" w:cstheme="minorHAnsi"/>
          <w:iCs/>
          <w:szCs w:val="24"/>
          <w:lang w:val="pl-PL" w:eastAsia="en-GB"/>
        </w:rPr>
        <w:t>pole interwencji</w:t>
      </w:r>
      <w:r w:rsidR="00F54FDB" w:rsidRPr="00A76651">
        <w:rPr>
          <w:rFonts w:asciiTheme="minorHAnsi" w:eastAsia="Times New Roman" w:hAnsiTheme="minorHAnsi" w:cstheme="minorHAnsi"/>
          <w:iCs/>
          <w:szCs w:val="24"/>
          <w:lang w:val="pl-PL" w:eastAsia="en-GB"/>
        </w:rPr>
        <w:t xml:space="preserve"> </w:t>
      </w:r>
      <w:r w:rsidR="00F54FDB" w:rsidRPr="00A76651">
        <w:rPr>
          <w:rFonts w:asciiTheme="minorHAnsi" w:eastAsia="Times New Roman" w:hAnsiTheme="minorHAnsi" w:cstheme="minorHAnsi"/>
          <w:szCs w:val="24"/>
          <w:lang w:val="pl-PL" w:eastAsia="en-GB"/>
        </w:rPr>
        <w:t>(</w:t>
      </w:r>
      <w:r w:rsidRPr="00A76651">
        <w:rPr>
          <w:rFonts w:asciiTheme="minorHAnsi" w:hAnsiTheme="minorHAnsi" w:cstheme="minorHAnsi"/>
          <w:lang w:val="pl-PL"/>
        </w:rPr>
        <w:t>do wypełnienia/uwzględnienia w kolejnych krokach</w:t>
      </w:r>
      <w:r w:rsidR="00F54FDB" w:rsidRPr="00A76651">
        <w:rPr>
          <w:rFonts w:asciiTheme="minorHAnsi" w:eastAsia="Times New Roman" w:hAnsiTheme="minorHAnsi" w:cstheme="minorHAnsi"/>
          <w:szCs w:val="24"/>
          <w:lang w:val="pl-PL" w:eastAsia="en-GB"/>
        </w:rPr>
        <w:t>)</w:t>
      </w:r>
    </w:p>
    <w:tbl>
      <w:tblPr>
        <w:tblStyle w:val="TableGrid1"/>
        <w:tblW w:w="0" w:type="auto"/>
        <w:tblLook w:val="04A0" w:firstRow="1" w:lastRow="0" w:firstColumn="1" w:lastColumn="0" w:noHBand="0" w:noVBand="1"/>
        <w:tblCaption w:val="Tabela dotycząca wymiaru 1 - pola interwencji"/>
      </w:tblPr>
      <w:tblGrid>
        <w:gridCol w:w="1870"/>
        <w:gridCol w:w="1657"/>
        <w:gridCol w:w="1898"/>
        <w:gridCol w:w="1204"/>
        <w:gridCol w:w="2659"/>
      </w:tblGrid>
      <w:tr w:rsidR="005B1732" w:rsidRPr="00655F90" w14:paraId="35C76935" w14:textId="77777777" w:rsidTr="00000498">
        <w:trPr>
          <w:tblHeader/>
        </w:trPr>
        <w:tc>
          <w:tcPr>
            <w:tcW w:w="1870" w:type="dxa"/>
          </w:tcPr>
          <w:p w14:paraId="57E4CBF8" w14:textId="75F9D2B9" w:rsidR="005B1732" w:rsidRPr="00000498" w:rsidRDefault="00871A6C" w:rsidP="00DE180F">
            <w:pPr>
              <w:spacing w:line="240" w:lineRule="auto"/>
              <w:jc w:val="both"/>
              <w:rPr>
                <w:rFonts w:asciiTheme="minorHAnsi" w:eastAsia="Times New Roman" w:hAnsiTheme="minorHAnsi" w:cstheme="minorHAnsi"/>
                <w:b/>
                <w:iCs/>
                <w:szCs w:val="24"/>
                <w:lang w:val="pl-PL" w:eastAsia="en-GB"/>
              </w:rPr>
            </w:pPr>
            <w:r w:rsidRPr="00000498">
              <w:rPr>
                <w:rFonts w:asciiTheme="minorHAnsi" w:eastAsia="Times New Roman" w:hAnsiTheme="minorHAnsi" w:cstheme="minorHAnsi"/>
                <w:b/>
                <w:iCs/>
                <w:szCs w:val="24"/>
                <w:lang w:val="pl-PL" w:eastAsia="en-GB"/>
              </w:rPr>
              <w:t>Nr priorytetu</w:t>
            </w:r>
          </w:p>
        </w:tc>
        <w:tc>
          <w:tcPr>
            <w:tcW w:w="1657" w:type="dxa"/>
          </w:tcPr>
          <w:p w14:paraId="7F71DA28" w14:textId="0786769A" w:rsidR="005B1732" w:rsidRPr="00000498" w:rsidRDefault="00871A6C" w:rsidP="00DE180F">
            <w:pPr>
              <w:spacing w:line="240" w:lineRule="auto"/>
              <w:jc w:val="both"/>
              <w:rPr>
                <w:rFonts w:asciiTheme="minorHAnsi" w:eastAsia="Times New Roman" w:hAnsiTheme="minorHAnsi" w:cstheme="minorHAnsi"/>
                <w:b/>
                <w:iCs/>
                <w:szCs w:val="24"/>
                <w:lang w:val="pl-PL" w:eastAsia="en-GB"/>
              </w:rPr>
            </w:pPr>
            <w:r w:rsidRPr="00000498">
              <w:rPr>
                <w:rFonts w:asciiTheme="minorHAnsi" w:eastAsia="Times New Roman" w:hAnsiTheme="minorHAnsi" w:cstheme="minorHAnsi"/>
                <w:b/>
                <w:iCs/>
                <w:szCs w:val="24"/>
                <w:lang w:val="pl-PL" w:eastAsia="en-GB"/>
              </w:rPr>
              <w:t>Fundusz</w:t>
            </w:r>
          </w:p>
        </w:tc>
        <w:tc>
          <w:tcPr>
            <w:tcW w:w="1898" w:type="dxa"/>
          </w:tcPr>
          <w:p w14:paraId="4DCB3468" w14:textId="5509E708" w:rsidR="005B1732" w:rsidRPr="00000498" w:rsidRDefault="00871A6C" w:rsidP="00DE180F">
            <w:pPr>
              <w:spacing w:line="240" w:lineRule="auto"/>
              <w:jc w:val="both"/>
              <w:rPr>
                <w:rFonts w:asciiTheme="minorHAnsi" w:eastAsia="Times New Roman" w:hAnsiTheme="minorHAnsi" w:cstheme="minorHAnsi"/>
                <w:b/>
                <w:iCs/>
                <w:szCs w:val="24"/>
                <w:lang w:val="pl-PL" w:eastAsia="en-GB"/>
              </w:rPr>
            </w:pPr>
            <w:r w:rsidRPr="00000498">
              <w:rPr>
                <w:rFonts w:asciiTheme="minorHAnsi" w:eastAsia="Times New Roman" w:hAnsiTheme="minorHAnsi" w:cstheme="minorHAnsi"/>
                <w:b/>
                <w:iCs/>
                <w:szCs w:val="24"/>
                <w:lang w:val="pl-PL" w:eastAsia="en-GB"/>
              </w:rPr>
              <w:t>Cel szczegółowy</w:t>
            </w:r>
          </w:p>
        </w:tc>
        <w:tc>
          <w:tcPr>
            <w:tcW w:w="1204" w:type="dxa"/>
          </w:tcPr>
          <w:p w14:paraId="07A647A3" w14:textId="522F8DB6" w:rsidR="005B1732" w:rsidRPr="00000498" w:rsidRDefault="00871A6C" w:rsidP="00DE180F">
            <w:pPr>
              <w:spacing w:line="240" w:lineRule="auto"/>
              <w:jc w:val="both"/>
              <w:rPr>
                <w:rFonts w:asciiTheme="minorHAnsi" w:eastAsia="Times New Roman" w:hAnsiTheme="minorHAnsi" w:cstheme="minorHAnsi"/>
                <w:b/>
                <w:iCs/>
                <w:szCs w:val="24"/>
                <w:lang w:val="pl-PL" w:eastAsia="en-GB"/>
              </w:rPr>
            </w:pPr>
            <w:r w:rsidRPr="00000498">
              <w:rPr>
                <w:rFonts w:asciiTheme="minorHAnsi" w:eastAsia="Times New Roman" w:hAnsiTheme="minorHAnsi" w:cstheme="minorHAnsi"/>
                <w:b/>
                <w:iCs/>
                <w:szCs w:val="24"/>
                <w:lang w:val="pl-PL" w:eastAsia="en-GB"/>
              </w:rPr>
              <w:t>Kod</w:t>
            </w:r>
            <w:r w:rsidR="005B1732" w:rsidRPr="00000498">
              <w:rPr>
                <w:rFonts w:asciiTheme="minorHAnsi" w:eastAsia="Times New Roman" w:hAnsiTheme="minorHAnsi" w:cstheme="minorHAnsi"/>
                <w:b/>
                <w:iCs/>
                <w:szCs w:val="24"/>
                <w:lang w:val="pl-PL" w:eastAsia="en-GB"/>
              </w:rPr>
              <w:t xml:space="preserve"> </w:t>
            </w:r>
          </w:p>
        </w:tc>
        <w:tc>
          <w:tcPr>
            <w:tcW w:w="2659" w:type="dxa"/>
          </w:tcPr>
          <w:p w14:paraId="1116E121" w14:textId="699631DA" w:rsidR="005B1732" w:rsidRPr="00000498" w:rsidRDefault="00871A6C" w:rsidP="00DE180F">
            <w:pPr>
              <w:spacing w:line="240" w:lineRule="auto"/>
              <w:jc w:val="both"/>
              <w:rPr>
                <w:rFonts w:asciiTheme="minorHAnsi" w:eastAsia="Times New Roman" w:hAnsiTheme="minorHAnsi" w:cstheme="minorHAnsi"/>
                <w:b/>
                <w:iCs/>
                <w:szCs w:val="24"/>
                <w:lang w:val="pl-PL" w:eastAsia="en-GB"/>
              </w:rPr>
            </w:pPr>
            <w:r w:rsidRPr="00000498">
              <w:rPr>
                <w:rFonts w:asciiTheme="minorHAnsi" w:eastAsia="Times New Roman" w:hAnsiTheme="minorHAnsi" w:cstheme="minorHAnsi"/>
                <w:b/>
                <w:iCs/>
                <w:szCs w:val="24"/>
                <w:lang w:val="pl-PL" w:eastAsia="en-GB"/>
              </w:rPr>
              <w:t>Kwota</w:t>
            </w:r>
            <w:r w:rsidR="005B1732" w:rsidRPr="00000498">
              <w:rPr>
                <w:rFonts w:asciiTheme="minorHAnsi" w:eastAsia="Times New Roman" w:hAnsiTheme="minorHAnsi" w:cstheme="minorHAnsi"/>
                <w:b/>
                <w:iCs/>
                <w:szCs w:val="24"/>
                <w:lang w:val="pl-PL" w:eastAsia="en-GB"/>
              </w:rPr>
              <w:t xml:space="preserve"> (EUR)</w:t>
            </w:r>
          </w:p>
        </w:tc>
      </w:tr>
      <w:tr w:rsidR="005B1732" w:rsidRPr="00655F90" w14:paraId="2D6AE3C5" w14:textId="77777777" w:rsidTr="00DE180F">
        <w:tc>
          <w:tcPr>
            <w:tcW w:w="1870" w:type="dxa"/>
          </w:tcPr>
          <w:p w14:paraId="3E1BF543" w14:textId="77777777" w:rsidR="005B1732" w:rsidRPr="00000498" w:rsidRDefault="005B1732" w:rsidP="00DE180F">
            <w:pPr>
              <w:spacing w:line="240" w:lineRule="auto"/>
              <w:jc w:val="both"/>
              <w:rPr>
                <w:rFonts w:asciiTheme="minorHAnsi" w:eastAsia="Times New Roman" w:hAnsiTheme="minorHAnsi" w:cstheme="minorHAnsi"/>
                <w:iCs/>
                <w:szCs w:val="24"/>
                <w:lang w:val="pl-PL" w:eastAsia="en-GB"/>
              </w:rPr>
            </w:pPr>
          </w:p>
        </w:tc>
        <w:tc>
          <w:tcPr>
            <w:tcW w:w="1657" w:type="dxa"/>
          </w:tcPr>
          <w:p w14:paraId="519CF177" w14:textId="77777777" w:rsidR="005B1732" w:rsidRPr="00000498" w:rsidRDefault="005B1732" w:rsidP="00DE180F">
            <w:pPr>
              <w:spacing w:line="240" w:lineRule="auto"/>
              <w:jc w:val="both"/>
              <w:rPr>
                <w:rFonts w:asciiTheme="minorHAnsi" w:eastAsia="Times New Roman" w:hAnsiTheme="minorHAnsi" w:cstheme="minorHAnsi"/>
                <w:b/>
                <w:iCs/>
                <w:szCs w:val="24"/>
                <w:lang w:val="pl-PL" w:eastAsia="en-GB"/>
              </w:rPr>
            </w:pPr>
          </w:p>
        </w:tc>
        <w:tc>
          <w:tcPr>
            <w:tcW w:w="1898" w:type="dxa"/>
          </w:tcPr>
          <w:p w14:paraId="0CE8522D" w14:textId="77777777" w:rsidR="005B1732" w:rsidRPr="00000498" w:rsidRDefault="005B1732" w:rsidP="00DE180F">
            <w:pPr>
              <w:spacing w:line="240" w:lineRule="auto"/>
              <w:jc w:val="both"/>
              <w:rPr>
                <w:rFonts w:asciiTheme="minorHAnsi" w:eastAsia="Times New Roman" w:hAnsiTheme="minorHAnsi" w:cstheme="minorHAnsi"/>
                <w:b/>
                <w:iCs/>
                <w:szCs w:val="24"/>
                <w:lang w:val="pl-PL" w:eastAsia="en-GB"/>
              </w:rPr>
            </w:pPr>
          </w:p>
        </w:tc>
        <w:tc>
          <w:tcPr>
            <w:tcW w:w="1204" w:type="dxa"/>
          </w:tcPr>
          <w:p w14:paraId="47A54A0F" w14:textId="77777777" w:rsidR="005B1732" w:rsidRPr="00000498" w:rsidRDefault="005B1732" w:rsidP="00DE180F">
            <w:pPr>
              <w:spacing w:line="240" w:lineRule="auto"/>
              <w:jc w:val="both"/>
              <w:rPr>
                <w:rFonts w:asciiTheme="minorHAnsi" w:eastAsia="Times New Roman" w:hAnsiTheme="minorHAnsi" w:cstheme="minorHAnsi"/>
                <w:b/>
                <w:iCs/>
                <w:szCs w:val="24"/>
                <w:lang w:val="pl-PL" w:eastAsia="en-GB"/>
              </w:rPr>
            </w:pPr>
          </w:p>
        </w:tc>
        <w:tc>
          <w:tcPr>
            <w:tcW w:w="2659" w:type="dxa"/>
          </w:tcPr>
          <w:p w14:paraId="2B1706C1" w14:textId="77777777" w:rsidR="005B1732" w:rsidRPr="00000498" w:rsidRDefault="005B1732" w:rsidP="00DE180F">
            <w:pPr>
              <w:spacing w:line="240" w:lineRule="auto"/>
              <w:jc w:val="both"/>
              <w:rPr>
                <w:rFonts w:asciiTheme="minorHAnsi" w:eastAsia="Times New Roman" w:hAnsiTheme="minorHAnsi" w:cstheme="minorHAnsi"/>
                <w:b/>
                <w:iCs/>
                <w:szCs w:val="24"/>
                <w:lang w:val="pl-PL" w:eastAsia="en-GB"/>
              </w:rPr>
            </w:pPr>
          </w:p>
        </w:tc>
      </w:tr>
    </w:tbl>
    <w:p w14:paraId="78B0C53E" w14:textId="77777777" w:rsidR="005B1732" w:rsidRPr="00F879CC" w:rsidRDefault="005B1732" w:rsidP="005B1732">
      <w:pPr>
        <w:spacing w:after="200" w:line="276" w:lineRule="auto"/>
        <w:rPr>
          <w:rFonts w:asciiTheme="minorHAnsi" w:eastAsia="Times New Roman" w:hAnsiTheme="minorHAnsi" w:cstheme="minorHAnsi"/>
          <w:iCs/>
          <w:szCs w:val="24"/>
          <w:lang w:val="en-IE" w:eastAsia="en-GB"/>
        </w:rPr>
      </w:pPr>
    </w:p>
    <w:p w14:paraId="308BE312" w14:textId="581CFF4E" w:rsidR="005B1732" w:rsidRPr="00F879CC" w:rsidRDefault="00871A6C" w:rsidP="00000498">
      <w:pPr>
        <w:spacing w:after="200" w:line="276" w:lineRule="auto"/>
        <w:rPr>
          <w:rFonts w:asciiTheme="minorHAnsi" w:eastAsia="Times New Roman" w:hAnsiTheme="minorHAnsi" w:cstheme="minorHAnsi"/>
          <w:i/>
          <w:szCs w:val="24"/>
          <w:lang w:val="pl-PL" w:eastAsia="en-GB"/>
        </w:rPr>
      </w:pPr>
      <w:r w:rsidRPr="00F879CC">
        <w:rPr>
          <w:rFonts w:asciiTheme="minorHAnsi" w:eastAsia="Times New Roman" w:hAnsiTheme="minorHAnsi" w:cstheme="minorHAnsi"/>
          <w:iCs/>
          <w:szCs w:val="24"/>
          <w:lang w:val="pl-PL" w:eastAsia="en-GB"/>
        </w:rPr>
        <w:t>Tabela</w:t>
      </w:r>
      <w:r w:rsidR="005B1732" w:rsidRPr="00F879CC">
        <w:rPr>
          <w:rFonts w:asciiTheme="minorHAnsi" w:eastAsia="Times New Roman" w:hAnsiTheme="minorHAnsi" w:cstheme="minorHAnsi"/>
          <w:iCs/>
          <w:szCs w:val="24"/>
          <w:lang w:val="pl-PL" w:eastAsia="en-GB"/>
        </w:rPr>
        <w:t xml:space="preserve"> 5: </w:t>
      </w:r>
      <w:r w:rsidRPr="00F879CC">
        <w:rPr>
          <w:rFonts w:asciiTheme="minorHAnsi" w:eastAsia="Times New Roman" w:hAnsiTheme="minorHAnsi" w:cstheme="minorHAnsi"/>
          <w:iCs/>
          <w:szCs w:val="24"/>
          <w:lang w:val="pl-PL" w:eastAsia="en-GB"/>
        </w:rPr>
        <w:t>Wymiar</w:t>
      </w:r>
      <w:r w:rsidR="005B1732" w:rsidRPr="00F879CC">
        <w:rPr>
          <w:rFonts w:asciiTheme="minorHAnsi" w:eastAsia="Times New Roman" w:hAnsiTheme="minorHAnsi" w:cstheme="minorHAnsi"/>
          <w:iCs/>
          <w:szCs w:val="24"/>
          <w:lang w:val="pl-PL" w:eastAsia="en-GB"/>
        </w:rPr>
        <w:t xml:space="preserve"> 2 – </w:t>
      </w:r>
      <w:r w:rsidRPr="00F879CC">
        <w:rPr>
          <w:rFonts w:asciiTheme="minorHAnsi" w:eastAsia="Times New Roman" w:hAnsiTheme="minorHAnsi" w:cstheme="minorHAnsi"/>
          <w:iCs/>
          <w:szCs w:val="24"/>
          <w:lang w:val="pl-PL" w:eastAsia="en-GB"/>
        </w:rPr>
        <w:t>forma finansowania</w:t>
      </w:r>
      <w:r w:rsidR="00F54FDB" w:rsidRPr="00F879CC">
        <w:rPr>
          <w:rFonts w:asciiTheme="minorHAnsi" w:eastAsia="Times New Roman" w:hAnsiTheme="minorHAnsi" w:cstheme="minorHAnsi"/>
          <w:iCs/>
          <w:szCs w:val="24"/>
          <w:lang w:val="pl-PL" w:eastAsia="en-GB"/>
        </w:rPr>
        <w:t xml:space="preserve"> </w:t>
      </w:r>
      <w:r w:rsidR="00F54FDB" w:rsidRPr="00F879CC">
        <w:rPr>
          <w:rFonts w:asciiTheme="minorHAnsi" w:eastAsia="Times New Roman" w:hAnsiTheme="minorHAnsi" w:cstheme="minorHAnsi"/>
          <w:szCs w:val="24"/>
          <w:lang w:val="pl-PL" w:eastAsia="en-GB"/>
        </w:rPr>
        <w:t>(</w:t>
      </w:r>
      <w:r w:rsidRPr="00F879CC">
        <w:rPr>
          <w:rFonts w:asciiTheme="minorHAnsi" w:hAnsiTheme="minorHAnsi" w:cstheme="minorHAnsi"/>
          <w:lang w:val="pl-PL"/>
        </w:rPr>
        <w:t>do wypełnienia/uwzględnienia w kolejnych krokach</w:t>
      </w:r>
      <w:r w:rsidR="00F54FDB" w:rsidRPr="00F879CC">
        <w:rPr>
          <w:rFonts w:asciiTheme="minorHAnsi" w:eastAsia="Times New Roman" w:hAnsiTheme="minorHAnsi" w:cstheme="minorHAnsi"/>
          <w:szCs w:val="24"/>
          <w:lang w:val="pl-PL" w:eastAsia="en-GB"/>
        </w:rPr>
        <w:t>)</w:t>
      </w:r>
    </w:p>
    <w:tbl>
      <w:tblPr>
        <w:tblStyle w:val="TableGrid1"/>
        <w:tblW w:w="0" w:type="auto"/>
        <w:tblLook w:val="04A0" w:firstRow="1" w:lastRow="0" w:firstColumn="1" w:lastColumn="0" w:noHBand="0" w:noVBand="1"/>
        <w:tblCaption w:val="Tabela dotycząca wymiaru 2 - formy finansowania"/>
      </w:tblPr>
      <w:tblGrid>
        <w:gridCol w:w="1870"/>
        <w:gridCol w:w="1657"/>
        <w:gridCol w:w="1898"/>
        <w:gridCol w:w="1204"/>
        <w:gridCol w:w="2659"/>
      </w:tblGrid>
      <w:tr w:rsidR="005B1732" w:rsidRPr="00A76651" w14:paraId="169E8C82" w14:textId="77777777" w:rsidTr="00000498">
        <w:trPr>
          <w:tblHeader/>
        </w:trPr>
        <w:tc>
          <w:tcPr>
            <w:tcW w:w="1870" w:type="dxa"/>
          </w:tcPr>
          <w:p w14:paraId="0192F3A6" w14:textId="410CA1A8" w:rsidR="005B1732" w:rsidRPr="00000498" w:rsidRDefault="00871A6C" w:rsidP="00DE180F">
            <w:pPr>
              <w:spacing w:line="240" w:lineRule="auto"/>
              <w:jc w:val="both"/>
              <w:rPr>
                <w:rFonts w:asciiTheme="minorHAnsi" w:eastAsia="Times New Roman" w:hAnsiTheme="minorHAnsi" w:cstheme="minorHAnsi"/>
                <w:b/>
                <w:iCs/>
                <w:szCs w:val="24"/>
                <w:lang w:val="pl-PL" w:eastAsia="en-GB"/>
              </w:rPr>
            </w:pPr>
            <w:r w:rsidRPr="00000498">
              <w:rPr>
                <w:rFonts w:asciiTheme="minorHAnsi" w:eastAsia="Times New Roman" w:hAnsiTheme="minorHAnsi" w:cstheme="minorHAnsi"/>
                <w:b/>
                <w:iCs/>
                <w:szCs w:val="24"/>
                <w:lang w:val="pl-PL" w:eastAsia="en-GB"/>
              </w:rPr>
              <w:t>Nr priorytetu</w:t>
            </w:r>
          </w:p>
        </w:tc>
        <w:tc>
          <w:tcPr>
            <w:tcW w:w="1657" w:type="dxa"/>
          </w:tcPr>
          <w:p w14:paraId="7D99CD11" w14:textId="7CC1A423" w:rsidR="005B1732" w:rsidRPr="00000498" w:rsidRDefault="00871A6C" w:rsidP="00DE180F">
            <w:pPr>
              <w:spacing w:line="240" w:lineRule="auto"/>
              <w:jc w:val="both"/>
              <w:rPr>
                <w:rFonts w:asciiTheme="minorHAnsi" w:eastAsia="Times New Roman" w:hAnsiTheme="minorHAnsi" w:cstheme="minorHAnsi"/>
                <w:b/>
                <w:iCs/>
                <w:szCs w:val="24"/>
                <w:lang w:val="pl-PL" w:eastAsia="en-GB"/>
              </w:rPr>
            </w:pPr>
            <w:r w:rsidRPr="00000498">
              <w:rPr>
                <w:rFonts w:asciiTheme="minorHAnsi" w:eastAsia="Times New Roman" w:hAnsiTheme="minorHAnsi" w:cstheme="minorHAnsi"/>
                <w:b/>
                <w:iCs/>
                <w:szCs w:val="24"/>
                <w:lang w:val="pl-PL" w:eastAsia="en-GB"/>
              </w:rPr>
              <w:t>Fundusz</w:t>
            </w:r>
          </w:p>
        </w:tc>
        <w:tc>
          <w:tcPr>
            <w:tcW w:w="1898" w:type="dxa"/>
          </w:tcPr>
          <w:p w14:paraId="105CF400" w14:textId="7182B5E2" w:rsidR="005B1732" w:rsidRPr="00000498" w:rsidRDefault="00871A6C" w:rsidP="00DE180F">
            <w:pPr>
              <w:spacing w:line="240" w:lineRule="auto"/>
              <w:jc w:val="both"/>
              <w:rPr>
                <w:rFonts w:asciiTheme="minorHAnsi" w:eastAsia="Times New Roman" w:hAnsiTheme="minorHAnsi" w:cstheme="minorHAnsi"/>
                <w:b/>
                <w:iCs/>
                <w:szCs w:val="24"/>
                <w:lang w:val="pl-PL" w:eastAsia="en-GB"/>
              </w:rPr>
            </w:pPr>
            <w:r w:rsidRPr="00000498">
              <w:rPr>
                <w:rFonts w:asciiTheme="minorHAnsi" w:eastAsia="Times New Roman" w:hAnsiTheme="minorHAnsi" w:cstheme="minorHAnsi"/>
                <w:b/>
                <w:iCs/>
                <w:szCs w:val="24"/>
                <w:lang w:val="pl-PL" w:eastAsia="en-GB"/>
              </w:rPr>
              <w:t>Cel szczegółowy</w:t>
            </w:r>
          </w:p>
        </w:tc>
        <w:tc>
          <w:tcPr>
            <w:tcW w:w="1204" w:type="dxa"/>
          </w:tcPr>
          <w:p w14:paraId="59095587" w14:textId="447F8D26" w:rsidR="005B1732" w:rsidRPr="00000498" w:rsidRDefault="00871A6C" w:rsidP="00DE180F">
            <w:pPr>
              <w:spacing w:line="240" w:lineRule="auto"/>
              <w:jc w:val="both"/>
              <w:rPr>
                <w:rFonts w:asciiTheme="minorHAnsi" w:eastAsia="Times New Roman" w:hAnsiTheme="minorHAnsi" w:cstheme="minorHAnsi"/>
                <w:b/>
                <w:iCs/>
                <w:szCs w:val="24"/>
                <w:lang w:val="pl-PL" w:eastAsia="en-GB"/>
              </w:rPr>
            </w:pPr>
            <w:r w:rsidRPr="00000498">
              <w:rPr>
                <w:rFonts w:asciiTheme="minorHAnsi" w:eastAsia="Times New Roman" w:hAnsiTheme="minorHAnsi" w:cstheme="minorHAnsi"/>
                <w:b/>
                <w:iCs/>
                <w:szCs w:val="24"/>
                <w:lang w:val="pl-PL" w:eastAsia="en-GB"/>
              </w:rPr>
              <w:t>Kod</w:t>
            </w:r>
            <w:r w:rsidR="005B1732" w:rsidRPr="00000498">
              <w:rPr>
                <w:rFonts w:asciiTheme="minorHAnsi" w:eastAsia="Times New Roman" w:hAnsiTheme="minorHAnsi" w:cstheme="minorHAnsi"/>
                <w:b/>
                <w:iCs/>
                <w:szCs w:val="24"/>
                <w:lang w:val="pl-PL" w:eastAsia="en-GB"/>
              </w:rPr>
              <w:t xml:space="preserve"> </w:t>
            </w:r>
          </w:p>
        </w:tc>
        <w:tc>
          <w:tcPr>
            <w:tcW w:w="2659" w:type="dxa"/>
          </w:tcPr>
          <w:p w14:paraId="5622F85B" w14:textId="174ED3D6" w:rsidR="005B1732" w:rsidRPr="00000498" w:rsidRDefault="00871A6C" w:rsidP="00DE180F">
            <w:pPr>
              <w:spacing w:line="240" w:lineRule="auto"/>
              <w:jc w:val="both"/>
              <w:rPr>
                <w:rFonts w:asciiTheme="minorHAnsi" w:eastAsia="Times New Roman" w:hAnsiTheme="minorHAnsi" w:cstheme="minorHAnsi"/>
                <w:b/>
                <w:iCs/>
                <w:szCs w:val="24"/>
                <w:lang w:val="pl-PL" w:eastAsia="en-GB"/>
              </w:rPr>
            </w:pPr>
            <w:r w:rsidRPr="00000498">
              <w:rPr>
                <w:rFonts w:asciiTheme="minorHAnsi" w:eastAsia="Times New Roman" w:hAnsiTheme="minorHAnsi" w:cstheme="minorHAnsi"/>
                <w:b/>
                <w:iCs/>
                <w:szCs w:val="24"/>
                <w:lang w:val="pl-PL" w:eastAsia="en-GB"/>
              </w:rPr>
              <w:t>Kwota</w:t>
            </w:r>
            <w:r w:rsidR="005B1732" w:rsidRPr="00000498">
              <w:rPr>
                <w:rFonts w:asciiTheme="minorHAnsi" w:eastAsia="Times New Roman" w:hAnsiTheme="minorHAnsi" w:cstheme="minorHAnsi"/>
                <w:b/>
                <w:iCs/>
                <w:szCs w:val="24"/>
                <w:lang w:val="pl-PL" w:eastAsia="en-GB"/>
              </w:rPr>
              <w:t xml:space="preserve"> (EUR)</w:t>
            </w:r>
          </w:p>
        </w:tc>
      </w:tr>
      <w:tr w:rsidR="005B1732" w:rsidRPr="00A76651" w14:paraId="0826D9B5" w14:textId="77777777" w:rsidTr="00DE180F">
        <w:tc>
          <w:tcPr>
            <w:tcW w:w="1870" w:type="dxa"/>
          </w:tcPr>
          <w:p w14:paraId="5B811BB6" w14:textId="77777777" w:rsidR="005B1732" w:rsidRPr="00000498" w:rsidRDefault="005B1732" w:rsidP="00DE180F">
            <w:pPr>
              <w:spacing w:line="240" w:lineRule="auto"/>
              <w:jc w:val="both"/>
              <w:rPr>
                <w:rFonts w:asciiTheme="minorHAnsi" w:eastAsia="Times New Roman" w:hAnsiTheme="minorHAnsi" w:cstheme="minorHAnsi"/>
                <w:b/>
                <w:iCs/>
                <w:szCs w:val="24"/>
                <w:lang w:val="pl-PL" w:eastAsia="en-GB"/>
              </w:rPr>
            </w:pPr>
          </w:p>
        </w:tc>
        <w:tc>
          <w:tcPr>
            <w:tcW w:w="1657" w:type="dxa"/>
          </w:tcPr>
          <w:p w14:paraId="0310EFB6" w14:textId="77777777" w:rsidR="005B1732" w:rsidRPr="00000498" w:rsidRDefault="005B1732" w:rsidP="00DE180F">
            <w:pPr>
              <w:spacing w:line="240" w:lineRule="auto"/>
              <w:jc w:val="both"/>
              <w:rPr>
                <w:rFonts w:asciiTheme="minorHAnsi" w:eastAsia="Times New Roman" w:hAnsiTheme="minorHAnsi" w:cstheme="minorHAnsi"/>
                <w:b/>
                <w:iCs/>
                <w:szCs w:val="24"/>
                <w:lang w:val="pl-PL" w:eastAsia="en-GB"/>
              </w:rPr>
            </w:pPr>
          </w:p>
        </w:tc>
        <w:tc>
          <w:tcPr>
            <w:tcW w:w="1898" w:type="dxa"/>
          </w:tcPr>
          <w:p w14:paraId="3BC8BD62" w14:textId="77777777" w:rsidR="005B1732" w:rsidRPr="00000498" w:rsidRDefault="005B1732" w:rsidP="00DE180F">
            <w:pPr>
              <w:spacing w:line="240" w:lineRule="auto"/>
              <w:jc w:val="both"/>
              <w:rPr>
                <w:rFonts w:asciiTheme="minorHAnsi" w:eastAsia="Times New Roman" w:hAnsiTheme="minorHAnsi" w:cstheme="minorHAnsi"/>
                <w:b/>
                <w:iCs/>
                <w:szCs w:val="24"/>
                <w:lang w:val="pl-PL" w:eastAsia="en-GB"/>
              </w:rPr>
            </w:pPr>
          </w:p>
        </w:tc>
        <w:tc>
          <w:tcPr>
            <w:tcW w:w="1204" w:type="dxa"/>
          </w:tcPr>
          <w:p w14:paraId="1F162F26" w14:textId="77777777" w:rsidR="005B1732" w:rsidRPr="00000498" w:rsidRDefault="005B1732" w:rsidP="00DE180F">
            <w:pPr>
              <w:spacing w:line="240" w:lineRule="auto"/>
              <w:jc w:val="both"/>
              <w:rPr>
                <w:rFonts w:asciiTheme="minorHAnsi" w:eastAsia="Times New Roman" w:hAnsiTheme="minorHAnsi" w:cstheme="minorHAnsi"/>
                <w:b/>
                <w:iCs/>
                <w:szCs w:val="24"/>
                <w:lang w:val="pl-PL" w:eastAsia="en-GB"/>
              </w:rPr>
            </w:pPr>
          </w:p>
        </w:tc>
        <w:tc>
          <w:tcPr>
            <w:tcW w:w="2659" w:type="dxa"/>
          </w:tcPr>
          <w:p w14:paraId="311B876B" w14:textId="77777777" w:rsidR="005B1732" w:rsidRPr="00000498" w:rsidRDefault="005B1732" w:rsidP="00DE180F">
            <w:pPr>
              <w:spacing w:line="240" w:lineRule="auto"/>
              <w:jc w:val="both"/>
              <w:rPr>
                <w:rFonts w:asciiTheme="minorHAnsi" w:eastAsia="Times New Roman" w:hAnsiTheme="minorHAnsi" w:cstheme="minorHAnsi"/>
                <w:b/>
                <w:iCs/>
                <w:szCs w:val="24"/>
                <w:lang w:val="pl-PL" w:eastAsia="en-GB"/>
              </w:rPr>
            </w:pPr>
          </w:p>
        </w:tc>
      </w:tr>
    </w:tbl>
    <w:p w14:paraId="557AB351" w14:textId="77777777" w:rsidR="005B1732" w:rsidRPr="00F879CC" w:rsidRDefault="005B1732" w:rsidP="005B1732">
      <w:pPr>
        <w:spacing w:after="200" w:line="276" w:lineRule="auto"/>
        <w:jc w:val="center"/>
        <w:rPr>
          <w:rFonts w:asciiTheme="minorHAnsi" w:eastAsia="Times New Roman" w:hAnsiTheme="minorHAnsi" w:cstheme="minorHAnsi"/>
          <w:iCs/>
          <w:szCs w:val="24"/>
          <w:lang w:val="en-IE" w:eastAsia="en-GB"/>
        </w:rPr>
      </w:pPr>
    </w:p>
    <w:p w14:paraId="5F3E1DF7" w14:textId="12A67E06" w:rsidR="005B1732" w:rsidRPr="00F879CC" w:rsidRDefault="00871A6C" w:rsidP="00000498">
      <w:pPr>
        <w:spacing w:line="276" w:lineRule="auto"/>
        <w:rPr>
          <w:rFonts w:asciiTheme="minorHAnsi" w:eastAsia="Times New Roman" w:hAnsiTheme="minorHAnsi" w:cstheme="minorHAnsi"/>
          <w:iCs/>
          <w:szCs w:val="24"/>
          <w:lang w:val="pl-PL" w:eastAsia="en-GB"/>
        </w:rPr>
      </w:pPr>
      <w:r w:rsidRPr="00F879CC">
        <w:rPr>
          <w:rFonts w:asciiTheme="minorHAnsi" w:eastAsia="Times New Roman" w:hAnsiTheme="minorHAnsi" w:cstheme="minorHAnsi"/>
          <w:iCs/>
          <w:szCs w:val="24"/>
          <w:lang w:val="pl-PL" w:eastAsia="en-GB"/>
        </w:rPr>
        <w:lastRenderedPageBreak/>
        <w:t>Tabela</w:t>
      </w:r>
      <w:r w:rsidR="005B1732" w:rsidRPr="00F879CC">
        <w:rPr>
          <w:rFonts w:asciiTheme="minorHAnsi" w:eastAsia="Times New Roman" w:hAnsiTheme="minorHAnsi" w:cstheme="minorHAnsi"/>
          <w:iCs/>
          <w:szCs w:val="24"/>
          <w:lang w:val="pl-PL" w:eastAsia="en-GB"/>
        </w:rPr>
        <w:t xml:space="preserve"> 6: </w:t>
      </w:r>
      <w:r w:rsidRPr="00F879CC">
        <w:rPr>
          <w:rFonts w:asciiTheme="minorHAnsi" w:eastAsia="Times New Roman" w:hAnsiTheme="minorHAnsi" w:cstheme="minorHAnsi"/>
          <w:iCs/>
          <w:szCs w:val="24"/>
          <w:lang w:val="pl-PL" w:eastAsia="en-GB"/>
        </w:rPr>
        <w:t>Wymiar</w:t>
      </w:r>
      <w:r w:rsidR="005B1732" w:rsidRPr="00F879CC">
        <w:rPr>
          <w:rFonts w:asciiTheme="minorHAnsi" w:eastAsia="Times New Roman" w:hAnsiTheme="minorHAnsi" w:cstheme="minorHAnsi"/>
          <w:iCs/>
          <w:szCs w:val="24"/>
          <w:lang w:val="pl-PL" w:eastAsia="en-GB"/>
        </w:rPr>
        <w:t xml:space="preserve"> 3 – </w:t>
      </w:r>
      <w:r w:rsidRPr="00F879CC">
        <w:rPr>
          <w:rFonts w:asciiTheme="minorHAnsi" w:eastAsia="Times New Roman" w:hAnsiTheme="minorHAnsi" w:cstheme="minorHAnsi"/>
          <w:iCs/>
          <w:szCs w:val="24"/>
          <w:lang w:val="pl-PL" w:eastAsia="en-GB"/>
        </w:rPr>
        <w:t xml:space="preserve">terytorialny mechanizm realizacji i skupienie </w:t>
      </w:r>
      <w:r w:rsidR="0096482A" w:rsidRPr="00F879CC">
        <w:rPr>
          <w:rFonts w:asciiTheme="minorHAnsi" w:eastAsia="Times New Roman" w:hAnsiTheme="minorHAnsi" w:cstheme="minorHAnsi"/>
          <w:iCs/>
          <w:szCs w:val="24"/>
          <w:lang w:val="pl-PL" w:eastAsia="en-GB"/>
        </w:rPr>
        <w:t xml:space="preserve">uwagi </w:t>
      </w:r>
      <w:r w:rsidRPr="00F879CC">
        <w:rPr>
          <w:rFonts w:asciiTheme="minorHAnsi" w:eastAsia="Times New Roman" w:hAnsiTheme="minorHAnsi" w:cstheme="minorHAnsi"/>
          <w:iCs/>
          <w:szCs w:val="24"/>
          <w:lang w:val="pl-PL" w:eastAsia="en-GB"/>
        </w:rPr>
        <w:t>na terytorium</w:t>
      </w:r>
    </w:p>
    <w:p w14:paraId="32F5BB26" w14:textId="1BB80AD4" w:rsidR="00F54FDB" w:rsidRPr="00F879CC" w:rsidRDefault="00F54FDB" w:rsidP="00000498">
      <w:pPr>
        <w:spacing w:after="200" w:line="276" w:lineRule="auto"/>
        <w:rPr>
          <w:rFonts w:asciiTheme="minorHAnsi" w:eastAsia="Times New Roman" w:hAnsiTheme="minorHAnsi" w:cstheme="minorHAnsi"/>
          <w:i/>
          <w:szCs w:val="24"/>
          <w:lang w:val="pl-PL" w:eastAsia="en-GB"/>
        </w:rPr>
      </w:pPr>
      <w:r w:rsidRPr="00F879CC">
        <w:rPr>
          <w:rFonts w:asciiTheme="minorHAnsi" w:eastAsia="Times New Roman" w:hAnsiTheme="minorHAnsi" w:cstheme="minorHAnsi"/>
          <w:szCs w:val="24"/>
          <w:lang w:val="pl-PL" w:eastAsia="en-GB"/>
        </w:rPr>
        <w:t>(</w:t>
      </w:r>
      <w:r w:rsidR="00871A6C" w:rsidRPr="00F879CC">
        <w:rPr>
          <w:rFonts w:asciiTheme="minorHAnsi" w:hAnsiTheme="minorHAnsi" w:cstheme="minorHAnsi"/>
          <w:lang w:val="pl-PL"/>
        </w:rPr>
        <w:t>do wypełnienia/uwzględnienia w kolejnych krokach</w:t>
      </w:r>
      <w:r w:rsidRPr="00F879CC">
        <w:rPr>
          <w:rFonts w:asciiTheme="minorHAnsi" w:eastAsia="Times New Roman" w:hAnsiTheme="minorHAnsi" w:cstheme="minorHAnsi"/>
          <w:szCs w:val="24"/>
          <w:lang w:val="pl-PL" w:eastAsia="en-GB"/>
        </w:rPr>
        <w:t>)</w:t>
      </w:r>
    </w:p>
    <w:tbl>
      <w:tblPr>
        <w:tblStyle w:val="TableGrid1"/>
        <w:tblW w:w="0" w:type="auto"/>
        <w:tblLook w:val="04A0" w:firstRow="1" w:lastRow="0" w:firstColumn="1" w:lastColumn="0" w:noHBand="0" w:noVBand="1"/>
        <w:tblCaption w:val="Tabela dotycząca wymiaru 3 - terytorialnego mechanizmu realizacji i skupienia uwagi na terytorium"/>
      </w:tblPr>
      <w:tblGrid>
        <w:gridCol w:w="1870"/>
        <w:gridCol w:w="1657"/>
        <w:gridCol w:w="1898"/>
        <w:gridCol w:w="1204"/>
        <w:gridCol w:w="2659"/>
      </w:tblGrid>
      <w:tr w:rsidR="005B1732" w:rsidRPr="00A76651" w14:paraId="2C7A27DE" w14:textId="77777777" w:rsidTr="00000498">
        <w:trPr>
          <w:tblHeader/>
        </w:trPr>
        <w:tc>
          <w:tcPr>
            <w:tcW w:w="1870" w:type="dxa"/>
          </w:tcPr>
          <w:p w14:paraId="6D106A04" w14:textId="21567770" w:rsidR="005B1732" w:rsidRPr="00000498" w:rsidRDefault="00871A6C" w:rsidP="00DE180F">
            <w:pPr>
              <w:spacing w:line="240" w:lineRule="auto"/>
              <w:jc w:val="both"/>
              <w:rPr>
                <w:rFonts w:asciiTheme="minorHAnsi" w:eastAsia="Times New Roman" w:hAnsiTheme="minorHAnsi" w:cstheme="minorHAnsi"/>
                <w:b/>
                <w:iCs/>
                <w:szCs w:val="24"/>
                <w:lang w:val="pl-PL" w:eastAsia="en-GB"/>
              </w:rPr>
            </w:pPr>
            <w:r w:rsidRPr="00000498">
              <w:rPr>
                <w:rFonts w:asciiTheme="minorHAnsi" w:eastAsia="Times New Roman" w:hAnsiTheme="minorHAnsi" w:cstheme="minorHAnsi"/>
                <w:b/>
                <w:iCs/>
                <w:szCs w:val="24"/>
                <w:lang w:val="pl-PL" w:eastAsia="en-GB"/>
              </w:rPr>
              <w:t>Nr priorytetu</w:t>
            </w:r>
          </w:p>
        </w:tc>
        <w:tc>
          <w:tcPr>
            <w:tcW w:w="1657" w:type="dxa"/>
          </w:tcPr>
          <w:p w14:paraId="29BFFAC3" w14:textId="6CE8AA1E" w:rsidR="005B1732" w:rsidRPr="00000498" w:rsidRDefault="00871A6C" w:rsidP="00DE180F">
            <w:pPr>
              <w:spacing w:line="240" w:lineRule="auto"/>
              <w:jc w:val="both"/>
              <w:rPr>
                <w:rFonts w:asciiTheme="minorHAnsi" w:eastAsia="Times New Roman" w:hAnsiTheme="minorHAnsi" w:cstheme="minorHAnsi"/>
                <w:b/>
                <w:iCs/>
                <w:szCs w:val="24"/>
                <w:lang w:val="pl-PL" w:eastAsia="en-GB"/>
              </w:rPr>
            </w:pPr>
            <w:r w:rsidRPr="00000498">
              <w:rPr>
                <w:rFonts w:asciiTheme="minorHAnsi" w:eastAsia="Times New Roman" w:hAnsiTheme="minorHAnsi" w:cstheme="minorHAnsi"/>
                <w:b/>
                <w:iCs/>
                <w:szCs w:val="24"/>
                <w:lang w:val="pl-PL" w:eastAsia="en-GB"/>
              </w:rPr>
              <w:t>Fundusz</w:t>
            </w:r>
          </w:p>
        </w:tc>
        <w:tc>
          <w:tcPr>
            <w:tcW w:w="1898" w:type="dxa"/>
          </w:tcPr>
          <w:p w14:paraId="4503E67A" w14:textId="1B3A3ABD" w:rsidR="005B1732" w:rsidRPr="00000498" w:rsidRDefault="00871A6C" w:rsidP="00DE180F">
            <w:pPr>
              <w:spacing w:line="240" w:lineRule="auto"/>
              <w:jc w:val="both"/>
              <w:rPr>
                <w:rFonts w:asciiTheme="minorHAnsi" w:eastAsia="Times New Roman" w:hAnsiTheme="minorHAnsi" w:cstheme="minorHAnsi"/>
                <w:b/>
                <w:iCs/>
                <w:szCs w:val="24"/>
                <w:lang w:val="pl-PL" w:eastAsia="en-GB"/>
              </w:rPr>
            </w:pPr>
            <w:r w:rsidRPr="00000498">
              <w:rPr>
                <w:rFonts w:asciiTheme="minorHAnsi" w:eastAsia="Times New Roman" w:hAnsiTheme="minorHAnsi" w:cstheme="minorHAnsi"/>
                <w:b/>
                <w:iCs/>
                <w:szCs w:val="24"/>
                <w:lang w:val="pl-PL" w:eastAsia="en-GB"/>
              </w:rPr>
              <w:t>Cel szczegółowy</w:t>
            </w:r>
          </w:p>
        </w:tc>
        <w:tc>
          <w:tcPr>
            <w:tcW w:w="1204" w:type="dxa"/>
          </w:tcPr>
          <w:p w14:paraId="41ADB5C7" w14:textId="566CAF01" w:rsidR="005B1732" w:rsidRPr="00000498" w:rsidRDefault="00871A6C" w:rsidP="00DE180F">
            <w:pPr>
              <w:spacing w:line="240" w:lineRule="auto"/>
              <w:jc w:val="both"/>
              <w:rPr>
                <w:rFonts w:asciiTheme="minorHAnsi" w:eastAsia="Times New Roman" w:hAnsiTheme="minorHAnsi" w:cstheme="minorHAnsi"/>
                <w:b/>
                <w:iCs/>
                <w:szCs w:val="24"/>
                <w:lang w:val="pl-PL" w:eastAsia="en-GB"/>
              </w:rPr>
            </w:pPr>
            <w:r w:rsidRPr="00000498">
              <w:rPr>
                <w:rFonts w:asciiTheme="minorHAnsi" w:eastAsia="Times New Roman" w:hAnsiTheme="minorHAnsi" w:cstheme="minorHAnsi"/>
                <w:b/>
                <w:iCs/>
                <w:szCs w:val="24"/>
                <w:lang w:val="pl-PL" w:eastAsia="en-GB"/>
              </w:rPr>
              <w:t>Kod</w:t>
            </w:r>
            <w:r w:rsidR="005B1732" w:rsidRPr="00000498">
              <w:rPr>
                <w:rFonts w:asciiTheme="minorHAnsi" w:eastAsia="Times New Roman" w:hAnsiTheme="minorHAnsi" w:cstheme="minorHAnsi"/>
                <w:b/>
                <w:iCs/>
                <w:szCs w:val="24"/>
                <w:lang w:val="pl-PL" w:eastAsia="en-GB"/>
              </w:rPr>
              <w:t xml:space="preserve"> </w:t>
            </w:r>
          </w:p>
        </w:tc>
        <w:tc>
          <w:tcPr>
            <w:tcW w:w="2659" w:type="dxa"/>
          </w:tcPr>
          <w:p w14:paraId="40237CDE" w14:textId="0E1011B0" w:rsidR="005B1732" w:rsidRPr="00000498" w:rsidRDefault="00871A6C" w:rsidP="00DE180F">
            <w:pPr>
              <w:spacing w:line="240" w:lineRule="auto"/>
              <w:jc w:val="both"/>
              <w:rPr>
                <w:rFonts w:asciiTheme="minorHAnsi" w:eastAsia="Times New Roman" w:hAnsiTheme="minorHAnsi" w:cstheme="minorHAnsi"/>
                <w:b/>
                <w:iCs/>
                <w:szCs w:val="24"/>
                <w:lang w:val="pl-PL" w:eastAsia="en-GB"/>
              </w:rPr>
            </w:pPr>
            <w:r w:rsidRPr="00000498">
              <w:rPr>
                <w:rFonts w:asciiTheme="minorHAnsi" w:eastAsia="Times New Roman" w:hAnsiTheme="minorHAnsi" w:cstheme="minorHAnsi"/>
                <w:b/>
                <w:iCs/>
                <w:szCs w:val="24"/>
                <w:lang w:val="pl-PL" w:eastAsia="en-GB"/>
              </w:rPr>
              <w:t>Kwota</w:t>
            </w:r>
            <w:r w:rsidR="005B1732" w:rsidRPr="00000498">
              <w:rPr>
                <w:rFonts w:asciiTheme="minorHAnsi" w:eastAsia="Times New Roman" w:hAnsiTheme="minorHAnsi" w:cstheme="minorHAnsi"/>
                <w:b/>
                <w:iCs/>
                <w:szCs w:val="24"/>
                <w:lang w:val="pl-PL" w:eastAsia="en-GB"/>
              </w:rPr>
              <w:t xml:space="preserve"> (EUR)</w:t>
            </w:r>
          </w:p>
        </w:tc>
      </w:tr>
      <w:tr w:rsidR="005B1732" w:rsidRPr="00A76651" w14:paraId="21617920" w14:textId="77777777" w:rsidTr="00DE180F">
        <w:tc>
          <w:tcPr>
            <w:tcW w:w="1870" w:type="dxa"/>
          </w:tcPr>
          <w:p w14:paraId="6558339B" w14:textId="77777777" w:rsidR="005B1732" w:rsidRPr="00000498" w:rsidRDefault="005B1732" w:rsidP="00DE180F">
            <w:pPr>
              <w:spacing w:line="240" w:lineRule="auto"/>
              <w:jc w:val="both"/>
              <w:rPr>
                <w:rFonts w:asciiTheme="minorHAnsi" w:eastAsia="Times New Roman" w:hAnsiTheme="minorHAnsi" w:cstheme="minorHAnsi"/>
                <w:b/>
                <w:iCs/>
                <w:szCs w:val="24"/>
                <w:lang w:val="pl-PL" w:eastAsia="en-GB"/>
              </w:rPr>
            </w:pPr>
          </w:p>
        </w:tc>
        <w:tc>
          <w:tcPr>
            <w:tcW w:w="1657" w:type="dxa"/>
          </w:tcPr>
          <w:p w14:paraId="03C0B7D9" w14:textId="77777777" w:rsidR="005B1732" w:rsidRPr="00000498" w:rsidRDefault="005B1732" w:rsidP="00DE180F">
            <w:pPr>
              <w:spacing w:line="240" w:lineRule="auto"/>
              <w:jc w:val="both"/>
              <w:rPr>
                <w:rFonts w:asciiTheme="minorHAnsi" w:eastAsia="Times New Roman" w:hAnsiTheme="minorHAnsi" w:cstheme="minorHAnsi"/>
                <w:b/>
                <w:iCs/>
                <w:szCs w:val="24"/>
                <w:lang w:val="pl-PL" w:eastAsia="en-GB"/>
              </w:rPr>
            </w:pPr>
          </w:p>
        </w:tc>
        <w:tc>
          <w:tcPr>
            <w:tcW w:w="1898" w:type="dxa"/>
          </w:tcPr>
          <w:p w14:paraId="1359C0F3" w14:textId="77777777" w:rsidR="005B1732" w:rsidRPr="00000498" w:rsidRDefault="005B1732" w:rsidP="00DE180F">
            <w:pPr>
              <w:spacing w:line="240" w:lineRule="auto"/>
              <w:jc w:val="both"/>
              <w:rPr>
                <w:rFonts w:asciiTheme="minorHAnsi" w:eastAsia="Times New Roman" w:hAnsiTheme="minorHAnsi" w:cstheme="minorHAnsi"/>
                <w:b/>
                <w:iCs/>
                <w:szCs w:val="24"/>
                <w:lang w:val="pl-PL" w:eastAsia="en-GB"/>
              </w:rPr>
            </w:pPr>
          </w:p>
        </w:tc>
        <w:tc>
          <w:tcPr>
            <w:tcW w:w="1204" w:type="dxa"/>
          </w:tcPr>
          <w:p w14:paraId="754BD7D5" w14:textId="77777777" w:rsidR="005B1732" w:rsidRPr="00000498" w:rsidRDefault="005B1732" w:rsidP="00DE180F">
            <w:pPr>
              <w:spacing w:line="240" w:lineRule="auto"/>
              <w:jc w:val="both"/>
              <w:rPr>
                <w:rFonts w:asciiTheme="minorHAnsi" w:eastAsia="Times New Roman" w:hAnsiTheme="minorHAnsi" w:cstheme="minorHAnsi"/>
                <w:b/>
                <w:iCs/>
                <w:szCs w:val="24"/>
                <w:lang w:val="pl-PL" w:eastAsia="en-GB"/>
              </w:rPr>
            </w:pPr>
          </w:p>
        </w:tc>
        <w:tc>
          <w:tcPr>
            <w:tcW w:w="2659" w:type="dxa"/>
          </w:tcPr>
          <w:p w14:paraId="79A3F100" w14:textId="77777777" w:rsidR="005B1732" w:rsidRPr="00000498" w:rsidRDefault="005B1732" w:rsidP="00DE180F">
            <w:pPr>
              <w:spacing w:line="240" w:lineRule="auto"/>
              <w:jc w:val="both"/>
              <w:rPr>
                <w:rFonts w:asciiTheme="minorHAnsi" w:eastAsia="Times New Roman" w:hAnsiTheme="minorHAnsi" w:cstheme="minorHAnsi"/>
                <w:b/>
                <w:iCs/>
                <w:szCs w:val="24"/>
                <w:lang w:val="pl-PL" w:eastAsia="en-GB"/>
              </w:rPr>
            </w:pPr>
          </w:p>
        </w:tc>
      </w:tr>
    </w:tbl>
    <w:p w14:paraId="1C6929C5" w14:textId="77777777" w:rsidR="005B1732" w:rsidRPr="00F879CC" w:rsidRDefault="005B1732" w:rsidP="005B1732">
      <w:pPr>
        <w:spacing w:before="240" w:after="240" w:line="240" w:lineRule="auto"/>
        <w:ind w:left="360"/>
        <w:jc w:val="both"/>
        <w:rPr>
          <w:rFonts w:asciiTheme="minorHAnsi" w:eastAsia="Times New Roman" w:hAnsiTheme="minorHAnsi" w:cstheme="minorHAnsi"/>
          <w:b/>
          <w:iCs/>
          <w:szCs w:val="24"/>
          <w:lang w:val="en-IE" w:eastAsia="en-GB"/>
        </w:rPr>
      </w:pPr>
    </w:p>
    <w:p w14:paraId="097426AA" w14:textId="705212E2" w:rsidR="005B1732" w:rsidRPr="00A76651" w:rsidRDefault="005B1732" w:rsidP="00000498">
      <w:pPr>
        <w:spacing w:before="240" w:after="240" w:line="276" w:lineRule="auto"/>
        <w:ind w:left="709" w:hanging="709"/>
        <w:rPr>
          <w:rFonts w:asciiTheme="minorHAnsi" w:eastAsia="Times New Roman" w:hAnsiTheme="minorHAnsi" w:cstheme="minorHAnsi"/>
          <w:iCs/>
          <w:szCs w:val="24"/>
          <w:lang w:val="pl-PL" w:eastAsia="en-GB"/>
        </w:rPr>
      </w:pPr>
      <w:r w:rsidRPr="00A76651">
        <w:rPr>
          <w:rFonts w:asciiTheme="minorHAnsi" w:eastAsia="Times New Roman" w:hAnsiTheme="minorHAnsi" w:cstheme="minorHAnsi"/>
          <w:b/>
          <w:iCs/>
          <w:szCs w:val="24"/>
          <w:lang w:val="pl-PL" w:eastAsia="en-GB"/>
        </w:rPr>
        <w:t>2.</w:t>
      </w:r>
      <w:r w:rsidR="003349E4" w:rsidRPr="00A76651">
        <w:rPr>
          <w:rFonts w:asciiTheme="minorHAnsi" w:eastAsia="Times New Roman" w:hAnsiTheme="minorHAnsi" w:cstheme="minorHAnsi"/>
          <w:b/>
          <w:iCs/>
          <w:szCs w:val="24"/>
          <w:lang w:val="pl-PL" w:eastAsia="en-GB"/>
        </w:rPr>
        <w:t>4</w:t>
      </w:r>
      <w:r w:rsidRPr="00A76651">
        <w:rPr>
          <w:rFonts w:asciiTheme="minorHAnsi" w:eastAsia="Times New Roman" w:hAnsiTheme="minorHAnsi" w:cstheme="minorHAnsi"/>
          <w:b/>
          <w:iCs/>
          <w:szCs w:val="24"/>
          <w:lang w:val="pl-PL" w:eastAsia="en-GB"/>
        </w:rPr>
        <w:t>.2.</w:t>
      </w:r>
      <w:r w:rsidRPr="00A76651">
        <w:rPr>
          <w:rFonts w:asciiTheme="minorHAnsi" w:eastAsia="Times New Roman" w:hAnsiTheme="minorHAnsi" w:cstheme="minorHAnsi"/>
          <w:b/>
          <w:iCs/>
          <w:szCs w:val="24"/>
          <w:lang w:val="pl-PL" w:eastAsia="en-GB"/>
        </w:rPr>
        <w:tab/>
      </w:r>
      <w:r w:rsidR="00252C2D" w:rsidRPr="00A76651">
        <w:rPr>
          <w:rFonts w:asciiTheme="minorHAnsi" w:eastAsia="Times New Roman" w:hAnsiTheme="minorHAnsi" w:cstheme="minorHAnsi"/>
          <w:b/>
          <w:iCs/>
          <w:szCs w:val="24"/>
          <w:lang w:val="pl-PL" w:eastAsia="en-GB"/>
        </w:rPr>
        <w:t>Działanie d) Wzmocnienie zdolności instytucjonalnych władz publicznych i interesariuszy do wdrażania strategii makroregionalnych i strategii dotyczących basenów morskich oraz innych strategii terytorialnych</w:t>
      </w:r>
    </w:p>
    <w:p w14:paraId="47FBEECC" w14:textId="7EBFAFF3" w:rsidR="005B1732" w:rsidRPr="00000498" w:rsidRDefault="00252C2D" w:rsidP="00000498">
      <w:pPr>
        <w:spacing w:after="20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Dotyczy: art. 17 ust. 4 lit. e)</w:t>
      </w:r>
    </w:p>
    <w:p w14:paraId="2704D3F0" w14:textId="180AE5C9" w:rsidR="005B1732" w:rsidRPr="00E20902" w:rsidRDefault="005B1732" w:rsidP="00000498">
      <w:pPr>
        <w:spacing w:before="240" w:after="240" w:line="276" w:lineRule="auto"/>
        <w:ind w:left="709" w:hanging="709"/>
        <w:rPr>
          <w:rFonts w:asciiTheme="minorHAnsi" w:eastAsia="Times New Roman" w:hAnsiTheme="minorHAnsi" w:cstheme="minorHAnsi"/>
          <w:iCs/>
          <w:szCs w:val="24"/>
          <w:lang w:val="pl-PL" w:eastAsia="en-GB"/>
        </w:rPr>
      </w:pPr>
      <w:r w:rsidRPr="00A76651">
        <w:rPr>
          <w:rFonts w:asciiTheme="minorHAnsi" w:eastAsia="Times New Roman" w:hAnsiTheme="minorHAnsi" w:cstheme="minorHAnsi"/>
          <w:b/>
          <w:iCs/>
          <w:szCs w:val="24"/>
          <w:lang w:val="pl-PL" w:eastAsia="en-GB"/>
        </w:rPr>
        <w:t>2.</w:t>
      </w:r>
      <w:r w:rsidR="003349E4" w:rsidRPr="00A76651">
        <w:rPr>
          <w:rFonts w:asciiTheme="minorHAnsi" w:eastAsia="Times New Roman" w:hAnsiTheme="minorHAnsi" w:cstheme="minorHAnsi"/>
          <w:b/>
          <w:iCs/>
          <w:szCs w:val="24"/>
          <w:lang w:val="pl-PL" w:eastAsia="en-GB"/>
        </w:rPr>
        <w:t>4</w:t>
      </w:r>
      <w:r w:rsidRPr="00A76651">
        <w:rPr>
          <w:rFonts w:asciiTheme="minorHAnsi" w:eastAsia="Times New Roman" w:hAnsiTheme="minorHAnsi" w:cstheme="minorHAnsi"/>
          <w:b/>
          <w:iCs/>
          <w:szCs w:val="24"/>
          <w:lang w:val="pl-PL" w:eastAsia="en-GB"/>
        </w:rPr>
        <w:t>.2.1</w:t>
      </w:r>
      <w:r w:rsidRPr="00A76651">
        <w:rPr>
          <w:rFonts w:asciiTheme="minorHAnsi" w:eastAsia="Times New Roman" w:hAnsiTheme="minorHAnsi" w:cstheme="minorHAnsi"/>
          <w:b/>
          <w:iCs/>
          <w:szCs w:val="24"/>
          <w:lang w:val="pl-PL" w:eastAsia="en-GB"/>
        </w:rPr>
        <w:tab/>
      </w:r>
      <w:r w:rsidR="00A76651" w:rsidRPr="00A76651">
        <w:rPr>
          <w:rFonts w:asciiTheme="minorHAnsi" w:eastAsia="Times New Roman" w:hAnsiTheme="minorHAnsi" w:cstheme="minorHAnsi"/>
          <w:b/>
          <w:iCs/>
          <w:szCs w:val="24"/>
          <w:lang w:val="pl-PL" w:eastAsia="en-GB"/>
        </w:rPr>
        <w:t xml:space="preserve"> </w:t>
      </w:r>
      <w:r w:rsidR="00252C2D" w:rsidRPr="00A76651">
        <w:rPr>
          <w:rFonts w:asciiTheme="minorHAnsi" w:eastAsia="Times New Roman" w:hAnsiTheme="minorHAnsi" w:cstheme="minorHAnsi"/>
          <w:b/>
          <w:iCs/>
          <w:szCs w:val="24"/>
          <w:lang w:val="pl-PL" w:eastAsia="en-GB"/>
        </w:rPr>
        <w:t>Powiązane rodzaje działań i ich oczekiwany wkład w osiągnięcie tych celów szczegółowych oraz w stosownych przypadkach w strategie makroregionalne i strategie basenów morskich</w:t>
      </w:r>
    </w:p>
    <w:p w14:paraId="7F437121" w14:textId="71DD3BC3" w:rsidR="005B1732" w:rsidRPr="00000498" w:rsidRDefault="00252C2D" w:rsidP="00000498">
      <w:pPr>
        <w:spacing w:after="20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Dotyczy: art. 17 ust. 4 lit. e) ppkt (i), art. 17 ust. 9 lit. c) ppkt (ii)</w:t>
      </w:r>
    </w:p>
    <w:p w14:paraId="5958021D" w14:textId="7042B9A0" w:rsidR="005B1732" w:rsidRPr="00891B4E" w:rsidRDefault="00252C2D" w:rsidP="00035701">
      <w:pPr>
        <w:pStyle w:val="Nagwek3"/>
        <w:rPr>
          <w:color w:val="auto"/>
          <w:sz w:val="28"/>
          <w:lang w:val="pl-PL"/>
        </w:rPr>
      </w:pPr>
      <w:bookmarkStart w:id="118" w:name="_Toc73432991"/>
      <w:r w:rsidRPr="00891B4E">
        <w:rPr>
          <w:color w:val="auto"/>
          <w:sz w:val="28"/>
          <w:lang w:val="pl-PL"/>
        </w:rPr>
        <w:t>Cel</w:t>
      </w:r>
      <w:r w:rsidR="005B1732" w:rsidRPr="00891B4E">
        <w:rPr>
          <w:color w:val="auto"/>
          <w:sz w:val="28"/>
          <w:lang w:val="pl-PL"/>
        </w:rPr>
        <w:t xml:space="preserve"> </w:t>
      </w:r>
      <w:r w:rsidR="00DC4C40" w:rsidRPr="00891B4E">
        <w:rPr>
          <w:color w:val="auto"/>
          <w:sz w:val="28"/>
          <w:lang w:val="pl-PL"/>
        </w:rPr>
        <w:t xml:space="preserve">szczegółowy </w:t>
      </w:r>
      <w:r w:rsidR="003349E4" w:rsidRPr="00891B4E">
        <w:rPr>
          <w:color w:val="auto"/>
          <w:sz w:val="28"/>
          <w:lang w:val="pl-PL"/>
        </w:rPr>
        <w:t>4</w:t>
      </w:r>
      <w:r w:rsidR="00F42A23">
        <w:rPr>
          <w:color w:val="auto"/>
          <w:sz w:val="28"/>
          <w:lang w:val="pl-PL"/>
        </w:rPr>
        <w:t xml:space="preserve">.2 </w:t>
      </w:r>
      <w:r w:rsidRPr="00891B4E">
        <w:rPr>
          <w:color w:val="auto"/>
          <w:sz w:val="28"/>
          <w:lang w:val="pl-PL"/>
        </w:rPr>
        <w:t>Zarządzanie makroregionalne</w:t>
      </w:r>
      <w:bookmarkEnd w:id="118"/>
    </w:p>
    <w:p w14:paraId="2055E795" w14:textId="01B5C149" w:rsidR="005B1732" w:rsidRPr="00000498" w:rsidRDefault="00871A6C" w:rsidP="00000498">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b/>
          <w:szCs w:val="24"/>
          <w:lang w:val="pl-PL" w:eastAsia="en-GB"/>
        </w:rPr>
      </w:pPr>
      <w:r w:rsidRPr="00000498">
        <w:rPr>
          <w:rFonts w:asciiTheme="minorHAnsi" w:eastAsia="Times New Roman" w:hAnsiTheme="minorHAnsi" w:cstheme="minorHAnsi"/>
          <w:b/>
          <w:szCs w:val="24"/>
          <w:lang w:val="pl-PL" w:eastAsia="en-GB"/>
        </w:rPr>
        <w:t>Wprowadzen</w:t>
      </w:r>
      <w:r w:rsidR="00252C2D" w:rsidRPr="00000498">
        <w:rPr>
          <w:rFonts w:asciiTheme="minorHAnsi" w:eastAsia="Times New Roman" w:hAnsiTheme="minorHAnsi" w:cstheme="minorHAnsi"/>
          <w:b/>
          <w:szCs w:val="24"/>
          <w:lang w:val="pl-PL" w:eastAsia="en-GB"/>
        </w:rPr>
        <w:t>ie</w:t>
      </w:r>
      <w:r w:rsidRPr="00000498">
        <w:rPr>
          <w:rFonts w:asciiTheme="minorHAnsi" w:eastAsia="Times New Roman" w:hAnsiTheme="minorHAnsi" w:cstheme="minorHAnsi"/>
          <w:b/>
          <w:szCs w:val="24"/>
          <w:lang w:val="pl-PL" w:eastAsia="en-GB"/>
        </w:rPr>
        <w:t xml:space="preserve"> do działań</w:t>
      </w:r>
      <w:r w:rsidR="005B1732" w:rsidRPr="00000498">
        <w:rPr>
          <w:rFonts w:asciiTheme="minorHAnsi" w:eastAsia="Times New Roman" w:hAnsiTheme="minorHAnsi" w:cstheme="minorHAnsi"/>
          <w:b/>
          <w:szCs w:val="24"/>
          <w:lang w:val="pl-PL" w:eastAsia="en-GB"/>
        </w:rPr>
        <w:t xml:space="preserve"> </w:t>
      </w:r>
    </w:p>
    <w:p w14:paraId="240268A8" w14:textId="12EE7AEC" w:rsidR="00252C2D" w:rsidRPr="00FE3950" w:rsidRDefault="00252C2D" w:rsidP="00000498">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 xml:space="preserve">Program wspiera działania </w:t>
      </w:r>
      <w:r w:rsidRPr="00000498">
        <w:rPr>
          <w:rFonts w:asciiTheme="minorHAnsi" w:eastAsia="Times New Roman" w:hAnsiTheme="minorHAnsi" w:cstheme="minorHAnsi"/>
          <w:szCs w:val="24"/>
          <w:u w:val="single"/>
          <w:lang w:val="pl-PL" w:eastAsia="en-GB"/>
        </w:rPr>
        <w:t>wdrażające i wzmacniające zarządzanie i działania komunikacyjne</w:t>
      </w:r>
      <w:r w:rsidRPr="00000498">
        <w:rPr>
          <w:rFonts w:asciiTheme="minorHAnsi" w:eastAsia="Times New Roman" w:hAnsiTheme="minorHAnsi" w:cstheme="minorHAnsi"/>
          <w:szCs w:val="24"/>
          <w:lang w:val="pl-PL" w:eastAsia="en-GB"/>
        </w:rPr>
        <w:t xml:space="preserve"> w ramach Strategii UE dla regionu Morza Bałtyckiego (SUE RMB). Działania te mogą ułatwiać dyskusje polityczne i </w:t>
      </w:r>
      <w:r w:rsidRPr="00000498">
        <w:rPr>
          <w:rFonts w:asciiTheme="minorHAnsi" w:eastAsia="Times New Roman" w:hAnsiTheme="minorHAnsi" w:cstheme="minorHAnsi"/>
          <w:szCs w:val="24"/>
          <w:u w:val="single"/>
          <w:lang w:val="pl-PL" w:eastAsia="en-GB"/>
        </w:rPr>
        <w:t>wywoływać zmiany w polityce, tworzyć sieci</w:t>
      </w:r>
      <w:r w:rsidRPr="00000498">
        <w:rPr>
          <w:rFonts w:asciiTheme="minorHAnsi" w:eastAsia="Times New Roman" w:hAnsiTheme="minorHAnsi" w:cstheme="minorHAnsi"/>
          <w:szCs w:val="24"/>
          <w:lang w:val="pl-PL" w:eastAsia="en-GB"/>
        </w:rPr>
        <w:t xml:space="preserve"> w celu opracowywania projektów i innych inicjatyw zgodnie z planem działania SUE RMB lub badać i </w:t>
      </w:r>
      <w:r w:rsidRPr="00000498">
        <w:rPr>
          <w:rFonts w:asciiTheme="minorHAnsi" w:eastAsia="Times New Roman" w:hAnsiTheme="minorHAnsi" w:cstheme="minorHAnsi"/>
          <w:szCs w:val="24"/>
          <w:u w:val="single"/>
          <w:lang w:val="pl-PL" w:eastAsia="en-GB"/>
        </w:rPr>
        <w:t>zabezpieczać potencjalne źródła finansowania</w:t>
      </w:r>
      <w:r w:rsidRPr="00000498">
        <w:rPr>
          <w:rFonts w:asciiTheme="minorHAnsi" w:eastAsia="Times New Roman" w:hAnsiTheme="minorHAnsi" w:cstheme="minorHAnsi"/>
          <w:szCs w:val="24"/>
          <w:lang w:val="pl-PL" w:eastAsia="en-GB"/>
        </w:rPr>
        <w:t xml:space="preserve"> na szczeblu UE</w:t>
      </w:r>
      <w:r w:rsidR="00A76651">
        <w:rPr>
          <w:rFonts w:asciiTheme="minorHAnsi" w:eastAsia="Times New Roman" w:hAnsiTheme="minorHAnsi" w:cstheme="minorHAnsi"/>
          <w:szCs w:val="24"/>
          <w:lang w:val="pl-PL" w:eastAsia="en-GB"/>
        </w:rPr>
        <w:t>,</w:t>
      </w:r>
      <w:r w:rsidRPr="00FE3950">
        <w:rPr>
          <w:rFonts w:asciiTheme="minorHAnsi" w:eastAsia="Times New Roman" w:hAnsiTheme="minorHAnsi" w:cstheme="minorHAnsi"/>
          <w:szCs w:val="24"/>
          <w:lang w:val="pl-PL" w:eastAsia="en-GB"/>
        </w:rPr>
        <w:t xml:space="preserve"> krajowym lub regionalnym, aby zapewnić ich realizację.</w:t>
      </w:r>
    </w:p>
    <w:p w14:paraId="7999FABE" w14:textId="7EF90651" w:rsidR="00812935" w:rsidRPr="00000498" w:rsidRDefault="00812935" w:rsidP="00000498">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FE3950">
        <w:rPr>
          <w:rFonts w:asciiTheme="minorHAnsi" w:eastAsia="Times New Roman" w:hAnsiTheme="minorHAnsi" w:cstheme="minorHAnsi"/>
          <w:szCs w:val="24"/>
          <w:lang w:val="pl-PL" w:eastAsia="en-GB"/>
        </w:rPr>
        <w:t xml:space="preserve">Program zapewnia wsparcie </w:t>
      </w:r>
      <w:r w:rsidRPr="00FE3950">
        <w:rPr>
          <w:rFonts w:asciiTheme="minorHAnsi" w:eastAsia="Times New Roman" w:hAnsiTheme="minorHAnsi" w:cstheme="minorHAnsi"/>
          <w:szCs w:val="24"/>
          <w:u w:val="single"/>
          <w:lang w:val="pl-PL" w:eastAsia="en-GB"/>
        </w:rPr>
        <w:t xml:space="preserve">koordynatorom </w:t>
      </w:r>
      <w:r w:rsidR="000C5539" w:rsidRPr="00FE3950">
        <w:rPr>
          <w:rFonts w:asciiTheme="minorHAnsi" w:eastAsia="Times New Roman" w:hAnsiTheme="minorHAnsi" w:cstheme="minorHAnsi"/>
          <w:szCs w:val="24"/>
          <w:u w:val="single"/>
          <w:lang w:val="pl-PL" w:eastAsia="en-GB"/>
        </w:rPr>
        <w:t>Obszarów Tematycznych</w:t>
      </w:r>
      <w:r w:rsidRPr="00FE3950">
        <w:rPr>
          <w:rFonts w:asciiTheme="minorHAnsi" w:eastAsia="Times New Roman" w:hAnsiTheme="minorHAnsi" w:cstheme="minorHAnsi"/>
          <w:szCs w:val="24"/>
          <w:u w:val="single"/>
          <w:lang w:val="pl-PL" w:eastAsia="en-GB"/>
        </w:rPr>
        <w:t xml:space="preserve"> (</w:t>
      </w:r>
      <w:r w:rsidR="000C5539" w:rsidRPr="00FE3950">
        <w:rPr>
          <w:rFonts w:asciiTheme="minorHAnsi" w:eastAsia="Times New Roman" w:hAnsiTheme="minorHAnsi" w:cstheme="minorHAnsi"/>
          <w:szCs w:val="24"/>
          <w:u w:val="single"/>
          <w:lang w:val="pl-PL" w:eastAsia="en-GB"/>
        </w:rPr>
        <w:t>OT</w:t>
      </w:r>
      <w:r w:rsidRPr="00FE3950">
        <w:rPr>
          <w:rFonts w:asciiTheme="minorHAnsi" w:eastAsia="Times New Roman" w:hAnsiTheme="minorHAnsi" w:cstheme="minorHAnsi"/>
          <w:szCs w:val="24"/>
          <w:u w:val="single"/>
          <w:lang w:val="pl-PL" w:eastAsia="en-GB"/>
        </w:rPr>
        <w:t>) SUE RMB</w:t>
      </w:r>
      <w:r w:rsidRPr="00FE3950">
        <w:rPr>
          <w:rFonts w:asciiTheme="minorHAnsi" w:eastAsia="Times New Roman" w:hAnsiTheme="minorHAnsi" w:cstheme="minorHAnsi"/>
          <w:szCs w:val="24"/>
          <w:lang w:val="pl-PL" w:eastAsia="en-GB"/>
        </w:rPr>
        <w:t xml:space="preserve">, w wykonywaniu dodatkowych zadań w celu </w:t>
      </w:r>
      <w:r w:rsidRPr="00FE3950">
        <w:rPr>
          <w:rFonts w:asciiTheme="minorHAnsi" w:eastAsia="Times New Roman" w:hAnsiTheme="minorHAnsi" w:cstheme="minorHAnsi"/>
          <w:szCs w:val="24"/>
          <w:u w:val="single"/>
          <w:lang w:val="pl-PL" w:eastAsia="en-GB"/>
        </w:rPr>
        <w:t>koordynowania</w:t>
      </w:r>
      <w:r w:rsidRPr="00FE3950">
        <w:rPr>
          <w:rFonts w:asciiTheme="minorHAnsi" w:eastAsia="Times New Roman" w:hAnsiTheme="minorHAnsi" w:cstheme="minorHAnsi"/>
          <w:szCs w:val="24"/>
          <w:lang w:val="pl-PL" w:eastAsia="en-GB"/>
        </w:rPr>
        <w:t xml:space="preserve">, planowania i realizacji </w:t>
      </w:r>
      <w:r w:rsidR="000C5539" w:rsidRPr="00FE3950">
        <w:rPr>
          <w:rFonts w:asciiTheme="minorHAnsi" w:eastAsia="Times New Roman" w:hAnsiTheme="minorHAnsi" w:cstheme="minorHAnsi"/>
          <w:szCs w:val="24"/>
          <w:lang w:val="pl-PL" w:eastAsia="en-GB"/>
        </w:rPr>
        <w:t>Obszarów Tematycznych</w:t>
      </w:r>
      <w:r w:rsidRPr="00FE3950">
        <w:rPr>
          <w:rFonts w:asciiTheme="minorHAnsi" w:eastAsia="Times New Roman" w:hAnsiTheme="minorHAnsi" w:cstheme="minorHAnsi"/>
          <w:szCs w:val="24"/>
          <w:lang w:val="pl-PL" w:eastAsia="en-GB"/>
        </w:rPr>
        <w:t xml:space="preserve"> SUE RMB. Program wspiera również działania mające na celu </w:t>
      </w:r>
      <w:r w:rsidRPr="00FE3950">
        <w:rPr>
          <w:rFonts w:asciiTheme="minorHAnsi" w:eastAsia="Times New Roman" w:hAnsiTheme="minorHAnsi" w:cstheme="minorHAnsi"/>
          <w:szCs w:val="24"/>
          <w:u w:val="single"/>
          <w:lang w:val="pl-PL" w:eastAsia="en-GB"/>
        </w:rPr>
        <w:t>informowanie</w:t>
      </w:r>
      <w:r w:rsidRPr="00FE3950">
        <w:rPr>
          <w:rFonts w:asciiTheme="minorHAnsi" w:eastAsia="Times New Roman" w:hAnsiTheme="minorHAnsi" w:cstheme="minorHAnsi"/>
          <w:szCs w:val="24"/>
          <w:lang w:val="pl-PL" w:eastAsia="en-GB"/>
        </w:rPr>
        <w:t xml:space="preserve"> interesariuszy regionalnych i unijnych </w:t>
      </w:r>
      <w:r w:rsidRPr="00FE3950">
        <w:rPr>
          <w:rFonts w:asciiTheme="minorHAnsi" w:eastAsia="Times New Roman" w:hAnsiTheme="minorHAnsi" w:cstheme="minorHAnsi"/>
          <w:szCs w:val="24"/>
          <w:u w:val="single"/>
          <w:lang w:val="pl-PL" w:eastAsia="en-GB"/>
        </w:rPr>
        <w:t>o postępach i osiągnięciach</w:t>
      </w:r>
      <w:r w:rsidRPr="00FE3950">
        <w:rPr>
          <w:rFonts w:asciiTheme="minorHAnsi" w:eastAsia="Times New Roman" w:hAnsiTheme="minorHAnsi" w:cstheme="minorHAnsi"/>
          <w:szCs w:val="24"/>
          <w:lang w:val="pl-PL" w:eastAsia="en-GB"/>
        </w:rPr>
        <w:t xml:space="preserve"> w tych obszarach</w:t>
      </w:r>
      <w:r w:rsidR="00A76651">
        <w:rPr>
          <w:rFonts w:asciiTheme="minorHAnsi" w:eastAsia="Times New Roman" w:hAnsiTheme="minorHAnsi" w:cstheme="minorHAnsi"/>
          <w:szCs w:val="24"/>
          <w:lang w:val="pl-PL" w:eastAsia="en-GB"/>
        </w:rPr>
        <w:t>,</w:t>
      </w:r>
      <w:r w:rsidRPr="00000498">
        <w:rPr>
          <w:rFonts w:asciiTheme="minorHAnsi" w:eastAsia="Times New Roman" w:hAnsiTheme="minorHAnsi" w:cstheme="minorHAnsi"/>
          <w:szCs w:val="24"/>
          <w:lang w:val="pl-PL" w:eastAsia="en-GB"/>
        </w:rPr>
        <w:t xml:space="preserve"> zmianach i kolejnych krokach w realizacji planu działania SUE RMB. Ponadto, Program wspiera organizację spotkań w formie </w:t>
      </w:r>
      <w:r w:rsidRPr="00000498">
        <w:rPr>
          <w:rFonts w:asciiTheme="minorHAnsi" w:eastAsia="Times New Roman" w:hAnsiTheme="minorHAnsi" w:cstheme="minorHAnsi"/>
          <w:szCs w:val="24"/>
          <w:u w:val="single"/>
          <w:lang w:val="pl-PL" w:eastAsia="en-GB"/>
        </w:rPr>
        <w:t>forów strategicznych</w:t>
      </w:r>
      <w:r w:rsidRPr="00000498">
        <w:rPr>
          <w:rFonts w:asciiTheme="minorHAnsi" w:eastAsia="Times New Roman" w:hAnsiTheme="minorHAnsi" w:cstheme="minorHAnsi"/>
          <w:szCs w:val="24"/>
          <w:lang w:val="pl-PL" w:eastAsia="en-GB"/>
        </w:rPr>
        <w:t xml:space="preserve"> w celu zaangażowania polityków, różnych szczebli zarządzania i społeczeństwo obywatelskie w celu omówienia aktualnych kwestii SUE RMB. Program zapewnia również wsparcie w celu zapewnienia pomocy </w:t>
      </w:r>
      <w:r w:rsidRPr="00000498">
        <w:rPr>
          <w:rFonts w:asciiTheme="minorHAnsi" w:eastAsia="Times New Roman" w:hAnsiTheme="minorHAnsi" w:cstheme="minorHAnsi"/>
          <w:szCs w:val="24"/>
          <w:u w:val="single"/>
          <w:lang w:val="pl-PL" w:eastAsia="en-GB"/>
        </w:rPr>
        <w:t>administracyjnej, komunikacyjnej i budowania zdolności</w:t>
      </w:r>
      <w:r w:rsidRPr="00000498">
        <w:rPr>
          <w:rFonts w:asciiTheme="minorHAnsi" w:eastAsia="Times New Roman" w:hAnsiTheme="minorHAnsi" w:cstheme="minorHAnsi"/>
          <w:szCs w:val="24"/>
          <w:lang w:val="pl-PL" w:eastAsia="en-GB"/>
        </w:rPr>
        <w:t xml:space="preserve"> dla krajowych koordynatorów SUE RMB i innych interesariuszy, np. w formie </w:t>
      </w:r>
      <w:r w:rsidRPr="00000498">
        <w:rPr>
          <w:rFonts w:asciiTheme="minorHAnsi" w:eastAsia="Times New Roman" w:hAnsiTheme="minorHAnsi" w:cstheme="minorHAnsi"/>
          <w:szCs w:val="24"/>
          <w:u w:val="single"/>
          <w:lang w:val="pl-PL" w:eastAsia="en-GB"/>
        </w:rPr>
        <w:t>punktu strategicznego</w:t>
      </w:r>
      <w:r w:rsidRPr="00000498">
        <w:rPr>
          <w:rFonts w:asciiTheme="minorHAnsi" w:eastAsia="Times New Roman" w:hAnsiTheme="minorHAnsi" w:cstheme="minorHAnsi"/>
          <w:szCs w:val="24"/>
          <w:lang w:val="pl-PL" w:eastAsia="en-GB"/>
        </w:rPr>
        <w:t>.</w:t>
      </w:r>
    </w:p>
    <w:p w14:paraId="4E75A1F1" w14:textId="4B08C5A3" w:rsidR="00690FF3" w:rsidRPr="00000498" w:rsidRDefault="00690FF3" w:rsidP="00000498">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u w:val="single"/>
          <w:lang w:val="pl-PL" w:eastAsia="en-GB"/>
        </w:rPr>
      </w:pPr>
      <w:r w:rsidRPr="00000498">
        <w:rPr>
          <w:rFonts w:asciiTheme="minorHAnsi" w:eastAsia="Times New Roman" w:hAnsiTheme="minorHAnsi" w:cstheme="minorHAnsi"/>
          <w:szCs w:val="24"/>
          <w:lang w:val="pl-PL" w:eastAsia="en-GB"/>
        </w:rPr>
        <w:t xml:space="preserve">We wszystkich działaniach Program zachęca do zacieśnienia </w:t>
      </w:r>
      <w:r w:rsidRPr="00000498">
        <w:rPr>
          <w:rFonts w:asciiTheme="minorHAnsi" w:eastAsia="Times New Roman" w:hAnsiTheme="minorHAnsi" w:cstheme="minorHAnsi"/>
          <w:szCs w:val="24"/>
          <w:u w:val="single"/>
          <w:lang w:val="pl-PL" w:eastAsia="en-GB"/>
        </w:rPr>
        <w:t>współpracy z krajami partnerskimi</w:t>
      </w:r>
      <w:r w:rsidRPr="00000498">
        <w:rPr>
          <w:rFonts w:asciiTheme="minorHAnsi" w:eastAsia="Times New Roman" w:hAnsiTheme="minorHAnsi" w:cstheme="minorHAnsi"/>
          <w:szCs w:val="24"/>
          <w:lang w:val="pl-PL" w:eastAsia="en-GB"/>
        </w:rPr>
        <w:t xml:space="preserve"> w celu zapewnienia </w:t>
      </w:r>
      <w:r w:rsidRPr="00000498">
        <w:rPr>
          <w:rFonts w:asciiTheme="minorHAnsi" w:eastAsia="Times New Roman" w:hAnsiTheme="minorHAnsi" w:cstheme="minorHAnsi"/>
          <w:szCs w:val="24"/>
          <w:u w:val="single"/>
          <w:lang w:val="pl-PL" w:eastAsia="en-GB"/>
        </w:rPr>
        <w:t>synergii</w:t>
      </w:r>
      <w:r w:rsidRPr="00000498">
        <w:rPr>
          <w:rFonts w:asciiTheme="minorHAnsi" w:eastAsia="Times New Roman" w:hAnsiTheme="minorHAnsi" w:cstheme="minorHAnsi"/>
          <w:szCs w:val="24"/>
          <w:lang w:val="pl-PL" w:eastAsia="en-GB"/>
        </w:rPr>
        <w:t xml:space="preserve"> między SUE RMB i strategiami krajów partnerskich oraz postępów </w:t>
      </w:r>
      <w:r w:rsidRPr="00000498">
        <w:rPr>
          <w:rFonts w:asciiTheme="minorHAnsi" w:eastAsia="Times New Roman" w:hAnsiTheme="minorHAnsi" w:cstheme="minorHAnsi"/>
          <w:szCs w:val="24"/>
          <w:u w:val="single"/>
          <w:lang w:val="pl-PL" w:eastAsia="en-GB"/>
        </w:rPr>
        <w:t>w pracach nad wspólnymi priorytetami.</w:t>
      </w:r>
    </w:p>
    <w:p w14:paraId="580A67A2" w14:textId="769F0C35" w:rsidR="00567215" w:rsidRPr="00000498" w:rsidRDefault="00813365" w:rsidP="00000498">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b/>
          <w:szCs w:val="24"/>
          <w:lang w:val="pl-PL" w:eastAsia="en-GB"/>
        </w:rPr>
      </w:pPr>
      <w:r w:rsidRPr="00000498">
        <w:rPr>
          <w:rFonts w:asciiTheme="minorHAnsi" w:eastAsia="Times New Roman" w:hAnsiTheme="minorHAnsi" w:cstheme="minorHAnsi"/>
          <w:b/>
          <w:szCs w:val="24"/>
          <w:lang w:val="pl-PL" w:eastAsia="en-GB"/>
        </w:rPr>
        <w:t>Przykładowe działania</w:t>
      </w:r>
      <w:r w:rsidR="00567215" w:rsidRPr="00000498">
        <w:rPr>
          <w:rFonts w:asciiTheme="minorHAnsi" w:eastAsia="Times New Roman" w:hAnsiTheme="minorHAnsi" w:cstheme="minorHAnsi"/>
          <w:b/>
          <w:szCs w:val="24"/>
          <w:lang w:val="pl-PL" w:eastAsia="en-GB"/>
        </w:rPr>
        <w:t>:</w:t>
      </w:r>
    </w:p>
    <w:p w14:paraId="22369A01" w14:textId="339BA27C" w:rsidR="00567215" w:rsidRPr="00F83DFB" w:rsidRDefault="003C0574" w:rsidP="00000498">
      <w:pPr>
        <w:pStyle w:val="Akapitzlist"/>
        <w:numPr>
          <w:ilvl w:val="0"/>
          <w:numId w:val="40"/>
        </w:numPr>
        <w:pBdr>
          <w:top w:val="single" w:sz="4" w:space="1" w:color="auto"/>
          <w:left w:val="single" w:sz="4" w:space="4" w:color="auto"/>
          <w:bottom w:val="single" w:sz="4" w:space="1" w:color="auto"/>
          <w:right w:val="single" w:sz="4" w:space="4" w:color="auto"/>
        </w:pBdr>
        <w:ind w:left="431" w:hanging="431"/>
        <w:rPr>
          <w:rFonts w:eastAsia="Times New Roman" w:cstheme="minorHAnsi"/>
          <w:szCs w:val="24"/>
          <w:lang w:val="pl-PL" w:eastAsia="en-GB"/>
        </w:rPr>
      </w:pPr>
      <w:r w:rsidRPr="00F83DFB">
        <w:rPr>
          <w:rFonts w:eastAsia="Times New Roman" w:cstheme="minorHAnsi"/>
          <w:sz w:val="24"/>
          <w:szCs w:val="24"/>
          <w:lang w:val="pl-PL" w:eastAsia="en-GB"/>
        </w:rPr>
        <w:lastRenderedPageBreak/>
        <w:t xml:space="preserve">Pomoc dla koordynatorów </w:t>
      </w:r>
      <w:r w:rsidR="000C5539" w:rsidRPr="00F83DFB">
        <w:rPr>
          <w:rFonts w:eastAsia="Times New Roman" w:cstheme="minorHAnsi"/>
          <w:sz w:val="24"/>
          <w:szCs w:val="24"/>
          <w:lang w:val="pl-PL" w:eastAsia="en-GB"/>
        </w:rPr>
        <w:t>Obszarów Tematycznych</w:t>
      </w:r>
      <w:r w:rsidRPr="00F83DFB">
        <w:rPr>
          <w:rFonts w:eastAsia="Times New Roman" w:cstheme="minorHAnsi"/>
          <w:sz w:val="24"/>
          <w:szCs w:val="24"/>
          <w:lang w:val="pl-PL" w:eastAsia="en-GB"/>
        </w:rPr>
        <w:t xml:space="preserve"> SUE RMB</w:t>
      </w:r>
      <w:r w:rsidR="00567215" w:rsidRPr="00F83DFB">
        <w:rPr>
          <w:rFonts w:eastAsia="Times New Roman" w:cstheme="minorHAnsi"/>
          <w:sz w:val="24"/>
          <w:szCs w:val="24"/>
          <w:lang w:val="pl-PL" w:eastAsia="en-GB"/>
        </w:rPr>
        <w:t xml:space="preserve"> </w:t>
      </w:r>
    </w:p>
    <w:p w14:paraId="23BEDE46" w14:textId="137B57C3" w:rsidR="00567215" w:rsidRPr="00000498" w:rsidRDefault="003C0574" w:rsidP="00000498">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 xml:space="preserve">Działania mogą koordynować dyskusję polityczną i odpowiadać na potrzebę zmian polityki; mogą tworzyć sieci, systematycznie angażować interesariuszy w procesy w </w:t>
      </w:r>
      <w:r w:rsidR="000C5539" w:rsidRPr="00000498">
        <w:rPr>
          <w:rFonts w:asciiTheme="minorHAnsi" w:eastAsia="Times New Roman" w:hAnsiTheme="minorHAnsi" w:cstheme="minorHAnsi"/>
          <w:szCs w:val="24"/>
          <w:lang w:val="pl-PL" w:eastAsia="en-GB"/>
        </w:rPr>
        <w:t>Obszarach Tematycznych</w:t>
      </w:r>
      <w:r w:rsidRPr="00000498">
        <w:rPr>
          <w:rFonts w:asciiTheme="minorHAnsi" w:eastAsia="Times New Roman" w:hAnsiTheme="minorHAnsi" w:cstheme="minorHAnsi"/>
          <w:szCs w:val="24"/>
          <w:lang w:val="pl-PL" w:eastAsia="en-GB"/>
        </w:rPr>
        <w:t>, wspierać tworzenie pomysłów na projekty i ich wdrażanie. Działanie może wspierać monitorowanie postępów i ocenę postępów w osiąganiu uzgodnionych celów, regularne przeglądy celów, procesów, działań i wyników, a w razie potrzeby ich zmianę i aktualizację</w:t>
      </w:r>
      <w:r w:rsidR="00567215" w:rsidRPr="00000498">
        <w:rPr>
          <w:rFonts w:asciiTheme="minorHAnsi" w:eastAsia="Times New Roman" w:hAnsiTheme="minorHAnsi" w:cstheme="minorHAnsi"/>
          <w:szCs w:val="24"/>
          <w:lang w:val="pl-PL" w:eastAsia="en-GB"/>
        </w:rPr>
        <w:t xml:space="preserve">. </w:t>
      </w:r>
    </w:p>
    <w:p w14:paraId="6C61E8F6" w14:textId="74B53DF2" w:rsidR="00567215" w:rsidRPr="00F83DFB" w:rsidRDefault="003C0574" w:rsidP="00000498">
      <w:pPr>
        <w:pStyle w:val="Akapitzlist"/>
        <w:numPr>
          <w:ilvl w:val="0"/>
          <w:numId w:val="40"/>
        </w:numPr>
        <w:pBdr>
          <w:top w:val="single" w:sz="4" w:space="1" w:color="auto"/>
          <w:left w:val="single" w:sz="4" w:space="4" w:color="auto"/>
          <w:bottom w:val="single" w:sz="4" w:space="1" w:color="auto"/>
          <w:right w:val="single" w:sz="4" w:space="4" w:color="auto"/>
        </w:pBdr>
        <w:ind w:left="431" w:hanging="431"/>
        <w:rPr>
          <w:rFonts w:eastAsia="Times New Roman" w:cstheme="minorHAnsi"/>
          <w:szCs w:val="24"/>
          <w:lang w:val="pl-PL" w:eastAsia="en-GB"/>
        </w:rPr>
      </w:pPr>
      <w:r w:rsidRPr="00F83DFB">
        <w:rPr>
          <w:rFonts w:eastAsia="Times New Roman" w:cstheme="minorHAnsi"/>
          <w:sz w:val="24"/>
          <w:szCs w:val="24"/>
          <w:lang w:val="pl-PL" w:eastAsia="en-GB"/>
        </w:rPr>
        <w:t>Organizacja forów Strategii</w:t>
      </w:r>
    </w:p>
    <w:p w14:paraId="033314CA" w14:textId="23B75AA1" w:rsidR="00567215" w:rsidRPr="00000498" w:rsidRDefault="003C0574" w:rsidP="00000498">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 xml:space="preserve">Forum strategii to miejsce spotkań organizacji wdrażających SUE RMB i innych interesariuszy. Działania te organizowane, jako konferencje lub podobne </w:t>
      </w:r>
      <w:r w:rsidR="00722C20">
        <w:rPr>
          <w:rFonts w:asciiTheme="minorHAnsi" w:eastAsia="Times New Roman" w:hAnsiTheme="minorHAnsi" w:cstheme="minorHAnsi"/>
          <w:szCs w:val="24"/>
          <w:lang w:val="pl-PL" w:eastAsia="en-GB"/>
        </w:rPr>
        <w:t>wydarzenia</w:t>
      </w:r>
      <w:r w:rsidRPr="00000498">
        <w:rPr>
          <w:rFonts w:asciiTheme="minorHAnsi" w:eastAsia="Times New Roman" w:hAnsiTheme="minorHAnsi" w:cstheme="minorHAnsi"/>
          <w:szCs w:val="24"/>
          <w:lang w:val="pl-PL" w:eastAsia="en-GB"/>
        </w:rPr>
        <w:t xml:space="preserve">, mogą informować decydentów, władze publiczne i szerszą publiczność o działaniach SUE RMB, </w:t>
      </w:r>
      <w:r w:rsidR="00722C20">
        <w:rPr>
          <w:rFonts w:asciiTheme="minorHAnsi" w:eastAsia="Times New Roman" w:hAnsiTheme="minorHAnsi" w:cstheme="minorHAnsi"/>
          <w:szCs w:val="24"/>
          <w:lang w:val="pl-PL" w:eastAsia="en-GB"/>
        </w:rPr>
        <w:t>jej</w:t>
      </w:r>
      <w:r w:rsidRPr="00000498">
        <w:rPr>
          <w:rFonts w:asciiTheme="minorHAnsi" w:eastAsia="Times New Roman" w:hAnsiTheme="minorHAnsi" w:cstheme="minorHAnsi"/>
          <w:szCs w:val="24"/>
          <w:lang w:val="pl-PL" w:eastAsia="en-GB"/>
        </w:rPr>
        <w:t xml:space="preserve"> celach i osiągnięciach, a także o postępach w realizacji wspólnych priorytetów z krajami partnerskimi; mogą stymulować dyskusje polityczne i upowszechniać wyniki. Działania mogą także zapewnić zainteresowanym stronom okazję do nawiązania kontaktów i pomóc im w aktywnym zaangażowaniu ich w planowanie i wdrażanie planu działania SUE RMB</w:t>
      </w:r>
      <w:r w:rsidR="00567215" w:rsidRPr="00000498">
        <w:rPr>
          <w:rFonts w:asciiTheme="minorHAnsi" w:eastAsia="Times New Roman" w:hAnsiTheme="minorHAnsi" w:cstheme="minorHAnsi"/>
          <w:szCs w:val="24"/>
          <w:lang w:val="pl-PL" w:eastAsia="en-GB"/>
        </w:rPr>
        <w:t xml:space="preserve">. </w:t>
      </w:r>
    </w:p>
    <w:p w14:paraId="59B140C1" w14:textId="68165104" w:rsidR="00567215" w:rsidRPr="00F83DFB" w:rsidRDefault="003C0574" w:rsidP="00000498">
      <w:pPr>
        <w:pStyle w:val="Akapitzlist"/>
        <w:numPr>
          <w:ilvl w:val="0"/>
          <w:numId w:val="40"/>
        </w:numPr>
        <w:pBdr>
          <w:top w:val="single" w:sz="4" w:space="1" w:color="auto"/>
          <w:left w:val="single" w:sz="4" w:space="4" w:color="auto"/>
          <w:bottom w:val="single" w:sz="4" w:space="1" w:color="auto"/>
          <w:right w:val="single" w:sz="4" w:space="4" w:color="auto"/>
        </w:pBdr>
        <w:ind w:left="431" w:hanging="431"/>
        <w:rPr>
          <w:rFonts w:eastAsia="Times New Roman" w:cstheme="minorHAnsi"/>
          <w:szCs w:val="24"/>
          <w:lang w:val="pl-PL" w:eastAsia="en-GB"/>
        </w:rPr>
      </w:pPr>
      <w:r w:rsidRPr="00F83DFB">
        <w:rPr>
          <w:rFonts w:eastAsia="Times New Roman" w:cstheme="minorHAnsi"/>
          <w:sz w:val="24"/>
          <w:szCs w:val="24"/>
          <w:lang w:val="pl-PL" w:eastAsia="en-GB"/>
        </w:rPr>
        <w:t>Wsparcie dla punktu Strategii</w:t>
      </w:r>
    </w:p>
    <w:p w14:paraId="000E0EE0" w14:textId="170B27BE" w:rsidR="00567215" w:rsidRPr="00000498" w:rsidRDefault="003C0574" w:rsidP="00000498">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 xml:space="preserve">Działania mogą zapewniać wsparcie administracyjne koordynatorom krajowym SUE RMB; mogą wspierać budowanie zdolności interesariuszy SUE RMB oraz strategii krajów partnerskich. Działania mogą wspierać monitorowanie i ocenę osiągnięć, stymulując wymianę i dzielenie się wiedzą między </w:t>
      </w:r>
      <w:r w:rsidR="000C5539" w:rsidRPr="00000498">
        <w:rPr>
          <w:rFonts w:asciiTheme="minorHAnsi" w:eastAsia="Times New Roman" w:hAnsiTheme="minorHAnsi" w:cstheme="minorHAnsi"/>
          <w:szCs w:val="24"/>
          <w:lang w:val="pl-PL" w:eastAsia="en-GB"/>
        </w:rPr>
        <w:t>Obszarami Tematycznymi</w:t>
      </w:r>
      <w:r w:rsidR="00A6189D" w:rsidRPr="00000498">
        <w:rPr>
          <w:rFonts w:asciiTheme="minorHAnsi" w:eastAsia="Times New Roman" w:hAnsiTheme="minorHAnsi" w:cstheme="minorHAnsi"/>
          <w:szCs w:val="24"/>
          <w:lang w:val="pl-PL" w:eastAsia="en-GB"/>
        </w:rPr>
        <w:t>; m</w:t>
      </w:r>
      <w:r w:rsidRPr="00000498">
        <w:rPr>
          <w:rFonts w:asciiTheme="minorHAnsi" w:eastAsia="Times New Roman" w:hAnsiTheme="minorHAnsi" w:cstheme="minorHAnsi"/>
          <w:szCs w:val="24"/>
          <w:lang w:val="pl-PL" w:eastAsia="en-GB"/>
        </w:rPr>
        <w:t>ogą koordynować komunikację, w tym obsługę strony internetowej SUE RMB i innych narzędzi komunikacji</w:t>
      </w:r>
      <w:r w:rsidR="00567215" w:rsidRPr="00000498">
        <w:rPr>
          <w:rFonts w:asciiTheme="minorHAnsi" w:eastAsia="Times New Roman" w:hAnsiTheme="minorHAnsi" w:cstheme="minorHAnsi"/>
          <w:szCs w:val="24"/>
          <w:lang w:val="pl-PL" w:eastAsia="en-GB"/>
        </w:rPr>
        <w:t xml:space="preserve">. </w:t>
      </w:r>
    </w:p>
    <w:p w14:paraId="36760EBD" w14:textId="58F0265A" w:rsidR="00567215" w:rsidRPr="00000498" w:rsidRDefault="00813365" w:rsidP="00000498">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b/>
          <w:szCs w:val="24"/>
          <w:lang w:val="pl-PL" w:eastAsia="en-GB"/>
        </w:rPr>
      </w:pPr>
      <w:r w:rsidRPr="00000498">
        <w:rPr>
          <w:rFonts w:asciiTheme="minorHAnsi" w:eastAsia="Times New Roman" w:hAnsiTheme="minorHAnsi" w:cstheme="minorHAnsi"/>
          <w:b/>
          <w:szCs w:val="24"/>
          <w:lang w:val="pl-PL" w:eastAsia="en-GB"/>
        </w:rPr>
        <w:t>Wkład do wybranego działania</w:t>
      </w:r>
    </w:p>
    <w:p w14:paraId="6A204B90" w14:textId="0D877AB4" w:rsidR="00567215" w:rsidRPr="00000498" w:rsidRDefault="004D4944" w:rsidP="00000498">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Działania te przyczyniają się do tego wybranego działania poprzez wzmacnianie zdolności instytucjonaln</w:t>
      </w:r>
      <w:r w:rsidR="001D63BD" w:rsidRPr="00000498">
        <w:rPr>
          <w:rFonts w:asciiTheme="minorHAnsi" w:eastAsia="Times New Roman" w:hAnsiTheme="minorHAnsi" w:cstheme="minorHAnsi"/>
          <w:szCs w:val="24"/>
          <w:lang w:val="pl-PL" w:eastAsia="en-GB"/>
        </w:rPr>
        <w:t xml:space="preserve">ych władz publicznych i innych </w:t>
      </w:r>
      <w:r w:rsidRPr="00000498">
        <w:rPr>
          <w:rFonts w:asciiTheme="minorHAnsi" w:eastAsia="Times New Roman" w:hAnsiTheme="minorHAnsi" w:cstheme="minorHAnsi"/>
          <w:szCs w:val="24"/>
          <w:lang w:val="pl-PL" w:eastAsia="en-GB"/>
        </w:rPr>
        <w:t>interesariuszy do zarządzania, komunikowania i wdrażania strategii makroregionalnej UE w regionie Morza Bałtyckiego. Działania te wspierają również tworzenie synergii między interesariuszami SUE RMB i zainteresowanymi stronami innych strategii w krajach partnerskich regionu Morza Bałtyckiego</w:t>
      </w:r>
      <w:r w:rsidR="00567215" w:rsidRPr="00000498">
        <w:rPr>
          <w:rFonts w:asciiTheme="minorHAnsi" w:eastAsia="Times New Roman" w:hAnsiTheme="minorHAnsi" w:cstheme="minorHAnsi"/>
          <w:szCs w:val="24"/>
          <w:lang w:val="pl-PL" w:eastAsia="en-GB"/>
        </w:rPr>
        <w:t xml:space="preserve">.  </w:t>
      </w:r>
    </w:p>
    <w:p w14:paraId="73FFCA85" w14:textId="4C1CA476" w:rsidR="00567215" w:rsidRPr="00000498" w:rsidRDefault="002827BD" w:rsidP="00000498">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b/>
          <w:szCs w:val="24"/>
          <w:lang w:val="pl-PL" w:eastAsia="en-GB"/>
        </w:rPr>
      </w:pPr>
      <w:r w:rsidRPr="00000498">
        <w:rPr>
          <w:rFonts w:asciiTheme="minorHAnsi" w:eastAsia="Times New Roman" w:hAnsiTheme="minorHAnsi" w:cstheme="minorHAnsi"/>
          <w:b/>
          <w:szCs w:val="24"/>
          <w:lang w:val="pl-PL" w:eastAsia="en-GB"/>
        </w:rPr>
        <w:t xml:space="preserve">Wkład w </w:t>
      </w:r>
      <w:r w:rsidR="00722C20">
        <w:rPr>
          <w:rFonts w:asciiTheme="minorHAnsi" w:eastAsia="Times New Roman" w:hAnsiTheme="minorHAnsi" w:cstheme="minorHAnsi"/>
          <w:b/>
          <w:szCs w:val="24"/>
          <w:lang w:val="pl-PL" w:eastAsia="en-GB"/>
        </w:rPr>
        <w:t>S</w:t>
      </w:r>
      <w:r w:rsidRPr="00000498">
        <w:rPr>
          <w:rFonts w:asciiTheme="minorHAnsi" w:eastAsia="Times New Roman" w:hAnsiTheme="minorHAnsi" w:cstheme="minorHAnsi"/>
          <w:b/>
          <w:szCs w:val="24"/>
          <w:lang w:val="pl-PL" w:eastAsia="en-GB"/>
        </w:rPr>
        <w:t>trategię UE dla regionu Morza Bałtyckiego</w:t>
      </w:r>
    </w:p>
    <w:p w14:paraId="37095025" w14:textId="18C77854" w:rsidR="00567215" w:rsidRPr="00000498" w:rsidRDefault="004D4944" w:rsidP="00000498">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Wszystkie te działania przyczyniają się do rozwoju SUE RMB ułatwiając aktywną i skuteczną koordynację między instytucjami odpowiedzialnymi za SUE RMB, budowanie ich zdolności oraz komunikację i zaangażowanie interesariuszy</w:t>
      </w:r>
      <w:r w:rsidR="00567215" w:rsidRPr="00000498">
        <w:rPr>
          <w:rFonts w:asciiTheme="minorHAnsi" w:eastAsia="Times New Roman" w:hAnsiTheme="minorHAnsi" w:cstheme="minorHAnsi"/>
          <w:szCs w:val="24"/>
          <w:lang w:val="pl-PL" w:eastAsia="en-GB"/>
        </w:rPr>
        <w:t xml:space="preserve">. </w:t>
      </w:r>
    </w:p>
    <w:p w14:paraId="7177A496" w14:textId="4CD0180A" w:rsidR="00567215" w:rsidRPr="00000498" w:rsidRDefault="002827BD" w:rsidP="00000498">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b/>
          <w:szCs w:val="24"/>
          <w:lang w:val="pl-PL" w:eastAsia="en-GB"/>
        </w:rPr>
      </w:pPr>
      <w:r w:rsidRPr="00000498">
        <w:rPr>
          <w:rFonts w:asciiTheme="minorHAnsi" w:eastAsia="Times New Roman" w:hAnsiTheme="minorHAnsi" w:cstheme="minorHAnsi"/>
          <w:b/>
          <w:szCs w:val="24"/>
          <w:lang w:val="pl-PL" w:eastAsia="en-GB"/>
        </w:rPr>
        <w:t>Oczekiwany rezultat</w:t>
      </w:r>
      <w:r w:rsidR="00567215" w:rsidRPr="00000498">
        <w:rPr>
          <w:rFonts w:asciiTheme="minorHAnsi" w:eastAsia="Times New Roman" w:hAnsiTheme="minorHAnsi" w:cstheme="minorHAnsi"/>
          <w:b/>
          <w:szCs w:val="24"/>
          <w:lang w:val="pl-PL" w:eastAsia="en-GB"/>
        </w:rPr>
        <w:t xml:space="preserve"> </w:t>
      </w:r>
    </w:p>
    <w:p w14:paraId="2777FD65" w14:textId="6EB18DB5" w:rsidR="005B1732" w:rsidRPr="00000498" w:rsidRDefault="004D4944" w:rsidP="00000498">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i/>
          <w:szCs w:val="24"/>
          <w:lang w:val="pl-PL" w:eastAsia="en-GB"/>
        </w:rPr>
      </w:pPr>
      <w:r w:rsidRPr="00000498">
        <w:rPr>
          <w:rFonts w:asciiTheme="minorHAnsi" w:eastAsia="Times New Roman" w:hAnsiTheme="minorHAnsi" w:cstheme="minorHAnsi"/>
          <w:szCs w:val="24"/>
          <w:lang w:val="pl-PL" w:eastAsia="en-GB"/>
        </w:rPr>
        <w:t xml:space="preserve">Działania te wzmacniają struktury zarządzania SUE RMB </w:t>
      </w:r>
      <w:r w:rsidR="00A6189D" w:rsidRPr="00000498">
        <w:rPr>
          <w:rFonts w:asciiTheme="minorHAnsi" w:eastAsia="Times New Roman" w:hAnsiTheme="minorHAnsi" w:cstheme="minorHAnsi"/>
          <w:szCs w:val="24"/>
          <w:lang w:val="pl-PL" w:eastAsia="en-GB"/>
        </w:rPr>
        <w:t>oraz</w:t>
      </w:r>
      <w:r w:rsidRPr="00000498">
        <w:rPr>
          <w:rFonts w:asciiTheme="minorHAnsi" w:eastAsia="Times New Roman" w:hAnsiTheme="minorHAnsi" w:cstheme="minorHAnsi"/>
          <w:szCs w:val="24"/>
          <w:lang w:val="pl-PL" w:eastAsia="en-GB"/>
        </w:rPr>
        <w:t xml:space="preserve"> pobudzają dyskusje polityczne w regionie Morza Bałtyckiego, budują sieci, angażują i motywują różnych interesariuszy do planowania działań i zapewnienia dalszego finansowania realizacji planu działania SUE RMB. W rezultacie, odpowiedzialne organizacje są w stanie koordynować i informować o </w:t>
      </w:r>
      <w:r w:rsidRPr="00000498">
        <w:rPr>
          <w:rFonts w:asciiTheme="minorHAnsi" w:eastAsia="Times New Roman" w:hAnsiTheme="minorHAnsi" w:cstheme="minorHAnsi"/>
          <w:szCs w:val="24"/>
          <w:lang w:val="pl-PL" w:eastAsia="en-GB"/>
        </w:rPr>
        <w:lastRenderedPageBreak/>
        <w:t>postępach i osiągnięciach SUE RMB oraz aktywnie angażować różnych interesariuszy w regionie, ja</w:t>
      </w:r>
      <w:r w:rsidR="00722C20">
        <w:rPr>
          <w:rFonts w:asciiTheme="minorHAnsi" w:eastAsia="Times New Roman" w:hAnsiTheme="minorHAnsi" w:cstheme="minorHAnsi"/>
          <w:szCs w:val="24"/>
          <w:lang w:val="pl-PL" w:eastAsia="en-GB"/>
        </w:rPr>
        <w:t>k</w:t>
      </w:r>
      <w:r w:rsidRPr="00000498">
        <w:rPr>
          <w:rFonts w:asciiTheme="minorHAnsi" w:eastAsia="Times New Roman" w:hAnsiTheme="minorHAnsi" w:cstheme="minorHAnsi"/>
          <w:szCs w:val="24"/>
          <w:lang w:val="pl-PL" w:eastAsia="en-GB"/>
        </w:rPr>
        <w:t xml:space="preserve"> również pracować nad wspólnymi priorytetami UE i krajów partnerskich.</w:t>
      </w:r>
      <w:r w:rsidR="00567215" w:rsidRPr="00000498">
        <w:rPr>
          <w:rFonts w:asciiTheme="minorHAnsi" w:eastAsia="Times New Roman" w:hAnsiTheme="minorHAnsi" w:cstheme="minorHAnsi"/>
          <w:i/>
          <w:szCs w:val="24"/>
          <w:lang w:val="pl-PL" w:eastAsia="en-GB"/>
        </w:rPr>
        <w:t xml:space="preserve">     </w:t>
      </w:r>
    </w:p>
    <w:p w14:paraId="4B0D7DDE" w14:textId="7AE69B58" w:rsidR="005B1732" w:rsidRPr="00896AB0" w:rsidRDefault="005B1732" w:rsidP="00000498">
      <w:pPr>
        <w:spacing w:before="240" w:after="240" w:line="276" w:lineRule="auto"/>
        <w:ind w:left="709" w:hanging="709"/>
        <w:rPr>
          <w:rFonts w:asciiTheme="minorHAnsi" w:eastAsia="Times New Roman" w:hAnsiTheme="minorHAnsi" w:cstheme="minorHAnsi"/>
          <w:b/>
          <w:iCs/>
          <w:szCs w:val="24"/>
          <w:lang w:val="pl-PL" w:eastAsia="en-GB"/>
        </w:rPr>
      </w:pPr>
      <w:r w:rsidRPr="00896AB0">
        <w:rPr>
          <w:rFonts w:asciiTheme="minorHAnsi" w:eastAsia="Times New Roman" w:hAnsiTheme="minorHAnsi" w:cstheme="minorHAnsi"/>
          <w:b/>
          <w:iCs/>
          <w:szCs w:val="24"/>
          <w:lang w:val="pl-PL" w:eastAsia="en-GB"/>
        </w:rPr>
        <w:t>2.</w:t>
      </w:r>
      <w:r w:rsidR="003349E4" w:rsidRPr="00896AB0">
        <w:rPr>
          <w:rFonts w:asciiTheme="minorHAnsi" w:eastAsia="Times New Roman" w:hAnsiTheme="minorHAnsi" w:cstheme="minorHAnsi"/>
          <w:b/>
          <w:iCs/>
          <w:szCs w:val="24"/>
          <w:lang w:val="pl-PL" w:eastAsia="en-GB"/>
        </w:rPr>
        <w:t>4</w:t>
      </w:r>
      <w:r w:rsidR="004D4944" w:rsidRPr="00896AB0">
        <w:rPr>
          <w:rFonts w:asciiTheme="minorHAnsi" w:eastAsia="Times New Roman" w:hAnsiTheme="minorHAnsi" w:cstheme="minorHAnsi"/>
          <w:b/>
          <w:iCs/>
          <w:szCs w:val="24"/>
          <w:lang w:val="pl-PL" w:eastAsia="en-GB"/>
        </w:rPr>
        <w:t>.2.2</w:t>
      </w:r>
      <w:r w:rsidR="004D4944" w:rsidRPr="00896AB0">
        <w:rPr>
          <w:rFonts w:asciiTheme="minorHAnsi" w:eastAsia="Times New Roman" w:hAnsiTheme="minorHAnsi" w:cstheme="minorHAnsi"/>
          <w:b/>
          <w:iCs/>
          <w:szCs w:val="24"/>
          <w:lang w:val="pl-PL" w:eastAsia="en-GB"/>
        </w:rPr>
        <w:tab/>
      </w:r>
      <w:r w:rsidR="00896AB0" w:rsidRPr="00896AB0">
        <w:rPr>
          <w:rFonts w:asciiTheme="minorHAnsi" w:eastAsia="Times New Roman" w:hAnsiTheme="minorHAnsi" w:cstheme="minorHAnsi"/>
          <w:b/>
          <w:iCs/>
          <w:szCs w:val="24"/>
          <w:lang w:val="pl-PL" w:eastAsia="en-GB"/>
        </w:rPr>
        <w:t xml:space="preserve"> </w:t>
      </w:r>
      <w:r w:rsidR="004D4944" w:rsidRPr="00896AB0">
        <w:rPr>
          <w:rFonts w:asciiTheme="minorHAnsi" w:eastAsia="Times New Roman" w:hAnsiTheme="minorHAnsi" w:cstheme="minorHAnsi"/>
          <w:b/>
          <w:iCs/>
          <w:szCs w:val="24"/>
          <w:lang w:val="pl-PL" w:eastAsia="en-GB"/>
        </w:rPr>
        <w:t>Wskaźniki</w:t>
      </w:r>
    </w:p>
    <w:p w14:paraId="5FA29C64" w14:textId="6072D2FF" w:rsidR="005B1732" w:rsidRPr="00000498" w:rsidRDefault="004D4944" w:rsidP="00000498">
      <w:pPr>
        <w:spacing w:after="20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Dotyczy: art. 17 ust. 4 lit. e) ppkt (ii), art. 17 ust. 9 lit. c) ppkt (iii)</w:t>
      </w:r>
    </w:p>
    <w:p w14:paraId="124E18AF" w14:textId="12877BB1" w:rsidR="00477962" w:rsidRPr="00000498" w:rsidRDefault="00871A6C" w:rsidP="00000498">
      <w:pPr>
        <w:spacing w:before="240" w:after="240" w:line="276" w:lineRule="auto"/>
        <w:rPr>
          <w:rFonts w:asciiTheme="minorHAnsi" w:eastAsia="Times New Roman" w:hAnsiTheme="minorHAnsi" w:cstheme="minorHAnsi"/>
          <w:iCs/>
          <w:szCs w:val="24"/>
          <w:lang w:val="pl-PL" w:eastAsia="en-GB"/>
        </w:rPr>
      </w:pPr>
      <w:r w:rsidRPr="00000498">
        <w:rPr>
          <w:rFonts w:asciiTheme="minorHAnsi" w:eastAsia="Times New Roman" w:hAnsiTheme="minorHAnsi" w:cstheme="minorHAnsi"/>
          <w:iCs/>
          <w:szCs w:val="24"/>
          <w:lang w:val="pl-PL" w:eastAsia="en-GB"/>
        </w:rPr>
        <w:t>Tabela</w:t>
      </w:r>
      <w:r w:rsidR="00477962" w:rsidRPr="00000498">
        <w:rPr>
          <w:rFonts w:asciiTheme="minorHAnsi" w:eastAsia="Times New Roman" w:hAnsiTheme="minorHAnsi" w:cstheme="minorHAnsi"/>
          <w:iCs/>
          <w:szCs w:val="24"/>
          <w:lang w:val="pl-PL" w:eastAsia="en-GB"/>
        </w:rPr>
        <w:t xml:space="preserve"> 2: </w:t>
      </w:r>
      <w:r w:rsidR="00813365" w:rsidRPr="00000498">
        <w:rPr>
          <w:rFonts w:asciiTheme="minorHAnsi" w:eastAsia="Times New Roman" w:hAnsiTheme="minorHAnsi" w:cstheme="minorHAnsi"/>
          <w:iCs/>
          <w:szCs w:val="24"/>
          <w:lang w:val="pl-PL" w:eastAsia="en-GB"/>
        </w:rPr>
        <w:t>Wskaźniki produktu wyjściowego</w:t>
      </w:r>
      <w:r w:rsidR="00477962" w:rsidRPr="00000498">
        <w:rPr>
          <w:rFonts w:asciiTheme="minorHAnsi" w:eastAsia="Times New Roman" w:hAnsiTheme="minorHAnsi" w:cstheme="minorHAnsi"/>
          <w:iCs/>
          <w:szCs w:val="24"/>
          <w:lang w:val="pl-PL" w:eastAsia="en-GB"/>
        </w:rPr>
        <w:t xml:space="preserve"> </w:t>
      </w:r>
    </w:p>
    <w:tbl>
      <w:tblPr>
        <w:tblW w:w="3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ela dotycząca wskaźników produktu wyjściowego"/>
      </w:tblPr>
      <w:tblGrid>
        <w:gridCol w:w="1104"/>
        <w:gridCol w:w="1452"/>
        <w:gridCol w:w="999"/>
        <w:gridCol w:w="2122"/>
        <w:gridCol w:w="1352"/>
        <w:gridCol w:w="970"/>
        <w:gridCol w:w="1285"/>
      </w:tblGrid>
      <w:tr w:rsidR="00802AE7" w:rsidRPr="00896AB0" w14:paraId="58458C23" w14:textId="2AFA00A0" w:rsidTr="00802AE7">
        <w:trPr>
          <w:trHeight w:val="836"/>
        </w:trPr>
        <w:tc>
          <w:tcPr>
            <w:tcW w:w="535" w:type="pct"/>
          </w:tcPr>
          <w:p w14:paraId="5915B05D" w14:textId="222FC05D" w:rsidR="00802AE7" w:rsidRPr="00000498" w:rsidRDefault="00813365" w:rsidP="006A6B69">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Priorytet</w:t>
            </w:r>
            <w:r w:rsidR="00802AE7" w:rsidRPr="00000498">
              <w:rPr>
                <w:rFonts w:asciiTheme="minorHAnsi" w:hAnsiTheme="minorHAnsi" w:cstheme="minorHAnsi"/>
                <w:b/>
                <w:szCs w:val="24"/>
                <w:lang w:val="pl-PL"/>
              </w:rPr>
              <w:t xml:space="preserve"> </w:t>
            </w:r>
          </w:p>
        </w:tc>
        <w:tc>
          <w:tcPr>
            <w:tcW w:w="586" w:type="pct"/>
          </w:tcPr>
          <w:p w14:paraId="301BC1DE" w14:textId="36B6C23D" w:rsidR="00802AE7" w:rsidRPr="00000498" w:rsidRDefault="00871A6C" w:rsidP="006A6B69">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Cel szczegółowy</w:t>
            </w:r>
          </w:p>
        </w:tc>
        <w:tc>
          <w:tcPr>
            <w:tcW w:w="705" w:type="pct"/>
          </w:tcPr>
          <w:p w14:paraId="33E93292" w14:textId="77777777" w:rsidR="00802AE7" w:rsidRPr="00000498" w:rsidRDefault="00802AE7" w:rsidP="006A6B69">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ID</w:t>
            </w:r>
          </w:p>
          <w:p w14:paraId="1445EB7A" w14:textId="77777777" w:rsidR="00802AE7" w:rsidRPr="00000498" w:rsidRDefault="00802AE7" w:rsidP="006A6B69">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[5]</w:t>
            </w:r>
          </w:p>
        </w:tc>
        <w:tc>
          <w:tcPr>
            <w:tcW w:w="1050" w:type="pct"/>
            <w:shd w:val="clear" w:color="auto" w:fill="auto"/>
          </w:tcPr>
          <w:p w14:paraId="59675207" w14:textId="127B6F5D" w:rsidR="00802AE7" w:rsidRPr="00000498" w:rsidRDefault="00813365" w:rsidP="006A6B69">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Wskaźnik</w:t>
            </w:r>
            <w:r w:rsidR="00802AE7" w:rsidRPr="00000498">
              <w:rPr>
                <w:rFonts w:asciiTheme="minorHAnsi" w:hAnsiTheme="minorHAnsi" w:cstheme="minorHAnsi"/>
                <w:b/>
                <w:szCs w:val="24"/>
                <w:lang w:val="pl-PL"/>
              </w:rPr>
              <w:t xml:space="preserve"> </w:t>
            </w:r>
          </w:p>
        </w:tc>
        <w:tc>
          <w:tcPr>
            <w:tcW w:w="955" w:type="pct"/>
          </w:tcPr>
          <w:p w14:paraId="6BC2C4E9" w14:textId="7A7F834F" w:rsidR="00802AE7" w:rsidRPr="00000498" w:rsidRDefault="00813365" w:rsidP="006A6B69">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Jednostka miary</w:t>
            </w:r>
          </w:p>
          <w:p w14:paraId="2A090DD7" w14:textId="77777777" w:rsidR="00802AE7" w:rsidRPr="00000498" w:rsidRDefault="00802AE7" w:rsidP="006A6B69">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[255]</w:t>
            </w:r>
          </w:p>
        </w:tc>
        <w:tc>
          <w:tcPr>
            <w:tcW w:w="623" w:type="pct"/>
            <w:shd w:val="clear" w:color="auto" w:fill="auto"/>
          </w:tcPr>
          <w:p w14:paraId="3864B9DD" w14:textId="4A9C2843" w:rsidR="00802AE7" w:rsidRPr="00000498" w:rsidRDefault="00813365" w:rsidP="006A6B69">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Kamień milowy</w:t>
            </w:r>
            <w:r w:rsidR="00802AE7" w:rsidRPr="00000498">
              <w:rPr>
                <w:rFonts w:asciiTheme="minorHAnsi" w:hAnsiTheme="minorHAnsi" w:cstheme="minorHAnsi"/>
                <w:b/>
                <w:szCs w:val="24"/>
                <w:lang w:val="pl-PL"/>
              </w:rPr>
              <w:t xml:space="preserve"> (2024)</w:t>
            </w:r>
          </w:p>
          <w:p w14:paraId="0B3B1513" w14:textId="77777777" w:rsidR="00802AE7" w:rsidRPr="00000498" w:rsidRDefault="00802AE7" w:rsidP="006A6B69">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[200]</w:t>
            </w:r>
          </w:p>
        </w:tc>
        <w:tc>
          <w:tcPr>
            <w:tcW w:w="546" w:type="pct"/>
            <w:shd w:val="clear" w:color="auto" w:fill="auto"/>
          </w:tcPr>
          <w:p w14:paraId="74A43FCF" w14:textId="38EC4633" w:rsidR="00802AE7" w:rsidRPr="00000498" w:rsidRDefault="00813365" w:rsidP="006A6B69">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Cel ostateczny</w:t>
            </w:r>
            <w:r w:rsidR="00802AE7" w:rsidRPr="00000498">
              <w:rPr>
                <w:rFonts w:asciiTheme="minorHAnsi" w:hAnsiTheme="minorHAnsi" w:cstheme="minorHAnsi"/>
                <w:b/>
                <w:szCs w:val="24"/>
                <w:lang w:val="pl-PL"/>
              </w:rPr>
              <w:t xml:space="preserve"> (2029)</w:t>
            </w:r>
          </w:p>
          <w:p w14:paraId="5C30D418" w14:textId="77777777" w:rsidR="00802AE7" w:rsidRPr="00000498" w:rsidRDefault="00802AE7" w:rsidP="006A6B69">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[200]</w:t>
            </w:r>
          </w:p>
        </w:tc>
      </w:tr>
      <w:tr w:rsidR="00802AE7" w:rsidRPr="00896AB0" w14:paraId="4762C50A" w14:textId="3C152019" w:rsidTr="00802AE7">
        <w:trPr>
          <w:trHeight w:val="579"/>
        </w:trPr>
        <w:tc>
          <w:tcPr>
            <w:tcW w:w="535" w:type="pct"/>
          </w:tcPr>
          <w:p w14:paraId="7F1DF85F" w14:textId="77777777" w:rsidR="00802AE7" w:rsidRPr="00000498" w:rsidRDefault="00802AE7" w:rsidP="006A6B69">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4</w:t>
            </w:r>
          </w:p>
        </w:tc>
        <w:tc>
          <w:tcPr>
            <w:tcW w:w="586" w:type="pct"/>
          </w:tcPr>
          <w:p w14:paraId="3BCE56AA" w14:textId="600EF107" w:rsidR="00802AE7" w:rsidRPr="00000498" w:rsidRDefault="00802AE7" w:rsidP="006A6B69">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d</w:t>
            </w:r>
          </w:p>
        </w:tc>
        <w:tc>
          <w:tcPr>
            <w:tcW w:w="705" w:type="pct"/>
          </w:tcPr>
          <w:p w14:paraId="75DF7EDD" w14:textId="03AF08EA" w:rsidR="00802AE7" w:rsidRPr="00000498" w:rsidRDefault="00802AE7" w:rsidP="006A6B69">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RCO118</w:t>
            </w:r>
          </w:p>
        </w:tc>
        <w:tc>
          <w:tcPr>
            <w:tcW w:w="1050" w:type="pct"/>
            <w:shd w:val="clear" w:color="auto" w:fill="auto"/>
          </w:tcPr>
          <w:p w14:paraId="1A12CC97" w14:textId="31AED6E9" w:rsidR="00802AE7" w:rsidRPr="00000498" w:rsidRDefault="004D4944" w:rsidP="006A6B69">
            <w:pPr>
              <w:spacing w:before="120" w:after="120" w:line="240" w:lineRule="auto"/>
              <w:rPr>
                <w:rFonts w:asciiTheme="minorHAnsi" w:hAnsiTheme="minorHAnsi" w:cstheme="minorHAnsi"/>
                <w:szCs w:val="24"/>
                <w:lang w:val="pl-PL"/>
              </w:rPr>
            </w:pPr>
            <w:r w:rsidRPr="00000498">
              <w:rPr>
                <w:rFonts w:asciiTheme="minorHAnsi" w:hAnsiTheme="minorHAnsi" w:cstheme="minorHAnsi"/>
                <w:szCs w:val="24"/>
                <w:lang w:val="pl-PL"/>
              </w:rPr>
              <w:t>Organizacje współpracujące na rzecz wielopoziomowego zarządzania strategiami makroregionalnymi</w:t>
            </w:r>
          </w:p>
        </w:tc>
        <w:tc>
          <w:tcPr>
            <w:tcW w:w="955" w:type="pct"/>
          </w:tcPr>
          <w:p w14:paraId="5E3F6A56" w14:textId="19675C65" w:rsidR="00802AE7" w:rsidRPr="00000498" w:rsidRDefault="00813365" w:rsidP="006A6B69">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Organizacja</w:t>
            </w:r>
          </w:p>
        </w:tc>
        <w:tc>
          <w:tcPr>
            <w:tcW w:w="623" w:type="pct"/>
            <w:shd w:val="clear" w:color="auto" w:fill="auto"/>
          </w:tcPr>
          <w:p w14:paraId="41DF48E6" w14:textId="7586D6BD" w:rsidR="00802AE7" w:rsidRPr="00000498" w:rsidRDefault="00802AE7" w:rsidP="006A6B69">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4</w:t>
            </w:r>
          </w:p>
        </w:tc>
        <w:tc>
          <w:tcPr>
            <w:tcW w:w="546" w:type="pct"/>
            <w:shd w:val="clear" w:color="auto" w:fill="auto"/>
          </w:tcPr>
          <w:p w14:paraId="2DFC695C" w14:textId="028996CF" w:rsidR="00802AE7" w:rsidRPr="00000498" w:rsidRDefault="00802AE7" w:rsidP="006A6B69">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42</w:t>
            </w:r>
          </w:p>
        </w:tc>
      </w:tr>
    </w:tbl>
    <w:p w14:paraId="332DE993" w14:textId="79CDFEF3" w:rsidR="00477962" w:rsidRPr="00000498" w:rsidRDefault="00871A6C" w:rsidP="00000498">
      <w:pPr>
        <w:spacing w:before="240" w:after="240" w:line="276" w:lineRule="auto"/>
        <w:rPr>
          <w:rFonts w:asciiTheme="minorHAnsi" w:eastAsia="Times New Roman" w:hAnsiTheme="minorHAnsi" w:cstheme="minorHAnsi"/>
          <w:iCs/>
          <w:szCs w:val="24"/>
          <w:lang w:val="pl-PL" w:eastAsia="en-GB"/>
        </w:rPr>
      </w:pPr>
      <w:r w:rsidRPr="00000498">
        <w:rPr>
          <w:rFonts w:asciiTheme="minorHAnsi" w:eastAsia="Times New Roman" w:hAnsiTheme="minorHAnsi" w:cstheme="minorHAnsi"/>
          <w:iCs/>
          <w:szCs w:val="24"/>
          <w:lang w:val="pl-PL" w:eastAsia="en-GB"/>
        </w:rPr>
        <w:t>Tabela</w:t>
      </w:r>
      <w:r w:rsidR="00477962" w:rsidRPr="00000498">
        <w:rPr>
          <w:rFonts w:asciiTheme="minorHAnsi" w:eastAsia="Times New Roman" w:hAnsiTheme="minorHAnsi" w:cstheme="minorHAnsi"/>
          <w:iCs/>
          <w:szCs w:val="24"/>
          <w:lang w:val="pl-PL" w:eastAsia="en-GB"/>
        </w:rPr>
        <w:t xml:space="preserve"> 3: </w:t>
      </w:r>
      <w:r w:rsidR="00813365" w:rsidRPr="00000498">
        <w:rPr>
          <w:rFonts w:asciiTheme="minorHAnsi" w:eastAsia="Times New Roman" w:hAnsiTheme="minorHAnsi" w:cstheme="minorHAnsi"/>
          <w:iCs/>
          <w:szCs w:val="24"/>
          <w:lang w:val="pl-PL" w:eastAsia="en-GB"/>
        </w:rPr>
        <w:t>Wskaźniki rezultatu</w:t>
      </w:r>
      <w:r w:rsidR="00477962" w:rsidRPr="00000498">
        <w:rPr>
          <w:rFonts w:asciiTheme="minorHAnsi" w:eastAsia="Times New Roman" w:hAnsiTheme="minorHAnsi" w:cstheme="minorHAnsi"/>
          <w:iCs/>
          <w:szCs w:val="24"/>
          <w:lang w:val="pl-PL" w:eastAsia="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ela dotycząca wskaźników rezultatu"/>
      </w:tblPr>
      <w:tblGrid>
        <w:gridCol w:w="763"/>
        <w:gridCol w:w="977"/>
        <w:gridCol w:w="605"/>
        <w:gridCol w:w="1155"/>
        <w:gridCol w:w="916"/>
        <w:gridCol w:w="727"/>
        <w:gridCol w:w="924"/>
        <w:gridCol w:w="875"/>
        <w:gridCol w:w="1058"/>
        <w:gridCol w:w="1288"/>
      </w:tblGrid>
      <w:tr w:rsidR="005D1F23" w:rsidRPr="00896AB0" w14:paraId="1CAFF580" w14:textId="77777777" w:rsidTr="00305E0A">
        <w:trPr>
          <w:trHeight w:val="947"/>
        </w:trPr>
        <w:tc>
          <w:tcPr>
            <w:tcW w:w="410" w:type="pct"/>
          </w:tcPr>
          <w:p w14:paraId="0366772F" w14:textId="4421E5BF" w:rsidR="00477962" w:rsidRPr="00000498" w:rsidRDefault="00813365" w:rsidP="006A6B69">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Priorytet</w:t>
            </w:r>
            <w:r w:rsidR="00477962" w:rsidRPr="00000498">
              <w:rPr>
                <w:rFonts w:asciiTheme="minorHAnsi" w:hAnsiTheme="minorHAnsi" w:cstheme="minorHAnsi"/>
                <w:b/>
                <w:szCs w:val="24"/>
                <w:lang w:val="pl-PL"/>
              </w:rPr>
              <w:t xml:space="preserve"> </w:t>
            </w:r>
          </w:p>
        </w:tc>
        <w:tc>
          <w:tcPr>
            <w:tcW w:w="512" w:type="pct"/>
          </w:tcPr>
          <w:p w14:paraId="0CF70431" w14:textId="526E7819" w:rsidR="00477962" w:rsidRPr="00000498" w:rsidRDefault="00871A6C" w:rsidP="006A6B69">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Cel szczegółowy</w:t>
            </w:r>
          </w:p>
        </w:tc>
        <w:tc>
          <w:tcPr>
            <w:tcW w:w="371" w:type="pct"/>
          </w:tcPr>
          <w:p w14:paraId="7B689587" w14:textId="77777777" w:rsidR="00477962" w:rsidRPr="00000498" w:rsidRDefault="00477962" w:rsidP="006A6B69">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ID</w:t>
            </w:r>
          </w:p>
        </w:tc>
        <w:tc>
          <w:tcPr>
            <w:tcW w:w="596" w:type="pct"/>
            <w:shd w:val="clear" w:color="auto" w:fill="auto"/>
          </w:tcPr>
          <w:p w14:paraId="763D520D" w14:textId="5E62C809" w:rsidR="00477962" w:rsidRPr="00000498" w:rsidRDefault="00813365" w:rsidP="006A6B69">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Wskaźnik</w:t>
            </w:r>
            <w:r w:rsidR="00477962" w:rsidRPr="00000498">
              <w:rPr>
                <w:rFonts w:asciiTheme="minorHAnsi" w:hAnsiTheme="minorHAnsi" w:cstheme="minorHAnsi"/>
                <w:b/>
                <w:szCs w:val="24"/>
                <w:lang w:val="pl-PL"/>
              </w:rPr>
              <w:t xml:space="preserve"> </w:t>
            </w:r>
          </w:p>
        </w:tc>
        <w:tc>
          <w:tcPr>
            <w:tcW w:w="532" w:type="pct"/>
          </w:tcPr>
          <w:p w14:paraId="2981C039" w14:textId="31B149F6" w:rsidR="00477962" w:rsidRPr="00000498" w:rsidRDefault="00813365" w:rsidP="006A6B69">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Jednostka miary</w:t>
            </w:r>
          </w:p>
        </w:tc>
        <w:tc>
          <w:tcPr>
            <w:tcW w:w="389" w:type="pct"/>
          </w:tcPr>
          <w:p w14:paraId="71B81C27" w14:textId="0D789B1D" w:rsidR="00477962" w:rsidRPr="00000498" w:rsidRDefault="00813365" w:rsidP="006A6B69">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Wartość bazowa</w:t>
            </w:r>
          </w:p>
        </w:tc>
        <w:tc>
          <w:tcPr>
            <w:tcW w:w="481" w:type="pct"/>
          </w:tcPr>
          <w:p w14:paraId="3F1CEF04" w14:textId="0AE8ACC7" w:rsidR="00477962" w:rsidRPr="00000498" w:rsidRDefault="00813365" w:rsidP="006A6B69">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Rok odniesienia</w:t>
            </w:r>
          </w:p>
        </w:tc>
        <w:tc>
          <w:tcPr>
            <w:tcW w:w="454" w:type="pct"/>
            <w:shd w:val="clear" w:color="auto" w:fill="auto"/>
          </w:tcPr>
          <w:p w14:paraId="540A4731" w14:textId="5743A5E3" w:rsidR="00477962" w:rsidRPr="00000498" w:rsidRDefault="00813365" w:rsidP="006A6B69">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Cel ostateczny</w:t>
            </w:r>
            <w:r w:rsidR="00477962" w:rsidRPr="00000498">
              <w:rPr>
                <w:rFonts w:asciiTheme="minorHAnsi" w:hAnsiTheme="minorHAnsi" w:cstheme="minorHAnsi"/>
                <w:b/>
                <w:szCs w:val="24"/>
                <w:lang w:val="pl-PL"/>
              </w:rPr>
              <w:t xml:space="preserve"> (2029)</w:t>
            </w:r>
          </w:p>
        </w:tc>
        <w:tc>
          <w:tcPr>
            <w:tcW w:w="491" w:type="pct"/>
            <w:shd w:val="clear" w:color="auto" w:fill="auto"/>
          </w:tcPr>
          <w:p w14:paraId="2959FB5E" w14:textId="5D1436DE" w:rsidR="00477962" w:rsidRPr="00000498" w:rsidRDefault="00813365" w:rsidP="002D1433">
            <w:pPr>
              <w:spacing w:before="120"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Źródło danych</w:t>
            </w:r>
          </w:p>
        </w:tc>
        <w:tc>
          <w:tcPr>
            <w:tcW w:w="764" w:type="pct"/>
          </w:tcPr>
          <w:p w14:paraId="7C0D1372" w14:textId="712F972F" w:rsidR="00477962" w:rsidRPr="00000498" w:rsidRDefault="00813365" w:rsidP="006A6B69">
            <w:pPr>
              <w:spacing w:before="120" w:after="120" w:line="48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Uwagi</w:t>
            </w:r>
          </w:p>
        </w:tc>
      </w:tr>
      <w:tr w:rsidR="006659D0" w:rsidRPr="00367EF1" w14:paraId="2392EFF9" w14:textId="77777777" w:rsidTr="00305E0A">
        <w:trPr>
          <w:trHeight w:val="629"/>
        </w:trPr>
        <w:tc>
          <w:tcPr>
            <w:tcW w:w="410" w:type="pct"/>
          </w:tcPr>
          <w:p w14:paraId="2569F75C" w14:textId="77777777" w:rsidR="006659D0" w:rsidRPr="00000498" w:rsidRDefault="006659D0" w:rsidP="006659D0">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4</w:t>
            </w:r>
          </w:p>
        </w:tc>
        <w:tc>
          <w:tcPr>
            <w:tcW w:w="512" w:type="pct"/>
          </w:tcPr>
          <w:p w14:paraId="6D433F50" w14:textId="470D4D8F" w:rsidR="006659D0" w:rsidRPr="00000498" w:rsidRDefault="006659D0" w:rsidP="006659D0">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d</w:t>
            </w:r>
          </w:p>
        </w:tc>
        <w:tc>
          <w:tcPr>
            <w:tcW w:w="371" w:type="pct"/>
          </w:tcPr>
          <w:p w14:paraId="47E0D76C" w14:textId="03899F9A" w:rsidR="006659D0" w:rsidRPr="00000498" w:rsidRDefault="006659D0" w:rsidP="006659D0">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RCR84</w:t>
            </w:r>
          </w:p>
        </w:tc>
        <w:tc>
          <w:tcPr>
            <w:tcW w:w="596" w:type="pct"/>
            <w:shd w:val="clear" w:color="auto" w:fill="auto"/>
          </w:tcPr>
          <w:p w14:paraId="17B531B7" w14:textId="0D78AE2E" w:rsidR="006659D0" w:rsidRPr="00000498" w:rsidRDefault="00E077A3" w:rsidP="006659D0">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Organizacje współpracujące transgranicznie po zakończeniu projektu</w:t>
            </w:r>
          </w:p>
        </w:tc>
        <w:tc>
          <w:tcPr>
            <w:tcW w:w="532" w:type="pct"/>
          </w:tcPr>
          <w:p w14:paraId="1D40E70A" w14:textId="7A5DA4EC" w:rsidR="006659D0" w:rsidRPr="00000498" w:rsidRDefault="00813365" w:rsidP="006659D0">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Organizacja</w:t>
            </w:r>
          </w:p>
        </w:tc>
        <w:tc>
          <w:tcPr>
            <w:tcW w:w="389" w:type="pct"/>
          </w:tcPr>
          <w:p w14:paraId="5DEC2EE4" w14:textId="07290DC6" w:rsidR="006659D0" w:rsidRPr="00000498" w:rsidRDefault="006659D0" w:rsidP="006659D0">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0</w:t>
            </w:r>
          </w:p>
        </w:tc>
        <w:tc>
          <w:tcPr>
            <w:tcW w:w="481" w:type="pct"/>
            <w:shd w:val="clear" w:color="auto" w:fill="auto"/>
          </w:tcPr>
          <w:p w14:paraId="48CFCCE0" w14:textId="371FE8BB" w:rsidR="006659D0" w:rsidRPr="00000498" w:rsidRDefault="006659D0" w:rsidP="006659D0">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2022</w:t>
            </w:r>
          </w:p>
        </w:tc>
        <w:tc>
          <w:tcPr>
            <w:tcW w:w="454" w:type="pct"/>
            <w:shd w:val="clear" w:color="auto" w:fill="auto"/>
          </w:tcPr>
          <w:p w14:paraId="66F3845D" w14:textId="43BDB127" w:rsidR="006659D0" w:rsidRPr="00000498" w:rsidRDefault="006659D0" w:rsidP="006659D0">
            <w:pPr>
              <w:spacing w:before="120" w:after="120" w:line="240" w:lineRule="auto"/>
              <w:jc w:val="center"/>
              <w:rPr>
                <w:rFonts w:asciiTheme="minorHAnsi" w:hAnsiTheme="minorHAnsi" w:cstheme="minorHAnsi"/>
                <w:szCs w:val="24"/>
                <w:lang w:val="pl-PL"/>
              </w:rPr>
            </w:pPr>
            <w:r w:rsidRPr="00000498">
              <w:rPr>
                <w:rFonts w:asciiTheme="minorHAnsi" w:hAnsiTheme="minorHAnsi" w:cstheme="minorHAnsi"/>
                <w:szCs w:val="24"/>
                <w:lang w:val="pl-PL"/>
              </w:rPr>
              <w:t>42</w:t>
            </w:r>
          </w:p>
        </w:tc>
        <w:tc>
          <w:tcPr>
            <w:tcW w:w="491" w:type="pct"/>
            <w:shd w:val="clear" w:color="auto" w:fill="auto"/>
          </w:tcPr>
          <w:p w14:paraId="2729DF92" w14:textId="29BD5579" w:rsidR="006659D0" w:rsidRPr="00000498" w:rsidRDefault="00813365" w:rsidP="002D1433">
            <w:pPr>
              <w:spacing w:before="120"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Sprawozdania z postępów projektów</w:t>
            </w:r>
          </w:p>
        </w:tc>
        <w:tc>
          <w:tcPr>
            <w:tcW w:w="764" w:type="pct"/>
          </w:tcPr>
          <w:p w14:paraId="36956A05" w14:textId="6D24029E" w:rsidR="001D63BD" w:rsidRPr="00000498" w:rsidRDefault="00BD2E54" w:rsidP="001D63BD">
            <w:pPr>
              <w:spacing w:before="120" w:after="120" w:line="240" w:lineRule="auto"/>
              <w:rPr>
                <w:rFonts w:asciiTheme="minorHAnsi" w:hAnsiTheme="minorHAnsi" w:cstheme="minorHAnsi"/>
                <w:b/>
                <w:szCs w:val="24"/>
                <w:lang w:val="pl-PL"/>
              </w:rPr>
            </w:pPr>
            <w:r w:rsidRPr="00000498">
              <w:rPr>
                <w:rFonts w:asciiTheme="minorHAnsi" w:hAnsiTheme="minorHAnsi" w:cstheme="minorHAnsi"/>
                <w:b/>
                <w:szCs w:val="24"/>
                <w:lang w:val="pl-PL"/>
              </w:rPr>
              <w:t>KOT</w:t>
            </w:r>
          </w:p>
          <w:p w14:paraId="1D110943" w14:textId="19856368" w:rsidR="001D63BD" w:rsidRPr="00000498" w:rsidRDefault="001D63BD" w:rsidP="001D63BD">
            <w:pPr>
              <w:spacing w:before="120" w:after="120" w:line="240" w:lineRule="auto"/>
              <w:rPr>
                <w:rFonts w:asciiTheme="minorHAnsi" w:hAnsiTheme="minorHAnsi" w:cstheme="minorHAnsi"/>
                <w:szCs w:val="24"/>
                <w:lang w:val="pl-PL"/>
              </w:rPr>
            </w:pPr>
            <w:r w:rsidRPr="00000498">
              <w:rPr>
                <w:rFonts w:asciiTheme="minorHAnsi" w:hAnsiTheme="minorHAnsi" w:cstheme="minorHAnsi"/>
                <w:szCs w:val="24"/>
                <w:lang w:val="pl-PL"/>
              </w:rPr>
              <w:t xml:space="preserve">Szacunkowa liczba organizacji współpracujących po ukończeniu </w:t>
            </w:r>
            <w:r w:rsidR="00BD2E54" w:rsidRPr="00000498">
              <w:rPr>
                <w:rFonts w:asciiTheme="minorHAnsi" w:hAnsiTheme="minorHAnsi" w:cstheme="minorHAnsi"/>
                <w:szCs w:val="24"/>
                <w:lang w:val="pl-PL"/>
              </w:rPr>
              <w:t>KOT</w:t>
            </w:r>
            <w:r w:rsidRPr="00000498">
              <w:rPr>
                <w:rFonts w:asciiTheme="minorHAnsi" w:hAnsiTheme="minorHAnsi" w:cstheme="minorHAnsi"/>
                <w:szCs w:val="24"/>
                <w:lang w:val="pl-PL"/>
              </w:rPr>
              <w:t>: 28</w:t>
            </w:r>
          </w:p>
          <w:p w14:paraId="319D1D6B" w14:textId="77777777" w:rsidR="001D63BD" w:rsidRPr="00000498" w:rsidRDefault="001D63BD" w:rsidP="001D63BD">
            <w:pPr>
              <w:spacing w:before="120" w:after="120" w:line="240" w:lineRule="auto"/>
              <w:rPr>
                <w:rFonts w:asciiTheme="minorHAnsi" w:hAnsiTheme="minorHAnsi" w:cstheme="minorHAnsi"/>
                <w:b/>
                <w:szCs w:val="24"/>
                <w:lang w:val="pl-PL"/>
              </w:rPr>
            </w:pPr>
            <w:r w:rsidRPr="00000498">
              <w:rPr>
                <w:rFonts w:asciiTheme="minorHAnsi" w:hAnsiTheme="minorHAnsi" w:cstheme="minorHAnsi"/>
                <w:b/>
                <w:szCs w:val="24"/>
                <w:lang w:val="pl-PL"/>
              </w:rPr>
              <w:t>Punkt strategiczny</w:t>
            </w:r>
          </w:p>
          <w:p w14:paraId="737E4FAF" w14:textId="77777777" w:rsidR="001D63BD" w:rsidRPr="00000498" w:rsidRDefault="001D63BD" w:rsidP="001D63BD">
            <w:pPr>
              <w:spacing w:before="120" w:after="120" w:line="240" w:lineRule="auto"/>
              <w:rPr>
                <w:rFonts w:asciiTheme="minorHAnsi" w:hAnsiTheme="minorHAnsi" w:cstheme="minorHAnsi"/>
                <w:szCs w:val="24"/>
                <w:lang w:val="pl-PL"/>
              </w:rPr>
            </w:pPr>
            <w:r w:rsidRPr="00000498">
              <w:rPr>
                <w:rFonts w:asciiTheme="minorHAnsi" w:hAnsiTheme="minorHAnsi" w:cstheme="minorHAnsi"/>
                <w:szCs w:val="24"/>
                <w:lang w:val="pl-PL"/>
              </w:rPr>
              <w:t xml:space="preserve">Szacunkowa liczba organizacji współpracujących po zakończeniu punktu </w:t>
            </w:r>
            <w:r w:rsidRPr="00000498">
              <w:rPr>
                <w:rFonts w:asciiTheme="minorHAnsi" w:hAnsiTheme="minorHAnsi" w:cstheme="minorHAnsi"/>
                <w:szCs w:val="24"/>
                <w:lang w:val="pl-PL"/>
              </w:rPr>
              <w:lastRenderedPageBreak/>
              <w:t>Strategii: 2</w:t>
            </w:r>
          </w:p>
          <w:p w14:paraId="4FC3E728" w14:textId="77777777" w:rsidR="001D63BD" w:rsidRPr="00000498" w:rsidRDefault="001D63BD" w:rsidP="001D63BD">
            <w:pPr>
              <w:spacing w:before="120" w:after="120" w:line="240" w:lineRule="auto"/>
              <w:rPr>
                <w:rFonts w:asciiTheme="minorHAnsi" w:hAnsiTheme="minorHAnsi" w:cstheme="minorHAnsi"/>
                <w:b/>
                <w:szCs w:val="24"/>
                <w:lang w:val="pl-PL"/>
              </w:rPr>
            </w:pPr>
            <w:r w:rsidRPr="00000498">
              <w:rPr>
                <w:rFonts w:asciiTheme="minorHAnsi" w:hAnsiTheme="minorHAnsi" w:cstheme="minorHAnsi"/>
                <w:b/>
                <w:szCs w:val="24"/>
                <w:lang w:val="pl-PL"/>
              </w:rPr>
              <w:t>Coroczne fora*</w:t>
            </w:r>
          </w:p>
          <w:p w14:paraId="2987C9AA" w14:textId="77777777" w:rsidR="001D63BD" w:rsidRPr="00000498" w:rsidRDefault="001D63BD" w:rsidP="001D63BD">
            <w:pPr>
              <w:spacing w:before="120" w:after="120" w:line="240" w:lineRule="auto"/>
              <w:rPr>
                <w:rFonts w:asciiTheme="minorHAnsi" w:hAnsiTheme="minorHAnsi" w:cstheme="minorHAnsi"/>
                <w:szCs w:val="24"/>
                <w:lang w:val="pl-PL"/>
              </w:rPr>
            </w:pPr>
            <w:r w:rsidRPr="00000498">
              <w:rPr>
                <w:rFonts w:asciiTheme="minorHAnsi" w:hAnsiTheme="minorHAnsi" w:cstheme="minorHAnsi"/>
                <w:szCs w:val="24"/>
                <w:lang w:val="pl-PL"/>
              </w:rPr>
              <w:t>Liczba forów zorganizowanych w latach 2022-2027: 6</w:t>
            </w:r>
          </w:p>
          <w:p w14:paraId="0C729A37" w14:textId="59505A52" w:rsidR="006659D0" w:rsidRPr="00000498" w:rsidRDefault="001D63BD" w:rsidP="001D63BD">
            <w:pPr>
              <w:spacing w:before="120" w:after="120" w:line="240" w:lineRule="auto"/>
              <w:rPr>
                <w:rFonts w:asciiTheme="minorHAnsi" w:hAnsiTheme="minorHAnsi" w:cstheme="minorHAnsi"/>
                <w:szCs w:val="24"/>
                <w:lang w:val="pl-PL"/>
              </w:rPr>
            </w:pPr>
            <w:r w:rsidRPr="00000498">
              <w:rPr>
                <w:rFonts w:asciiTheme="minorHAnsi" w:hAnsiTheme="minorHAnsi" w:cstheme="minorHAnsi"/>
                <w:szCs w:val="24"/>
                <w:lang w:val="pl-PL"/>
              </w:rPr>
              <w:t>Szacunkowa liczba organizacji współpracujących po zakończeniu każdego Forum: 2 (łącznie 12 organizacji).</w:t>
            </w:r>
          </w:p>
        </w:tc>
      </w:tr>
    </w:tbl>
    <w:p w14:paraId="48E9BB5C" w14:textId="65713C39" w:rsidR="005B1732" w:rsidRPr="00F879CC" w:rsidRDefault="0003371F" w:rsidP="00000498">
      <w:pPr>
        <w:spacing w:before="240" w:after="240" w:line="276" w:lineRule="auto"/>
        <w:ind w:left="709" w:hanging="709"/>
        <w:rPr>
          <w:rFonts w:asciiTheme="minorHAnsi" w:eastAsia="Times New Roman" w:hAnsiTheme="minorHAnsi" w:cstheme="minorHAnsi"/>
          <w:b/>
          <w:iCs/>
          <w:sz w:val="28"/>
          <w:szCs w:val="24"/>
          <w:lang w:val="pl-PL" w:eastAsia="en-GB"/>
        </w:rPr>
      </w:pPr>
      <w:r w:rsidRPr="00F879CC">
        <w:rPr>
          <w:rFonts w:asciiTheme="minorHAnsi" w:eastAsia="Times New Roman" w:hAnsiTheme="minorHAnsi" w:cstheme="minorHAnsi"/>
          <w:b/>
          <w:iCs/>
          <w:sz w:val="28"/>
          <w:szCs w:val="24"/>
          <w:lang w:val="pl-PL" w:eastAsia="en-GB"/>
        </w:rPr>
        <w:lastRenderedPageBreak/>
        <w:t xml:space="preserve">* </w:t>
      </w:r>
      <w:r w:rsidR="001D63BD" w:rsidRPr="00000498">
        <w:rPr>
          <w:rFonts w:asciiTheme="minorHAnsi" w:hAnsiTheme="minorHAnsi" w:cstheme="minorHAnsi"/>
          <w:color w:val="000000"/>
          <w:szCs w:val="24"/>
          <w:shd w:val="clear" w:color="auto" w:fill="FFFFFF"/>
          <w:lang w:val="pl-PL"/>
        </w:rPr>
        <w:t>Liczba corocznych forów do potwierdzenia przez KK SUE RMB</w:t>
      </w:r>
    </w:p>
    <w:p w14:paraId="49C5A571" w14:textId="6DB6257B" w:rsidR="005B1732" w:rsidRPr="00896AB0" w:rsidRDefault="005B1732" w:rsidP="00000498">
      <w:pPr>
        <w:spacing w:before="240" w:after="240" w:line="276" w:lineRule="auto"/>
        <w:ind w:left="709" w:hanging="709"/>
        <w:rPr>
          <w:rFonts w:asciiTheme="minorHAnsi" w:eastAsia="Times New Roman" w:hAnsiTheme="minorHAnsi" w:cstheme="minorHAnsi"/>
          <w:b/>
          <w:iCs/>
          <w:szCs w:val="24"/>
          <w:lang w:val="pl-PL" w:eastAsia="en-GB"/>
        </w:rPr>
      </w:pPr>
      <w:r w:rsidRPr="00896AB0">
        <w:rPr>
          <w:rFonts w:asciiTheme="minorHAnsi" w:eastAsia="Times New Roman" w:hAnsiTheme="minorHAnsi" w:cstheme="minorHAnsi"/>
          <w:b/>
          <w:iCs/>
          <w:szCs w:val="24"/>
          <w:lang w:val="pl-PL" w:eastAsia="en-GB"/>
        </w:rPr>
        <w:t>2.</w:t>
      </w:r>
      <w:r w:rsidR="003349E4" w:rsidRPr="00896AB0">
        <w:rPr>
          <w:rFonts w:asciiTheme="minorHAnsi" w:eastAsia="Times New Roman" w:hAnsiTheme="minorHAnsi" w:cstheme="minorHAnsi"/>
          <w:b/>
          <w:iCs/>
          <w:szCs w:val="24"/>
          <w:lang w:val="pl-PL" w:eastAsia="en-GB"/>
        </w:rPr>
        <w:t>4</w:t>
      </w:r>
      <w:r w:rsidRPr="00896AB0">
        <w:rPr>
          <w:rFonts w:asciiTheme="minorHAnsi" w:eastAsia="Times New Roman" w:hAnsiTheme="minorHAnsi" w:cstheme="minorHAnsi"/>
          <w:b/>
          <w:iCs/>
          <w:szCs w:val="24"/>
          <w:lang w:val="pl-PL" w:eastAsia="en-GB"/>
        </w:rPr>
        <w:t>.2.3</w:t>
      </w:r>
      <w:r w:rsidRPr="00896AB0">
        <w:rPr>
          <w:rFonts w:asciiTheme="minorHAnsi" w:eastAsia="Times New Roman" w:hAnsiTheme="minorHAnsi" w:cstheme="minorHAnsi"/>
          <w:b/>
          <w:iCs/>
          <w:szCs w:val="24"/>
          <w:lang w:val="pl-PL" w:eastAsia="en-GB"/>
        </w:rPr>
        <w:tab/>
      </w:r>
      <w:r w:rsidR="00896AB0" w:rsidRPr="00896AB0">
        <w:rPr>
          <w:rFonts w:asciiTheme="minorHAnsi" w:eastAsia="Times New Roman" w:hAnsiTheme="minorHAnsi" w:cstheme="minorHAnsi"/>
          <w:b/>
          <w:iCs/>
          <w:szCs w:val="24"/>
          <w:lang w:val="pl-PL" w:eastAsia="en-GB"/>
        </w:rPr>
        <w:t xml:space="preserve"> </w:t>
      </w:r>
      <w:r w:rsidR="00813365" w:rsidRPr="00896AB0">
        <w:rPr>
          <w:rFonts w:asciiTheme="minorHAnsi" w:eastAsia="Times New Roman" w:hAnsiTheme="minorHAnsi" w:cstheme="minorHAnsi"/>
          <w:b/>
          <w:iCs/>
          <w:szCs w:val="24"/>
          <w:lang w:val="pl-PL" w:eastAsia="en-GB"/>
        </w:rPr>
        <w:t>Podstawowe grupy docelowe</w:t>
      </w:r>
    </w:p>
    <w:p w14:paraId="3E68C4E8" w14:textId="0C9A8E00" w:rsidR="005B1732" w:rsidRPr="00000498" w:rsidRDefault="001D63BD" w:rsidP="00000498">
      <w:pPr>
        <w:spacing w:after="20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Dotyczy: art. 17 ust. 4 lit. e) ppkt (iii), art. 17 ust. 9 lit. c) ppkt (iv)</w:t>
      </w:r>
    </w:p>
    <w:p w14:paraId="01542340" w14:textId="54D5020C" w:rsidR="003349E4" w:rsidRPr="00000498" w:rsidRDefault="001D63BD" w:rsidP="00000498">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 xml:space="preserve">Program skierowany jest do organizacji wyznaczonych, jako koordynatorzy </w:t>
      </w:r>
      <w:r w:rsidR="000C5539" w:rsidRPr="00000498">
        <w:rPr>
          <w:rFonts w:asciiTheme="minorHAnsi" w:eastAsia="Times New Roman" w:hAnsiTheme="minorHAnsi" w:cstheme="minorHAnsi"/>
          <w:szCs w:val="24"/>
          <w:lang w:val="pl-PL" w:eastAsia="en-GB"/>
        </w:rPr>
        <w:t>Obszarów Tematycznych</w:t>
      </w:r>
      <w:r w:rsidRPr="00000498">
        <w:rPr>
          <w:rFonts w:asciiTheme="minorHAnsi" w:eastAsia="Times New Roman" w:hAnsiTheme="minorHAnsi" w:cstheme="minorHAnsi"/>
          <w:szCs w:val="24"/>
          <w:lang w:val="pl-PL" w:eastAsia="en-GB"/>
        </w:rPr>
        <w:t xml:space="preserve"> SUE RMB, krajowych koordynatorów SUE RMB oraz organów międzynarodowych, krajowych i regionalnych władz publicznych oraz innych organów zapewniających łącze do strategii i priorytetów krajów partnerskich.</w:t>
      </w:r>
      <w:r w:rsidR="00A6189D" w:rsidRPr="00000498">
        <w:rPr>
          <w:rFonts w:asciiTheme="minorHAnsi" w:eastAsia="Times New Roman" w:hAnsiTheme="minorHAnsi" w:cstheme="minorHAnsi"/>
          <w:szCs w:val="24"/>
          <w:lang w:val="pl-PL" w:eastAsia="en-GB"/>
        </w:rPr>
        <w:t xml:space="preserve"> </w:t>
      </w:r>
      <w:r w:rsidRPr="00000498">
        <w:rPr>
          <w:rFonts w:asciiTheme="minorHAnsi" w:eastAsia="Times New Roman" w:hAnsiTheme="minorHAnsi" w:cstheme="minorHAnsi"/>
          <w:szCs w:val="24"/>
          <w:lang w:val="pl-PL" w:eastAsia="en-GB"/>
        </w:rPr>
        <w:t>Program skierowany jest również do organizacji wspierających te działania związane z zarządzaniem i komunikacją. Są to inne krajowe, regionalne i lokalne władze i agencje publiczne, organizacje panbałtyckie oraz organizacje pozarządowe.</w:t>
      </w:r>
      <w:r w:rsidR="00A6189D" w:rsidRPr="00000498">
        <w:rPr>
          <w:rFonts w:asciiTheme="minorHAnsi" w:eastAsia="Times New Roman" w:hAnsiTheme="minorHAnsi" w:cstheme="minorHAnsi"/>
          <w:szCs w:val="24"/>
          <w:lang w:val="pl-PL" w:eastAsia="en-GB"/>
        </w:rPr>
        <w:t xml:space="preserve"> </w:t>
      </w:r>
      <w:r w:rsidRPr="00000498">
        <w:rPr>
          <w:rFonts w:asciiTheme="minorHAnsi" w:eastAsia="Times New Roman" w:hAnsiTheme="minorHAnsi" w:cstheme="minorHAnsi"/>
          <w:szCs w:val="24"/>
          <w:lang w:val="pl-PL" w:eastAsia="en-GB"/>
        </w:rPr>
        <w:t>Przyłączyć się mogą również instytucje szkolnictwa wyższego i badawcze, jak również ośrodki edukacyjne i szkoleniowe, ponieważ ich wiedza i kompetencje są bardzo ważne dla wzmocnienia skutecznego budowania potencjału oraz monitorowania i oceny rozwiązań.</w:t>
      </w:r>
    </w:p>
    <w:p w14:paraId="1ED6A2D2" w14:textId="1D38A9FF" w:rsidR="005B1732" w:rsidRPr="00E20902" w:rsidRDefault="005B1732" w:rsidP="00000498">
      <w:pPr>
        <w:spacing w:before="240" w:after="240" w:line="276" w:lineRule="auto"/>
        <w:ind w:left="709" w:hanging="709"/>
        <w:rPr>
          <w:rFonts w:asciiTheme="minorHAnsi" w:eastAsia="Times New Roman" w:hAnsiTheme="minorHAnsi" w:cstheme="minorHAnsi"/>
          <w:b/>
          <w:iCs/>
          <w:szCs w:val="24"/>
          <w:lang w:val="pl-PL" w:eastAsia="en-GB"/>
        </w:rPr>
      </w:pPr>
      <w:r w:rsidRPr="00896AB0">
        <w:rPr>
          <w:rFonts w:asciiTheme="minorHAnsi" w:eastAsia="Times New Roman" w:hAnsiTheme="minorHAnsi" w:cstheme="minorHAnsi"/>
          <w:b/>
          <w:iCs/>
          <w:szCs w:val="24"/>
          <w:lang w:val="pl-PL" w:eastAsia="en-GB"/>
        </w:rPr>
        <w:t>2.</w:t>
      </w:r>
      <w:r w:rsidR="003349E4" w:rsidRPr="00896AB0">
        <w:rPr>
          <w:rFonts w:asciiTheme="minorHAnsi" w:eastAsia="Times New Roman" w:hAnsiTheme="minorHAnsi" w:cstheme="minorHAnsi"/>
          <w:b/>
          <w:iCs/>
          <w:szCs w:val="24"/>
          <w:lang w:val="pl-PL" w:eastAsia="en-GB"/>
        </w:rPr>
        <w:t>4</w:t>
      </w:r>
      <w:r w:rsidRPr="00896AB0">
        <w:rPr>
          <w:rFonts w:asciiTheme="minorHAnsi" w:eastAsia="Times New Roman" w:hAnsiTheme="minorHAnsi" w:cstheme="minorHAnsi"/>
          <w:b/>
          <w:iCs/>
          <w:szCs w:val="24"/>
          <w:lang w:val="pl-PL" w:eastAsia="en-GB"/>
        </w:rPr>
        <w:t>.2.4</w:t>
      </w:r>
      <w:r w:rsidRPr="00896AB0">
        <w:rPr>
          <w:rFonts w:asciiTheme="minorHAnsi" w:eastAsia="Times New Roman" w:hAnsiTheme="minorHAnsi" w:cstheme="minorHAnsi"/>
          <w:b/>
          <w:iCs/>
          <w:szCs w:val="24"/>
          <w:lang w:val="pl-PL" w:eastAsia="en-GB"/>
        </w:rPr>
        <w:tab/>
      </w:r>
      <w:r w:rsidR="00896AB0" w:rsidRPr="00896AB0">
        <w:rPr>
          <w:rFonts w:asciiTheme="minorHAnsi" w:eastAsia="Times New Roman" w:hAnsiTheme="minorHAnsi" w:cstheme="minorHAnsi"/>
          <w:b/>
          <w:iCs/>
          <w:szCs w:val="24"/>
          <w:lang w:val="pl-PL" w:eastAsia="en-GB"/>
        </w:rPr>
        <w:t xml:space="preserve"> </w:t>
      </w:r>
      <w:r w:rsidR="00813365" w:rsidRPr="00896AB0">
        <w:rPr>
          <w:rFonts w:asciiTheme="minorHAnsi" w:eastAsia="Times New Roman" w:hAnsiTheme="minorHAnsi" w:cstheme="minorHAnsi"/>
          <w:b/>
          <w:iCs/>
          <w:szCs w:val="24"/>
          <w:lang w:val="pl-PL" w:eastAsia="en-GB"/>
        </w:rPr>
        <w:t>Wskazanie konkretnych terytoriów docelowych w tym planowane wykorzystanie ZIT, RLKS lub innych narzędzi terytorialnych</w:t>
      </w:r>
    </w:p>
    <w:p w14:paraId="2B310ADD" w14:textId="7CCA21BB" w:rsidR="005B1732" w:rsidRPr="00000498" w:rsidRDefault="00B1040E" w:rsidP="00000498">
      <w:pPr>
        <w:spacing w:after="20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Dotyczy: art. 17 ust. 4 lit. e) ppkt (iv)</w:t>
      </w:r>
    </w:p>
    <w:p w14:paraId="3567CEFD" w14:textId="0ABC6D2A" w:rsidR="003349E4" w:rsidRPr="00000498" w:rsidRDefault="00B1040E" w:rsidP="00000498">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 xml:space="preserve">Program nie przewiduje wykorzystania jakichkolwiek narzędzi </w:t>
      </w:r>
      <w:r w:rsidR="00A05A16" w:rsidRPr="00000498">
        <w:rPr>
          <w:rFonts w:asciiTheme="minorHAnsi" w:eastAsia="Times New Roman" w:hAnsiTheme="minorHAnsi" w:cstheme="minorHAnsi"/>
          <w:szCs w:val="24"/>
          <w:lang w:val="pl-PL" w:eastAsia="en-GB"/>
        </w:rPr>
        <w:t>terytorialnych, o których</w:t>
      </w:r>
      <w:r w:rsidRPr="00000498">
        <w:rPr>
          <w:rFonts w:asciiTheme="minorHAnsi" w:eastAsia="Times New Roman" w:hAnsiTheme="minorHAnsi" w:cstheme="minorHAnsi"/>
          <w:szCs w:val="24"/>
          <w:lang w:val="pl-PL" w:eastAsia="en-GB"/>
        </w:rPr>
        <w:t xml:space="preserve"> mowa powyżej. Działania w ramach tego wybranego działania odpowiadają na potrzeby </w:t>
      </w:r>
      <w:r w:rsidR="00896AB0">
        <w:rPr>
          <w:rFonts w:asciiTheme="minorHAnsi" w:eastAsia="Times New Roman" w:hAnsiTheme="minorHAnsi" w:cstheme="minorHAnsi"/>
          <w:szCs w:val="24"/>
          <w:lang w:val="pl-PL" w:eastAsia="en-GB"/>
        </w:rPr>
        <w:lastRenderedPageBreak/>
        <w:t>S</w:t>
      </w:r>
      <w:r w:rsidRPr="00000498">
        <w:rPr>
          <w:rFonts w:asciiTheme="minorHAnsi" w:eastAsia="Times New Roman" w:hAnsiTheme="minorHAnsi" w:cstheme="minorHAnsi"/>
          <w:szCs w:val="24"/>
          <w:lang w:val="pl-PL" w:eastAsia="en-GB"/>
        </w:rPr>
        <w:t>trategii UE dla regionu Morza Bałtyckiego oraz zapewniają łącze do strategii i priorytetów krajów partnerskich w tym obszarze.</w:t>
      </w:r>
      <w:r w:rsidR="00A6189D" w:rsidRPr="00000498">
        <w:rPr>
          <w:rFonts w:asciiTheme="minorHAnsi" w:eastAsia="Times New Roman" w:hAnsiTheme="minorHAnsi" w:cstheme="minorHAnsi"/>
          <w:szCs w:val="24"/>
          <w:lang w:val="pl-PL" w:eastAsia="en-GB"/>
        </w:rPr>
        <w:t xml:space="preserve"> </w:t>
      </w:r>
      <w:r w:rsidRPr="00000498">
        <w:rPr>
          <w:rFonts w:asciiTheme="minorHAnsi" w:eastAsia="Times New Roman" w:hAnsiTheme="minorHAnsi" w:cstheme="minorHAnsi"/>
          <w:szCs w:val="24"/>
          <w:lang w:val="pl-PL" w:eastAsia="en-GB"/>
        </w:rPr>
        <w:t>Różne rodzaje działań mogą wymagać dostosowania w podejściu i zaangażowania określonych grup docelowych</w:t>
      </w:r>
      <w:r w:rsidR="00567215" w:rsidRPr="00000498">
        <w:rPr>
          <w:rFonts w:asciiTheme="minorHAnsi" w:eastAsia="Times New Roman" w:hAnsiTheme="minorHAnsi" w:cstheme="minorHAnsi"/>
          <w:szCs w:val="24"/>
          <w:lang w:val="pl-PL" w:eastAsia="en-GB"/>
        </w:rPr>
        <w:t>.</w:t>
      </w:r>
    </w:p>
    <w:p w14:paraId="5C83E854" w14:textId="7061F479" w:rsidR="005B1732" w:rsidRPr="00896AB0" w:rsidRDefault="005B1732" w:rsidP="00000498">
      <w:pPr>
        <w:spacing w:before="240" w:after="240" w:line="276" w:lineRule="auto"/>
        <w:ind w:left="709" w:hanging="709"/>
        <w:rPr>
          <w:rFonts w:asciiTheme="minorHAnsi" w:eastAsia="Times New Roman" w:hAnsiTheme="minorHAnsi" w:cstheme="minorHAnsi"/>
          <w:b/>
          <w:iCs/>
          <w:szCs w:val="24"/>
          <w:lang w:val="pl-PL" w:eastAsia="en-GB"/>
        </w:rPr>
      </w:pPr>
      <w:r w:rsidRPr="00896AB0">
        <w:rPr>
          <w:rFonts w:asciiTheme="minorHAnsi" w:eastAsia="Times New Roman" w:hAnsiTheme="minorHAnsi" w:cstheme="minorHAnsi"/>
          <w:b/>
          <w:iCs/>
          <w:szCs w:val="24"/>
          <w:lang w:val="pl-PL" w:eastAsia="en-GB"/>
        </w:rPr>
        <w:t>2.</w:t>
      </w:r>
      <w:r w:rsidR="003349E4" w:rsidRPr="00896AB0">
        <w:rPr>
          <w:rFonts w:asciiTheme="minorHAnsi" w:eastAsia="Times New Roman" w:hAnsiTheme="minorHAnsi" w:cstheme="minorHAnsi"/>
          <w:b/>
          <w:iCs/>
          <w:szCs w:val="24"/>
          <w:lang w:val="pl-PL" w:eastAsia="en-GB"/>
        </w:rPr>
        <w:t>4</w:t>
      </w:r>
      <w:r w:rsidRPr="00896AB0">
        <w:rPr>
          <w:rFonts w:asciiTheme="minorHAnsi" w:eastAsia="Times New Roman" w:hAnsiTheme="minorHAnsi" w:cstheme="minorHAnsi"/>
          <w:b/>
          <w:iCs/>
          <w:szCs w:val="24"/>
          <w:lang w:val="pl-PL" w:eastAsia="en-GB"/>
        </w:rPr>
        <w:t>.2.5</w:t>
      </w:r>
      <w:r w:rsidRPr="00896AB0">
        <w:rPr>
          <w:rFonts w:asciiTheme="minorHAnsi" w:eastAsia="Times New Roman" w:hAnsiTheme="minorHAnsi" w:cstheme="minorHAnsi"/>
          <w:b/>
          <w:iCs/>
          <w:szCs w:val="24"/>
          <w:lang w:val="pl-PL" w:eastAsia="en-GB"/>
        </w:rPr>
        <w:tab/>
      </w:r>
      <w:r w:rsidR="00896AB0" w:rsidRPr="00896AB0">
        <w:rPr>
          <w:rFonts w:asciiTheme="minorHAnsi" w:eastAsia="Times New Roman" w:hAnsiTheme="minorHAnsi" w:cstheme="minorHAnsi"/>
          <w:b/>
          <w:iCs/>
          <w:szCs w:val="24"/>
          <w:lang w:val="pl-PL" w:eastAsia="en-GB"/>
        </w:rPr>
        <w:t xml:space="preserve"> </w:t>
      </w:r>
      <w:r w:rsidR="00871A6C" w:rsidRPr="00896AB0">
        <w:rPr>
          <w:rFonts w:asciiTheme="minorHAnsi" w:eastAsia="Times New Roman" w:hAnsiTheme="minorHAnsi" w:cstheme="minorHAnsi"/>
          <w:b/>
          <w:iCs/>
          <w:szCs w:val="24"/>
          <w:lang w:val="pl-PL" w:eastAsia="en-GB"/>
        </w:rPr>
        <w:t>Planowane wykorzystanie instrumentów finansowych</w:t>
      </w:r>
    </w:p>
    <w:p w14:paraId="4B74C637" w14:textId="204288E8" w:rsidR="005B1732" w:rsidRPr="00000498" w:rsidRDefault="00B1040E" w:rsidP="00000498">
      <w:pPr>
        <w:spacing w:after="20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Dotyczy: art. 17 ust. 4 lit. e) ppkt (v)</w:t>
      </w:r>
    </w:p>
    <w:p w14:paraId="445C0119" w14:textId="53AA66C9" w:rsidR="005B1732" w:rsidRPr="00000498" w:rsidRDefault="00B1040E" w:rsidP="00000498">
      <w:pPr>
        <w:pBdr>
          <w:top w:val="single" w:sz="4" w:space="1" w:color="auto"/>
          <w:left w:val="single" w:sz="4" w:space="4" w:color="auto"/>
          <w:bottom w:val="single" w:sz="4" w:space="1" w:color="auto"/>
          <w:right w:val="single" w:sz="4" w:space="4" w:color="auto"/>
        </w:pBdr>
        <w:spacing w:after="200" w:line="276" w:lineRule="auto"/>
        <w:rPr>
          <w:rFonts w:asciiTheme="minorHAnsi" w:eastAsia="Times New Roman" w:hAnsiTheme="minorHAnsi" w:cstheme="minorHAnsi"/>
          <w:iCs/>
          <w:szCs w:val="24"/>
          <w:lang w:val="pl-PL" w:eastAsia="en-GB"/>
        </w:rPr>
      </w:pPr>
      <w:r w:rsidRPr="00896AB0">
        <w:rPr>
          <w:rFonts w:asciiTheme="minorHAnsi" w:eastAsia="Times New Roman" w:hAnsiTheme="minorHAnsi" w:cstheme="minorHAnsi"/>
          <w:szCs w:val="24"/>
          <w:lang w:val="pl-PL" w:eastAsia="en-GB"/>
        </w:rPr>
        <w:t>Nie dotyczy</w:t>
      </w:r>
    </w:p>
    <w:p w14:paraId="18A2E2E4" w14:textId="61EA44A6" w:rsidR="005B1732" w:rsidRPr="00896AB0" w:rsidRDefault="005B1732" w:rsidP="00000498">
      <w:pPr>
        <w:spacing w:before="240" w:after="240" w:line="276" w:lineRule="auto"/>
        <w:ind w:left="709" w:hanging="709"/>
        <w:rPr>
          <w:rFonts w:asciiTheme="minorHAnsi" w:eastAsia="Times New Roman" w:hAnsiTheme="minorHAnsi" w:cstheme="minorHAnsi"/>
          <w:b/>
          <w:iCs/>
          <w:szCs w:val="24"/>
          <w:lang w:val="pl-PL" w:eastAsia="en-GB"/>
        </w:rPr>
      </w:pPr>
      <w:r w:rsidRPr="00896AB0">
        <w:rPr>
          <w:rFonts w:asciiTheme="minorHAnsi" w:eastAsia="Times New Roman" w:hAnsiTheme="minorHAnsi" w:cstheme="minorHAnsi"/>
          <w:b/>
          <w:iCs/>
          <w:szCs w:val="24"/>
          <w:lang w:val="pl-PL" w:eastAsia="en-GB"/>
        </w:rPr>
        <w:t>2.4.2.6</w:t>
      </w:r>
      <w:r w:rsidRPr="00896AB0">
        <w:rPr>
          <w:rFonts w:asciiTheme="minorHAnsi" w:eastAsia="Times New Roman" w:hAnsiTheme="minorHAnsi" w:cstheme="minorHAnsi"/>
          <w:b/>
          <w:iCs/>
          <w:szCs w:val="24"/>
          <w:lang w:val="pl-PL" w:eastAsia="en-GB"/>
        </w:rPr>
        <w:tab/>
      </w:r>
      <w:r w:rsidR="00896AB0" w:rsidRPr="00896AB0">
        <w:rPr>
          <w:rFonts w:asciiTheme="minorHAnsi" w:eastAsia="Times New Roman" w:hAnsiTheme="minorHAnsi" w:cstheme="minorHAnsi"/>
          <w:b/>
          <w:iCs/>
          <w:szCs w:val="24"/>
          <w:lang w:val="pl-PL" w:eastAsia="en-GB"/>
        </w:rPr>
        <w:t xml:space="preserve"> </w:t>
      </w:r>
      <w:r w:rsidR="00813365" w:rsidRPr="00896AB0">
        <w:rPr>
          <w:rFonts w:asciiTheme="minorHAnsi" w:eastAsia="Times New Roman" w:hAnsiTheme="minorHAnsi" w:cstheme="minorHAnsi"/>
          <w:b/>
          <w:iCs/>
          <w:szCs w:val="24"/>
          <w:lang w:val="pl-PL" w:eastAsia="en-GB"/>
        </w:rPr>
        <w:t>Indykatywny podział środków programu UE według rodzaju interwencji</w:t>
      </w:r>
    </w:p>
    <w:p w14:paraId="3BE71141" w14:textId="0A85499A" w:rsidR="005B1732" w:rsidRPr="00000498" w:rsidRDefault="00B1040E" w:rsidP="00000498">
      <w:pPr>
        <w:spacing w:after="20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Dotyczy: art. 17 ust. 4 lit. e) ppkt (vi), art. 17 ust. 9 lit. c) ppkt (v)</w:t>
      </w:r>
    </w:p>
    <w:p w14:paraId="3D1EA8D9" w14:textId="54F4C2C6" w:rsidR="00CC222E" w:rsidRPr="00000498" w:rsidRDefault="00B1040E" w:rsidP="00000498">
      <w:pPr>
        <w:spacing w:after="200" w:line="276" w:lineRule="auto"/>
        <w:rPr>
          <w:rFonts w:asciiTheme="minorHAnsi" w:eastAsia="Times New Roman" w:hAnsiTheme="minorHAnsi" w:cstheme="minorHAnsi"/>
          <w:szCs w:val="24"/>
          <w:lang w:val="pl-PL" w:eastAsia="en-GB"/>
        </w:rPr>
      </w:pPr>
      <w:r w:rsidRPr="00896AB0">
        <w:rPr>
          <w:rFonts w:asciiTheme="minorHAnsi" w:hAnsiTheme="minorHAnsi" w:cstheme="minorHAnsi"/>
          <w:lang w:val="pl-PL"/>
        </w:rPr>
        <w:t>Kody interwencji zostaną uwzględnione po opublikowaniu ostatecznych wersji regulaminu</w:t>
      </w:r>
      <w:r w:rsidR="00CC222E" w:rsidRPr="00896AB0">
        <w:rPr>
          <w:rFonts w:asciiTheme="minorHAnsi" w:hAnsiTheme="minorHAnsi" w:cstheme="minorHAnsi"/>
          <w:lang w:val="pl-PL"/>
        </w:rPr>
        <w:t>.</w:t>
      </w:r>
    </w:p>
    <w:p w14:paraId="2A8DCEF2" w14:textId="3AF88364" w:rsidR="005B1732" w:rsidRPr="00000498" w:rsidRDefault="00871A6C" w:rsidP="00000498">
      <w:pPr>
        <w:spacing w:after="200" w:line="276" w:lineRule="auto"/>
        <w:rPr>
          <w:rFonts w:asciiTheme="minorHAnsi" w:eastAsia="Times New Roman" w:hAnsiTheme="minorHAnsi" w:cstheme="minorHAnsi"/>
          <w:szCs w:val="24"/>
          <w:lang w:val="pl-PL" w:eastAsia="en-GB"/>
        </w:rPr>
      </w:pPr>
      <w:r w:rsidRPr="00896AB0">
        <w:rPr>
          <w:rFonts w:asciiTheme="minorHAnsi" w:eastAsia="Times New Roman" w:hAnsiTheme="minorHAnsi" w:cstheme="minorHAnsi"/>
          <w:iCs/>
          <w:szCs w:val="24"/>
          <w:lang w:val="pl-PL" w:eastAsia="en-GB"/>
        </w:rPr>
        <w:t>Tabela</w:t>
      </w:r>
      <w:r w:rsidR="005B1732" w:rsidRPr="00896AB0">
        <w:rPr>
          <w:rFonts w:asciiTheme="minorHAnsi" w:eastAsia="Times New Roman" w:hAnsiTheme="minorHAnsi" w:cstheme="minorHAnsi"/>
          <w:iCs/>
          <w:szCs w:val="24"/>
          <w:lang w:val="pl-PL" w:eastAsia="en-GB"/>
        </w:rPr>
        <w:t xml:space="preserve"> 4: </w:t>
      </w:r>
      <w:r w:rsidRPr="00896AB0">
        <w:rPr>
          <w:rFonts w:asciiTheme="minorHAnsi" w:eastAsia="Times New Roman" w:hAnsiTheme="minorHAnsi" w:cstheme="minorHAnsi"/>
          <w:iCs/>
          <w:szCs w:val="24"/>
          <w:lang w:val="pl-PL" w:eastAsia="en-GB"/>
        </w:rPr>
        <w:t>Wymiar</w:t>
      </w:r>
      <w:r w:rsidR="005B1732" w:rsidRPr="00896AB0">
        <w:rPr>
          <w:rFonts w:asciiTheme="minorHAnsi" w:eastAsia="Times New Roman" w:hAnsiTheme="minorHAnsi" w:cstheme="minorHAnsi"/>
          <w:iCs/>
          <w:szCs w:val="24"/>
          <w:lang w:val="pl-PL" w:eastAsia="en-GB"/>
        </w:rPr>
        <w:t xml:space="preserve"> 1 – </w:t>
      </w:r>
      <w:r w:rsidRPr="00896AB0">
        <w:rPr>
          <w:rFonts w:asciiTheme="minorHAnsi" w:eastAsia="Times New Roman" w:hAnsiTheme="minorHAnsi" w:cstheme="minorHAnsi"/>
          <w:iCs/>
          <w:szCs w:val="24"/>
          <w:lang w:val="pl-PL" w:eastAsia="en-GB"/>
        </w:rPr>
        <w:t>pole interwencji</w:t>
      </w:r>
      <w:r w:rsidR="00F54FDB" w:rsidRPr="00896AB0">
        <w:rPr>
          <w:rFonts w:asciiTheme="minorHAnsi" w:eastAsia="Times New Roman" w:hAnsiTheme="minorHAnsi" w:cstheme="minorHAnsi"/>
          <w:iCs/>
          <w:szCs w:val="24"/>
          <w:lang w:val="pl-PL" w:eastAsia="en-GB"/>
        </w:rPr>
        <w:t xml:space="preserve"> </w:t>
      </w:r>
      <w:r w:rsidR="00F54FDB" w:rsidRPr="00896AB0">
        <w:rPr>
          <w:rFonts w:asciiTheme="minorHAnsi" w:eastAsia="Times New Roman" w:hAnsiTheme="minorHAnsi" w:cstheme="minorHAnsi"/>
          <w:szCs w:val="24"/>
          <w:lang w:val="pl-PL" w:eastAsia="en-GB"/>
        </w:rPr>
        <w:t>(</w:t>
      </w:r>
      <w:r w:rsidRPr="00896AB0">
        <w:rPr>
          <w:rFonts w:asciiTheme="minorHAnsi" w:hAnsiTheme="minorHAnsi" w:cstheme="minorHAnsi"/>
          <w:lang w:val="pl-PL"/>
        </w:rPr>
        <w:t>do wypełnienia/uwzględnienia w kolejnych krokach</w:t>
      </w:r>
      <w:r w:rsidR="00F54FDB" w:rsidRPr="00896AB0">
        <w:rPr>
          <w:rFonts w:asciiTheme="minorHAnsi" w:eastAsia="Times New Roman" w:hAnsiTheme="minorHAnsi" w:cstheme="minorHAnsi"/>
          <w:szCs w:val="24"/>
          <w:lang w:val="pl-PL" w:eastAsia="en-GB"/>
        </w:rPr>
        <w:t>)</w:t>
      </w:r>
    </w:p>
    <w:tbl>
      <w:tblPr>
        <w:tblStyle w:val="TableGrid1"/>
        <w:tblW w:w="0" w:type="auto"/>
        <w:tblLook w:val="04A0" w:firstRow="1" w:lastRow="0" w:firstColumn="1" w:lastColumn="0" w:noHBand="0" w:noVBand="1"/>
        <w:tblCaption w:val="Tabela dotycząca wymiaru 1 - pola interwencji"/>
      </w:tblPr>
      <w:tblGrid>
        <w:gridCol w:w="1870"/>
        <w:gridCol w:w="1657"/>
        <w:gridCol w:w="1898"/>
        <w:gridCol w:w="1204"/>
        <w:gridCol w:w="2659"/>
      </w:tblGrid>
      <w:tr w:rsidR="005B1732" w:rsidRPr="00896AB0" w14:paraId="52E68D32" w14:textId="77777777" w:rsidTr="00000498">
        <w:trPr>
          <w:tblHeader/>
        </w:trPr>
        <w:tc>
          <w:tcPr>
            <w:tcW w:w="1870" w:type="dxa"/>
          </w:tcPr>
          <w:p w14:paraId="1D48D5B6" w14:textId="2187F114" w:rsidR="005B1732" w:rsidRPr="00000498" w:rsidRDefault="00871A6C" w:rsidP="00DE180F">
            <w:pPr>
              <w:spacing w:line="240" w:lineRule="auto"/>
              <w:jc w:val="both"/>
              <w:rPr>
                <w:rFonts w:asciiTheme="minorHAnsi" w:eastAsia="Times New Roman" w:hAnsiTheme="minorHAnsi" w:cstheme="minorHAnsi"/>
                <w:b/>
                <w:iCs/>
                <w:szCs w:val="24"/>
                <w:lang w:val="pl-PL" w:eastAsia="en-GB"/>
              </w:rPr>
            </w:pPr>
            <w:r w:rsidRPr="00000498">
              <w:rPr>
                <w:rFonts w:asciiTheme="minorHAnsi" w:eastAsia="Times New Roman" w:hAnsiTheme="minorHAnsi" w:cstheme="minorHAnsi"/>
                <w:b/>
                <w:iCs/>
                <w:szCs w:val="24"/>
                <w:lang w:val="pl-PL" w:eastAsia="en-GB"/>
              </w:rPr>
              <w:t>Nr priorytetu</w:t>
            </w:r>
          </w:p>
        </w:tc>
        <w:tc>
          <w:tcPr>
            <w:tcW w:w="1657" w:type="dxa"/>
          </w:tcPr>
          <w:p w14:paraId="0E3B58A6" w14:textId="7176D41D" w:rsidR="005B1732" w:rsidRPr="00000498" w:rsidRDefault="005B1732" w:rsidP="00DE180F">
            <w:pPr>
              <w:spacing w:line="240" w:lineRule="auto"/>
              <w:jc w:val="both"/>
              <w:rPr>
                <w:rFonts w:asciiTheme="minorHAnsi" w:eastAsia="Times New Roman" w:hAnsiTheme="minorHAnsi" w:cstheme="minorHAnsi"/>
                <w:b/>
                <w:iCs/>
                <w:szCs w:val="24"/>
                <w:lang w:val="pl-PL" w:eastAsia="en-GB"/>
              </w:rPr>
            </w:pPr>
            <w:r w:rsidRPr="00000498">
              <w:rPr>
                <w:rFonts w:asciiTheme="minorHAnsi" w:eastAsia="Times New Roman" w:hAnsiTheme="minorHAnsi" w:cstheme="minorHAnsi"/>
                <w:b/>
                <w:iCs/>
                <w:szCs w:val="24"/>
                <w:lang w:val="pl-PL" w:eastAsia="en-GB"/>
              </w:rPr>
              <w:t>Fund</w:t>
            </w:r>
            <w:r w:rsidR="00813365" w:rsidRPr="00000498">
              <w:rPr>
                <w:rFonts w:asciiTheme="minorHAnsi" w:eastAsia="Times New Roman" w:hAnsiTheme="minorHAnsi" w:cstheme="minorHAnsi"/>
                <w:b/>
                <w:iCs/>
                <w:szCs w:val="24"/>
                <w:lang w:val="pl-PL" w:eastAsia="en-GB"/>
              </w:rPr>
              <w:t>usz</w:t>
            </w:r>
          </w:p>
        </w:tc>
        <w:tc>
          <w:tcPr>
            <w:tcW w:w="1898" w:type="dxa"/>
          </w:tcPr>
          <w:p w14:paraId="15C48E42" w14:textId="39491ACF" w:rsidR="005B1732" w:rsidRPr="00000498" w:rsidRDefault="00871A6C" w:rsidP="00DE180F">
            <w:pPr>
              <w:spacing w:line="240" w:lineRule="auto"/>
              <w:jc w:val="both"/>
              <w:rPr>
                <w:rFonts w:asciiTheme="minorHAnsi" w:eastAsia="Times New Roman" w:hAnsiTheme="minorHAnsi" w:cstheme="minorHAnsi"/>
                <w:b/>
                <w:iCs/>
                <w:szCs w:val="24"/>
                <w:lang w:val="pl-PL" w:eastAsia="en-GB"/>
              </w:rPr>
            </w:pPr>
            <w:r w:rsidRPr="00000498">
              <w:rPr>
                <w:rFonts w:asciiTheme="minorHAnsi" w:eastAsia="Times New Roman" w:hAnsiTheme="minorHAnsi" w:cstheme="minorHAnsi"/>
                <w:b/>
                <w:iCs/>
                <w:szCs w:val="24"/>
                <w:lang w:val="pl-PL" w:eastAsia="en-GB"/>
              </w:rPr>
              <w:t>Cel szczegółowy</w:t>
            </w:r>
          </w:p>
        </w:tc>
        <w:tc>
          <w:tcPr>
            <w:tcW w:w="1204" w:type="dxa"/>
          </w:tcPr>
          <w:p w14:paraId="30922510" w14:textId="05089291" w:rsidR="005B1732" w:rsidRPr="00000498" w:rsidRDefault="00871A6C" w:rsidP="00DE180F">
            <w:pPr>
              <w:spacing w:line="240" w:lineRule="auto"/>
              <w:jc w:val="both"/>
              <w:rPr>
                <w:rFonts w:asciiTheme="minorHAnsi" w:eastAsia="Times New Roman" w:hAnsiTheme="minorHAnsi" w:cstheme="minorHAnsi"/>
                <w:b/>
                <w:iCs/>
                <w:szCs w:val="24"/>
                <w:lang w:val="pl-PL" w:eastAsia="en-GB"/>
              </w:rPr>
            </w:pPr>
            <w:r w:rsidRPr="00000498">
              <w:rPr>
                <w:rFonts w:asciiTheme="minorHAnsi" w:eastAsia="Times New Roman" w:hAnsiTheme="minorHAnsi" w:cstheme="minorHAnsi"/>
                <w:b/>
                <w:iCs/>
                <w:szCs w:val="24"/>
                <w:lang w:val="pl-PL" w:eastAsia="en-GB"/>
              </w:rPr>
              <w:t>Kod</w:t>
            </w:r>
            <w:r w:rsidR="005B1732" w:rsidRPr="00000498">
              <w:rPr>
                <w:rFonts w:asciiTheme="minorHAnsi" w:eastAsia="Times New Roman" w:hAnsiTheme="minorHAnsi" w:cstheme="minorHAnsi"/>
                <w:b/>
                <w:iCs/>
                <w:szCs w:val="24"/>
                <w:lang w:val="pl-PL" w:eastAsia="en-GB"/>
              </w:rPr>
              <w:t xml:space="preserve"> </w:t>
            </w:r>
          </w:p>
        </w:tc>
        <w:tc>
          <w:tcPr>
            <w:tcW w:w="2659" w:type="dxa"/>
          </w:tcPr>
          <w:p w14:paraId="71A49B4B" w14:textId="5C0E6B62" w:rsidR="005B1732" w:rsidRPr="00000498" w:rsidRDefault="00871A6C" w:rsidP="00DE180F">
            <w:pPr>
              <w:spacing w:line="240" w:lineRule="auto"/>
              <w:jc w:val="both"/>
              <w:rPr>
                <w:rFonts w:asciiTheme="minorHAnsi" w:eastAsia="Times New Roman" w:hAnsiTheme="minorHAnsi" w:cstheme="minorHAnsi"/>
                <w:b/>
                <w:iCs/>
                <w:szCs w:val="24"/>
                <w:lang w:val="pl-PL" w:eastAsia="en-GB"/>
              </w:rPr>
            </w:pPr>
            <w:r w:rsidRPr="00000498">
              <w:rPr>
                <w:rFonts w:asciiTheme="minorHAnsi" w:eastAsia="Times New Roman" w:hAnsiTheme="minorHAnsi" w:cstheme="minorHAnsi"/>
                <w:b/>
                <w:iCs/>
                <w:szCs w:val="24"/>
                <w:lang w:val="pl-PL" w:eastAsia="en-GB"/>
              </w:rPr>
              <w:t>Kwota</w:t>
            </w:r>
            <w:r w:rsidR="005B1732" w:rsidRPr="00000498">
              <w:rPr>
                <w:rFonts w:asciiTheme="minorHAnsi" w:eastAsia="Times New Roman" w:hAnsiTheme="minorHAnsi" w:cstheme="minorHAnsi"/>
                <w:b/>
                <w:iCs/>
                <w:szCs w:val="24"/>
                <w:lang w:val="pl-PL" w:eastAsia="en-GB"/>
              </w:rPr>
              <w:t xml:space="preserve"> (EUR)</w:t>
            </w:r>
          </w:p>
        </w:tc>
      </w:tr>
      <w:tr w:rsidR="005B1732" w:rsidRPr="00896AB0" w14:paraId="37AF5DD2" w14:textId="77777777" w:rsidTr="00DE180F">
        <w:tc>
          <w:tcPr>
            <w:tcW w:w="1870" w:type="dxa"/>
          </w:tcPr>
          <w:p w14:paraId="71C3A83A" w14:textId="77777777" w:rsidR="005B1732" w:rsidRPr="00000498" w:rsidRDefault="005B1732" w:rsidP="00DE180F">
            <w:pPr>
              <w:spacing w:line="240" w:lineRule="auto"/>
              <w:jc w:val="both"/>
              <w:rPr>
                <w:rFonts w:asciiTheme="minorHAnsi" w:eastAsia="Times New Roman" w:hAnsiTheme="minorHAnsi" w:cstheme="minorHAnsi"/>
                <w:iCs/>
                <w:szCs w:val="24"/>
                <w:lang w:val="pl-PL" w:eastAsia="en-GB"/>
              </w:rPr>
            </w:pPr>
          </w:p>
        </w:tc>
        <w:tc>
          <w:tcPr>
            <w:tcW w:w="1657" w:type="dxa"/>
          </w:tcPr>
          <w:p w14:paraId="7A19BCF1" w14:textId="77777777" w:rsidR="005B1732" w:rsidRPr="00000498" w:rsidRDefault="005B1732" w:rsidP="00DE180F">
            <w:pPr>
              <w:spacing w:line="240" w:lineRule="auto"/>
              <w:jc w:val="both"/>
              <w:rPr>
                <w:rFonts w:asciiTheme="minorHAnsi" w:eastAsia="Times New Roman" w:hAnsiTheme="minorHAnsi" w:cstheme="minorHAnsi"/>
                <w:b/>
                <w:iCs/>
                <w:szCs w:val="24"/>
                <w:lang w:val="pl-PL" w:eastAsia="en-GB"/>
              </w:rPr>
            </w:pPr>
          </w:p>
        </w:tc>
        <w:tc>
          <w:tcPr>
            <w:tcW w:w="1898" w:type="dxa"/>
          </w:tcPr>
          <w:p w14:paraId="48725DC4" w14:textId="77777777" w:rsidR="005B1732" w:rsidRPr="00000498" w:rsidRDefault="005B1732" w:rsidP="00DE180F">
            <w:pPr>
              <w:spacing w:line="240" w:lineRule="auto"/>
              <w:jc w:val="both"/>
              <w:rPr>
                <w:rFonts w:asciiTheme="minorHAnsi" w:eastAsia="Times New Roman" w:hAnsiTheme="minorHAnsi" w:cstheme="minorHAnsi"/>
                <w:b/>
                <w:iCs/>
                <w:szCs w:val="24"/>
                <w:lang w:val="pl-PL" w:eastAsia="en-GB"/>
              </w:rPr>
            </w:pPr>
          </w:p>
        </w:tc>
        <w:tc>
          <w:tcPr>
            <w:tcW w:w="1204" w:type="dxa"/>
          </w:tcPr>
          <w:p w14:paraId="6683F78D" w14:textId="77777777" w:rsidR="005B1732" w:rsidRPr="00000498" w:rsidRDefault="005B1732" w:rsidP="00DE180F">
            <w:pPr>
              <w:spacing w:line="240" w:lineRule="auto"/>
              <w:jc w:val="both"/>
              <w:rPr>
                <w:rFonts w:asciiTheme="minorHAnsi" w:eastAsia="Times New Roman" w:hAnsiTheme="minorHAnsi" w:cstheme="minorHAnsi"/>
                <w:b/>
                <w:iCs/>
                <w:szCs w:val="24"/>
                <w:lang w:val="pl-PL" w:eastAsia="en-GB"/>
              </w:rPr>
            </w:pPr>
          </w:p>
        </w:tc>
        <w:tc>
          <w:tcPr>
            <w:tcW w:w="2659" w:type="dxa"/>
          </w:tcPr>
          <w:p w14:paraId="6FBCC3C5" w14:textId="77777777" w:rsidR="005B1732" w:rsidRPr="00000498" w:rsidRDefault="005B1732" w:rsidP="00DE180F">
            <w:pPr>
              <w:spacing w:line="240" w:lineRule="auto"/>
              <w:jc w:val="both"/>
              <w:rPr>
                <w:rFonts w:asciiTheme="minorHAnsi" w:eastAsia="Times New Roman" w:hAnsiTheme="minorHAnsi" w:cstheme="minorHAnsi"/>
                <w:b/>
                <w:iCs/>
                <w:szCs w:val="24"/>
                <w:lang w:val="pl-PL" w:eastAsia="en-GB"/>
              </w:rPr>
            </w:pPr>
          </w:p>
        </w:tc>
      </w:tr>
    </w:tbl>
    <w:p w14:paraId="5DAF0180" w14:textId="77777777" w:rsidR="005B1732" w:rsidRPr="00F879CC" w:rsidRDefault="005B1732" w:rsidP="005B1732">
      <w:pPr>
        <w:spacing w:after="200" w:line="276" w:lineRule="auto"/>
        <w:rPr>
          <w:rFonts w:asciiTheme="minorHAnsi" w:eastAsia="Times New Roman" w:hAnsiTheme="minorHAnsi" w:cstheme="minorHAnsi"/>
          <w:iCs/>
          <w:szCs w:val="24"/>
          <w:lang w:val="en-IE" w:eastAsia="en-GB"/>
        </w:rPr>
      </w:pPr>
    </w:p>
    <w:p w14:paraId="1DD97EE4" w14:textId="6EE88FDF" w:rsidR="005B1732" w:rsidRPr="00F879CC" w:rsidRDefault="00871A6C" w:rsidP="00000498">
      <w:pPr>
        <w:spacing w:after="200" w:line="276" w:lineRule="auto"/>
        <w:rPr>
          <w:rFonts w:asciiTheme="minorHAnsi" w:eastAsia="Times New Roman" w:hAnsiTheme="minorHAnsi" w:cstheme="minorHAnsi"/>
          <w:i/>
          <w:szCs w:val="24"/>
          <w:lang w:val="pl-PL" w:eastAsia="en-GB"/>
        </w:rPr>
      </w:pPr>
      <w:r w:rsidRPr="00F879CC">
        <w:rPr>
          <w:rFonts w:asciiTheme="minorHAnsi" w:eastAsia="Times New Roman" w:hAnsiTheme="minorHAnsi" w:cstheme="minorHAnsi"/>
          <w:iCs/>
          <w:szCs w:val="24"/>
          <w:lang w:val="pl-PL" w:eastAsia="en-GB"/>
        </w:rPr>
        <w:t>Tabela</w:t>
      </w:r>
      <w:r w:rsidR="005B1732" w:rsidRPr="00F879CC">
        <w:rPr>
          <w:rFonts w:asciiTheme="minorHAnsi" w:eastAsia="Times New Roman" w:hAnsiTheme="minorHAnsi" w:cstheme="minorHAnsi"/>
          <w:iCs/>
          <w:szCs w:val="24"/>
          <w:lang w:val="pl-PL" w:eastAsia="en-GB"/>
        </w:rPr>
        <w:t xml:space="preserve"> 5: </w:t>
      </w:r>
      <w:r w:rsidRPr="00F879CC">
        <w:rPr>
          <w:rFonts w:asciiTheme="minorHAnsi" w:eastAsia="Times New Roman" w:hAnsiTheme="minorHAnsi" w:cstheme="minorHAnsi"/>
          <w:iCs/>
          <w:szCs w:val="24"/>
          <w:lang w:val="pl-PL" w:eastAsia="en-GB"/>
        </w:rPr>
        <w:t>Wymiar</w:t>
      </w:r>
      <w:r w:rsidR="005B1732" w:rsidRPr="00F879CC">
        <w:rPr>
          <w:rFonts w:asciiTheme="minorHAnsi" w:eastAsia="Times New Roman" w:hAnsiTheme="minorHAnsi" w:cstheme="minorHAnsi"/>
          <w:iCs/>
          <w:szCs w:val="24"/>
          <w:lang w:val="pl-PL" w:eastAsia="en-GB"/>
        </w:rPr>
        <w:t xml:space="preserve"> 2 – </w:t>
      </w:r>
      <w:r w:rsidRPr="00F879CC">
        <w:rPr>
          <w:rFonts w:asciiTheme="minorHAnsi" w:eastAsia="Times New Roman" w:hAnsiTheme="minorHAnsi" w:cstheme="minorHAnsi"/>
          <w:iCs/>
          <w:szCs w:val="24"/>
          <w:lang w:val="pl-PL" w:eastAsia="en-GB"/>
        </w:rPr>
        <w:t>forma finansowania</w:t>
      </w:r>
      <w:r w:rsidR="00F54FDB" w:rsidRPr="00F879CC">
        <w:rPr>
          <w:rFonts w:asciiTheme="minorHAnsi" w:eastAsia="Times New Roman" w:hAnsiTheme="minorHAnsi" w:cstheme="minorHAnsi"/>
          <w:iCs/>
          <w:szCs w:val="24"/>
          <w:lang w:val="pl-PL" w:eastAsia="en-GB"/>
        </w:rPr>
        <w:t xml:space="preserve"> </w:t>
      </w:r>
      <w:r w:rsidR="00F54FDB" w:rsidRPr="00F879CC">
        <w:rPr>
          <w:rFonts w:asciiTheme="minorHAnsi" w:eastAsia="Times New Roman" w:hAnsiTheme="minorHAnsi" w:cstheme="minorHAnsi"/>
          <w:szCs w:val="24"/>
          <w:lang w:val="pl-PL" w:eastAsia="en-GB"/>
        </w:rPr>
        <w:t>(</w:t>
      </w:r>
      <w:r w:rsidRPr="00F879CC">
        <w:rPr>
          <w:rFonts w:asciiTheme="minorHAnsi" w:hAnsiTheme="minorHAnsi" w:cstheme="minorHAnsi"/>
          <w:lang w:val="pl-PL"/>
        </w:rPr>
        <w:t>do wypełnienia/uwzględnienia w kolejnych krokach</w:t>
      </w:r>
      <w:r w:rsidR="00F54FDB" w:rsidRPr="00F879CC">
        <w:rPr>
          <w:rFonts w:asciiTheme="minorHAnsi" w:eastAsia="Times New Roman" w:hAnsiTheme="minorHAnsi" w:cstheme="minorHAnsi"/>
          <w:szCs w:val="24"/>
          <w:lang w:val="pl-PL" w:eastAsia="en-GB"/>
        </w:rPr>
        <w:t>)</w:t>
      </w:r>
    </w:p>
    <w:tbl>
      <w:tblPr>
        <w:tblStyle w:val="TableGrid1"/>
        <w:tblW w:w="0" w:type="auto"/>
        <w:tblLook w:val="04A0" w:firstRow="1" w:lastRow="0" w:firstColumn="1" w:lastColumn="0" w:noHBand="0" w:noVBand="1"/>
        <w:tblCaption w:val="Tabela dotycząca wymiaru 2 - formy finansowania"/>
      </w:tblPr>
      <w:tblGrid>
        <w:gridCol w:w="1870"/>
        <w:gridCol w:w="1657"/>
        <w:gridCol w:w="1898"/>
        <w:gridCol w:w="1204"/>
        <w:gridCol w:w="2659"/>
      </w:tblGrid>
      <w:tr w:rsidR="005B1732" w:rsidRPr="00896AB0" w14:paraId="1381FC4E" w14:textId="77777777" w:rsidTr="00000498">
        <w:trPr>
          <w:tblHeader/>
        </w:trPr>
        <w:tc>
          <w:tcPr>
            <w:tcW w:w="1870" w:type="dxa"/>
          </w:tcPr>
          <w:p w14:paraId="3BE5C02E" w14:textId="45A43A2B" w:rsidR="005B1732" w:rsidRPr="00000498" w:rsidRDefault="00871A6C" w:rsidP="00DE180F">
            <w:pPr>
              <w:spacing w:line="240" w:lineRule="auto"/>
              <w:jc w:val="both"/>
              <w:rPr>
                <w:rFonts w:asciiTheme="minorHAnsi" w:eastAsia="Times New Roman" w:hAnsiTheme="minorHAnsi" w:cstheme="minorHAnsi"/>
                <w:b/>
                <w:iCs/>
                <w:szCs w:val="24"/>
                <w:lang w:val="pl-PL" w:eastAsia="en-GB"/>
              </w:rPr>
            </w:pPr>
            <w:r w:rsidRPr="00000498">
              <w:rPr>
                <w:rFonts w:asciiTheme="minorHAnsi" w:eastAsia="Times New Roman" w:hAnsiTheme="minorHAnsi" w:cstheme="minorHAnsi"/>
                <w:b/>
                <w:iCs/>
                <w:szCs w:val="24"/>
                <w:lang w:val="pl-PL" w:eastAsia="en-GB"/>
              </w:rPr>
              <w:t>Nr priorytetu</w:t>
            </w:r>
          </w:p>
        </w:tc>
        <w:tc>
          <w:tcPr>
            <w:tcW w:w="1657" w:type="dxa"/>
          </w:tcPr>
          <w:p w14:paraId="780A65E5" w14:textId="76B45D09" w:rsidR="005B1732" w:rsidRPr="00000498" w:rsidRDefault="005B1732" w:rsidP="00DE180F">
            <w:pPr>
              <w:spacing w:line="240" w:lineRule="auto"/>
              <w:jc w:val="both"/>
              <w:rPr>
                <w:rFonts w:asciiTheme="minorHAnsi" w:eastAsia="Times New Roman" w:hAnsiTheme="minorHAnsi" w:cstheme="minorHAnsi"/>
                <w:b/>
                <w:iCs/>
                <w:szCs w:val="24"/>
                <w:lang w:val="pl-PL" w:eastAsia="en-GB"/>
              </w:rPr>
            </w:pPr>
            <w:r w:rsidRPr="00000498">
              <w:rPr>
                <w:rFonts w:asciiTheme="minorHAnsi" w:eastAsia="Times New Roman" w:hAnsiTheme="minorHAnsi" w:cstheme="minorHAnsi"/>
                <w:b/>
                <w:iCs/>
                <w:szCs w:val="24"/>
                <w:lang w:val="pl-PL" w:eastAsia="en-GB"/>
              </w:rPr>
              <w:t>Fund</w:t>
            </w:r>
            <w:r w:rsidR="00813365" w:rsidRPr="00000498">
              <w:rPr>
                <w:rFonts w:asciiTheme="minorHAnsi" w:eastAsia="Times New Roman" w:hAnsiTheme="minorHAnsi" w:cstheme="minorHAnsi"/>
                <w:b/>
                <w:iCs/>
                <w:szCs w:val="24"/>
                <w:lang w:val="pl-PL" w:eastAsia="en-GB"/>
              </w:rPr>
              <w:t>usz</w:t>
            </w:r>
          </w:p>
        </w:tc>
        <w:tc>
          <w:tcPr>
            <w:tcW w:w="1898" w:type="dxa"/>
          </w:tcPr>
          <w:p w14:paraId="41F40371" w14:textId="53541976" w:rsidR="005B1732" w:rsidRPr="00000498" w:rsidRDefault="00871A6C" w:rsidP="00DE180F">
            <w:pPr>
              <w:spacing w:line="240" w:lineRule="auto"/>
              <w:jc w:val="both"/>
              <w:rPr>
                <w:rFonts w:asciiTheme="minorHAnsi" w:eastAsia="Times New Roman" w:hAnsiTheme="minorHAnsi" w:cstheme="minorHAnsi"/>
                <w:b/>
                <w:iCs/>
                <w:szCs w:val="24"/>
                <w:lang w:val="pl-PL" w:eastAsia="en-GB"/>
              </w:rPr>
            </w:pPr>
            <w:r w:rsidRPr="00000498">
              <w:rPr>
                <w:rFonts w:asciiTheme="minorHAnsi" w:eastAsia="Times New Roman" w:hAnsiTheme="minorHAnsi" w:cstheme="minorHAnsi"/>
                <w:b/>
                <w:iCs/>
                <w:szCs w:val="24"/>
                <w:lang w:val="pl-PL" w:eastAsia="en-GB"/>
              </w:rPr>
              <w:t>Cel szczegółowy</w:t>
            </w:r>
          </w:p>
        </w:tc>
        <w:tc>
          <w:tcPr>
            <w:tcW w:w="1204" w:type="dxa"/>
          </w:tcPr>
          <w:p w14:paraId="4934ECA1" w14:textId="4B026418" w:rsidR="005B1732" w:rsidRPr="00000498" w:rsidRDefault="00871A6C" w:rsidP="00DE180F">
            <w:pPr>
              <w:spacing w:line="240" w:lineRule="auto"/>
              <w:jc w:val="both"/>
              <w:rPr>
                <w:rFonts w:asciiTheme="minorHAnsi" w:eastAsia="Times New Roman" w:hAnsiTheme="minorHAnsi" w:cstheme="minorHAnsi"/>
                <w:b/>
                <w:iCs/>
                <w:szCs w:val="24"/>
                <w:lang w:val="pl-PL" w:eastAsia="en-GB"/>
              </w:rPr>
            </w:pPr>
            <w:r w:rsidRPr="00000498">
              <w:rPr>
                <w:rFonts w:asciiTheme="minorHAnsi" w:eastAsia="Times New Roman" w:hAnsiTheme="minorHAnsi" w:cstheme="minorHAnsi"/>
                <w:b/>
                <w:iCs/>
                <w:szCs w:val="24"/>
                <w:lang w:val="pl-PL" w:eastAsia="en-GB"/>
              </w:rPr>
              <w:t>Kod</w:t>
            </w:r>
            <w:r w:rsidR="005B1732" w:rsidRPr="00000498">
              <w:rPr>
                <w:rFonts w:asciiTheme="minorHAnsi" w:eastAsia="Times New Roman" w:hAnsiTheme="minorHAnsi" w:cstheme="minorHAnsi"/>
                <w:b/>
                <w:iCs/>
                <w:szCs w:val="24"/>
                <w:lang w:val="pl-PL" w:eastAsia="en-GB"/>
              </w:rPr>
              <w:t xml:space="preserve"> </w:t>
            </w:r>
          </w:p>
        </w:tc>
        <w:tc>
          <w:tcPr>
            <w:tcW w:w="2659" w:type="dxa"/>
          </w:tcPr>
          <w:p w14:paraId="0E66A985" w14:textId="4FB39B75" w:rsidR="005B1732" w:rsidRPr="00000498" w:rsidRDefault="00871A6C" w:rsidP="00DE180F">
            <w:pPr>
              <w:spacing w:line="240" w:lineRule="auto"/>
              <w:jc w:val="both"/>
              <w:rPr>
                <w:rFonts w:asciiTheme="minorHAnsi" w:eastAsia="Times New Roman" w:hAnsiTheme="minorHAnsi" w:cstheme="minorHAnsi"/>
                <w:b/>
                <w:iCs/>
                <w:szCs w:val="24"/>
                <w:lang w:val="pl-PL" w:eastAsia="en-GB"/>
              </w:rPr>
            </w:pPr>
            <w:r w:rsidRPr="00000498">
              <w:rPr>
                <w:rFonts w:asciiTheme="minorHAnsi" w:eastAsia="Times New Roman" w:hAnsiTheme="minorHAnsi" w:cstheme="minorHAnsi"/>
                <w:b/>
                <w:iCs/>
                <w:szCs w:val="24"/>
                <w:lang w:val="pl-PL" w:eastAsia="en-GB"/>
              </w:rPr>
              <w:t>Kwota</w:t>
            </w:r>
            <w:r w:rsidR="005B1732" w:rsidRPr="00000498">
              <w:rPr>
                <w:rFonts w:asciiTheme="minorHAnsi" w:eastAsia="Times New Roman" w:hAnsiTheme="minorHAnsi" w:cstheme="minorHAnsi"/>
                <w:b/>
                <w:iCs/>
                <w:szCs w:val="24"/>
                <w:lang w:val="pl-PL" w:eastAsia="en-GB"/>
              </w:rPr>
              <w:t xml:space="preserve"> (EUR)</w:t>
            </w:r>
          </w:p>
        </w:tc>
      </w:tr>
      <w:tr w:rsidR="005B1732" w:rsidRPr="00896AB0" w14:paraId="3874DCA6" w14:textId="77777777" w:rsidTr="00DE180F">
        <w:tc>
          <w:tcPr>
            <w:tcW w:w="1870" w:type="dxa"/>
          </w:tcPr>
          <w:p w14:paraId="7CB8FD85" w14:textId="77777777" w:rsidR="005B1732" w:rsidRPr="00000498" w:rsidRDefault="005B1732" w:rsidP="00DE180F">
            <w:pPr>
              <w:spacing w:line="240" w:lineRule="auto"/>
              <w:jc w:val="both"/>
              <w:rPr>
                <w:rFonts w:asciiTheme="minorHAnsi" w:eastAsia="Times New Roman" w:hAnsiTheme="minorHAnsi" w:cstheme="minorHAnsi"/>
                <w:b/>
                <w:iCs/>
                <w:szCs w:val="24"/>
                <w:lang w:val="pl-PL" w:eastAsia="en-GB"/>
              </w:rPr>
            </w:pPr>
          </w:p>
        </w:tc>
        <w:tc>
          <w:tcPr>
            <w:tcW w:w="1657" w:type="dxa"/>
          </w:tcPr>
          <w:p w14:paraId="5FE2D891" w14:textId="77777777" w:rsidR="005B1732" w:rsidRPr="00000498" w:rsidRDefault="005B1732" w:rsidP="00DE180F">
            <w:pPr>
              <w:spacing w:line="240" w:lineRule="auto"/>
              <w:jc w:val="both"/>
              <w:rPr>
                <w:rFonts w:asciiTheme="minorHAnsi" w:eastAsia="Times New Roman" w:hAnsiTheme="minorHAnsi" w:cstheme="minorHAnsi"/>
                <w:b/>
                <w:iCs/>
                <w:szCs w:val="24"/>
                <w:lang w:val="pl-PL" w:eastAsia="en-GB"/>
              </w:rPr>
            </w:pPr>
          </w:p>
        </w:tc>
        <w:tc>
          <w:tcPr>
            <w:tcW w:w="1898" w:type="dxa"/>
          </w:tcPr>
          <w:p w14:paraId="1C9B1941" w14:textId="77777777" w:rsidR="005B1732" w:rsidRPr="00000498" w:rsidRDefault="005B1732" w:rsidP="00DE180F">
            <w:pPr>
              <w:spacing w:line="240" w:lineRule="auto"/>
              <w:jc w:val="both"/>
              <w:rPr>
                <w:rFonts w:asciiTheme="minorHAnsi" w:eastAsia="Times New Roman" w:hAnsiTheme="minorHAnsi" w:cstheme="minorHAnsi"/>
                <w:b/>
                <w:iCs/>
                <w:szCs w:val="24"/>
                <w:lang w:val="pl-PL" w:eastAsia="en-GB"/>
              </w:rPr>
            </w:pPr>
          </w:p>
        </w:tc>
        <w:tc>
          <w:tcPr>
            <w:tcW w:w="1204" w:type="dxa"/>
          </w:tcPr>
          <w:p w14:paraId="05249FA5" w14:textId="77777777" w:rsidR="005B1732" w:rsidRPr="00000498" w:rsidRDefault="005B1732" w:rsidP="00DE180F">
            <w:pPr>
              <w:spacing w:line="240" w:lineRule="auto"/>
              <w:jc w:val="both"/>
              <w:rPr>
                <w:rFonts w:asciiTheme="minorHAnsi" w:eastAsia="Times New Roman" w:hAnsiTheme="minorHAnsi" w:cstheme="minorHAnsi"/>
                <w:b/>
                <w:iCs/>
                <w:szCs w:val="24"/>
                <w:lang w:val="pl-PL" w:eastAsia="en-GB"/>
              </w:rPr>
            </w:pPr>
          </w:p>
        </w:tc>
        <w:tc>
          <w:tcPr>
            <w:tcW w:w="2659" w:type="dxa"/>
          </w:tcPr>
          <w:p w14:paraId="690D25ED" w14:textId="77777777" w:rsidR="005B1732" w:rsidRPr="00000498" w:rsidRDefault="005B1732" w:rsidP="00DE180F">
            <w:pPr>
              <w:spacing w:line="240" w:lineRule="auto"/>
              <w:jc w:val="both"/>
              <w:rPr>
                <w:rFonts w:asciiTheme="minorHAnsi" w:eastAsia="Times New Roman" w:hAnsiTheme="minorHAnsi" w:cstheme="minorHAnsi"/>
                <w:b/>
                <w:iCs/>
                <w:szCs w:val="24"/>
                <w:lang w:val="pl-PL" w:eastAsia="en-GB"/>
              </w:rPr>
            </w:pPr>
          </w:p>
        </w:tc>
      </w:tr>
    </w:tbl>
    <w:p w14:paraId="7641A731" w14:textId="77777777" w:rsidR="005B1732" w:rsidRPr="00F879CC" w:rsidRDefault="005B1732" w:rsidP="005B1732">
      <w:pPr>
        <w:spacing w:after="200" w:line="276" w:lineRule="auto"/>
        <w:jc w:val="center"/>
        <w:rPr>
          <w:rFonts w:asciiTheme="minorHAnsi" w:eastAsia="Times New Roman" w:hAnsiTheme="minorHAnsi" w:cstheme="minorHAnsi"/>
          <w:iCs/>
          <w:szCs w:val="24"/>
          <w:lang w:val="en-IE" w:eastAsia="en-GB"/>
        </w:rPr>
      </w:pPr>
    </w:p>
    <w:p w14:paraId="4FB7E94D" w14:textId="183D5D1C" w:rsidR="005B1732" w:rsidRPr="00F879CC" w:rsidRDefault="00871A6C" w:rsidP="00000498">
      <w:pPr>
        <w:spacing w:line="276" w:lineRule="auto"/>
        <w:rPr>
          <w:rFonts w:asciiTheme="minorHAnsi" w:eastAsia="Times New Roman" w:hAnsiTheme="minorHAnsi" w:cstheme="minorHAnsi"/>
          <w:iCs/>
          <w:szCs w:val="24"/>
          <w:lang w:val="pl-PL" w:eastAsia="en-GB"/>
        </w:rPr>
      </w:pPr>
      <w:r w:rsidRPr="00F879CC">
        <w:rPr>
          <w:rFonts w:asciiTheme="minorHAnsi" w:eastAsia="Times New Roman" w:hAnsiTheme="minorHAnsi" w:cstheme="minorHAnsi"/>
          <w:iCs/>
          <w:szCs w:val="24"/>
          <w:lang w:val="pl-PL" w:eastAsia="en-GB"/>
        </w:rPr>
        <w:t>Tabela</w:t>
      </w:r>
      <w:r w:rsidR="005B1732" w:rsidRPr="00F879CC">
        <w:rPr>
          <w:rFonts w:asciiTheme="minorHAnsi" w:eastAsia="Times New Roman" w:hAnsiTheme="minorHAnsi" w:cstheme="minorHAnsi"/>
          <w:iCs/>
          <w:szCs w:val="24"/>
          <w:lang w:val="pl-PL" w:eastAsia="en-GB"/>
        </w:rPr>
        <w:t xml:space="preserve"> 6: </w:t>
      </w:r>
      <w:r w:rsidRPr="00F879CC">
        <w:rPr>
          <w:rFonts w:asciiTheme="minorHAnsi" w:eastAsia="Times New Roman" w:hAnsiTheme="minorHAnsi" w:cstheme="minorHAnsi"/>
          <w:iCs/>
          <w:szCs w:val="24"/>
          <w:lang w:val="pl-PL" w:eastAsia="en-GB"/>
        </w:rPr>
        <w:t>Wymiar</w:t>
      </w:r>
      <w:r w:rsidR="005B1732" w:rsidRPr="00F879CC">
        <w:rPr>
          <w:rFonts w:asciiTheme="minorHAnsi" w:eastAsia="Times New Roman" w:hAnsiTheme="minorHAnsi" w:cstheme="minorHAnsi"/>
          <w:iCs/>
          <w:szCs w:val="24"/>
          <w:lang w:val="pl-PL" w:eastAsia="en-GB"/>
        </w:rPr>
        <w:t xml:space="preserve"> 3 – </w:t>
      </w:r>
      <w:r w:rsidRPr="00F879CC">
        <w:rPr>
          <w:rFonts w:asciiTheme="minorHAnsi" w:eastAsia="Times New Roman" w:hAnsiTheme="minorHAnsi" w:cstheme="minorHAnsi"/>
          <w:iCs/>
          <w:szCs w:val="24"/>
          <w:lang w:val="pl-PL" w:eastAsia="en-GB"/>
        </w:rPr>
        <w:t xml:space="preserve">terytorialny mechanizm realizacji i skupienie </w:t>
      </w:r>
      <w:r w:rsidR="0096482A" w:rsidRPr="00F879CC">
        <w:rPr>
          <w:rFonts w:asciiTheme="minorHAnsi" w:eastAsia="Times New Roman" w:hAnsiTheme="minorHAnsi" w:cstheme="minorHAnsi"/>
          <w:iCs/>
          <w:szCs w:val="24"/>
          <w:lang w:val="pl-PL" w:eastAsia="en-GB"/>
        </w:rPr>
        <w:t xml:space="preserve">uwagi </w:t>
      </w:r>
      <w:r w:rsidRPr="00F879CC">
        <w:rPr>
          <w:rFonts w:asciiTheme="minorHAnsi" w:eastAsia="Times New Roman" w:hAnsiTheme="minorHAnsi" w:cstheme="minorHAnsi"/>
          <w:iCs/>
          <w:szCs w:val="24"/>
          <w:lang w:val="pl-PL" w:eastAsia="en-GB"/>
        </w:rPr>
        <w:t>na terytorium</w:t>
      </w:r>
    </w:p>
    <w:p w14:paraId="2793B5AC" w14:textId="465320AD" w:rsidR="00F54FDB" w:rsidRPr="00F879CC" w:rsidRDefault="00F54FDB" w:rsidP="00000498">
      <w:pPr>
        <w:spacing w:after="200" w:line="276" w:lineRule="auto"/>
        <w:rPr>
          <w:rFonts w:asciiTheme="minorHAnsi" w:eastAsia="Times New Roman" w:hAnsiTheme="minorHAnsi" w:cstheme="minorHAnsi"/>
          <w:i/>
          <w:szCs w:val="24"/>
          <w:lang w:val="pl-PL" w:eastAsia="en-GB"/>
        </w:rPr>
      </w:pPr>
      <w:r w:rsidRPr="00F879CC">
        <w:rPr>
          <w:rFonts w:asciiTheme="minorHAnsi" w:eastAsia="Times New Roman" w:hAnsiTheme="minorHAnsi" w:cstheme="minorHAnsi"/>
          <w:szCs w:val="24"/>
          <w:lang w:val="pl-PL" w:eastAsia="en-GB"/>
        </w:rPr>
        <w:t>(</w:t>
      </w:r>
      <w:r w:rsidR="00871A6C" w:rsidRPr="00F879CC">
        <w:rPr>
          <w:rFonts w:asciiTheme="minorHAnsi" w:hAnsiTheme="minorHAnsi" w:cstheme="minorHAnsi"/>
          <w:lang w:val="pl-PL"/>
        </w:rPr>
        <w:t>do wypełnienia/uwzględnienia w kolejnych krokach</w:t>
      </w:r>
      <w:r w:rsidRPr="00F879CC">
        <w:rPr>
          <w:rFonts w:asciiTheme="minorHAnsi" w:eastAsia="Times New Roman" w:hAnsiTheme="minorHAnsi" w:cstheme="minorHAnsi"/>
          <w:szCs w:val="24"/>
          <w:lang w:val="pl-PL" w:eastAsia="en-GB"/>
        </w:rPr>
        <w:t>)</w:t>
      </w:r>
    </w:p>
    <w:tbl>
      <w:tblPr>
        <w:tblStyle w:val="TableGrid1"/>
        <w:tblW w:w="0" w:type="auto"/>
        <w:tblLook w:val="04A0" w:firstRow="1" w:lastRow="0" w:firstColumn="1" w:lastColumn="0" w:noHBand="0" w:noVBand="1"/>
        <w:tblCaption w:val="Tabela dotycząca wymiaru 3 - terytorialnego mechanizmu realizacji i skupienia uwagi na terytorium"/>
      </w:tblPr>
      <w:tblGrid>
        <w:gridCol w:w="1870"/>
        <w:gridCol w:w="1657"/>
        <w:gridCol w:w="1898"/>
        <w:gridCol w:w="1204"/>
        <w:gridCol w:w="2659"/>
      </w:tblGrid>
      <w:tr w:rsidR="005B1732" w:rsidRPr="00896AB0" w14:paraId="69F3AE5D" w14:textId="77777777" w:rsidTr="00000498">
        <w:trPr>
          <w:tblHeader/>
        </w:trPr>
        <w:tc>
          <w:tcPr>
            <w:tcW w:w="1870" w:type="dxa"/>
          </w:tcPr>
          <w:p w14:paraId="5D7E1B64" w14:textId="7FB318CC" w:rsidR="005B1732" w:rsidRPr="00000498" w:rsidRDefault="00871A6C" w:rsidP="00DE180F">
            <w:pPr>
              <w:spacing w:line="240" w:lineRule="auto"/>
              <w:jc w:val="both"/>
              <w:rPr>
                <w:rFonts w:asciiTheme="minorHAnsi" w:eastAsia="Times New Roman" w:hAnsiTheme="minorHAnsi" w:cstheme="minorHAnsi"/>
                <w:b/>
                <w:iCs/>
                <w:szCs w:val="24"/>
                <w:lang w:val="pl-PL" w:eastAsia="en-GB"/>
              </w:rPr>
            </w:pPr>
            <w:r w:rsidRPr="00000498">
              <w:rPr>
                <w:rFonts w:asciiTheme="minorHAnsi" w:eastAsia="Times New Roman" w:hAnsiTheme="minorHAnsi" w:cstheme="minorHAnsi"/>
                <w:b/>
                <w:iCs/>
                <w:szCs w:val="24"/>
                <w:lang w:val="pl-PL" w:eastAsia="en-GB"/>
              </w:rPr>
              <w:t>Nr priorytetu</w:t>
            </w:r>
          </w:p>
        </w:tc>
        <w:tc>
          <w:tcPr>
            <w:tcW w:w="1657" w:type="dxa"/>
          </w:tcPr>
          <w:p w14:paraId="49EDC529" w14:textId="4D086DC7" w:rsidR="005B1732" w:rsidRPr="00000498" w:rsidRDefault="005B1732" w:rsidP="00DE180F">
            <w:pPr>
              <w:spacing w:line="240" w:lineRule="auto"/>
              <w:jc w:val="both"/>
              <w:rPr>
                <w:rFonts w:asciiTheme="minorHAnsi" w:eastAsia="Times New Roman" w:hAnsiTheme="minorHAnsi" w:cstheme="minorHAnsi"/>
                <w:b/>
                <w:iCs/>
                <w:szCs w:val="24"/>
                <w:lang w:val="pl-PL" w:eastAsia="en-GB"/>
              </w:rPr>
            </w:pPr>
            <w:r w:rsidRPr="00000498">
              <w:rPr>
                <w:rFonts w:asciiTheme="minorHAnsi" w:eastAsia="Times New Roman" w:hAnsiTheme="minorHAnsi" w:cstheme="minorHAnsi"/>
                <w:b/>
                <w:iCs/>
                <w:szCs w:val="24"/>
                <w:lang w:val="pl-PL" w:eastAsia="en-GB"/>
              </w:rPr>
              <w:t>Fund</w:t>
            </w:r>
            <w:r w:rsidR="00813365" w:rsidRPr="00000498">
              <w:rPr>
                <w:rFonts w:asciiTheme="minorHAnsi" w:eastAsia="Times New Roman" w:hAnsiTheme="minorHAnsi" w:cstheme="minorHAnsi"/>
                <w:b/>
                <w:iCs/>
                <w:szCs w:val="24"/>
                <w:lang w:val="pl-PL" w:eastAsia="en-GB"/>
              </w:rPr>
              <w:t>usz</w:t>
            </w:r>
          </w:p>
        </w:tc>
        <w:tc>
          <w:tcPr>
            <w:tcW w:w="1898" w:type="dxa"/>
          </w:tcPr>
          <w:p w14:paraId="41B19D12" w14:textId="2B10D637" w:rsidR="005B1732" w:rsidRPr="00000498" w:rsidRDefault="00871A6C" w:rsidP="00DE180F">
            <w:pPr>
              <w:spacing w:line="240" w:lineRule="auto"/>
              <w:jc w:val="both"/>
              <w:rPr>
                <w:rFonts w:asciiTheme="minorHAnsi" w:eastAsia="Times New Roman" w:hAnsiTheme="minorHAnsi" w:cstheme="minorHAnsi"/>
                <w:b/>
                <w:iCs/>
                <w:szCs w:val="24"/>
                <w:lang w:val="pl-PL" w:eastAsia="en-GB"/>
              </w:rPr>
            </w:pPr>
            <w:r w:rsidRPr="00000498">
              <w:rPr>
                <w:rFonts w:asciiTheme="minorHAnsi" w:eastAsia="Times New Roman" w:hAnsiTheme="minorHAnsi" w:cstheme="minorHAnsi"/>
                <w:b/>
                <w:iCs/>
                <w:szCs w:val="24"/>
                <w:lang w:val="pl-PL" w:eastAsia="en-GB"/>
              </w:rPr>
              <w:t>Cel szczegółowy</w:t>
            </w:r>
          </w:p>
        </w:tc>
        <w:tc>
          <w:tcPr>
            <w:tcW w:w="1204" w:type="dxa"/>
          </w:tcPr>
          <w:p w14:paraId="55E399F3" w14:textId="275A1B00" w:rsidR="005B1732" w:rsidRPr="00000498" w:rsidRDefault="00871A6C" w:rsidP="00DE180F">
            <w:pPr>
              <w:spacing w:line="240" w:lineRule="auto"/>
              <w:jc w:val="both"/>
              <w:rPr>
                <w:rFonts w:asciiTheme="minorHAnsi" w:eastAsia="Times New Roman" w:hAnsiTheme="minorHAnsi" w:cstheme="minorHAnsi"/>
                <w:b/>
                <w:iCs/>
                <w:szCs w:val="24"/>
                <w:lang w:val="pl-PL" w:eastAsia="en-GB"/>
              </w:rPr>
            </w:pPr>
            <w:r w:rsidRPr="00000498">
              <w:rPr>
                <w:rFonts w:asciiTheme="minorHAnsi" w:eastAsia="Times New Roman" w:hAnsiTheme="minorHAnsi" w:cstheme="minorHAnsi"/>
                <w:b/>
                <w:iCs/>
                <w:szCs w:val="24"/>
                <w:lang w:val="pl-PL" w:eastAsia="en-GB"/>
              </w:rPr>
              <w:t>Kod</w:t>
            </w:r>
            <w:r w:rsidR="005B1732" w:rsidRPr="00000498">
              <w:rPr>
                <w:rFonts w:asciiTheme="minorHAnsi" w:eastAsia="Times New Roman" w:hAnsiTheme="minorHAnsi" w:cstheme="minorHAnsi"/>
                <w:b/>
                <w:iCs/>
                <w:szCs w:val="24"/>
                <w:lang w:val="pl-PL" w:eastAsia="en-GB"/>
              </w:rPr>
              <w:t xml:space="preserve"> </w:t>
            </w:r>
          </w:p>
        </w:tc>
        <w:tc>
          <w:tcPr>
            <w:tcW w:w="2659" w:type="dxa"/>
          </w:tcPr>
          <w:p w14:paraId="1795D406" w14:textId="4C6234C6" w:rsidR="005B1732" w:rsidRPr="00000498" w:rsidRDefault="00871A6C" w:rsidP="00DE180F">
            <w:pPr>
              <w:spacing w:line="240" w:lineRule="auto"/>
              <w:jc w:val="both"/>
              <w:rPr>
                <w:rFonts w:asciiTheme="minorHAnsi" w:eastAsia="Times New Roman" w:hAnsiTheme="minorHAnsi" w:cstheme="minorHAnsi"/>
                <w:b/>
                <w:iCs/>
                <w:szCs w:val="24"/>
                <w:lang w:val="pl-PL" w:eastAsia="en-GB"/>
              </w:rPr>
            </w:pPr>
            <w:r w:rsidRPr="00000498">
              <w:rPr>
                <w:rFonts w:asciiTheme="minorHAnsi" w:eastAsia="Times New Roman" w:hAnsiTheme="minorHAnsi" w:cstheme="minorHAnsi"/>
                <w:b/>
                <w:iCs/>
                <w:szCs w:val="24"/>
                <w:lang w:val="pl-PL" w:eastAsia="en-GB"/>
              </w:rPr>
              <w:t>Kwota</w:t>
            </w:r>
            <w:r w:rsidR="005B1732" w:rsidRPr="00000498">
              <w:rPr>
                <w:rFonts w:asciiTheme="minorHAnsi" w:eastAsia="Times New Roman" w:hAnsiTheme="minorHAnsi" w:cstheme="minorHAnsi"/>
                <w:b/>
                <w:iCs/>
                <w:szCs w:val="24"/>
                <w:lang w:val="pl-PL" w:eastAsia="en-GB"/>
              </w:rPr>
              <w:t xml:space="preserve"> (EUR)</w:t>
            </w:r>
          </w:p>
        </w:tc>
      </w:tr>
      <w:tr w:rsidR="005B1732" w:rsidRPr="00896AB0" w14:paraId="74170FD6" w14:textId="77777777" w:rsidTr="00DE180F">
        <w:tc>
          <w:tcPr>
            <w:tcW w:w="1870" w:type="dxa"/>
          </w:tcPr>
          <w:p w14:paraId="44750ADD" w14:textId="77777777" w:rsidR="005B1732" w:rsidRPr="00000498" w:rsidRDefault="005B1732" w:rsidP="00DE180F">
            <w:pPr>
              <w:spacing w:line="240" w:lineRule="auto"/>
              <w:jc w:val="both"/>
              <w:rPr>
                <w:rFonts w:asciiTheme="minorHAnsi" w:eastAsia="Times New Roman" w:hAnsiTheme="minorHAnsi" w:cstheme="minorHAnsi"/>
                <w:b/>
                <w:iCs/>
                <w:szCs w:val="24"/>
                <w:lang w:val="pl-PL" w:eastAsia="en-GB"/>
              </w:rPr>
            </w:pPr>
          </w:p>
        </w:tc>
        <w:tc>
          <w:tcPr>
            <w:tcW w:w="1657" w:type="dxa"/>
          </w:tcPr>
          <w:p w14:paraId="592E9B66" w14:textId="77777777" w:rsidR="005B1732" w:rsidRPr="00000498" w:rsidRDefault="005B1732" w:rsidP="00DE180F">
            <w:pPr>
              <w:spacing w:line="240" w:lineRule="auto"/>
              <w:jc w:val="both"/>
              <w:rPr>
                <w:rFonts w:asciiTheme="minorHAnsi" w:eastAsia="Times New Roman" w:hAnsiTheme="minorHAnsi" w:cstheme="minorHAnsi"/>
                <w:b/>
                <w:iCs/>
                <w:szCs w:val="24"/>
                <w:lang w:val="pl-PL" w:eastAsia="en-GB"/>
              </w:rPr>
            </w:pPr>
          </w:p>
        </w:tc>
        <w:tc>
          <w:tcPr>
            <w:tcW w:w="1898" w:type="dxa"/>
          </w:tcPr>
          <w:p w14:paraId="6C0C6D19" w14:textId="77777777" w:rsidR="005B1732" w:rsidRPr="00000498" w:rsidRDefault="005B1732" w:rsidP="00DE180F">
            <w:pPr>
              <w:spacing w:line="240" w:lineRule="auto"/>
              <w:jc w:val="both"/>
              <w:rPr>
                <w:rFonts w:asciiTheme="minorHAnsi" w:eastAsia="Times New Roman" w:hAnsiTheme="minorHAnsi" w:cstheme="minorHAnsi"/>
                <w:b/>
                <w:iCs/>
                <w:szCs w:val="24"/>
                <w:lang w:val="pl-PL" w:eastAsia="en-GB"/>
              </w:rPr>
            </w:pPr>
          </w:p>
        </w:tc>
        <w:tc>
          <w:tcPr>
            <w:tcW w:w="1204" w:type="dxa"/>
          </w:tcPr>
          <w:p w14:paraId="33C23824" w14:textId="77777777" w:rsidR="005B1732" w:rsidRPr="00000498" w:rsidRDefault="005B1732" w:rsidP="00DE180F">
            <w:pPr>
              <w:spacing w:line="240" w:lineRule="auto"/>
              <w:jc w:val="both"/>
              <w:rPr>
                <w:rFonts w:asciiTheme="minorHAnsi" w:eastAsia="Times New Roman" w:hAnsiTheme="minorHAnsi" w:cstheme="minorHAnsi"/>
                <w:b/>
                <w:iCs/>
                <w:szCs w:val="24"/>
                <w:lang w:val="pl-PL" w:eastAsia="en-GB"/>
              </w:rPr>
            </w:pPr>
          </w:p>
        </w:tc>
        <w:tc>
          <w:tcPr>
            <w:tcW w:w="2659" w:type="dxa"/>
          </w:tcPr>
          <w:p w14:paraId="3CF091D3" w14:textId="77777777" w:rsidR="005B1732" w:rsidRPr="00000498" w:rsidRDefault="005B1732" w:rsidP="00DE180F">
            <w:pPr>
              <w:spacing w:line="240" w:lineRule="auto"/>
              <w:jc w:val="both"/>
              <w:rPr>
                <w:rFonts w:asciiTheme="minorHAnsi" w:eastAsia="Times New Roman" w:hAnsiTheme="minorHAnsi" w:cstheme="minorHAnsi"/>
                <w:b/>
                <w:iCs/>
                <w:szCs w:val="24"/>
                <w:lang w:val="pl-PL" w:eastAsia="en-GB"/>
              </w:rPr>
            </w:pPr>
          </w:p>
        </w:tc>
      </w:tr>
    </w:tbl>
    <w:p w14:paraId="01BB4CC7" w14:textId="77777777" w:rsidR="00A56537" w:rsidRPr="00361BD5" w:rsidRDefault="00813365" w:rsidP="00361BD5">
      <w:pPr>
        <w:pStyle w:val="Nagwek1"/>
        <w:numPr>
          <w:ilvl w:val="0"/>
          <w:numId w:val="5"/>
        </w:numPr>
      </w:pPr>
      <w:bookmarkStart w:id="119" w:name="_Toc73432992"/>
      <w:r w:rsidRPr="00361BD5">
        <w:t>Plan finansowania</w:t>
      </w:r>
      <w:bookmarkEnd w:id="119"/>
      <w:r w:rsidR="00F54FDB" w:rsidRPr="00361BD5">
        <w:t xml:space="preserve"> </w:t>
      </w:r>
    </w:p>
    <w:p w14:paraId="288CD25C" w14:textId="097D2FA2" w:rsidR="00F50542" w:rsidRPr="00A56537" w:rsidRDefault="00F54FDB" w:rsidP="00A56537">
      <w:pPr>
        <w:pStyle w:val="Akapitzlist"/>
        <w:spacing w:before="240" w:after="240"/>
        <w:ind w:left="360"/>
        <w:rPr>
          <w:rFonts w:eastAsia="Times New Roman" w:cstheme="minorHAnsi"/>
          <w:b/>
          <w:iCs/>
          <w:szCs w:val="24"/>
          <w:lang w:val="pl-PL" w:eastAsia="en-GB"/>
        </w:rPr>
      </w:pPr>
      <w:r w:rsidRPr="00A56537">
        <w:rPr>
          <w:rFonts w:eastAsia="Times New Roman" w:cstheme="minorHAnsi"/>
          <w:szCs w:val="24"/>
          <w:lang w:val="pl-PL" w:eastAsia="en-GB"/>
        </w:rPr>
        <w:t>(</w:t>
      </w:r>
      <w:r w:rsidR="00871A6C" w:rsidRPr="00A56537">
        <w:rPr>
          <w:rFonts w:cstheme="minorHAnsi"/>
          <w:lang w:val="pl-PL"/>
        </w:rPr>
        <w:t>do wypełnienia/uwzględnienia w kolejnych krokach</w:t>
      </w:r>
      <w:r w:rsidRPr="00A56537">
        <w:rPr>
          <w:rFonts w:eastAsia="Times New Roman" w:cstheme="minorHAnsi"/>
          <w:szCs w:val="24"/>
          <w:lang w:val="pl-PL" w:eastAsia="en-GB"/>
        </w:rPr>
        <w:t>)</w:t>
      </w:r>
    </w:p>
    <w:p w14:paraId="3D6EE82B" w14:textId="1F104FB3" w:rsidR="00F50542" w:rsidRPr="00000498" w:rsidRDefault="00B1040E" w:rsidP="00000498">
      <w:pPr>
        <w:spacing w:after="20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Dotyczy: art. 17 ust. 4 lit. g)</w:t>
      </w:r>
    </w:p>
    <w:p w14:paraId="62CD7DCE" w14:textId="1403599B" w:rsidR="00F50542" w:rsidRPr="00000498" w:rsidRDefault="000E6D89" w:rsidP="000E6D89">
      <w:pPr>
        <w:pStyle w:val="Nagwek2"/>
        <w:rPr>
          <w:rFonts w:eastAsia="Times New Roman"/>
          <w:szCs w:val="24"/>
          <w:lang w:val="pl-PL" w:eastAsia="en-GB"/>
        </w:rPr>
      </w:pPr>
      <w:bookmarkStart w:id="120" w:name="_Toc73432993"/>
      <w:r>
        <w:rPr>
          <w:rFonts w:eastAsia="Times New Roman"/>
          <w:lang w:val="pl-PL" w:eastAsia="en-GB"/>
        </w:rPr>
        <w:t xml:space="preserve">3.1 </w:t>
      </w:r>
      <w:r w:rsidR="00B1040E" w:rsidRPr="00000498">
        <w:rPr>
          <w:rFonts w:eastAsia="Times New Roman"/>
          <w:lang w:val="pl-PL" w:eastAsia="en-GB"/>
        </w:rPr>
        <w:t xml:space="preserve">Środki finansowe </w:t>
      </w:r>
      <w:r w:rsidR="006215AB">
        <w:rPr>
          <w:rFonts w:eastAsia="Times New Roman"/>
          <w:lang w:val="pl-PL" w:eastAsia="en-GB"/>
        </w:rPr>
        <w:t>w podziale na lata</w:t>
      </w:r>
      <w:bookmarkEnd w:id="120"/>
    </w:p>
    <w:p w14:paraId="00602CEB" w14:textId="5110EB72" w:rsidR="00F50542" w:rsidRPr="00F879CC" w:rsidRDefault="00BD6D03" w:rsidP="00000498">
      <w:pPr>
        <w:spacing w:after="200" w:line="276" w:lineRule="auto"/>
        <w:rPr>
          <w:rFonts w:asciiTheme="minorHAnsi" w:eastAsia="Times New Roman" w:hAnsiTheme="minorHAnsi" w:cstheme="minorHAnsi"/>
          <w:i/>
          <w:szCs w:val="24"/>
          <w:lang w:val="pl-PL" w:eastAsia="en-GB"/>
        </w:rPr>
      </w:pPr>
      <w:r w:rsidRPr="00000498">
        <w:rPr>
          <w:rFonts w:asciiTheme="minorHAnsi" w:eastAsia="Times New Roman" w:hAnsiTheme="minorHAnsi" w:cstheme="minorHAnsi"/>
          <w:szCs w:val="24"/>
          <w:lang w:val="pl-PL" w:eastAsia="en-GB"/>
        </w:rPr>
        <w:t xml:space="preserve">Dotyczy art. 17 ust. 4 lit. g) ppkt (i), art. 17 ust. 5 lit. a) ppkt </w:t>
      </w:r>
      <w:r w:rsidRPr="00000498">
        <w:rPr>
          <w:rFonts w:asciiTheme="minorHAnsi" w:eastAsia="Times New Roman" w:hAnsiTheme="minorHAnsi" w:cstheme="minorHAnsi"/>
          <w:strike/>
          <w:szCs w:val="24"/>
          <w:lang w:val="pl-PL" w:eastAsia="en-GB"/>
        </w:rPr>
        <w:t>(i)</w:t>
      </w:r>
      <w:r w:rsidRPr="00000498">
        <w:rPr>
          <w:rFonts w:asciiTheme="minorHAnsi" w:eastAsia="Times New Roman" w:hAnsiTheme="minorHAnsi" w:cstheme="minorHAnsi"/>
          <w:szCs w:val="24"/>
          <w:lang w:val="pl-PL" w:eastAsia="en-GB"/>
        </w:rPr>
        <w:t xml:space="preserve"> - </w:t>
      </w:r>
      <w:r w:rsidRPr="00000498">
        <w:rPr>
          <w:rFonts w:asciiTheme="minorHAnsi" w:eastAsia="Times New Roman" w:hAnsiTheme="minorHAnsi" w:cstheme="minorHAnsi"/>
          <w:strike/>
          <w:szCs w:val="24"/>
          <w:lang w:val="pl-PL" w:eastAsia="en-GB"/>
        </w:rPr>
        <w:t>(i</w:t>
      </w:r>
      <w:r w:rsidR="00A05A16" w:rsidRPr="00000498">
        <w:rPr>
          <w:rFonts w:asciiTheme="minorHAnsi" w:eastAsia="Times New Roman" w:hAnsiTheme="minorHAnsi" w:cstheme="minorHAnsi"/>
          <w:strike/>
          <w:szCs w:val="24"/>
          <w:lang w:val="pl-PL" w:eastAsia="en-GB"/>
        </w:rPr>
        <w:t xml:space="preserve"> </w:t>
      </w:r>
      <w:r w:rsidRPr="00000498">
        <w:rPr>
          <w:rFonts w:asciiTheme="minorHAnsi" w:eastAsia="Times New Roman" w:hAnsiTheme="minorHAnsi" w:cstheme="minorHAnsi"/>
          <w:strike/>
          <w:szCs w:val="24"/>
          <w:lang w:val="pl-PL" w:eastAsia="en-GB"/>
        </w:rPr>
        <w:t>vd</w:t>
      </w:r>
      <w:r w:rsidRPr="00F879CC">
        <w:rPr>
          <w:rFonts w:asciiTheme="minorHAnsi" w:eastAsia="Times New Roman" w:hAnsiTheme="minorHAnsi" w:cstheme="minorHAnsi"/>
          <w:i/>
          <w:strike/>
          <w:szCs w:val="24"/>
          <w:lang w:val="pl-PL" w:eastAsia="en-GB"/>
        </w:rPr>
        <w:t>)</w:t>
      </w:r>
    </w:p>
    <w:p w14:paraId="04A7E820" w14:textId="588577C6" w:rsidR="00F50542" w:rsidRPr="00000498" w:rsidRDefault="00871A6C" w:rsidP="00000498">
      <w:pPr>
        <w:spacing w:before="240" w:after="240" w:line="276" w:lineRule="auto"/>
        <w:rPr>
          <w:rFonts w:asciiTheme="minorHAnsi" w:eastAsia="Times New Roman" w:hAnsiTheme="minorHAnsi" w:cstheme="minorHAnsi"/>
          <w:b/>
          <w:iCs/>
          <w:szCs w:val="24"/>
          <w:lang w:val="pl-PL" w:eastAsia="en-GB"/>
        </w:rPr>
      </w:pPr>
      <w:r w:rsidRPr="00000498">
        <w:rPr>
          <w:rFonts w:asciiTheme="minorHAnsi" w:eastAsia="Times New Roman" w:hAnsiTheme="minorHAnsi" w:cstheme="minorHAnsi"/>
          <w:iCs/>
          <w:szCs w:val="24"/>
          <w:lang w:val="pl-PL" w:eastAsia="en-GB"/>
        </w:rPr>
        <w:t>Tabela</w:t>
      </w:r>
      <w:r w:rsidR="00F50542" w:rsidRPr="00000498">
        <w:rPr>
          <w:rFonts w:asciiTheme="minorHAnsi" w:eastAsia="Times New Roman" w:hAnsiTheme="minorHAnsi" w:cstheme="minorHAnsi"/>
          <w:iCs/>
          <w:szCs w:val="24"/>
          <w:lang w:val="pl-PL" w:eastAsia="en-GB"/>
        </w:rPr>
        <w:t xml:space="preserve"> 7</w:t>
      </w:r>
    </w:p>
    <w:tbl>
      <w:tblPr>
        <w:tblStyle w:val="TableGrid1"/>
        <w:tblW w:w="9320" w:type="dxa"/>
        <w:tblLook w:val="04A0" w:firstRow="1" w:lastRow="0" w:firstColumn="1" w:lastColumn="0" w:noHBand="0" w:noVBand="1"/>
        <w:tblCaption w:val="Tabela dotycząca środków finansowych według poszczególnych lat okresu programowania 2021-2027"/>
      </w:tblPr>
      <w:tblGrid>
        <w:gridCol w:w="1501"/>
        <w:gridCol w:w="911"/>
        <w:gridCol w:w="912"/>
        <w:gridCol w:w="912"/>
        <w:gridCol w:w="912"/>
        <w:gridCol w:w="913"/>
        <w:gridCol w:w="914"/>
        <w:gridCol w:w="914"/>
        <w:gridCol w:w="1431"/>
      </w:tblGrid>
      <w:tr w:rsidR="00F50542" w:rsidRPr="005331A6" w14:paraId="69D3A7B1" w14:textId="77777777" w:rsidTr="00000498">
        <w:trPr>
          <w:trHeight w:val="226"/>
          <w:tblHeader/>
        </w:trPr>
        <w:tc>
          <w:tcPr>
            <w:tcW w:w="1457" w:type="dxa"/>
          </w:tcPr>
          <w:p w14:paraId="3880C24F" w14:textId="25059055" w:rsidR="00F50542" w:rsidRPr="00000498" w:rsidRDefault="00871A6C" w:rsidP="00F50542">
            <w:pPr>
              <w:spacing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Fundusz</w:t>
            </w:r>
          </w:p>
        </w:tc>
        <w:tc>
          <w:tcPr>
            <w:tcW w:w="948" w:type="dxa"/>
          </w:tcPr>
          <w:p w14:paraId="3EAB18C4" w14:textId="77777777" w:rsidR="00F50542" w:rsidRPr="00000498" w:rsidRDefault="00F50542" w:rsidP="00F50542">
            <w:pPr>
              <w:spacing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2021</w:t>
            </w:r>
          </w:p>
        </w:tc>
        <w:tc>
          <w:tcPr>
            <w:tcW w:w="949" w:type="dxa"/>
          </w:tcPr>
          <w:p w14:paraId="44E1F683" w14:textId="77777777" w:rsidR="00F50542" w:rsidRPr="00000498" w:rsidRDefault="00F50542" w:rsidP="00F50542">
            <w:pPr>
              <w:spacing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2022</w:t>
            </w:r>
          </w:p>
        </w:tc>
        <w:tc>
          <w:tcPr>
            <w:tcW w:w="949" w:type="dxa"/>
          </w:tcPr>
          <w:p w14:paraId="2BBADB3B" w14:textId="77777777" w:rsidR="00F50542" w:rsidRPr="00000498" w:rsidRDefault="00F50542" w:rsidP="00F50542">
            <w:pPr>
              <w:spacing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2023</w:t>
            </w:r>
          </w:p>
        </w:tc>
        <w:tc>
          <w:tcPr>
            <w:tcW w:w="949" w:type="dxa"/>
          </w:tcPr>
          <w:p w14:paraId="3A791F88" w14:textId="77777777" w:rsidR="00F50542" w:rsidRPr="00000498" w:rsidRDefault="00F50542" w:rsidP="00F50542">
            <w:pPr>
              <w:spacing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2024</w:t>
            </w:r>
          </w:p>
        </w:tc>
        <w:tc>
          <w:tcPr>
            <w:tcW w:w="950" w:type="dxa"/>
          </w:tcPr>
          <w:p w14:paraId="53BB679E" w14:textId="77777777" w:rsidR="00F50542" w:rsidRPr="00000498" w:rsidRDefault="00F50542" w:rsidP="00F50542">
            <w:pPr>
              <w:spacing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2025</w:t>
            </w:r>
          </w:p>
        </w:tc>
        <w:tc>
          <w:tcPr>
            <w:tcW w:w="951" w:type="dxa"/>
          </w:tcPr>
          <w:p w14:paraId="5782EF9D" w14:textId="77777777" w:rsidR="00F50542" w:rsidRPr="00000498" w:rsidRDefault="00F50542" w:rsidP="00F50542">
            <w:pPr>
              <w:spacing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2026</w:t>
            </w:r>
          </w:p>
        </w:tc>
        <w:tc>
          <w:tcPr>
            <w:tcW w:w="951" w:type="dxa"/>
          </w:tcPr>
          <w:p w14:paraId="552F445C" w14:textId="77777777" w:rsidR="00F50542" w:rsidRPr="00000498" w:rsidRDefault="00F50542" w:rsidP="00F50542">
            <w:pPr>
              <w:spacing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2027</w:t>
            </w:r>
          </w:p>
        </w:tc>
        <w:tc>
          <w:tcPr>
            <w:tcW w:w="1216" w:type="dxa"/>
          </w:tcPr>
          <w:p w14:paraId="115E4D99" w14:textId="74E5808A" w:rsidR="00F50542" w:rsidRPr="00000498" w:rsidRDefault="00A6189D" w:rsidP="00F50542">
            <w:pPr>
              <w:spacing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Łącznie</w:t>
            </w:r>
          </w:p>
        </w:tc>
      </w:tr>
      <w:tr w:rsidR="00F50542" w:rsidRPr="005331A6" w14:paraId="7F7AD5DF" w14:textId="77777777" w:rsidTr="00BD6D03">
        <w:tc>
          <w:tcPr>
            <w:tcW w:w="1457" w:type="dxa"/>
          </w:tcPr>
          <w:p w14:paraId="189384EA" w14:textId="77777777" w:rsidR="00BD6D03" w:rsidRPr="00000498" w:rsidRDefault="00BD6D03" w:rsidP="00BD6D03">
            <w:pPr>
              <w:spacing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lastRenderedPageBreak/>
              <w:t>EFRR</w:t>
            </w:r>
          </w:p>
          <w:p w14:paraId="47F5DDC0" w14:textId="6E5ED28E" w:rsidR="00DC7A40" w:rsidRPr="00000498" w:rsidRDefault="00BD6D03" w:rsidP="00BD6D03">
            <w:pPr>
              <w:spacing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(cel współpracy terytorialnej)</w:t>
            </w:r>
          </w:p>
        </w:tc>
        <w:tc>
          <w:tcPr>
            <w:tcW w:w="948" w:type="dxa"/>
          </w:tcPr>
          <w:p w14:paraId="3E48FADF" w14:textId="3C02B982" w:rsidR="00F50542" w:rsidRPr="00000498" w:rsidRDefault="005A77C7" w:rsidP="00F50542">
            <w:pPr>
              <w:spacing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b)</w:t>
            </w:r>
          </w:p>
        </w:tc>
        <w:tc>
          <w:tcPr>
            <w:tcW w:w="949" w:type="dxa"/>
          </w:tcPr>
          <w:p w14:paraId="10CD1AFA" w14:textId="6A74FC39" w:rsidR="00F50542" w:rsidRPr="00000498" w:rsidRDefault="005A77C7" w:rsidP="00F50542">
            <w:pPr>
              <w:spacing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b)</w:t>
            </w:r>
          </w:p>
        </w:tc>
        <w:tc>
          <w:tcPr>
            <w:tcW w:w="949" w:type="dxa"/>
          </w:tcPr>
          <w:p w14:paraId="279093C2" w14:textId="7614941F" w:rsidR="00F50542" w:rsidRPr="00000498" w:rsidRDefault="005A77C7" w:rsidP="00F50542">
            <w:pPr>
              <w:spacing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b)</w:t>
            </w:r>
          </w:p>
        </w:tc>
        <w:tc>
          <w:tcPr>
            <w:tcW w:w="949" w:type="dxa"/>
          </w:tcPr>
          <w:p w14:paraId="70813006" w14:textId="0E83583C" w:rsidR="00F50542" w:rsidRPr="00000498" w:rsidRDefault="005A77C7" w:rsidP="00F50542">
            <w:pPr>
              <w:spacing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b)</w:t>
            </w:r>
          </w:p>
        </w:tc>
        <w:tc>
          <w:tcPr>
            <w:tcW w:w="950" w:type="dxa"/>
          </w:tcPr>
          <w:p w14:paraId="271C3903" w14:textId="5FDCA9B8" w:rsidR="00F50542" w:rsidRPr="00000498" w:rsidRDefault="005A77C7" w:rsidP="00F50542">
            <w:pPr>
              <w:spacing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b)</w:t>
            </w:r>
          </w:p>
        </w:tc>
        <w:tc>
          <w:tcPr>
            <w:tcW w:w="951" w:type="dxa"/>
          </w:tcPr>
          <w:p w14:paraId="00C3F20C" w14:textId="2F67F354" w:rsidR="00F50542" w:rsidRPr="00000498" w:rsidRDefault="005A77C7" w:rsidP="00F50542">
            <w:pPr>
              <w:spacing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b)</w:t>
            </w:r>
          </w:p>
        </w:tc>
        <w:tc>
          <w:tcPr>
            <w:tcW w:w="951" w:type="dxa"/>
          </w:tcPr>
          <w:p w14:paraId="7829748C" w14:textId="41EE9E2E" w:rsidR="00F50542" w:rsidRPr="00000498" w:rsidRDefault="005A77C7" w:rsidP="00F50542">
            <w:pPr>
              <w:spacing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b)</w:t>
            </w:r>
          </w:p>
        </w:tc>
        <w:tc>
          <w:tcPr>
            <w:tcW w:w="1216" w:type="dxa"/>
          </w:tcPr>
          <w:p w14:paraId="696915EB" w14:textId="549DABD9" w:rsidR="00F50542" w:rsidRPr="00000498" w:rsidRDefault="00BE6DFA" w:rsidP="00F50542">
            <w:pPr>
              <w:spacing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249,246,776</w:t>
            </w:r>
          </w:p>
        </w:tc>
      </w:tr>
      <w:tr w:rsidR="00F50542" w:rsidRPr="005331A6" w14:paraId="2CE3A15A" w14:textId="77777777" w:rsidTr="00BD6D03">
        <w:tc>
          <w:tcPr>
            <w:tcW w:w="1457" w:type="dxa"/>
          </w:tcPr>
          <w:p w14:paraId="7089968C" w14:textId="77777777" w:rsidR="00F50542" w:rsidRPr="00000498" w:rsidRDefault="00F50542" w:rsidP="00F50542">
            <w:pPr>
              <w:spacing w:after="120" w:line="240" w:lineRule="auto"/>
              <w:jc w:val="both"/>
              <w:rPr>
                <w:rFonts w:asciiTheme="minorHAnsi" w:hAnsiTheme="minorHAnsi" w:cstheme="minorHAnsi"/>
                <w:szCs w:val="24"/>
                <w:lang w:val="pl-PL"/>
              </w:rPr>
            </w:pPr>
            <w:bookmarkStart w:id="121" w:name="OLE_LINK277"/>
            <w:bookmarkStart w:id="122" w:name="OLE_LINK278"/>
            <w:r w:rsidRPr="00000498">
              <w:rPr>
                <w:rFonts w:asciiTheme="minorHAnsi" w:hAnsiTheme="minorHAnsi" w:cstheme="minorHAnsi"/>
                <w:szCs w:val="24"/>
                <w:lang w:val="pl-PL"/>
              </w:rPr>
              <w:t>NDICI</w:t>
            </w:r>
            <w:bookmarkEnd w:id="121"/>
            <w:bookmarkEnd w:id="122"/>
            <w:r w:rsidRPr="00000498">
              <w:rPr>
                <w:rFonts w:asciiTheme="minorHAnsi" w:hAnsiTheme="minorHAnsi" w:cstheme="minorHAnsi"/>
                <w:szCs w:val="24"/>
                <w:vertAlign w:val="superscript"/>
                <w:lang w:val="pl-PL"/>
              </w:rPr>
              <w:footnoteReference w:id="1"/>
            </w:r>
          </w:p>
        </w:tc>
        <w:tc>
          <w:tcPr>
            <w:tcW w:w="948" w:type="dxa"/>
          </w:tcPr>
          <w:p w14:paraId="69617444" w14:textId="77777777" w:rsidR="00F50542" w:rsidRPr="00000498" w:rsidRDefault="00F50542" w:rsidP="00F50542">
            <w:pPr>
              <w:spacing w:after="120" w:line="240" w:lineRule="auto"/>
              <w:jc w:val="both"/>
              <w:rPr>
                <w:rFonts w:asciiTheme="minorHAnsi" w:hAnsiTheme="minorHAnsi" w:cstheme="minorHAnsi"/>
                <w:szCs w:val="24"/>
                <w:lang w:val="pl-PL"/>
              </w:rPr>
            </w:pPr>
          </w:p>
        </w:tc>
        <w:tc>
          <w:tcPr>
            <w:tcW w:w="949" w:type="dxa"/>
          </w:tcPr>
          <w:p w14:paraId="5AB634D6" w14:textId="77777777" w:rsidR="00F50542" w:rsidRPr="00000498" w:rsidRDefault="00F50542" w:rsidP="00F50542">
            <w:pPr>
              <w:spacing w:after="120" w:line="240" w:lineRule="auto"/>
              <w:jc w:val="both"/>
              <w:rPr>
                <w:rFonts w:asciiTheme="minorHAnsi" w:hAnsiTheme="minorHAnsi" w:cstheme="minorHAnsi"/>
                <w:szCs w:val="24"/>
                <w:lang w:val="pl-PL"/>
              </w:rPr>
            </w:pPr>
          </w:p>
        </w:tc>
        <w:tc>
          <w:tcPr>
            <w:tcW w:w="949" w:type="dxa"/>
          </w:tcPr>
          <w:p w14:paraId="1B15D14F" w14:textId="77777777" w:rsidR="00F50542" w:rsidRPr="00000498" w:rsidRDefault="00F50542" w:rsidP="00F50542">
            <w:pPr>
              <w:spacing w:after="120" w:line="240" w:lineRule="auto"/>
              <w:jc w:val="both"/>
              <w:rPr>
                <w:rFonts w:asciiTheme="minorHAnsi" w:hAnsiTheme="minorHAnsi" w:cstheme="minorHAnsi"/>
                <w:szCs w:val="24"/>
                <w:lang w:val="pl-PL"/>
              </w:rPr>
            </w:pPr>
          </w:p>
        </w:tc>
        <w:tc>
          <w:tcPr>
            <w:tcW w:w="949" w:type="dxa"/>
          </w:tcPr>
          <w:p w14:paraId="2F0B75D4" w14:textId="77777777" w:rsidR="00F50542" w:rsidRPr="00000498" w:rsidRDefault="00F50542" w:rsidP="00F50542">
            <w:pPr>
              <w:spacing w:after="120" w:line="240" w:lineRule="auto"/>
              <w:jc w:val="both"/>
              <w:rPr>
                <w:rFonts w:asciiTheme="minorHAnsi" w:hAnsiTheme="minorHAnsi" w:cstheme="minorHAnsi"/>
                <w:szCs w:val="24"/>
                <w:lang w:val="pl-PL"/>
              </w:rPr>
            </w:pPr>
          </w:p>
        </w:tc>
        <w:tc>
          <w:tcPr>
            <w:tcW w:w="950" w:type="dxa"/>
          </w:tcPr>
          <w:p w14:paraId="65B40D58" w14:textId="77777777" w:rsidR="00F50542" w:rsidRPr="00000498" w:rsidRDefault="00F50542" w:rsidP="00F50542">
            <w:pPr>
              <w:spacing w:after="120" w:line="240" w:lineRule="auto"/>
              <w:jc w:val="both"/>
              <w:rPr>
                <w:rFonts w:asciiTheme="minorHAnsi" w:hAnsiTheme="minorHAnsi" w:cstheme="minorHAnsi"/>
                <w:szCs w:val="24"/>
                <w:lang w:val="pl-PL"/>
              </w:rPr>
            </w:pPr>
          </w:p>
        </w:tc>
        <w:tc>
          <w:tcPr>
            <w:tcW w:w="951" w:type="dxa"/>
          </w:tcPr>
          <w:p w14:paraId="4770E62C" w14:textId="77777777" w:rsidR="00F50542" w:rsidRPr="00000498" w:rsidRDefault="00F50542" w:rsidP="00F50542">
            <w:pPr>
              <w:spacing w:after="120" w:line="240" w:lineRule="auto"/>
              <w:jc w:val="both"/>
              <w:rPr>
                <w:rFonts w:asciiTheme="minorHAnsi" w:hAnsiTheme="minorHAnsi" w:cstheme="minorHAnsi"/>
                <w:szCs w:val="24"/>
                <w:lang w:val="pl-PL"/>
              </w:rPr>
            </w:pPr>
          </w:p>
        </w:tc>
        <w:tc>
          <w:tcPr>
            <w:tcW w:w="951" w:type="dxa"/>
          </w:tcPr>
          <w:p w14:paraId="513B13D4" w14:textId="77777777" w:rsidR="00F50542" w:rsidRPr="00000498" w:rsidRDefault="00F50542" w:rsidP="00F50542">
            <w:pPr>
              <w:spacing w:after="120" w:line="240" w:lineRule="auto"/>
              <w:jc w:val="both"/>
              <w:rPr>
                <w:rFonts w:asciiTheme="minorHAnsi" w:hAnsiTheme="minorHAnsi" w:cstheme="minorHAnsi"/>
                <w:szCs w:val="24"/>
                <w:lang w:val="pl-PL"/>
              </w:rPr>
            </w:pPr>
          </w:p>
        </w:tc>
        <w:tc>
          <w:tcPr>
            <w:tcW w:w="1216" w:type="dxa"/>
          </w:tcPr>
          <w:p w14:paraId="627490CB" w14:textId="5A65FCB0" w:rsidR="00F50542" w:rsidRPr="00000498" w:rsidRDefault="005A77C7" w:rsidP="00F50542">
            <w:pPr>
              <w:spacing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c)</w:t>
            </w:r>
          </w:p>
        </w:tc>
      </w:tr>
      <w:tr w:rsidR="00F50542" w:rsidRPr="005331A6" w14:paraId="0F32236F" w14:textId="77777777" w:rsidTr="00BD6D03">
        <w:tc>
          <w:tcPr>
            <w:tcW w:w="1457" w:type="dxa"/>
          </w:tcPr>
          <w:p w14:paraId="7E9E5E0B" w14:textId="0FB70AA4" w:rsidR="00F50542" w:rsidRPr="00000498" w:rsidRDefault="00BD6D03" w:rsidP="00F50542">
            <w:pPr>
              <w:spacing w:after="12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Fundusze Interreg</w:t>
            </w:r>
            <w:r w:rsidR="00F50542" w:rsidRPr="00000498">
              <w:rPr>
                <w:rFonts w:asciiTheme="minorHAnsi" w:hAnsiTheme="minorHAnsi" w:cstheme="minorHAnsi"/>
                <w:szCs w:val="24"/>
                <w:vertAlign w:val="superscript"/>
                <w:lang w:val="pl-PL"/>
              </w:rPr>
              <w:footnoteReference w:id="2"/>
            </w:r>
            <w:r w:rsidR="005A77C7" w:rsidRPr="00000498">
              <w:rPr>
                <w:rFonts w:asciiTheme="minorHAnsi" w:hAnsiTheme="minorHAnsi" w:cstheme="minorHAnsi"/>
                <w:szCs w:val="24"/>
                <w:lang w:val="pl-PL"/>
              </w:rPr>
              <w:t xml:space="preserve">    a)</w:t>
            </w:r>
          </w:p>
        </w:tc>
        <w:tc>
          <w:tcPr>
            <w:tcW w:w="948" w:type="dxa"/>
          </w:tcPr>
          <w:p w14:paraId="1C8ABE1D" w14:textId="77777777" w:rsidR="00F50542" w:rsidRPr="00000498" w:rsidRDefault="00F50542" w:rsidP="00F50542">
            <w:pPr>
              <w:spacing w:after="120" w:line="240" w:lineRule="auto"/>
              <w:jc w:val="both"/>
              <w:rPr>
                <w:rFonts w:asciiTheme="minorHAnsi" w:hAnsiTheme="minorHAnsi" w:cstheme="minorHAnsi"/>
                <w:szCs w:val="24"/>
                <w:lang w:val="pl-PL"/>
              </w:rPr>
            </w:pPr>
          </w:p>
        </w:tc>
        <w:tc>
          <w:tcPr>
            <w:tcW w:w="949" w:type="dxa"/>
          </w:tcPr>
          <w:p w14:paraId="11AC2A97" w14:textId="77777777" w:rsidR="00F50542" w:rsidRPr="00000498" w:rsidRDefault="00F50542" w:rsidP="00F50542">
            <w:pPr>
              <w:spacing w:after="120" w:line="240" w:lineRule="auto"/>
              <w:jc w:val="both"/>
              <w:rPr>
                <w:rFonts w:asciiTheme="minorHAnsi" w:hAnsiTheme="minorHAnsi" w:cstheme="minorHAnsi"/>
                <w:szCs w:val="24"/>
                <w:lang w:val="pl-PL"/>
              </w:rPr>
            </w:pPr>
          </w:p>
        </w:tc>
        <w:tc>
          <w:tcPr>
            <w:tcW w:w="949" w:type="dxa"/>
          </w:tcPr>
          <w:p w14:paraId="14EAA459" w14:textId="77777777" w:rsidR="00F50542" w:rsidRPr="00000498" w:rsidRDefault="00F50542" w:rsidP="00F50542">
            <w:pPr>
              <w:spacing w:after="120" w:line="240" w:lineRule="auto"/>
              <w:jc w:val="both"/>
              <w:rPr>
                <w:rFonts w:asciiTheme="minorHAnsi" w:hAnsiTheme="minorHAnsi" w:cstheme="minorHAnsi"/>
                <w:szCs w:val="24"/>
                <w:lang w:val="pl-PL"/>
              </w:rPr>
            </w:pPr>
          </w:p>
        </w:tc>
        <w:tc>
          <w:tcPr>
            <w:tcW w:w="949" w:type="dxa"/>
          </w:tcPr>
          <w:p w14:paraId="08AF945F" w14:textId="77777777" w:rsidR="00F50542" w:rsidRPr="00000498" w:rsidRDefault="00F50542" w:rsidP="00F50542">
            <w:pPr>
              <w:spacing w:after="120" w:line="240" w:lineRule="auto"/>
              <w:jc w:val="both"/>
              <w:rPr>
                <w:rFonts w:asciiTheme="minorHAnsi" w:hAnsiTheme="minorHAnsi" w:cstheme="minorHAnsi"/>
                <w:szCs w:val="24"/>
                <w:lang w:val="pl-PL"/>
              </w:rPr>
            </w:pPr>
          </w:p>
        </w:tc>
        <w:tc>
          <w:tcPr>
            <w:tcW w:w="950" w:type="dxa"/>
          </w:tcPr>
          <w:p w14:paraId="52DBB02A" w14:textId="77777777" w:rsidR="00F50542" w:rsidRPr="00000498" w:rsidRDefault="00F50542" w:rsidP="00F50542">
            <w:pPr>
              <w:spacing w:after="120" w:line="240" w:lineRule="auto"/>
              <w:jc w:val="both"/>
              <w:rPr>
                <w:rFonts w:asciiTheme="minorHAnsi" w:hAnsiTheme="minorHAnsi" w:cstheme="minorHAnsi"/>
                <w:szCs w:val="24"/>
                <w:lang w:val="pl-PL"/>
              </w:rPr>
            </w:pPr>
          </w:p>
        </w:tc>
        <w:tc>
          <w:tcPr>
            <w:tcW w:w="951" w:type="dxa"/>
          </w:tcPr>
          <w:p w14:paraId="5102292D" w14:textId="77777777" w:rsidR="00F50542" w:rsidRPr="00000498" w:rsidRDefault="00F50542" w:rsidP="00F50542">
            <w:pPr>
              <w:spacing w:after="120" w:line="240" w:lineRule="auto"/>
              <w:jc w:val="both"/>
              <w:rPr>
                <w:rFonts w:asciiTheme="minorHAnsi" w:hAnsiTheme="minorHAnsi" w:cstheme="minorHAnsi"/>
                <w:szCs w:val="24"/>
                <w:lang w:val="pl-PL"/>
              </w:rPr>
            </w:pPr>
          </w:p>
        </w:tc>
        <w:tc>
          <w:tcPr>
            <w:tcW w:w="951" w:type="dxa"/>
          </w:tcPr>
          <w:p w14:paraId="5AF28F18" w14:textId="77777777" w:rsidR="00F50542" w:rsidRPr="00000498" w:rsidRDefault="00F50542" w:rsidP="00F50542">
            <w:pPr>
              <w:spacing w:after="120" w:line="240" w:lineRule="auto"/>
              <w:jc w:val="both"/>
              <w:rPr>
                <w:rFonts w:asciiTheme="minorHAnsi" w:hAnsiTheme="minorHAnsi" w:cstheme="minorHAnsi"/>
                <w:szCs w:val="24"/>
                <w:lang w:val="pl-PL"/>
              </w:rPr>
            </w:pPr>
          </w:p>
        </w:tc>
        <w:tc>
          <w:tcPr>
            <w:tcW w:w="1216" w:type="dxa"/>
          </w:tcPr>
          <w:p w14:paraId="26686D34" w14:textId="77777777" w:rsidR="00F50542" w:rsidRPr="00000498" w:rsidRDefault="00F50542" w:rsidP="00F50542">
            <w:pPr>
              <w:spacing w:after="120" w:line="240" w:lineRule="auto"/>
              <w:jc w:val="both"/>
              <w:rPr>
                <w:rFonts w:asciiTheme="minorHAnsi" w:hAnsiTheme="minorHAnsi" w:cstheme="minorHAnsi"/>
                <w:szCs w:val="24"/>
                <w:lang w:val="pl-PL"/>
              </w:rPr>
            </w:pPr>
          </w:p>
        </w:tc>
      </w:tr>
      <w:tr w:rsidR="00F50542" w:rsidRPr="005331A6" w14:paraId="3669A2C3" w14:textId="77777777" w:rsidTr="00BD6D03">
        <w:tc>
          <w:tcPr>
            <w:tcW w:w="1457" w:type="dxa"/>
          </w:tcPr>
          <w:p w14:paraId="11860E01" w14:textId="5E755A7E" w:rsidR="00F50542" w:rsidRPr="00000498" w:rsidRDefault="00BD6D03" w:rsidP="00F50542">
            <w:pPr>
              <w:spacing w:after="12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Łącznie</w:t>
            </w:r>
            <w:r w:rsidR="00F50542" w:rsidRPr="00000498">
              <w:rPr>
                <w:rFonts w:asciiTheme="minorHAnsi" w:hAnsiTheme="minorHAnsi" w:cstheme="minorHAnsi"/>
                <w:b/>
                <w:szCs w:val="24"/>
                <w:lang w:val="pl-PL"/>
              </w:rPr>
              <w:t xml:space="preserve"> </w:t>
            </w:r>
          </w:p>
        </w:tc>
        <w:tc>
          <w:tcPr>
            <w:tcW w:w="948" w:type="dxa"/>
          </w:tcPr>
          <w:p w14:paraId="5ED3E413" w14:textId="77777777" w:rsidR="00F50542" w:rsidRPr="00000498" w:rsidRDefault="00F50542" w:rsidP="00F50542">
            <w:pPr>
              <w:spacing w:after="120" w:line="240" w:lineRule="auto"/>
              <w:jc w:val="both"/>
              <w:rPr>
                <w:rFonts w:asciiTheme="minorHAnsi" w:hAnsiTheme="minorHAnsi" w:cstheme="minorHAnsi"/>
                <w:szCs w:val="24"/>
                <w:lang w:val="pl-PL"/>
              </w:rPr>
            </w:pPr>
          </w:p>
        </w:tc>
        <w:tc>
          <w:tcPr>
            <w:tcW w:w="949" w:type="dxa"/>
          </w:tcPr>
          <w:p w14:paraId="01E19116" w14:textId="77777777" w:rsidR="00F50542" w:rsidRPr="00000498" w:rsidRDefault="00F50542" w:rsidP="00F50542">
            <w:pPr>
              <w:spacing w:after="120" w:line="240" w:lineRule="auto"/>
              <w:jc w:val="both"/>
              <w:rPr>
                <w:rFonts w:asciiTheme="minorHAnsi" w:hAnsiTheme="minorHAnsi" w:cstheme="minorHAnsi"/>
                <w:szCs w:val="24"/>
                <w:lang w:val="pl-PL"/>
              </w:rPr>
            </w:pPr>
          </w:p>
        </w:tc>
        <w:tc>
          <w:tcPr>
            <w:tcW w:w="949" w:type="dxa"/>
          </w:tcPr>
          <w:p w14:paraId="4587A6D9" w14:textId="77777777" w:rsidR="00F50542" w:rsidRPr="00000498" w:rsidRDefault="00F50542" w:rsidP="00F50542">
            <w:pPr>
              <w:spacing w:after="120" w:line="240" w:lineRule="auto"/>
              <w:jc w:val="both"/>
              <w:rPr>
                <w:rFonts w:asciiTheme="minorHAnsi" w:hAnsiTheme="minorHAnsi" w:cstheme="minorHAnsi"/>
                <w:szCs w:val="24"/>
                <w:lang w:val="pl-PL"/>
              </w:rPr>
            </w:pPr>
          </w:p>
        </w:tc>
        <w:tc>
          <w:tcPr>
            <w:tcW w:w="949" w:type="dxa"/>
          </w:tcPr>
          <w:p w14:paraId="0018B2F9" w14:textId="77777777" w:rsidR="00F50542" w:rsidRPr="00000498" w:rsidRDefault="00F50542" w:rsidP="00F50542">
            <w:pPr>
              <w:spacing w:after="120" w:line="240" w:lineRule="auto"/>
              <w:jc w:val="both"/>
              <w:rPr>
                <w:rFonts w:asciiTheme="minorHAnsi" w:hAnsiTheme="minorHAnsi" w:cstheme="minorHAnsi"/>
                <w:szCs w:val="24"/>
                <w:lang w:val="pl-PL"/>
              </w:rPr>
            </w:pPr>
          </w:p>
        </w:tc>
        <w:tc>
          <w:tcPr>
            <w:tcW w:w="950" w:type="dxa"/>
          </w:tcPr>
          <w:p w14:paraId="4E96A04C" w14:textId="77777777" w:rsidR="00F50542" w:rsidRPr="00000498" w:rsidRDefault="00F50542" w:rsidP="00F50542">
            <w:pPr>
              <w:spacing w:after="120" w:line="240" w:lineRule="auto"/>
              <w:jc w:val="both"/>
              <w:rPr>
                <w:rFonts w:asciiTheme="minorHAnsi" w:hAnsiTheme="minorHAnsi" w:cstheme="minorHAnsi"/>
                <w:szCs w:val="24"/>
                <w:lang w:val="pl-PL"/>
              </w:rPr>
            </w:pPr>
          </w:p>
        </w:tc>
        <w:tc>
          <w:tcPr>
            <w:tcW w:w="951" w:type="dxa"/>
          </w:tcPr>
          <w:p w14:paraId="0390530A" w14:textId="77777777" w:rsidR="00F50542" w:rsidRPr="00000498" w:rsidRDefault="00F50542" w:rsidP="00F50542">
            <w:pPr>
              <w:spacing w:after="120" w:line="240" w:lineRule="auto"/>
              <w:jc w:val="both"/>
              <w:rPr>
                <w:rFonts w:asciiTheme="minorHAnsi" w:hAnsiTheme="minorHAnsi" w:cstheme="minorHAnsi"/>
                <w:szCs w:val="24"/>
                <w:lang w:val="pl-PL"/>
              </w:rPr>
            </w:pPr>
          </w:p>
        </w:tc>
        <w:tc>
          <w:tcPr>
            <w:tcW w:w="951" w:type="dxa"/>
          </w:tcPr>
          <w:p w14:paraId="52CE5610" w14:textId="77777777" w:rsidR="00F50542" w:rsidRPr="00000498" w:rsidRDefault="00F50542" w:rsidP="00F50542">
            <w:pPr>
              <w:spacing w:after="120" w:line="240" w:lineRule="auto"/>
              <w:jc w:val="both"/>
              <w:rPr>
                <w:rFonts w:asciiTheme="minorHAnsi" w:hAnsiTheme="minorHAnsi" w:cstheme="minorHAnsi"/>
                <w:szCs w:val="24"/>
                <w:lang w:val="pl-PL"/>
              </w:rPr>
            </w:pPr>
          </w:p>
        </w:tc>
        <w:tc>
          <w:tcPr>
            <w:tcW w:w="1216" w:type="dxa"/>
          </w:tcPr>
          <w:p w14:paraId="50C87CD4" w14:textId="77777777" w:rsidR="00F50542" w:rsidRPr="00000498" w:rsidRDefault="00F50542" w:rsidP="00F50542">
            <w:pPr>
              <w:spacing w:after="120" w:line="240" w:lineRule="auto"/>
              <w:jc w:val="both"/>
              <w:rPr>
                <w:rFonts w:asciiTheme="minorHAnsi" w:hAnsiTheme="minorHAnsi" w:cstheme="minorHAnsi"/>
                <w:szCs w:val="24"/>
                <w:lang w:val="pl-PL"/>
              </w:rPr>
            </w:pPr>
          </w:p>
        </w:tc>
      </w:tr>
    </w:tbl>
    <w:p w14:paraId="256ACD08" w14:textId="5DF06C0B" w:rsidR="005A77C7" w:rsidRPr="00000498" w:rsidRDefault="00BD6D03" w:rsidP="00000498">
      <w:pPr>
        <w:spacing w:before="240" w:after="240" w:line="276" w:lineRule="auto"/>
        <w:rPr>
          <w:rFonts w:asciiTheme="minorHAnsi" w:eastAsia="Times New Roman" w:hAnsiTheme="minorHAnsi" w:cstheme="minorHAnsi"/>
          <w:bCs/>
          <w:iCs/>
          <w:szCs w:val="24"/>
          <w:lang w:val="en-IE" w:eastAsia="en-GB"/>
        </w:rPr>
      </w:pPr>
      <w:r w:rsidRPr="00000498">
        <w:rPr>
          <w:rFonts w:asciiTheme="minorHAnsi" w:eastAsia="Times New Roman" w:hAnsiTheme="minorHAnsi" w:cstheme="minorHAnsi"/>
          <w:bCs/>
          <w:iCs/>
          <w:szCs w:val="24"/>
          <w:lang w:val="pl-PL" w:eastAsia="en-GB"/>
        </w:rPr>
        <w:t>Komentarze IZ/WS</w:t>
      </w:r>
      <w:r w:rsidR="00BE6DFA" w:rsidRPr="00000498">
        <w:rPr>
          <w:rFonts w:asciiTheme="minorHAnsi" w:eastAsia="Times New Roman" w:hAnsiTheme="minorHAnsi" w:cstheme="minorHAnsi"/>
          <w:bCs/>
          <w:iCs/>
          <w:szCs w:val="24"/>
          <w:lang w:val="en-IE" w:eastAsia="en-GB"/>
        </w:rPr>
        <w:t xml:space="preserve">: </w:t>
      </w:r>
    </w:p>
    <w:p w14:paraId="3E8BB767" w14:textId="1A2490B7" w:rsidR="00BD6D03" w:rsidRPr="00000498" w:rsidRDefault="00BD6D03" w:rsidP="00000498">
      <w:pPr>
        <w:pStyle w:val="Akapitzlist"/>
        <w:numPr>
          <w:ilvl w:val="0"/>
          <w:numId w:val="12"/>
        </w:numPr>
        <w:spacing w:before="240" w:after="240"/>
        <w:rPr>
          <w:rFonts w:eastAsia="Times New Roman" w:cstheme="minorHAnsi"/>
          <w:bCs/>
          <w:iCs/>
          <w:sz w:val="24"/>
          <w:szCs w:val="24"/>
          <w:lang w:val="pl-PL" w:eastAsia="en-GB"/>
        </w:rPr>
      </w:pPr>
      <w:r w:rsidRPr="00000498">
        <w:rPr>
          <w:rFonts w:eastAsia="Times New Roman" w:cstheme="minorHAnsi"/>
          <w:bCs/>
          <w:iCs/>
          <w:sz w:val="24"/>
          <w:szCs w:val="24"/>
          <w:lang w:val="pl-PL" w:eastAsia="en-GB"/>
        </w:rPr>
        <w:t>zgodnie z projektem rozporządzenia to program wybiera połączenie lub podział źródeł finansowania. IZ/WS proponuje oddzielenie źródeł finansowania tak, jak miało to miejsce w przeszłości. W związku z tym, ostatnia kolumna Fundusze Interreg zostanie usunięta w ostatecznej wersji;</w:t>
      </w:r>
    </w:p>
    <w:p w14:paraId="1107C9BB" w14:textId="7E3F060E" w:rsidR="00BD6D03" w:rsidRPr="00000498" w:rsidRDefault="00BD6D03" w:rsidP="00000498">
      <w:pPr>
        <w:pStyle w:val="Akapitzlist"/>
        <w:numPr>
          <w:ilvl w:val="0"/>
          <w:numId w:val="12"/>
        </w:numPr>
        <w:spacing w:before="240" w:after="240"/>
        <w:rPr>
          <w:rFonts w:eastAsia="Times New Roman" w:cstheme="minorHAnsi"/>
          <w:bCs/>
          <w:iCs/>
          <w:sz w:val="24"/>
          <w:szCs w:val="24"/>
          <w:lang w:val="pl-PL" w:eastAsia="en-GB"/>
        </w:rPr>
      </w:pPr>
      <w:r w:rsidRPr="00000498">
        <w:rPr>
          <w:rFonts w:eastAsia="Times New Roman" w:cstheme="minorHAnsi"/>
          <w:bCs/>
          <w:iCs/>
          <w:sz w:val="24"/>
          <w:szCs w:val="24"/>
          <w:lang w:val="pl-PL" w:eastAsia="en-GB"/>
        </w:rPr>
        <w:t>podział na lata nie był dostępny w momencie sporządzania niniejszego dokumentu, zostanie on zakończony po opublikowaniu ostatecznych alokacji przez Komisję Europejską;</w:t>
      </w:r>
    </w:p>
    <w:p w14:paraId="7CB8D82D" w14:textId="52D83E5F" w:rsidR="00D65E32" w:rsidRPr="00000498" w:rsidRDefault="00BD6D03" w:rsidP="00000498">
      <w:pPr>
        <w:pStyle w:val="Akapitzlist"/>
        <w:numPr>
          <w:ilvl w:val="0"/>
          <w:numId w:val="12"/>
        </w:numPr>
        <w:spacing w:before="240" w:after="240"/>
        <w:rPr>
          <w:rFonts w:eastAsia="Times New Roman" w:cstheme="minorHAnsi"/>
          <w:bCs/>
          <w:iCs/>
          <w:sz w:val="24"/>
          <w:szCs w:val="24"/>
          <w:lang w:val="pl-PL" w:eastAsia="en-GB"/>
        </w:rPr>
      </w:pPr>
      <w:r w:rsidRPr="00000498">
        <w:rPr>
          <w:rFonts w:eastAsia="Times New Roman" w:cstheme="minorHAnsi"/>
          <w:bCs/>
          <w:iCs/>
          <w:sz w:val="24"/>
          <w:szCs w:val="24"/>
          <w:lang w:val="pl-PL" w:eastAsia="en-GB"/>
        </w:rPr>
        <w:t>kwota dofinansowania NDICI nie była dostępna w momencie przygotowywania niniejszego dokumentu zostanie dodana po opublikowaniu ostatecznych alokacji przez Komisję Europejską</w:t>
      </w:r>
      <w:r w:rsidR="00D65E32" w:rsidRPr="00000498">
        <w:rPr>
          <w:rFonts w:eastAsia="Times New Roman" w:cstheme="minorHAnsi"/>
          <w:bCs/>
          <w:iCs/>
          <w:sz w:val="24"/>
          <w:szCs w:val="24"/>
          <w:lang w:val="pl-PL" w:eastAsia="en-GB"/>
        </w:rPr>
        <w:t>.</w:t>
      </w:r>
    </w:p>
    <w:p w14:paraId="0D95F333" w14:textId="2D0E6F2E" w:rsidR="00F50542" w:rsidRPr="00000498" w:rsidRDefault="004312FC" w:rsidP="000E6D89">
      <w:pPr>
        <w:pStyle w:val="Nagwek2"/>
        <w:rPr>
          <w:rFonts w:eastAsia="Times New Roman"/>
          <w:lang w:val="pl-PL" w:eastAsia="en-GB"/>
        </w:rPr>
      </w:pPr>
      <w:bookmarkStart w:id="125" w:name="_Toc73432994"/>
      <w:r>
        <w:rPr>
          <w:rFonts w:eastAsia="Times New Roman"/>
          <w:lang w:val="pl-PL" w:eastAsia="en-GB"/>
        </w:rPr>
        <w:t xml:space="preserve">3.2 </w:t>
      </w:r>
      <w:r w:rsidR="00BD6D03" w:rsidRPr="00000498">
        <w:rPr>
          <w:rFonts w:eastAsia="Times New Roman"/>
          <w:lang w:val="pl-PL" w:eastAsia="en-GB"/>
        </w:rPr>
        <w:t>Całkowite środki finansowe według funduszu i współfinansowania krajowego</w:t>
      </w:r>
      <w:bookmarkEnd w:id="125"/>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F50542" w:rsidRPr="009552D1" w14:paraId="155C0CA4" w14:textId="77777777" w:rsidTr="00EE1A8F">
        <w:tc>
          <w:tcPr>
            <w:tcW w:w="9288" w:type="dxa"/>
          </w:tcPr>
          <w:p w14:paraId="4C9FB5A2" w14:textId="5A2B0A41" w:rsidR="00F50542" w:rsidRPr="00000498" w:rsidRDefault="00BD6D03" w:rsidP="00000498">
            <w:pPr>
              <w:spacing w:line="276" w:lineRule="auto"/>
              <w:rPr>
                <w:rFonts w:asciiTheme="minorHAnsi" w:hAnsiTheme="minorHAnsi" w:cstheme="minorHAnsi"/>
                <w:szCs w:val="24"/>
                <w:lang w:val="en-IE"/>
              </w:rPr>
            </w:pPr>
            <w:r w:rsidRPr="00000498">
              <w:rPr>
                <w:rFonts w:asciiTheme="minorHAnsi" w:eastAsia="Times New Roman" w:hAnsiTheme="minorHAnsi" w:cstheme="minorHAnsi"/>
                <w:szCs w:val="24"/>
                <w:lang w:val="en-IE" w:eastAsia="en-GB"/>
              </w:rPr>
              <w:t>Dotyczy: art. 17 ust. 4 lit. g) ppkt (ii), art. 17 ust. 5 lit. a)</w:t>
            </w:r>
          </w:p>
          <w:p w14:paraId="2607D3FB" w14:textId="77777777" w:rsidR="00F50542" w:rsidRPr="00000498" w:rsidRDefault="00F50542" w:rsidP="00000498">
            <w:pPr>
              <w:spacing w:line="276" w:lineRule="auto"/>
              <w:rPr>
                <w:rFonts w:asciiTheme="minorHAnsi" w:hAnsiTheme="minorHAnsi" w:cstheme="minorHAnsi"/>
                <w:szCs w:val="24"/>
                <w:lang w:val="en-IE"/>
              </w:rPr>
            </w:pPr>
          </w:p>
        </w:tc>
      </w:tr>
    </w:tbl>
    <w:p w14:paraId="075DBBDC" w14:textId="77777777" w:rsidR="00F50542" w:rsidRPr="00F879CC" w:rsidRDefault="00F50542" w:rsidP="00F50542">
      <w:pPr>
        <w:spacing w:after="120" w:line="240" w:lineRule="auto"/>
        <w:jc w:val="both"/>
        <w:rPr>
          <w:rFonts w:asciiTheme="minorHAnsi" w:eastAsia="Times New Roman" w:hAnsiTheme="minorHAnsi" w:cstheme="minorHAnsi"/>
          <w:szCs w:val="24"/>
          <w:lang w:val="en-IE" w:eastAsia="en-GB"/>
        </w:rPr>
        <w:sectPr w:rsidR="00F50542" w:rsidRPr="00F879CC" w:rsidSect="004421D3">
          <w:footerReference w:type="default" r:id="rId9"/>
          <w:pgSz w:w="11906" w:h="16838"/>
          <w:pgMar w:top="993" w:right="1417" w:bottom="1135" w:left="1417" w:header="708" w:footer="708" w:gutter="0"/>
          <w:cols w:space="720"/>
          <w:docGrid w:linePitch="360"/>
        </w:sectPr>
      </w:pPr>
    </w:p>
    <w:p w14:paraId="31FC96F4" w14:textId="55EBDAC1" w:rsidR="00F50542" w:rsidRPr="00000498" w:rsidRDefault="00871A6C" w:rsidP="00000498">
      <w:pPr>
        <w:spacing w:after="12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lastRenderedPageBreak/>
        <w:t>Tabela</w:t>
      </w:r>
      <w:r w:rsidR="00F50542" w:rsidRPr="00000498">
        <w:rPr>
          <w:rFonts w:asciiTheme="minorHAnsi" w:eastAsia="Times New Roman" w:hAnsiTheme="minorHAnsi" w:cstheme="minorHAnsi"/>
          <w:szCs w:val="24"/>
          <w:lang w:val="pl-PL" w:eastAsia="en-GB"/>
        </w:rPr>
        <w:t xml:space="preserve"> 8</w:t>
      </w:r>
      <w:r w:rsidR="00F50542" w:rsidRPr="00000498">
        <w:rPr>
          <w:rFonts w:asciiTheme="minorHAnsi" w:eastAsia="Times New Roman" w:hAnsiTheme="minorHAnsi" w:cstheme="minorHAnsi"/>
          <w:b/>
          <w:bCs/>
          <w:strike/>
          <w:szCs w:val="24"/>
          <w:vertAlign w:val="superscript"/>
          <w:lang w:val="pl-PL" w:eastAsia="en-GB"/>
        </w:rPr>
        <w:sym w:font="Symbol" w:char="F02A"/>
      </w:r>
    </w:p>
    <w:tbl>
      <w:tblPr>
        <w:tblStyle w:val="TableGrid1"/>
        <w:tblW w:w="4529" w:type="pct"/>
        <w:jc w:val="center"/>
        <w:tblLook w:val="04A0" w:firstRow="1" w:lastRow="0" w:firstColumn="1" w:lastColumn="0" w:noHBand="0" w:noVBand="1"/>
        <w:tblCaption w:val="Tabela dotycząca kwestii rachunkowych"/>
      </w:tblPr>
      <w:tblGrid>
        <w:gridCol w:w="818"/>
        <w:gridCol w:w="1104"/>
        <w:gridCol w:w="1334"/>
        <w:gridCol w:w="1502"/>
        <w:gridCol w:w="916"/>
        <w:gridCol w:w="1246"/>
        <w:gridCol w:w="1159"/>
        <w:gridCol w:w="1167"/>
        <w:gridCol w:w="1253"/>
        <w:gridCol w:w="1814"/>
        <w:gridCol w:w="1830"/>
      </w:tblGrid>
      <w:tr w:rsidR="00F50542" w:rsidRPr="00367EF1" w14:paraId="768ACCB0" w14:textId="77777777" w:rsidTr="00000498">
        <w:trPr>
          <w:jc w:val="center"/>
        </w:trPr>
        <w:tc>
          <w:tcPr>
            <w:tcW w:w="380" w:type="pct"/>
            <w:vMerge w:val="restart"/>
          </w:tcPr>
          <w:p w14:paraId="4237D2AD" w14:textId="35B36814" w:rsidR="00F50542" w:rsidRPr="00000498" w:rsidRDefault="007D5E10" w:rsidP="00364349">
            <w:pPr>
              <w:spacing w:after="6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 xml:space="preserve">Nr </w:t>
            </w:r>
            <w:r w:rsidR="00645BA4" w:rsidRPr="00000498">
              <w:rPr>
                <w:rFonts w:asciiTheme="minorHAnsi" w:hAnsiTheme="minorHAnsi" w:cstheme="minorHAnsi"/>
                <w:b/>
                <w:szCs w:val="24"/>
                <w:lang w:val="pl-PL"/>
              </w:rPr>
              <w:t>CP</w:t>
            </w:r>
            <w:r w:rsidRPr="00000498">
              <w:rPr>
                <w:rFonts w:asciiTheme="minorHAnsi" w:hAnsiTheme="minorHAnsi" w:cstheme="minorHAnsi"/>
                <w:b/>
                <w:szCs w:val="24"/>
                <w:lang w:val="pl-PL"/>
              </w:rPr>
              <w:t xml:space="preserve"> lub</w:t>
            </w:r>
            <w:r w:rsidR="00645BA4" w:rsidRPr="00000498">
              <w:rPr>
                <w:rFonts w:asciiTheme="minorHAnsi" w:hAnsiTheme="minorHAnsi" w:cstheme="minorHAnsi"/>
                <w:b/>
                <w:szCs w:val="24"/>
                <w:lang w:val="pl-PL"/>
              </w:rPr>
              <w:t xml:space="preserve"> </w:t>
            </w:r>
            <w:r w:rsidR="00570207" w:rsidRPr="00000498">
              <w:rPr>
                <w:rFonts w:asciiTheme="minorHAnsi" w:hAnsiTheme="minorHAnsi" w:cstheme="minorHAnsi"/>
                <w:b/>
                <w:szCs w:val="24"/>
                <w:lang w:val="pl-PL"/>
              </w:rPr>
              <w:t>PT</w:t>
            </w:r>
          </w:p>
        </w:tc>
        <w:tc>
          <w:tcPr>
            <w:tcW w:w="402" w:type="pct"/>
            <w:vMerge w:val="restart"/>
          </w:tcPr>
          <w:p w14:paraId="729A0DFD" w14:textId="03092AE2" w:rsidR="00F50542" w:rsidRPr="00000498" w:rsidRDefault="00813365" w:rsidP="00F50542">
            <w:pPr>
              <w:spacing w:after="6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Priorytet</w:t>
            </w:r>
          </w:p>
        </w:tc>
        <w:tc>
          <w:tcPr>
            <w:tcW w:w="502" w:type="pct"/>
            <w:vMerge w:val="restart"/>
          </w:tcPr>
          <w:p w14:paraId="1B178645" w14:textId="47C037A9" w:rsidR="00F50542" w:rsidRPr="00000498" w:rsidRDefault="00F50542" w:rsidP="00F50542">
            <w:pPr>
              <w:spacing w:after="6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Fund</w:t>
            </w:r>
            <w:r w:rsidR="007D5E10" w:rsidRPr="00000498">
              <w:rPr>
                <w:rFonts w:asciiTheme="minorHAnsi" w:hAnsiTheme="minorHAnsi" w:cstheme="minorHAnsi"/>
                <w:b/>
                <w:szCs w:val="24"/>
                <w:lang w:val="pl-PL"/>
              </w:rPr>
              <w:t>usz</w:t>
            </w:r>
          </w:p>
          <w:p w14:paraId="7086B325" w14:textId="5174EE27" w:rsidR="00F50542" w:rsidRPr="00000498" w:rsidRDefault="00F50542" w:rsidP="00F50542">
            <w:pPr>
              <w:spacing w:after="6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w:t>
            </w:r>
            <w:r w:rsidR="007D5E10" w:rsidRPr="00000498">
              <w:rPr>
                <w:rFonts w:asciiTheme="minorHAnsi" w:hAnsiTheme="minorHAnsi" w:cstheme="minorHAnsi"/>
                <w:b/>
                <w:szCs w:val="24"/>
                <w:lang w:val="pl-PL"/>
              </w:rPr>
              <w:t>stosownie do przypadku</w:t>
            </w:r>
            <w:r w:rsidRPr="00000498">
              <w:rPr>
                <w:rFonts w:asciiTheme="minorHAnsi" w:hAnsiTheme="minorHAnsi" w:cstheme="minorHAnsi"/>
                <w:b/>
                <w:szCs w:val="24"/>
                <w:lang w:val="pl-PL"/>
              </w:rPr>
              <w:t>)</w:t>
            </w:r>
          </w:p>
        </w:tc>
        <w:tc>
          <w:tcPr>
            <w:tcW w:w="498" w:type="pct"/>
            <w:vMerge w:val="restart"/>
          </w:tcPr>
          <w:p w14:paraId="7A93877A" w14:textId="45EE8541" w:rsidR="00F50542" w:rsidRPr="00000498" w:rsidRDefault="007D5E10" w:rsidP="00F50542">
            <w:pPr>
              <w:spacing w:after="60" w:line="240" w:lineRule="auto"/>
              <w:jc w:val="both"/>
              <w:rPr>
                <w:rFonts w:asciiTheme="minorHAnsi" w:hAnsiTheme="minorHAnsi" w:cstheme="minorHAnsi"/>
                <w:b/>
                <w:szCs w:val="24"/>
                <w:lang w:val="pl-PL"/>
              </w:rPr>
            </w:pPr>
            <w:bookmarkStart w:id="126" w:name="OLE_LINK281"/>
            <w:bookmarkStart w:id="127" w:name="OLE_LINK282"/>
            <w:r w:rsidRPr="00000498">
              <w:rPr>
                <w:rFonts w:asciiTheme="minorHAnsi" w:hAnsiTheme="minorHAnsi" w:cstheme="minorHAnsi"/>
                <w:b/>
                <w:szCs w:val="24"/>
                <w:lang w:val="pl-PL"/>
              </w:rPr>
              <w:t>Podstawa obliczenia wsparcia UE (całkowitego lub publicznego</w:t>
            </w:r>
            <w:r w:rsidR="00F50542" w:rsidRPr="00000498">
              <w:rPr>
                <w:rFonts w:asciiTheme="minorHAnsi" w:hAnsiTheme="minorHAnsi" w:cstheme="minorHAnsi"/>
                <w:b/>
                <w:szCs w:val="24"/>
                <w:lang w:val="pl-PL"/>
              </w:rPr>
              <w:t>)</w:t>
            </w:r>
            <w:bookmarkEnd w:id="126"/>
            <w:bookmarkEnd w:id="127"/>
          </w:p>
        </w:tc>
        <w:tc>
          <w:tcPr>
            <w:tcW w:w="551" w:type="pct"/>
            <w:vMerge w:val="restart"/>
          </w:tcPr>
          <w:p w14:paraId="08C14909" w14:textId="02BBD9B2" w:rsidR="00F50542" w:rsidRPr="00000498" w:rsidRDefault="007D5E10" w:rsidP="00F50542">
            <w:pPr>
              <w:spacing w:after="6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Wkład UE</w:t>
            </w:r>
          </w:p>
          <w:p w14:paraId="7A1B9F87" w14:textId="77777777" w:rsidR="00F50542" w:rsidRPr="00000498" w:rsidRDefault="00F50542" w:rsidP="00F50542">
            <w:pPr>
              <w:spacing w:after="60" w:line="240" w:lineRule="auto"/>
              <w:jc w:val="both"/>
              <w:rPr>
                <w:rFonts w:asciiTheme="minorHAnsi" w:hAnsiTheme="minorHAnsi" w:cstheme="minorHAnsi"/>
                <w:b/>
                <w:szCs w:val="24"/>
                <w:lang w:val="pl-PL"/>
              </w:rPr>
            </w:pPr>
            <w:r w:rsidRPr="00000498">
              <w:rPr>
                <w:rFonts w:asciiTheme="minorHAnsi" w:hAnsiTheme="minorHAnsi" w:cstheme="minorHAnsi"/>
                <w:szCs w:val="24"/>
                <w:lang w:val="pl-PL"/>
              </w:rPr>
              <w:t>(a)</w:t>
            </w:r>
          </w:p>
        </w:tc>
        <w:tc>
          <w:tcPr>
            <w:tcW w:w="527" w:type="pct"/>
            <w:vMerge w:val="restart"/>
          </w:tcPr>
          <w:p w14:paraId="10C40644" w14:textId="3D5D9E5F" w:rsidR="00F50542" w:rsidRPr="00000498" w:rsidRDefault="007D5E10" w:rsidP="00F50542">
            <w:pPr>
              <w:spacing w:after="6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Wkład krajowy</w:t>
            </w:r>
          </w:p>
          <w:p w14:paraId="4B311ADF" w14:textId="77777777" w:rsidR="00F50542" w:rsidRPr="00000498" w:rsidRDefault="00F50542" w:rsidP="00F50542">
            <w:pPr>
              <w:spacing w:after="60" w:line="240" w:lineRule="auto"/>
              <w:jc w:val="both"/>
              <w:rPr>
                <w:rFonts w:asciiTheme="minorHAnsi" w:hAnsiTheme="minorHAnsi" w:cstheme="minorHAnsi"/>
                <w:b/>
                <w:szCs w:val="24"/>
                <w:lang w:val="pl-PL"/>
              </w:rPr>
            </w:pPr>
            <w:r w:rsidRPr="00000498">
              <w:rPr>
                <w:rFonts w:asciiTheme="minorHAnsi" w:hAnsiTheme="minorHAnsi" w:cstheme="minorHAnsi"/>
                <w:szCs w:val="24"/>
                <w:lang w:val="pl-PL"/>
              </w:rPr>
              <w:t>(b)=(c)+(d)</w:t>
            </w:r>
          </w:p>
        </w:tc>
        <w:tc>
          <w:tcPr>
            <w:tcW w:w="744" w:type="pct"/>
            <w:gridSpan w:val="2"/>
          </w:tcPr>
          <w:p w14:paraId="35E0B162" w14:textId="417DCEE7" w:rsidR="00F50542" w:rsidRPr="00000498" w:rsidRDefault="00F86494" w:rsidP="00F50542">
            <w:pPr>
              <w:spacing w:after="60" w:line="240" w:lineRule="auto"/>
              <w:jc w:val="center"/>
              <w:rPr>
                <w:rFonts w:asciiTheme="minorHAnsi" w:hAnsiTheme="minorHAnsi" w:cstheme="minorHAnsi"/>
                <w:b/>
                <w:szCs w:val="24"/>
                <w:lang w:val="pl-PL"/>
              </w:rPr>
            </w:pPr>
            <w:r>
              <w:rPr>
                <w:rFonts w:asciiTheme="minorHAnsi" w:hAnsiTheme="minorHAnsi" w:cstheme="minorHAnsi"/>
                <w:b/>
                <w:szCs w:val="24"/>
                <w:lang w:val="pl-PL"/>
              </w:rPr>
              <w:t>Szacunkowy podział wkładu krajowego</w:t>
            </w:r>
          </w:p>
        </w:tc>
        <w:tc>
          <w:tcPr>
            <w:tcW w:w="397" w:type="pct"/>
            <w:vMerge w:val="restart"/>
          </w:tcPr>
          <w:p w14:paraId="0801C450" w14:textId="6E7C591F" w:rsidR="00F50542" w:rsidRPr="00000498" w:rsidRDefault="007D5E10" w:rsidP="00F50542">
            <w:pPr>
              <w:spacing w:after="6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Łącznie</w:t>
            </w:r>
          </w:p>
          <w:p w14:paraId="46D4DE05" w14:textId="77777777" w:rsidR="00F50542" w:rsidRPr="00000498" w:rsidRDefault="00F50542" w:rsidP="00F50542">
            <w:pPr>
              <w:spacing w:after="60" w:line="240" w:lineRule="auto"/>
              <w:jc w:val="both"/>
              <w:rPr>
                <w:rFonts w:asciiTheme="minorHAnsi" w:hAnsiTheme="minorHAnsi" w:cstheme="minorHAnsi"/>
                <w:szCs w:val="24"/>
                <w:lang w:val="pl-PL"/>
              </w:rPr>
            </w:pPr>
          </w:p>
          <w:p w14:paraId="6F563F0E" w14:textId="77777777" w:rsidR="00F50542" w:rsidRPr="00000498" w:rsidRDefault="00F50542" w:rsidP="00F50542">
            <w:pPr>
              <w:spacing w:after="60" w:line="240" w:lineRule="auto"/>
              <w:jc w:val="both"/>
              <w:rPr>
                <w:rFonts w:asciiTheme="minorHAnsi" w:hAnsiTheme="minorHAnsi" w:cstheme="minorHAnsi"/>
                <w:b/>
                <w:szCs w:val="24"/>
                <w:lang w:val="pl-PL"/>
              </w:rPr>
            </w:pPr>
            <w:r w:rsidRPr="00000498">
              <w:rPr>
                <w:rFonts w:asciiTheme="minorHAnsi" w:hAnsiTheme="minorHAnsi" w:cstheme="minorHAnsi"/>
                <w:szCs w:val="24"/>
                <w:lang w:val="pl-PL"/>
              </w:rPr>
              <w:t>(e)=(a)+(b)</w:t>
            </w:r>
          </w:p>
        </w:tc>
        <w:tc>
          <w:tcPr>
            <w:tcW w:w="393" w:type="pct"/>
            <w:vMerge w:val="restart"/>
          </w:tcPr>
          <w:p w14:paraId="5ABDE2BD" w14:textId="03459BCD" w:rsidR="00F50542" w:rsidRPr="00000498" w:rsidRDefault="00F86494" w:rsidP="00F50542">
            <w:pPr>
              <w:spacing w:after="60" w:line="240" w:lineRule="auto"/>
              <w:jc w:val="both"/>
              <w:rPr>
                <w:rFonts w:asciiTheme="minorHAnsi" w:hAnsiTheme="minorHAnsi" w:cstheme="minorHAnsi"/>
                <w:b/>
                <w:szCs w:val="24"/>
                <w:lang w:val="pl-PL"/>
              </w:rPr>
            </w:pPr>
            <w:r>
              <w:rPr>
                <w:rFonts w:asciiTheme="minorHAnsi" w:hAnsiTheme="minorHAnsi" w:cstheme="minorHAnsi"/>
                <w:b/>
                <w:szCs w:val="24"/>
                <w:lang w:val="pl-PL"/>
              </w:rPr>
              <w:t>Stopa dofinansowania</w:t>
            </w:r>
          </w:p>
          <w:p w14:paraId="41B040CE" w14:textId="77777777" w:rsidR="00F50542" w:rsidRPr="00000498" w:rsidRDefault="00F50542" w:rsidP="00F50542">
            <w:pPr>
              <w:spacing w:after="60" w:line="240" w:lineRule="auto"/>
              <w:jc w:val="both"/>
              <w:rPr>
                <w:rFonts w:asciiTheme="minorHAnsi" w:hAnsiTheme="minorHAnsi" w:cstheme="minorHAnsi"/>
                <w:b/>
                <w:szCs w:val="24"/>
                <w:lang w:val="pl-PL"/>
              </w:rPr>
            </w:pPr>
            <w:r w:rsidRPr="00000498">
              <w:rPr>
                <w:rFonts w:asciiTheme="minorHAnsi" w:hAnsiTheme="minorHAnsi" w:cstheme="minorHAnsi"/>
                <w:szCs w:val="24"/>
                <w:lang w:val="pl-PL"/>
              </w:rPr>
              <w:t>(f)=(a)/(e)</w:t>
            </w:r>
          </w:p>
        </w:tc>
        <w:tc>
          <w:tcPr>
            <w:tcW w:w="606" w:type="pct"/>
            <w:vMerge w:val="restart"/>
          </w:tcPr>
          <w:p w14:paraId="21B2F801" w14:textId="69E6005F" w:rsidR="00F50542" w:rsidRPr="00000498" w:rsidRDefault="001E1112" w:rsidP="001E1112">
            <w:pPr>
              <w:spacing w:after="60" w:line="240" w:lineRule="auto"/>
              <w:rPr>
                <w:rFonts w:asciiTheme="minorHAnsi" w:hAnsiTheme="minorHAnsi" w:cstheme="minorHAnsi"/>
                <w:b/>
                <w:szCs w:val="24"/>
                <w:lang w:val="pl-PL"/>
              </w:rPr>
            </w:pPr>
            <w:r w:rsidRPr="00000498">
              <w:rPr>
                <w:rFonts w:asciiTheme="minorHAnsi" w:hAnsiTheme="minorHAnsi" w:cstheme="minorHAnsi"/>
                <w:b/>
                <w:szCs w:val="24"/>
                <w:lang w:val="pl-PL"/>
              </w:rPr>
              <w:t>Wkład krajów trzecich</w:t>
            </w:r>
          </w:p>
          <w:p w14:paraId="69E0F7AE" w14:textId="459030B4" w:rsidR="00F50542" w:rsidRPr="00000498" w:rsidRDefault="00F50542" w:rsidP="001E1112">
            <w:pPr>
              <w:spacing w:after="60" w:line="240" w:lineRule="auto"/>
              <w:rPr>
                <w:rFonts w:asciiTheme="minorHAnsi" w:hAnsiTheme="minorHAnsi" w:cstheme="minorHAnsi"/>
                <w:b/>
                <w:szCs w:val="24"/>
                <w:lang w:val="pl-PL"/>
              </w:rPr>
            </w:pPr>
            <w:r w:rsidRPr="00000498">
              <w:rPr>
                <w:rFonts w:asciiTheme="minorHAnsi" w:hAnsiTheme="minorHAnsi" w:cstheme="minorHAnsi"/>
                <w:szCs w:val="24"/>
                <w:lang w:val="pl-PL"/>
              </w:rPr>
              <w:t>(</w:t>
            </w:r>
            <w:r w:rsidR="001E1112" w:rsidRPr="00000498">
              <w:rPr>
                <w:rFonts w:asciiTheme="minorHAnsi" w:hAnsiTheme="minorHAnsi" w:cstheme="minorHAnsi"/>
                <w:b/>
                <w:szCs w:val="24"/>
                <w:lang w:val="pl-PL"/>
              </w:rPr>
              <w:t>w celach informacyjnych</w:t>
            </w:r>
            <w:r w:rsidRPr="00000498">
              <w:rPr>
                <w:rFonts w:asciiTheme="minorHAnsi" w:hAnsiTheme="minorHAnsi" w:cstheme="minorHAnsi"/>
                <w:b/>
                <w:szCs w:val="24"/>
                <w:lang w:val="pl-PL"/>
              </w:rPr>
              <w:t>)</w:t>
            </w:r>
          </w:p>
        </w:tc>
      </w:tr>
      <w:tr w:rsidR="00F50542" w:rsidRPr="009552D1" w14:paraId="488A4766" w14:textId="77777777" w:rsidTr="00EE1A8F">
        <w:trPr>
          <w:jc w:val="center"/>
        </w:trPr>
        <w:tc>
          <w:tcPr>
            <w:tcW w:w="380" w:type="pct"/>
            <w:vMerge/>
          </w:tcPr>
          <w:p w14:paraId="45DB6D27" w14:textId="77777777" w:rsidR="00F50542" w:rsidRPr="00000498" w:rsidRDefault="00F50542" w:rsidP="00F50542">
            <w:pPr>
              <w:spacing w:after="60" w:line="240" w:lineRule="auto"/>
              <w:jc w:val="both"/>
              <w:rPr>
                <w:rFonts w:asciiTheme="minorHAnsi" w:hAnsiTheme="minorHAnsi" w:cstheme="minorHAnsi"/>
                <w:b/>
                <w:szCs w:val="24"/>
                <w:lang w:val="pl-PL"/>
              </w:rPr>
            </w:pPr>
          </w:p>
        </w:tc>
        <w:tc>
          <w:tcPr>
            <w:tcW w:w="402" w:type="pct"/>
            <w:vMerge/>
          </w:tcPr>
          <w:p w14:paraId="0DF75CB2" w14:textId="77777777" w:rsidR="00F50542" w:rsidRPr="00000498" w:rsidRDefault="00F50542" w:rsidP="00F50542">
            <w:pPr>
              <w:spacing w:after="60" w:line="240" w:lineRule="auto"/>
              <w:jc w:val="both"/>
              <w:rPr>
                <w:rFonts w:asciiTheme="minorHAnsi" w:hAnsiTheme="minorHAnsi" w:cstheme="minorHAnsi"/>
                <w:b/>
                <w:szCs w:val="24"/>
                <w:lang w:val="pl-PL"/>
              </w:rPr>
            </w:pPr>
          </w:p>
        </w:tc>
        <w:tc>
          <w:tcPr>
            <w:tcW w:w="502" w:type="pct"/>
            <w:vMerge/>
          </w:tcPr>
          <w:p w14:paraId="65ABBEE0" w14:textId="77777777" w:rsidR="00F50542" w:rsidRPr="00000498" w:rsidRDefault="00F50542" w:rsidP="00F50542">
            <w:pPr>
              <w:spacing w:after="60" w:line="240" w:lineRule="auto"/>
              <w:jc w:val="both"/>
              <w:rPr>
                <w:rFonts w:asciiTheme="minorHAnsi" w:hAnsiTheme="minorHAnsi" w:cstheme="minorHAnsi"/>
                <w:b/>
                <w:szCs w:val="24"/>
                <w:lang w:val="pl-PL"/>
              </w:rPr>
            </w:pPr>
          </w:p>
        </w:tc>
        <w:tc>
          <w:tcPr>
            <w:tcW w:w="498" w:type="pct"/>
            <w:vMerge/>
          </w:tcPr>
          <w:p w14:paraId="08C689A5" w14:textId="77777777" w:rsidR="00F50542" w:rsidRPr="00000498" w:rsidRDefault="00F50542" w:rsidP="00F50542">
            <w:pPr>
              <w:spacing w:after="60" w:line="240" w:lineRule="auto"/>
              <w:jc w:val="both"/>
              <w:rPr>
                <w:rFonts w:asciiTheme="minorHAnsi" w:hAnsiTheme="minorHAnsi" w:cstheme="minorHAnsi"/>
                <w:b/>
                <w:szCs w:val="24"/>
                <w:lang w:val="pl-PL"/>
              </w:rPr>
            </w:pPr>
          </w:p>
        </w:tc>
        <w:tc>
          <w:tcPr>
            <w:tcW w:w="551" w:type="pct"/>
            <w:vMerge/>
          </w:tcPr>
          <w:p w14:paraId="439B327E" w14:textId="77777777" w:rsidR="00F50542" w:rsidRPr="00000498" w:rsidRDefault="00F50542" w:rsidP="00F50542">
            <w:pPr>
              <w:spacing w:after="60" w:line="240" w:lineRule="auto"/>
              <w:jc w:val="both"/>
              <w:rPr>
                <w:rFonts w:asciiTheme="minorHAnsi" w:hAnsiTheme="minorHAnsi" w:cstheme="minorHAnsi"/>
                <w:b/>
                <w:szCs w:val="24"/>
                <w:lang w:val="pl-PL"/>
              </w:rPr>
            </w:pPr>
          </w:p>
        </w:tc>
        <w:tc>
          <w:tcPr>
            <w:tcW w:w="527" w:type="pct"/>
            <w:vMerge/>
          </w:tcPr>
          <w:p w14:paraId="33ECE46A" w14:textId="77777777" w:rsidR="00F50542" w:rsidRPr="00000498" w:rsidRDefault="00F50542" w:rsidP="00F50542">
            <w:pPr>
              <w:spacing w:after="60" w:line="240" w:lineRule="auto"/>
              <w:jc w:val="both"/>
              <w:rPr>
                <w:rFonts w:asciiTheme="minorHAnsi" w:hAnsiTheme="minorHAnsi" w:cstheme="minorHAnsi"/>
                <w:b/>
                <w:szCs w:val="24"/>
                <w:lang w:val="pl-PL"/>
              </w:rPr>
            </w:pPr>
          </w:p>
        </w:tc>
        <w:tc>
          <w:tcPr>
            <w:tcW w:w="372" w:type="pct"/>
          </w:tcPr>
          <w:p w14:paraId="22038BC7" w14:textId="5A444F71" w:rsidR="00F50542" w:rsidRPr="00000498" w:rsidRDefault="007D5E10" w:rsidP="00F50542">
            <w:pPr>
              <w:spacing w:after="6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Krajowy publiczny</w:t>
            </w:r>
          </w:p>
          <w:p w14:paraId="7D161FE4" w14:textId="77777777" w:rsidR="00F50542" w:rsidRPr="00000498" w:rsidRDefault="00F50542" w:rsidP="00F50542">
            <w:pPr>
              <w:spacing w:after="60" w:line="240" w:lineRule="auto"/>
              <w:jc w:val="both"/>
              <w:rPr>
                <w:rFonts w:asciiTheme="minorHAnsi" w:hAnsiTheme="minorHAnsi" w:cstheme="minorHAnsi"/>
                <w:b/>
                <w:szCs w:val="24"/>
                <w:lang w:val="pl-PL"/>
              </w:rPr>
            </w:pPr>
            <w:r w:rsidRPr="00000498">
              <w:rPr>
                <w:rFonts w:asciiTheme="minorHAnsi" w:hAnsiTheme="minorHAnsi" w:cstheme="minorHAnsi"/>
                <w:szCs w:val="24"/>
                <w:lang w:val="pl-PL"/>
              </w:rPr>
              <w:t>(c)</w:t>
            </w:r>
          </w:p>
        </w:tc>
        <w:tc>
          <w:tcPr>
            <w:tcW w:w="372" w:type="pct"/>
          </w:tcPr>
          <w:p w14:paraId="54D25C6C" w14:textId="36AF961C" w:rsidR="00F50542" w:rsidRPr="00000498" w:rsidRDefault="007D5E10" w:rsidP="00F50542">
            <w:pPr>
              <w:spacing w:after="6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Krajowy prywatny</w:t>
            </w:r>
          </w:p>
          <w:p w14:paraId="253078F9" w14:textId="77777777" w:rsidR="00F50542" w:rsidRPr="00000498" w:rsidRDefault="00F50542" w:rsidP="00F50542">
            <w:pPr>
              <w:spacing w:after="60" w:line="240" w:lineRule="auto"/>
              <w:jc w:val="both"/>
              <w:rPr>
                <w:rFonts w:asciiTheme="minorHAnsi" w:hAnsiTheme="minorHAnsi" w:cstheme="minorHAnsi"/>
                <w:b/>
                <w:szCs w:val="24"/>
                <w:lang w:val="pl-PL"/>
              </w:rPr>
            </w:pPr>
            <w:r w:rsidRPr="00000498">
              <w:rPr>
                <w:rFonts w:asciiTheme="minorHAnsi" w:hAnsiTheme="minorHAnsi" w:cstheme="minorHAnsi"/>
                <w:szCs w:val="24"/>
                <w:lang w:val="pl-PL"/>
              </w:rPr>
              <w:t>(d)</w:t>
            </w:r>
          </w:p>
        </w:tc>
        <w:tc>
          <w:tcPr>
            <w:tcW w:w="397" w:type="pct"/>
            <w:vMerge/>
          </w:tcPr>
          <w:p w14:paraId="4F9DA4D9" w14:textId="77777777" w:rsidR="00F50542" w:rsidRPr="00000498" w:rsidRDefault="00F50542" w:rsidP="00F50542">
            <w:pPr>
              <w:spacing w:after="60" w:line="240" w:lineRule="auto"/>
              <w:jc w:val="both"/>
              <w:rPr>
                <w:rFonts w:asciiTheme="minorHAnsi" w:hAnsiTheme="minorHAnsi" w:cstheme="minorHAnsi"/>
                <w:b/>
                <w:szCs w:val="24"/>
                <w:lang w:val="pl-PL"/>
              </w:rPr>
            </w:pPr>
          </w:p>
        </w:tc>
        <w:tc>
          <w:tcPr>
            <w:tcW w:w="393" w:type="pct"/>
            <w:vMerge/>
          </w:tcPr>
          <w:p w14:paraId="6DCA021B" w14:textId="77777777" w:rsidR="00F50542" w:rsidRPr="00000498" w:rsidRDefault="00F50542" w:rsidP="00F50542">
            <w:pPr>
              <w:spacing w:after="60" w:line="240" w:lineRule="auto"/>
              <w:jc w:val="both"/>
              <w:rPr>
                <w:rFonts w:asciiTheme="minorHAnsi" w:hAnsiTheme="minorHAnsi" w:cstheme="minorHAnsi"/>
                <w:b/>
                <w:szCs w:val="24"/>
                <w:lang w:val="pl-PL"/>
              </w:rPr>
            </w:pPr>
          </w:p>
        </w:tc>
        <w:tc>
          <w:tcPr>
            <w:tcW w:w="606" w:type="pct"/>
            <w:vMerge/>
          </w:tcPr>
          <w:p w14:paraId="79BFA783" w14:textId="77777777" w:rsidR="00F50542" w:rsidRPr="00000498" w:rsidRDefault="00F50542" w:rsidP="00F50542">
            <w:pPr>
              <w:spacing w:after="60" w:line="240" w:lineRule="auto"/>
              <w:jc w:val="both"/>
              <w:rPr>
                <w:rFonts w:asciiTheme="minorHAnsi" w:hAnsiTheme="minorHAnsi" w:cstheme="minorHAnsi"/>
                <w:b/>
                <w:szCs w:val="24"/>
                <w:lang w:val="pl-PL"/>
              </w:rPr>
            </w:pPr>
          </w:p>
        </w:tc>
      </w:tr>
      <w:tr w:rsidR="00F50542" w:rsidRPr="009552D1" w14:paraId="526651D0" w14:textId="77777777" w:rsidTr="00EE1A8F">
        <w:trPr>
          <w:jc w:val="center"/>
        </w:trPr>
        <w:tc>
          <w:tcPr>
            <w:tcW w:w="380" w:type="pct"/>
            <w:vMerge w:val="restart"/>
          </w:tcPr>
          <w:p w14:paraId="7BE1E2CD" w14:textId="77777777" w:rsidR="00F50542" w:rsidRPr="00000498" w:rsidRDefault="00F50542" w:rsidP="00F50542">
            <w:pPr>
              <w:spacing w:after="60" w:line="240" w:lineRule="auto"/>
              <w:jc w:val="both"/>
              <w:rPr>
                <w:rFonts w:asciiTheme="minorHAnsi" w:hAnsiTheme="minorHAnsi" w:cstheme="minorHAnsi"/>
                <w:szCs w:val="24"/>
                <w:lang w:val="pl-PL"/>
              </w:rPr>
            </w:pPr>
          </w:p>
        </w:tc>
        <w:tc>
          <w:tcPr>
            <w:tcW w:w="402" w:type="pct"/>
            <w:vMerge w:val="restart"/>
          </w:tcPr>
          <w:p w14:paraId="23C6CF01" w14:textId="5DED8749" w:rsidR="00F50542" w:rsidRPr="00000498" w:rsidRDefault="00813365" w:rsidP="00F50542">
            <w:pPr>
              <w:spacing w:after="6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Priorytet</w:t>
            </w:r>
            <w:r w:rsidR="00F50542" w:rsidRPr="00000498">
              <w:rPr>
                <w:rFonts w:asciiTheme="minorHAnsi" w:hAnsiTheme="minorHAnsi" w:cstheme="minorHAnsi"/>
                <w:b/>
                <w:szCs w:val="24"/>
                <w:lang w:val="pl-PL"/>
              </w:rPr>
              <w:t xml:space="preserve"> 1</w:t>
            </w:r>
          </w:p>
        </w:tc>
        <w:tc>
          <w:tcPr>
            <w:tcW w:w="502" w:type="pct"/>
          </w:tcPr>
          <w:p w14:paraId="1D002F02" w14:textId="29B5CA3E" w:rsidR="00F50542" w:rsidRPr="00000498" w:rsidRDefault="001E1112" w:rsidP="00132AE2">
            <w:pPr>
              <w:spacing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EFRR</w:t>
            </w:r>
            <w:r w:rsidR="00EE3060" w:rsidRPr="00000498">
              <w:rPr>
                <w:rFonts w:asciiTheme="minorHAnsi" w:hAnsiTheme="minorHAnsi" w:cstheme="minorHAnsi"/>
                <w:b/>
                <w:bCs/>
                <w:szCs w:val="24"/>
                <w:u w:val="single"/>
                <w:vertAlign w:val="superscript"/>
                <w:lang w:val="pl-PL"/>
              </w:rPr>
              <w:t>7</w:t>
            </w:r>
            <w:r w:rsidR="00EE3060" w:rsidRPr="00000498">
              <w:rPr>
                <w:rFonts w:asciiTheme="minorHAnsi" w:hAnsiTheme="minorHAnsi" w:cstheme="minorHAnsi"/>
                <w:b/>
                <w:bCs/>
                <w:szCs w:val="24"/>
                <w:lang w:val="pl-PL"/>
              </w:rPr>
              <w:t xml:space="preserve"> </w:t>
            </w:r>
          </w:p>
        </w:tc>
        <w:tc>
          <w:tcPr>
            <w:tcW w:w="498" w:type="pct"/>
          </w:tcPr>
          <w:p w14:paraId="2B182ACE" w14:textId="77777777" w:rsidR="00F50542" w:rsidRPr="00000498" w:rsidRDefault="00F50542" w:rsidP="00F50542">
            <w:pPr>
              <w:spacing w:after="60" w:line="240" w:lineRule="auto"/>
              <w:jc w:val="both"/>
              <w:rPr>
                <w:rFonts w:asciiTheme="minorHAnsi" w:hAnsiTheme="minorHAnsi" w:cstheme="minorHAnsi"/>
                <w:szCs w:val="24"/>
                <w:lang w:val="pl-PL"/>
              </w:rPr>
            </w:pPr>
          </w:p>
        </w:tc>
        <w:tc>
          <w:tcPr>
            <w:tcW w:w="551" w:type="pct"/>
          </w:tcPr>
          <w:p w14:paraId="592EFAD3" w14:textId="77777777" w:rsidR="00F50542" w:rsidRPr="00000498" w:rsidRDefault="00F50542" w:rsidP="00F50542">
            <w:pPr>
              <w:spacing w:after="60" w:line="240" w:lineRule="auto"/>
              <w:jc w:val="both"/>
              <w:rPr>
                <w:rFonts w:asciiTheme="minorHAnsi" w:hAnsiTheme="minorHAnsi" w:cstheme="minorHAnsi"/>
                <w:szCs w:val="24"/>
                <w:lang w:val="pl-PL"/>
              </w:rPr>
            </w:pPr>
          </w:p>
        </w:tc>
        <w:tc>
          <w:tcPr>
            <w:tcW w:w="527" w:type="pct"/>
          </w:tcPr>
          <w:p w14:paraId="7A595042" w14:textId="77777777" w:rsidR="00F50542" w:rsidRPr="00000498" w:rsidRDefault="00F50542" w:rsidP="00F50542">
            <w:pPr>
              <w:spacing w:after="60" w:line="240" w:lineRule="auto"/>
              <w:jc w:val="both"/>
              <w:rPr>
                <w:rFonts w:asciiTheme="minorHAnsi" w:hAnsiTheme="minorHAnsi" w:cstheme="minorHAnsi"/>
                <w:szCs w:val="24"/>
                <w:lang w:val="pl-PL"/>
              </w:rPr>
            </w:pPr>
          </w:p>
        </w:tc>
        <w:tc>
          <w:tcPr>
            <w:tcW w:w="372" w:type="pct"/>
          </w:tcPr>
          <w:p w14:paraId="4F68EB7D" w14:textId="77777777" w:rsidR="00F50542" w:rsidRPr="00000498" w:rsidRDefault="00F50542" w:rsidP="00F50542">
            <w:pPr>
              <w:spacing w:after="60" w:line="240" w:lineRule="auto"/>
              <w:jc w:val="both"/>
              <w:rPr>
                <w:rFonts w:asciiTheme="minorHAnsi" w:hAnsiTheme="minorHAnsi" w:cstheme="minorHAnsi"/>
                <w:szCs w:val="24"/>
                <w:lang w:val="pl-PL"/>
              </w:rPr>
            </w:pPr>
          </w:p>
        </w:tc>
        <w:tc>
          <w:tcPr>
            <w:tcW w:w="372" w:type="pct"/>
          </w:tcPr>
          <w:p w14:paraId="071EE977" w14:textId="77777777" w:rsidR="00F50542" w:rsidRPr="00000498" w:rsidRDefault="00F50542" w:rsidP="00F50542">
            <w:pPr>
              <w:spacing w:after="60" w:line="240" w:lineRule="auto"/>
              <w:jc w:val="both"/>
              <w:rPr>
                <w:rFonts w:asciiTheme="minorHAnsi" w:hAnsiTheme="minorHAnsi" w:cstheme="minorHAnsi"/>
                <w:szCs w:val="24"/>
                <w:lang w:val="pl-PL"/>
              </w:rPr>
            </w:pPr>
          </w:p>
        </w:tc>
        <w:tc>
          <w:tcPr>
            <w:tcW w:w="397" w:type="pct"/>
          </w:tcPr>
          <w:p w14:paraId="47EF1F8B" w14:textId="77777777" w:rsidR="00F50542" w:rsidRPr="00000498" w:rsidRDefault="00F50542" w:rsidP="00F50542">
            <w:pPr>
              <w:spacing w:after="60" w:line="240" w:lineRule="auto"/>
              <w:jc w:val="both"/>
              <w:rPr>
                <w:rFonts w:asciiTheme="minorHAnsi" w:hAnsiTheme="minorHAnsi" w:cstheme="minorHAnsi"/>
                <w:szCs w:val="24"/>
                <w:lang w:val="pl-PL"/>
              </w:rPr>
            </w:pPr>
          </w:p>
        </w:tc>
        <w:tc>
          <w:tcPr>
            <w:tcW w:w="393" w:type="pct"/>
          </w:tcPr>
          <w:p w14:paraId="3B9A02DE" w14:textId="77777777" w:rsidR="00F50542" w:rsidRPr="00000498" w:rsidRDefault="00F50542" w:rsidP="00F50542">
            <w:pPr>
              <w:spacing w:after="60" w:line="240" w:lineRule="auto"/>
              <w:jc w:val="both"/>
              <w:rPr>
                <w:rFonts w:asciiTheme="minorHAnsi" w:hAnsiTheme="minorHAnsi" w:cstheme="minorHAnsi"/>
                <w:szCs w:val="24"/>
                <w:lang w:val="pl-PL"/>
              </w:rPr>
            </w:pPr>
          </w:p>
        </w:tc>
        <w:tc>
          <w:tcPr>
            <w:tcW w:w="606" w:type="pct"/>
          </w:tcPr>
          <w:p w14:paraId="1E6CE3A7" w14:textId="77777777" w:rsidR="00F50542" w:rsidRPr="00000498" w:rsidRDefault="00F50542" w:rsidP="00F50542">
            <w:pPr>
              <w:spacing w:after="60" w:line="240" w:lineRule="auto"/>
              <w:jc w:val="both"/>
              <w:rPr>
                <w:rFonts w:asciiTheme="minorHAnsi" w:hAnsiTheme="minorHAnsi" w:cstheme="minorHAnsi"/>
                <w:szCs w:val="24"/>
                <w:lang w:val="pl-PL"/>
              </w:rPr>
            </w:pPr>
          </w:p>
        </w:tc>
      </w:tr>
      <w:tr w:rsidR="00F50542" w:rsidRPr="009552D1" w14:paraId="4A7EA428" w14:textId="77777777" w:rsidTr="00EE1A8F">
        <w:trPr>
          <w:jc w:val="center"/>
        </w:trPr>
        <w:tc>
          <w:tcPr>
            <w:tcW w:w="380" w:type="pct"/>
            <w:vMerge/>
          </w:tcPr>
          <w:p w14:paraId="2AED7DDF" w14:textId="77777777" w:rsidR="00F50542" w:rsidRPr="00000498" w:rsidRDefault="00F50542" w:rsidP="00F50542">
            <w:pPr>
              <w:spacing w:after="60" w:line="240" w:lineRule="auto"/>
              <w:jc w:val="both"/>
              <w:rPr>
                <w:rFonts w:asciiTheme="minorHAnsi" w:hAnsiTheme="minorHAnsi" w:cstheme="minorHAnsi"/>
                <w:szCs w:val="24"/>
                <w:lang w:val="pl-PL"/>
              </w:rPr>
            </w:pPr>
          </w:p>
        </w:tc>
        <w:tc>
          <w:tcPr>
            <w:tcW w:w="402" w:type="pct"/>
            <w:vMerge/>
          </w:tcPr>
          <w:p w14:paraId="7402A083" w14:textId="77777777" w:rsidR="00F50542" w:rsidRPr="00000498" w:rsidRDefault="00F50542" w:rsidP="00F50542">
            <w:pPr>
              <w:spacing w:after="60" w:line="240" w:lineRule="auto"/>
              <w:jc w:val="both"/>
              <w:rPr>
                <w:rFonts w:asciiTheme="minorHAnsi" w:hAnsiTheme="minorHAnsi" w:cstheme="minorHAnsi"/>
                <w:szCs w:val="24"/>
                <w:lang w:val="pl-PL"/>
              </w:rPr>
            </w:pPr>
          </w:p>
        </w:tc>
        <w:tc>
          <w:tcPr>
            <w:tcW w:w="502" w:type="pct"/>
          </w:tcPr>
          <w:p w14:paraId="23D4ACE4" w14:textId="77777777" w:rsidR="00F50542" w:rsidRPr="00000498" w:rsidRDefault="00F50542" w:rsidP="00F50542">
            <w:pPr>
              <w:spacing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NDICI</w:t>
            </w:r>
            <w:r w:rsidRPr="00000498">
              <w:rPr>
                <w:rFonts w:asciiTheme="minorHAnsi" w:hAnsiTheme="minorHAnsi" w:cstheme="minorHAnsi"/>
                <w:szCs w:val="24"/>
                <w:vertAlign w:val="superscript"/>
                <w:lang w:val="pl-PL"/>
              </w:rPr>
              <w:footnoteReference w:id="3"/>
            </w:r>
          </w:p>
        </w:tc>
        <w:tc>
          <w:tcPr>
            <w:tcW w:w="498" w:type="pct"/>
          </w:tcPr>
          <w:p w14:paraId="30F95E80" w14:textId="77777777" w:rsidR="00F50542" w:rsidRPr="00000498" w:rsidRDefault="00F50542" w:rsidP="00F50542">
            <w:pPr>
              <w:spacing w:after="60" w:line="240" w:lineRule="auto"/>
              <w:jc w:val="both"/>
              <w:rPr>
                <w:rFonts w:asciiTheme="minorHAnsi" w:hAnsiTheme="minorHAnsi" w:cstheme="minorHAnsi"/>
                <w:szCs w:val="24"/>
                <w:lang w:val="pl-PL"/>
              </w:rPr>
            </w:pPr>
          </w:p>
        </w:tc>
        <w:tc>
          <w:tcPr>
            <w:tcW w:w="551" w:type="pct"/>
          </w:tcPr>
          <w:p w14:paraId="69AB2CC3" w14:textId="77777777" w:rsidR="00F50542" w:rsidRPr="00000498" w:rsidRDefault="00F50542" w:rsidP="00F50542">
            <w:pPr>
              <w:spacing w:after="60" w:line="240" w:lineRule="auto"/>
              <w:jc w:val="both"/>
              <w:rPr>
                <w:rFonts w:asciiTheme="minorHAnsi" w:hAnsiTheme="minorHAnsi" w:cstheme="minorHAnsi"/>
                <w:szCs w:val="24"/>
                <w:lang w:val="pl-PL"/>
              </w:rPr>
            </w:pPr>
          </w:p>
        </w:tc>
        <w:tc>
          <w:tcPr>
            <w:tcW w:w="527" w:type="pct"/>
          </w:tcPr>
          <w:p w14:paraId="66E133FE" w14:textId="77777777" w:rsidR="00F50542" w:rsidRPr="00000498" w:rsidRDefault="00F50542" w:rsidP="00F50542">
            <w:pPr>
              <w:spacing w:after="60" w:line="240" w:lineRule="auto"/>
              <w:jc w:val="both"/>
              <w:rPr>
                <w:rFonts w:asciiTheme="minorHAnsi" w:hAnsiTheme="minorHAnsi" w:cstheme="minorHAnsi"/>
                <w:szCs w:val="24"/>
                <w:lang w:val="pl-PL"/>
              </w:rPr>
            </w:pPr>
          </w:p>
        </w:tc>
        <w:tc>
          <w:tcPr>
            <w:tcW w:w="372" w:type="pct"/>
          </w:tcPr>
          <w:p w14:paraId="68947A7A" w14:textId="77777777" w:rsidR="00F50542" w:rsidRPr="00000498" w:rsidRDefault="00F50542" w:rsidP="00F50542">
            <w:pPr>
              <w:spacing w:after="60" w:line="240" w:lineRule="auto"/>
              <w:jc w:val="both"/>
              <w:rPr>
                <w:rFonts w:asciiTheme="minorHAnsi" w:hAnsiTheme="minorHAnsi" w:cstheme="minorHAnsi"/>
                <w:szCs w:val="24"/>
                <w:lang w:val="pl-PL"/>
              </w:rPr>
            </w:pPr>
          </w:p>
        </w:tc>
        <w:tc>
          <w:tcPr>
            <w:tcW w:w="372" w:type="pct"/>
          </w:tcPr>
          <w:p w14:paraId="232B870B" w14:textId="77777777" w:rsidR="00F50542" w:rsidRPr="00000498" w:rsidRDefault="00F50542" w:rsidP="00F50542">
            <w:pPr>
              <w:spacing w:after="60" w:line="240" w:lineRule="auto"/>
              <w:jc w:val="both"/>
              <w:rPr>
                <w:rFonts w:asciiTheme="minorHAnsi" w:hAnsiTheme="minorHAnsi" w:cstheme="minorHAnsi"/>
                <w:szCs w:val="24"/>
                <w:lang w:val="pl-PL"/>
              </w:rPr>
            </w:pPr>
          </w:p>
        </w:tc>
        <w:tc>
          <w:tcPr>
            <w:tcW w:w="397" w:type="pct"/>
          </w:tcPr>
          <w:p w14:paraId="57E879FA" w14:textId="77777777" w:rsidR="00F50542" w:rsidRPr="00000498" w:rsidRDefault="00F50542" w:rsidP="00F50542">
            <w:pPr>
              <w:spacing w:after="60" w:line="240" w:lineRule="auto"/>
              <w:jc w:val="both"/>
              <w:rPr>
                <w:rFonts w:asciiTheme="minorHAnsi" w:hAnsiTheme="minorHAnsi" w:cstheme="minorHAnsi"/>
                <w:szCs w:val="24"/>
                <w:lang w:val="pl-PL"/>
              </w:rPr>
            </w:pPr>
          </w:p>
        </w:tc>
        <w:tc>
          <w:tcPr>
            <w:tcW w:w="393" w:type="pct"/>
          </w:tcPr>
          <w:p w14:paraId="0C9C4284" w14:textId="77777777" w:rsidR="00F50542" w:rsidRPr="00000498" w:rsidRDefault="00F50542" w:rsidP="00F50542">
            <w:pPr>
              <w:spacing w:after="60" w:line="240" w:lineRule="auto"/>
              <w:jc w:val="both"/>
              <w:rPr>
                <w:rFonts w:asciiTheme="minorHAnsi" w:hAnsiTheme="minorHAnsi" w:cstheme="minorHAnsi"/>
                <w:szCs w:val="24"/>
                <w:lang w:val="pl-PL"/>
              </w:rPr>
            </w:pPr>
          </w:p>
        </w:tc>
        <w:tc>
          <w:tcPr>
            <w:tcW w:w="606" w:type="pct"/>
          </w:tcPr>
          <w:p w14:paraId="61B07B7F" w14:textId="77777777" w:rsidR="00F50542" w:rsidRPr="00000498" w:rsidRDefault="00F50542" w:rsidP="00F50542">
            <w:pPr>
              <w:spacing w:after="60" w:line="240" w:lineRule="auto"/>
              <w:jc w:val="both"/>
              <w:rPr>
                <w:rFonts w:asciiTheme="minorHAnsi" w:hAnsiTheme="minorHAnsi" w:cstheme="minorHAnsi"/>
                <w:szCs w:val="24"/>
                <w:lang w:val="pl-PL"/>
              </w:rPr>
            </w:pPr>
          </w:p>
        </w:tc>
      </w:tr>
      <w:tr w:rsidR="00C458EA" w:rsidRPr="009552D1" w14:paraId="68A2597B" w14:textId="77777777" w:rsidTr="00EE1A8F">
        <w:trPr>
          <w:jc w:val="center"/>
        </w:trPr>
        <w:tc>
          <w:tcPr>
            <w:tcW w:w="380" w:type="pct"/>
            <w:tcBorders>
              <w:bottom w:val="single" w:sz="4" w:space="0" w:color="auto"/>
            </w:tcBorders>
          </w:tcPr>
          <w:p w14:paraId="0AF5A348"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402" w:type="pct"/>
          </w:tcPr>
          <w:p w14:paraId="0C85AFEA" w14:textId="54E9E249" w:rsidR="00C458EA" w:rsidRPr="00000498" w:rsidRDefault="00813365" w:rsidP="00C458EA">
            <w:pPr>
              <w:spacing w:after="6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Priorytet</w:t>
            </w:r>
            <w:r w:rsidR="00C458EA" w:rsidRPr="00000498">
              <w:rPr>
                <w:rFonts w:asciiTheme="minorHAnsi" w:hAnsiTheme="minorHAnsi" w:cstheme="minorHAnsi"/>
                <w:b/>
                <w:szCs w:val="24"/>
                <w:lang w:val="pl-PL"/>
              </w:rPr>
              <w:t xml:space="preserve"> 2</w:t>
            </w:r>
          </w:p>
        </w:tc>
        <w:tc>
          <w:tcPr>
            <w:tcW w:w="502" w:type="pct"/>
          </w:tcPr>
          <w:p w14:paraId="7FBA64AB" w14:textId="6481504E" w:rsidR="00C458EA" w:rsidRPr="00000498" w:rsidRDefault="001E1112" w:rsidP="00C458EA">
            <w:pPr>
              <w:spacing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EFRR</w:t>
            </w:r>
          </w:p>
        </w:tc>
        <w:tc>
          <w:tcPr>
            <w:tcW w:w="498" w:type="pct"/>
          </w:tcPr>
          <w:p w14:paraId="2CB4EAF5"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551" w:type="pct"/>
          </w:tcPr>
          <w:p w14:paraId="33A69624"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527" w:type="pct"/>
          </w:tcPr>
          <w:p w14:paraId="18DAB474"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372" w:type="pct"/>
          </w:tcPr>
          <w:p w14:paraId="194983A9"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372" w:type="pct"/>
          </w:tcPr>
          <w:p w14:paraId="344CA2BE"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397" w:type="pct"/>
          </w:tcPr>
          <w:p w14:paraId="7B0C1D46"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393" w:type="pct"/>
          </w:tcPr>
          <w:p w14:paraId="1ACC06DC"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606" w:type="pct"/>
          </w:tcPr>
          <w:p w14:paraId="202FE64A" w14:textId="77777777" w:rsidR="00C458EA" w:rsidRPr="00000498" w:rsidRDefault="00C458EA" w:rsidP="00C458EA">
            <w:pPr>
              <w:spacing w:after="60" w:line="240" w:lineRule="auto"/>
              <w:jc w:val="both"/>
              <w:rPr>
                <w:rFonts w:asciiTheme="minorHAnsi" w:hAnsiTheme="minorHAnsi" w:cstheme="minorHAnsi"/>
                <w:szCs w:val="24"/>
                <w:lang w:val="pl-PL"/>
              </w:rPr>
            </w:pPr>
          </w:p>
        </w:tc>
      </w:tr>
      <w:tr w:rsidR="00C458EA" w:rsidRPr="009552D1" w14:paraId="5A7D1307" w14:textId="77777777" w:rsidTr="00EE1A8F">
        <w:trPr>
          <w:jc w:val="center"/>
        </w:trPr>
        <w:tc>
          <w:tcPr>
            <w:tcW w:w="380" w:type="pct"/>
            <w:tcBorders>
              <w:bottom w:val="single" w:sz="4" w:space="0" w:color="auto"/>
            </w:tcBorders>
          </w:tcPr>
          <w:p w14:paraId="1F5F61FE"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402" w:type="pct"/>
          </w:tcPr>
          <w:p w14:paraId="293F1F79" w14:textId="77777777" w:rsidR="00C458EA" w:rsidRPr="00000498" w:rsidRDefault="00C458EA" w:rsidP="00C458EA">
            <w:pPr>
              <w:spacing w:after="60" w:line="240" w:lineRule="auto"/>
              <w:jc w:val="both"/>
              <w:rPr>
                <w:rFonts w:asciiTheme="minorHAnsi" w:hAnsiTheme="minorHAnsi" w:cstheme="minorHAnsi"/>
                <w:b/>
                <w:szCs w:val="24"/>
                <w:lang w:val="pl-PL"/>
              </w:rPr>
            </w:pPr>
          </w:p>
        </w:tc>
        <w:tc>
          <w:tcPr>
            <w:tcW w:w="502" w:type="pct"/>
          </w:tcPr>
          <w:p w14:paraId="75A72265" w14:textId="71F21E8F" w:rsidR="00C458EA" w:rsidRPr="00000498" w:rsidRDefault="00C458EA" w:rsidP="00C458EA">
            <w:pPr>
              <w:spacing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NDICI</w:t>
            </w:r>
          </w:p>
        </w:tc>
        <w:tc>
          <w:tcPr>
            <w:tcW w:w="498" w:type="pct"/>
          </w:tcPr>
          <w:p w14:paraId="27DF7ACC"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551" w:type="pct"/>
          </w:tcPr>
          <w:p w14:paraId="4376B28F"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527" w:type="pct"/>
          </w:tcPr>
          <w:p w14:paraId="3BACF89B"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372" w:type="pct"/>
          </w:tcPr>
          <w:p w14:paraId="75CA3848"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372" w:type="pct"/>
          </w:tcPr>
          <w:p w14:paraId="69DE2A86"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397" w:type="pct"/>
          </w:tcPr>
          <w:p w14:paraId="0B124700"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393" w:type="pct"/>
          </w:tcPr>
          <w:p w14:paraId="573A8930"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606" w:type="pct"/>
          </w:tcPr>
          <w:p w14:paraId="7BADED7F" w14:textId="77777777" w:rsidR="00C458EA" w:rsidRPr="00000498" w:rsidRDefault="00C458EA" w:rsidP="00C458EA">
            <w:pPr>
              <w:spacing w:after="60" w:line="240" w:lineRule="auto"/>
              <w:jc w:val="both"/>
              <w:rPr>
                <w:rFonts w:asciiTheme="minorHAnsi" w:hAnsiTheme="minorHAnsi" w:cstheme="minorHAnsi"/>
                <w:szCs w:val="24"/>
                <w:lang w:val="pl-PL"/>
              </w:rPr>
            </w:pPr>
          </w:p>
        </w:tc>
      </w:tr>
      <w:tr w:rsidR="00C458EA" w:rsidRPr="009552D1" w14:paraId="118597AD" w14:textId="77777777" w:rsidTr="00EE1A8F">
        <w:trPr>
          <w:jc w:val="center"/>
        </w:trPr>
        <w:tc>
          <w:tcPr>
            <w:tcW w:w="380" w:type="pct"/>
            <w:tcBorders>
              <w:bottom w:val="single" w:sz="4" w:space="0" w:color="auto"/>
            </w:tcBorders>
          </w:tcPr>
          <w:p w14:paraId="7C589874"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402" w:type="pct"/>
          </w:tcPr>
          <w:p w14:paraId="6DDDA2BC" w14:textId="700F30E7" w:rsidR="00C458EA" w:rsidRPr="00000498" w:rsidRDefault="00813365" w:rsidP="00C458EA">
            <w:pPr>
              <w:spacing w:after="6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Priorytet</w:t>
            </w:r>
            <w:r w:rsidR="00C458EA" w:rsidRPr="00000498">
              <w:rPr>
                <w:rFonts w:asciiTheme="minorHAnsi" w:hAnsiTheme="minorHAnsi" w:cstheme="minorHAnsi"/>
                <w:b/>
                <w:szCs w:val="24"/>
                <w:lang w:val="pl-PL"/>
              </w:rPr>
              <w:t xml:space="preserve"> 3</w:t>
            </w:r>
          </w:p>
        </w:tc>
        <w:tc>
          <w:tcPr>
            <w:tcW w:w="502" w:type="pct"/>
          </w:tcPr>
          <w:p w14:paraId="6AB8E53B" w14:textId="2111FF7F" w:rsidR="00C458EA" w:rsidRPr="00000498" w:rsidRDefault="001E1112" w:rsidP="00C458EA">
            <w:pPr>
              <w:spacing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EFRR</w:t>
            </w:r>
          </w:p>
        </w:tc>
        <w:tc>
          <w:tcPr>
            <w:tcW w:w="498" w:type="pct"/>
          </w:tcPr>
          <w:p w14:paraId="523EE7AB"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551" w:type="pct"/>
          </w:tcPr>
          <w:p w14:paraId="524A5FCA"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527" w:type="pct"/>
          </w:tcPr>
          <w:p w14:paraId="0A49ABF7"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372" w:type="pct"/>
          </w:tcPr>
          <w:p w14:paraId="4756E591"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372" w:type="pct"/>
          </w:tcPr>
          <w:p w14:paraId="6BB1C669"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397" w:type="pct"/>
          </w:tcPr>
          <w:p w14:paraId="1E15A913"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393" w:type="pct"/>
          </w:tcPr>
          <w:p w14:paraId="40040C5A"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606" w:type="pct"/>
          </w:tcPr>
          <w:p w14:paraId="765AB95A" w14:textId="77777777" w:rsidR="00C458EA" w:rsidRPr="00000498" w:rsidRDefault="00C458EA" w:rsidP="00C458EA">
            <w:pPr>
              <w:spacing w:after="60" w:line="240" w:lineRule="auto"/>
              <w:jc w:val="both"/>
              <w:rPr>
                <w:rFonts w:asciiTheme="minorHAnsi" w:hAnsiTheme="minorHAnsi" w:cstheme="minorHAnsi"/>
                <w:szCs w:val="24"/>
                <w:lang w:val="pl-PL"/>
              </w:rPr>
            </w:pPr>
          </w:p>
        </w:tc>
      </w:tr>
      <w:tr w:rsidR="00C458EA" w:rsidRPr="009552D1" w14:paraId="48FEDD39" w14:textId="77777777" w:rsidTr="00EE1A8F">
        <w:trPr>
          <w:jc w:val="center"/>
        </w:trPr>
        <w:tc>
          <w:tcPr>
            <w:tcW w:w="380" w:type="pct"/>
            <w:tcBorders>
              <w:bottom w:val="single" w:sz="4" w:space="0" w:color="auto"/>
            </w:tcBorders>
          </w:tcPr>
          <w:p w14:paraId="5F080F64"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402" w:type="pct"/>
          </w:tcPr>
          <w:p w14:paraId="53434618" w14:textId="77777777" w:rsidR="00C458EA" w:rsidRPr="00000498" w:rsidRDefault="00C458EA" w:rsidP="00C458EA">
            <w:pPr>
              <w:spacing w:after="60" w:line="240" w:lineRule="auto"/>
              <w:jc w:val="both"/>
              <w:rPr>
                <w:rFonts w:asciiTheme="minorHAnsi" w:hAnsiTheme="minorHAnsi" w:cstheme="minorHAnsi"/>
                <w:b/>
                <w:szCs w:val="24"/>
                <w:lang w:val="pl-PL"/>
              </w:rPr>
            </w:pPr>
          </w:p>
        </w:tc>
        <w:tc>
          <w:tcPr>
            <w:tcW w:w="502" w:type="pct"/>
          </w:tcPr>
          <w:p w14:paraId="56E4ED98" w14:textId="794F121E" w:rsidR="00C458EA" w:rsidRPr="00000498" w:rsidRDefault="00C458EA" w:rsidP="00C458EA">
            <w:pPr>
              <w:spacing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NDICI</w:t>
            </w:r>
          </w:p>
        </w:tc>
        <w:tc>
          <w:tcPr>
            <w:tcW w:w="498" w:type="pct"/>
          </w:tcPr>
          <w:p w14:paraId="277BC91F"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551" w:type="pct"/>
          </w:tcPr>
          <w:p w14:paraId="52DF6920"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527" w:type="pct"/>
          </w:tcPr>
          <w:p w14:paraId="5FD0D9AC"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372" w:type="pct"/>
          </w:tcPr>
          <w:p w14:paraId="6A3B8EA6"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372" w:type="pct"/>
          </w:tcPr>
          <w:p w14:paraId="09DC571E"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397" w:type="pct"/>
          </w:tcPr>
          <w:p w14:paraId="6506C116"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393" w:type="pct"/>
          </w:tcPr>
          <w:p w14:paraId="4F2A42C1"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606" w:type="pct"/>
          </w:tcPr>
          <w:p w14:paraId="234FD72F" w14:textId="77777777" w:rsidR="00C458EA" w:rsidRPr="00000498" w:rsidRDefault="00C458EA" w:rsidP="00C458EA">
            <w:pPr>
              <w:spacing w:after="60" w:line="240" w:lineRule="auto"/>
              <w:jc w:val="both"/>
              <w:rPr>
                <w:rFonts w:asciiTheme="minorHAnsi" w:hAnsiTheme="minorHAnsi" w:cstheme="minorHAnsi"/>
                <w:szCs w:val="24"/>
                <w:lang w:val="pl-PL"/>
              </w:rPr>
            </w:pPr>
          </w:p>
        </w:tc>
      </w:tr>
      <w:tr w:rsidR="00C458EA" w:rsidRPr="009552D1" w14:paraId="649D4BC5" w14:textId="77777777" w:rsidTr="00EE1A8F">
        <w:trPr>
          <w:jc w:val="center"/>
        </w:trPr>
        <w:tc>
          <w:tcPr>
            <w:tcW w:w="380" w:type="pct"/>
            <w:tcBorders>
              <w:bottom w:val="single" w:sz="4" w:space="0" w:color="auto"/>
            </w:tcBorders>
          </w:tcPr>
          <w:p w14:paraId="53717B7A"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402" w:type="pct"/>
          </w:tcPr>
          <w:p w14:paraId="439AD774" w14:textId="0C432EA3" w:rsidR="00C458EA" w:rsidRPr="00000498" w:rsidRDefault="00813365" w:rsidP="00C458EA">
            <w:pPr>
              <w:spacing w:after="6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Priorytet</w:t>
            </w:r>
            <w:r w:rsidR="00C458EA" w:rsidRPr="00000498">
              <w:rPr>
                <w:rFonts w:asciiTheme="minorHAnsi" w:hAnsiTheme="minorHAnsi" w:cstheme="minorHAnsi"/>
                <w:b/>
                <w:szCs w:val="24"/>
                <w:lang w:val="pl-PL"/>
              </w:rPr>
              <w:t xml:space="preserve"> 4</w:t>
            </w:r>
          </w:p>
        </w:tc>
        <w:tc>
          <w:tcPr>
            <w:tcW w:w="502" w:type="pct"/>
          </w:tcPr>
          <w:p w14:paraId="264858B4" w14:textId="2FBCDD15" w:rsidR="00C458EA" w:rsidRPr="00000498" w:rsidRDefault="001E1112" w:rsidP="00C458EA">
            <w:pPr>
              <w:spacing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EFRR</w:t>
            </w:r>
          </w:p>
        </w:tc>
        <w:tc>
          <w:tcPr>
            <w:tcW w:w="498" w:type="pct"/>
          </w:tcPr>
          <w:p w14:paraId="407FC9E2"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551" w:type="pct"/>
          </w:tcPr>
          <w:p w14:paraId="0170AA70"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527" w:type="pct"/>
          </w:tcPr>
          <w:p w14:paraId="5A473B2A"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372" w:type="pct"/>
          </w:tcPr>
          <w:p w14:paraId="79B5A81A"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372" w:type="pct"/>
          </w:tcPr>
          <w:p w14:paraId="48FEDDB0"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397" w:type="pct"/>
          </w:tcPr>
          <w:p w14:paraId="748B86AB"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393" w:type="pct"/>
          </w:tcPr>
          <w:p w14:paraId="27BA573E"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606" w:type="pct"/>
          </w:tcPr>
          <w:p w14:paraId="32B1A896" w14:textId="77777777" w:rsidR="00C458EA" w:rsidRPr="00000498" w:rsidRDefault="00C458EA" w:rsidP="00C458EA">
            <w:pPr>
              <w:spacing w:after="60" w:line="240" w:lineRule="auto"/>
              <w:jc w:val="both"/>
              <w:rPr>
                <w:rFonts w:asciiTheme="minorHAnsi" w:hAnsiTheme="minorHAnsi" w:cstheme="minorHAnsi"/>
                <w:szCs w:val="24"/>
                <w:lang w:val="pl-PL"/>
              </w:rPr>
            </w:pPr>
          </w:p>
        </w:tc>
      </w:tr>
      <w:tr w:rsidR="00C458EA" w:rsidRPr="009552D1" w14:paraId="3BEBCCE3" w14:textId="77777777" w:rsidTr="00EE1A8F">
        <w:trPr>
          <w:jc w:val="center"/>
        </w:trPr>
        <w:tc>
          <w:tcPr>
            <w:tcW w:w="380" w:type="pct"/>
            <w:tcBorders>
              <w:bottom w:val="single" w:sz="4" w:space="0" w:color="auto"/>
            </w:tcBorders>
          </w:tcPr>
          <w:p w14:paraId="0170B723"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402" w:type="pct"/>
          </w:tcPr>
          <w:p w14:paraId="5C2E62C6" w14:textId="77777777" w:rsidR="00C458EA" w:rsidRPr="00000498" w:rsidRDefault="00C458EA" w:rsidP="00C458EA">
            <w:pPr>
              <w:spacing w:after="60" w:line="240" w:lineRule="auto"/>
              <w:jc w:val="both"/>
              <w:rPr>
                <w:rFonts w:asciiTheme="minorHAnsi" w:hAnsiTheme="minorHAnsi" w:cstheme="minorHAnsi"/>
                <w:b/>
                <w:szCs w:val="24"/>
                <w:lang w:val="pl-PL"/>
              </w:rPr>
            </w:pPr>
          </w:p>
        </w:tc>
        <w:tc>
          <w:tcPr>
            <w:tcW w:w="502" w:type="pct"/>
          </w:tcPr>
          <w:p w14:paraId="7A903472" w14:textId="66056DB8" w:rsidR="00C458EA" w:rsidRPr="00000498" w:rsidRDefault="00C458EA" w:rsidP="00C458EA">
            <w:pPr>
              <w:spacing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NDICI</w:t>
            </w:r>
          </w:p>
        </w:tc>
        <w:tc>
          <w:tcPr>
            <w:tcW w:w="498" w:type="pct"/>
          </w:tcPr>
          <w:p w14:paraId="09390203"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551" w:type="pct"/>
          </w:tcPr>
          <w:p w14:paraId="6B0EE5A9"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527" w:type="pct"/>
          </w:tcPr>
          <w:p w14:paraId="358D638E"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372" w:type="pct"/>
          </w:tcPr>
          <w:p w14:paraId="0C310C71"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372" w:type="pct"/>
          </w:tcPr>
          <w:p w14:paraId="50B6F3F6"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397" w:type="pct"/>
          </w:tcPr>
          <w:p w14:paraId="15BA04F4"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393" w:type="pct"/>
          </w:tcPr>
          <w:p w14:paraId="1C5CBD4A"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606" w:type="pct"/>
          </w:tcPr>
          <w:p w14:paraId="2CD67FA6" w14:textId="77777777" w:rsidR="00C458EA" w:rsidRPr="00000498" w:rsidRDefault="00C458EA" w:rsidP="00C458EA">
            <w:pPr>
              <w:spacing w:after="60" w:line="240" w:lineRule="auto"/>
              <w:jc w:val="both"/>
              <w:rPr>
                <w:rFonts w:asciiTheme="minorHAnsi" w:hAnsiTheme="minorHAnsi" w:cstheme="minorHAnsi"/>
                <w:szCs w:val="24"/>
                <w:lang w:val="pl-PL"/>
              </w:rPr>
            </w:pPr>
          </w:p>
        </w:tc>
      </w:tr>
      <w:tr w:rsidR="00C458EA" w:rsidRPr="009552D1" w14:paraId="64EBCA02" w14:textId="77777777" w:rsidTr="00C458EA">
        <w:trPr>
          <w:jc w:val="center"/>
        </w:trPr>
        <w:tc>
          <w:tcPr>
            <w:tcW w:w="380" w:type="pct"/>
            <w:shd w:val="clear" w:color="auto" w:fill="auto"/>
          </w:tcPr>
          <w:p w14:paraId="374FB128"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402" w:type="pct"/>
          </w:tcPr>
          <w:p w14:paraId="074C0D79" w14:textId="3C3C0320" w:rsidR="00C458EA" w:rsidRPr="00000498" w:rsidRDefault="001E1112" w:rsidP="00C458EA">
            <w:pPr>
              <w:spacing w:after="60" w:line="240" w:lineRule="auto"/>
              <w:jc w:val="both"/>
              <w:rPr>
                <w:rFonts w:asciiTheme="minorHAnsi" w:hAnsiTheme="minorHAnsi" w:cstheme="minorHAnsi"/>
                <w:szCs w:val="24"/>
                <w:lang w:val="pl-PL"/>
              </w:rPr>
            </w:pPr>
            <w:r w:rsidRPr="00000498">
              <w:rPr>
                <w:rFonts w:asciiTheme="minorHAnsi" w:hAnsiTheme="minorHAnsi" w:cstheme="minorHAnsi"/>
                <w:b/>
                <w:szCs w:val="24"/>
                <w:lang w:val="pl-PL"/>
              </w:rPr>
              <w:t>Łącznie</w:t>
            </w:r>
          </w:p>
        </w:tc>
        <w:tc>
          <w:tcPr>
            <w:tcW w:w="502" w:type="pct"/>
          </w:tcPr>
          <w:p w14:paraId="0BAD8871" w14:textId="18A8D2E1" w:rsidR="00C458EA" w:rsidRPr="00000498" w:rsidRDefault="001E1112" w:rsidP="00C458EA">
            <w:pPr>
              <w:spacing w:line="240" w:lineRule="auto"/>
              <w:rPr>
                <w:rFonts w:asciiTheme="minorHAnsi" w:hAnsiTheme="minorHAnsi" w:cstheme="minorHAnsi"/>
                <w:b/>
                <w:szCs w:val="24"/>
                <w:lang w:val="pl-PL"/>
              </w:rPr>
            </w:pPr>
            <w:r w:rsidRPr="00000498">
              <w:rPr>
                <w:rFonts w:asciiTheme="minorHAnsi" w:hAnsiTheme="minorHAnsi" w:cstheme="minorHAnsi"/>
                <w:b/>
                <w:szCs w:val="24"/>
                <w:lang w:val="pl-PL"/>
              </w:rPr>
              <w:t>Wszystkie fundusze</w:t>
            </w:r>
          </w:p>
        </w:tc>
        <w:tc>
          <w:tcPr>
            <w:tcW w:w="498" w:type="pct"/>
          </w:tcPr>
          <w:p w14:paraId="1B581458"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551" w:type="pct"/>
          </w:tcPr>
          <w:p w14:paraId="1D113DC7"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527" w:type="pct"/>
          </w:tcPr>
          <w:p w14:paraId="397BAB8C"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372" w:type="pct"/>
          </w:tcPr>
          <w:p w14:paraId="5870F2CC"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372" w:type="pct"/>
          </w:tcPr>
          <w:p w14:paraId="001F6D41"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397" w:type="pct"/>
          </w:tcPr>
          <w:p w14:paraId="50AF14BA"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393" w:type="pct"/>
          </w:tcPr>
          <w:p w14:paraId="67BB13AA"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606" w:type="pct"/>
          </w:tcPr>
          <w:p w14:paraId="0EEE3ECC" w14:textId="77777777" w:rsidR="00C458EA" w:rsidRPr="00000498" w:rsidRDefault="00C458EA" w:rsidP="00C458EA">
            <w:pPr>
              <w:spacing w:after="60" w:line="240" w:lineRule="auto"/>
              <w:jc w:val="both"/>
              <w:rPr>
                <w:rFonts w:asciiTheme="minorHAnsi" w:hAnsiTheme="minorHAnsi" w:cstheme="minorHAnsi"/>
                <w:szCs w:val="24"/>
                <w:lang w:val="pl-PL"/>
              </w:rPr>
            </w:pPr>
          </w:p>
        </w:tc>
      </w:tr>
      <w:tr w:rsidR="00C458EA" w:rsidRPr="009552D1" w14:paraId="44571C16" w14:textId="77777777" w:rsidTr="00C458EA">
        <w:trPr>
          <w:jc w:val="center"/>
        </w:trPr>
        <w:tc>
          <w:tcPr>
            <w:tcW w:w="380" w:type="pct"/>
            <w:shd w:val="clear" w:color="auto" w:fill="auto"/>
          </w:tcPr>
          <w:p w14:paraId="44B1ADE1"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402" w:type="pct"/>
          </w:tcPr>
          <w:p w14:paraId="6F6873F1"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502" w:type="pct"/>
          </w:tcPr>
          <w:p w14:paraId="1534D146" w14:textId="1D913163" w:rsidR="00C458EA" w:rsidRPr="00000498" w:rsidRDefault="001E1112" w:rsidP="00C458EA">
            <w:pPr>
              <w:spacing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EFRR</w:t>
            </w:r>
          </w:p>
        </w:tc>
        <w:tc>
          <w:tcPr>
            <w:tcW w:w="498" w:type="pct"/>
          </w:tcPr>
          <w:p w14:paraId="264D337D"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551" w:type="pct"/>
          </w:tcPr>
          <w:p w14:paraId="7ABCF9B4"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527" w:type="pct"/>
          </w:tcPr>
          <w:p w14:paraId="3EC4708B"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372" w:type="pct"/>
          </w:tcPr>
          <w:p w14:paraId="111E4B9B"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372" w:type="pct"/>
          </w:tcPr>
          <w:p w14:paraId="52473B3F"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397" w:type="pct"/>
          </w:tcPr>
          <w:p w14:paraId="11B8B3BC"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393" w:type="pct"/>
          </w:tcPr>
          <w:p w14:paraId="75D3F096"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606" w:type="pct"/>
          </w:tcPr>
          <w:p w14:paraId="5EC19AA9" w14:textId="77777777" w:rsidR="00C458EA" w:rsidRPr="00000498" w:rsidRDefault="00C458EA" w:rsidP="00C458EA">
            <w:pPr>
              <w:spacing w:after="60" w:line="240" w:lineRule="auto"/>
              <w:jc w:val="both"/>
              <w:rPr>
                <w:rFonts w:asciiTheme="minorHAnsi" w:hAnsiTheme="minorHAnsi" w:cstheme="minorHAnsi"/>
                <w:szCs w:val="24"/>
                <w:lang w:val="pl-PL"/>
              </w:rPr>
            </w:pPr>
          </w:p>
        </w:tc>
      </w:tr>
      <w:tr w:rsidR="00C458EA" w:rsidRPr="009552D1" w14:paraId="5BB8316B" w14:textId="77777777" w:rsidTr="00C458EA">
        <w:trPr>
          <w:jc w:val="center"/>
        </w:trPr>
        <w:tc>
          <w:tcPr>
            <w:tcW w:w="380" w:type="pct"/>
            <w:shd w:val="clear" w:color="auto" w:fill="auto"/>
          </w:tcPr>
          <w:p w14:paraId="111F9AC5"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402" w:type="pct"/>
          </w:tcPr>
          <w:p w14:paraId="04811FF5"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502" w:type="pct"/>
          </w:tcPr>
          <w:p w14:paraId="68B3A9CE" w14:textId="77777777" w:rsidR="00C458EA" w:rsidRPr="00000498" w:rsidRDefault="00C458EA" w:rsidP="00C458EA">
            <w:pPr>
              <w:spacing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NDICI</w:t>
            </w:r>
          </w:p>
        </w:tc>
        <w:tc>
          <w:tcPr>
            <w:tcW w:w="498" w:type="pct"/>
          </w:tcPr>
          <w:p w14:paraId="4F863FB1"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551" w:type="pct"/>
          </w:tcPr>
          <w:p w14:paraId="6C464CCE"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527" w:type="pct"/>
          </w:tcPr>
          <w:p w14:paraId="5FFD5D11"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372" w:type="pct"/>
          </w:tcPr>
          <w:p w14:paraId="15E8341D"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372" w:type="pct"/>
          </w:tcPr>
          <w:p w14:paraId="0823F556"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397" w:type="pct"/>
          </w:tcPr>
          <w:p w14:paraId="66878B94"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393" w:type="pct"/>
          </w:tcPr>
          <w:p w14:paraId="79029477"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606" w:type="pct"/>
          </w:tcPr>
          <w:p w14:paraId="7306820D" w14:textId="77777777" w:rsidR="00C458EA" w:rsidRPr="00000498" w:rsidRDefault="00C458EA" w:rsidP="00C458EA">
            <w:pPr>
              <w:spacing w:after="60" w:line="240" w:lineRule="auto"/>
              <w:jc w:val="both"/>
              <w:rPr>
                <w:rFonts w:asciiTheme="minorHAnsi" w:hAnsiTheme="minorHAnsi" w:cstheme="minorHAnsi"/>
                <w:szCs w:val="24"/>
                <w:lang w:val="pl-PL"/>
              </w:rPr>
            </w:pPr>
          </w:p>
        </w:tc>
      </w:tr>
      <w:tr w:rsidR="00C458EA" w:rsidRPr="009552D1" w14:paraId="168E8FF7" w14:textId="77777777" w:rsidTr="00EE1A8F">
        <w:trPr>
          <w:jc w:val="center"/>
        </w:trPr>
        <w:tc>
          <w:tcPr>
            <w:tcW w:w="380" w:type="pct"/>
            <w:shd w:val="pct25" w:color="auto" w:fill="auto"/>
          </w:tcPr>
          <w:p w14:paraId="69AFAD24" w14:textId="7E9F26A2" w:rsidR="00C458EA" w:rsidRPr="00000498" w:rsidRDefault="00570207" w:rsidP="00C458EA">
            <w:pPr>
              <w:spacing w:after="6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PT</w:t>
            </w:r>
          </w:p>
        </w:tc>
        <w:tc>
          <w:tcPr>
            <w:tcW w:w="402" w:type="pct"/>
          </w:tcPr>
          <w:p w14:paraId="13922D20" w14:textId="07BA768B" w:rsidR="00C458EA" w:rsidRPr="00000498" w:rsidRDefault="001E1112" w:rsidP="00C458EA">
            <w:pPr>
              <w:spacing w:after="6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Łącznie</w:t>
            </w:r>
          </w:p>
        </w:tc>
        <w:tc>
          <w:tcPr>
            <w:tcW w:w="502" w:type="pct"/>
          </w:tcPr>
          <w:p w14:paraId="69D9DF71" w14:textId="03FE8E3B" w:rsidR="00C458EA" w:rsidRPr="00000498" w:rsidRDefault="001E1112" w:rsidP="00C458EA">
            <w:pPr>
              <w:spacing w:after="60" w:line="240" w:lineRule="auto"/>
              <w:jc w:val="both"/>
              <w:rPr>
                <w:rFonts w:asciiTheme="minorHAnsi" w:hAnsiTheme="minorHAnsi" w:cstheme="minorHAnsi"/>
                <w:b/>
                <w:szCs w:val="24"/>
                <w:lang w:val="pl-PL"/>
              </w:rPr>
            </w:pPr>
            <w:r w:rsidRPr="00000498">
              <w:rPr>
                <w:rFonts w:asciiTheme="minorHAnsi" w:hAnsiTheme="minorHAnsi" w:cstheme="minorHAnsi"/>
                <w:b/>
                <w:szCs w:val="24"/>
                <w:lang w:val="pl-PL"/>
              </w:rPr>
              <w:t>Wszystkie fundusze</w:t>
            </w:r>
          </w:p>
        </w:tc>
        <w:tc>
          <w:tcPr>
            <w:tcW w:w="498" w:type="pct"/>
          </w:tcPr>
          <w:p w14:paraId="665DE271"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551" w:type="pct"/>
          </w:tcPr>
          <w:p w14:paraId="3AC4F493"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527" w:type="pct"/>
          </w:tcPr>
          <w:p w14:paraId="30E777FB"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372" w:type="pct"/>
          </w:tcPr>
          <w:p w14:paraId="3AF2A416"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372" w:type="pct"/>
          </w:tcPr>
          <w:p w14:paraId="098DB9E9"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397" w:type="pct"/>
          </w:tcPr>
          <w:p w14:paraId="1D21D1ED"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393" w:type="pct"/>
          </w:tcPr>
          <w:p w14:paraId="357F2001"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606" w:type="pct"/>
          </w:tcPr>
          <w:p w14:paraId="68FB94F6" w14:textId="77777777" w:rsidR="00C458EA" w:rsidRPr="00000498" w:rsidRDefault="00C458EA" w:rsidP="00C458EA">
            <w:pPr>
              <w:spacing w:after="60" w:line="240" w:lineRule="auto"/>
              <w:jc w:val="both"/>
              <w:rPr>
                <w:rFonts w:asciiTheme="minorHAnsi" w:hAnsiTheme="minorHAnsi" w:cstheme="minorHAnsi"/>
                <w:szCs w:val="24"/>
                <w:lang w:val="pl-PL"/>
              </w:rPr>
            </w:pPr>
          </w:p>
        </w:tc>
      </w:tr>
      <w:tr w:rsidR="00C458EA" w:rsidRPr="009552D1" w14:paraId="0A795C91" w14:textId="77777777" w:rsidTr="00EE1A8F">
        <w:trPr>
          <w:jc w:val="center"/>
        </w:trPr>
        <w:tc>
          <w:tcPr>
            <w:tcW w:w="380" w:type="pct"/>
            <w:shd w:val="pct25" w:color="auto" w:fill="auto"/>
          </w:tcPr>
          <w:p w14:paraId="2366A61A" w14:textId="77777777" w:rsidR="00C458EA" w:rsidRPr="00000498" w:rsidRDefault="00C458EA" w:rsidP="00C458EA">
            <w:pPr>
              <w:spacing w:after="60" w:line="240" w:lineRule="auto"/>
              <w:jc w:val="both"/>
              <w:rPr>
                <w:rFonts w:asciiTheme="minorHAnsi" w:hAnsiTheme="minorHAnsi" w:cstheme="minorHAnsi"/>
                <w:b/>
                <w:szCs w:val="24"/>
                <w:lang w:val="pl-PL"/>
              </w:rPr>
            </w:pPr>
          </w:p>
        </w:tc>
        <w:tc>
          <w:tcPr>
            <w:tcW w:w="402" w:type="pct"/>
          </w:tcPr>
          <w:p w14:paraId="33FEEFC3" w14:textId="77777777" w:rsidR="00C458EA" w:rsidRPr="00000498" w:rsidRDefault="00C458EA" w:rsidP="00C458EA">
            <w:pPr>
              <w:spacing w:after="60" w:line="240" w:lineRule="auto"/>
              <w:jc w:val="both"/>
              <w:rPr>
                <w:rFonts w:asciiTheme="minorHAnsi" w:hAnsiTheme="minorHAnsi" w:cstheme="minorHAnsi"/>
                <w:b/>
                <w:szCs w:val="24"/>
                <w:lang w:val="pl-PL"/>
              </w:rPr>
            </w:pPr>
          </w:p>
        </w:tc>
        <w:tc>
          <w:tcPr>
            <w:tcW w:w="502" w:type="pct"/>
          </w:tcPr>
          <w:p w14:paraId="5640EE25" w14:textId="0607CC08" w:rsidR="00C458EA" w:rsidRPr="00000498" w:rsidRDefault="001E1112" w:rsidP="00C458EA">
            <w:pPr>
              <w:spacing w:after="60" w:line="240" w:lineRule="auto"/>
              <w:jc w:val="both"/>
              <w:rPr>
                <w:rFonts w:asciiTheme="minorHAnsi" w:hAnsiTheme="minorHAnsi" w:cstheme="minorHAnsi"/>
                <w:szCs w:val="24"/>
                <w:lang w:val="pl-PL"/>
              </w:rPr>
            </w:pPr>
            <w:r w:rsidRPr="00000498">
              <w:rPr>
                <w:rFonts w:asciiTheme="minorHAnsi" w:hAnsiTheme="minorHAnsi" w:cstheme="minorHAnsi"/>
                <w:szCs w:val="24"/>
                <w:lang w:val="pl-PL"/>
              </w:rPr>
              <w:t>EFRR</w:t>
            </w:r>
          </w:p>
        </w:tc>
        <w:tc>
          <w:tcPr>
            <w:tcW w:w="498" w:type="pct"/>
          </w:tcPr>
          <w:p w14:paraId="13FCE746"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551" w:type="pct"/>
          </w:tcPr>
          <w:p w14:paraId="68411622"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527" w:type="pct"/>
          </w:tcPr>
          <w:p w14:paraId="23FB0EEA"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372" w:type="pct"/>
          </w:tcPr>
          <w:p w14:paraId="7177E472"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372" w:type="pct"/>
          </w:tcPr>
          <w:p w14:paraId="1F83E785"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397" w:type="pct"/>
          </w:tcPr>
          <w:p w14:paraId="2255A7C5"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393" w:type="pct"/>
          </w:tcPr>
          <w:p w14:paraId="4B11EADC"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606" w:type="pct"/>
          </w:tcPr>
          <w:p w14:paraId="096BDFE7" w14:textId="77777777" w:rsidR="00C458EA" w:rsidRPr="00000498" w:rsidRDefault="00C458EA" w:rsidP="00C458EA">
            <w:pPr>
              <w:spacing w:after="60" w:line="240" w:lineRule="auto"/>
              <w:jc w:val="both"/>
              <w:rPr>
                <w:rFonts w:asciiTheme="minorHAnsi" w:hAnsiTheme="minorHAnsi" w:cstheme="minorHAnsi"/>
                <w:szCs w:val="24"/>
                <w:lang w:val="pl-PL"/>
              </w:rPr>
            </w:pPr>
          </w:p>
        </w:tc>
      </w:tr>
      <w:tr w:rsidR="00C458EA" w:rsidRPr="009552D1" w14:paraId="1AB89E59" w14:textId="77777777" w:rsidTr="00EE1A8F">
        <w:trPr>
          <w:jc w:val="center"/>
        </w:trPr>
        <w:tc>
          <w:tcPr>
            <w:tcW w:w="380" w:type="pct"/>
            <w:shd w:val="pct25" w:color="auto" w:fill="auto"/>
          </w:tcPr>
          <w:p w14:paraId="4CF0CEA6" w14:textId="77777777" w:rsidR="00C458EA" w:rsidRPr="00000498" w:rsidRDefault="00C458EA" w:rsidP="00C458EA">
            <w:pPr>
              <w:spacing w:after="60" w:line="240" w:lineRule="auto"/>
              <w:jc w:val="both"/>
              <w:rPr>
                <w:rFonts w:asciiTheme="minorHAnsi" w:hAnsiTheme="minorHAnsi" w:cstheme="minorHAnsi"/>
                <w:b/>
                <w:szCs w:val="24"/>
                <w:lang w:val="pl-PL"/>
              </w:rPr>
            </w:pPr>
          </w:p>
        </w:tc>
        <w:tc>
          <w:tcPr>
            <w:tcW w:w="402" w:type="pct"/>
          </w:tcPr>
          <w:p w14:paraId="4D34837B" w14:textId="77777777" w:rsidR="00C458EA" w:rsidRPr="00000498" w:rsidRDefault="00C458EA" w:rsidP="00C458EA">
            <w:pPr>
              <w:spacing w:after="60" w:line="240" w:lineRule="auto"/>
              <w:jc w:val="both"/>
              <w:rPr>
                <w:rFonts w:asciiTheme="minorHAnsi" w:hAnsiTheme="minorHAnsi" w:cstheme="minorHAnsi"/>
                <w:b/>
                <w:szCs w:val="24"/>
                <w:lang w:val="pl-PL"/>
              </w:rPr>
            </w:pPr>
          </w:p>
        </w:tc>
        <w:tc>
          <w:tcPr>
            <w:tcW w:w="502" w:type="pct"/>
          </w:tcPr>
          <w:p w14:paraId="72A4E2F7" w14:textId="076DBD10" w:rsidR="00C458EA" w:rsidRPr="00000498" w:rsidRDefault="00C458EA" w:rsidP="00C458EA">
            <w:pPr>
              <w:spacing w:after="60" w:line="240" w:lineRule="auto"/>
              <w:jc w:val="both"/>
              <w:rPr>
                <w:rFonts w:asciiTheme="minorHAnsi" w:hAnsiTheme="minorHAnsi" w:cstheme="minorHAnsi"/>
                <w:b/>
                <w:szCs w:val="24"/>
                <w:lang w:val="pl-PL"/>
              </w:rPr>
            </w:pPr>
            <w:r w:rsidRPr="00000498">
              <w:rPr>
                <w:rFonts w:asciiTheme="minorHAnsi" w:hAnsiTheme="minorHAnsi" w:cstheme="minorHAnsi"/>
                <w:szCs w:val="24"/>
                <w:lang w:val="pl-PL"/>
              </w:rPr>
              <w:t>NDICI</w:t>
            </w:r>
          </w:p>
        </w:tc>
        <w:tc>
          <w:tcPr>
            <w:tcW w:w="498" w:type="pct"/>
          </w:tcPr>
          <w:p w14:paraId="3AA42367"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551" w:type="pct"/>
          </w:tcPr>
          <w:p w14:paraId="45EF020E"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527" w:type="pct"/>
          </w:tcPr>
          <w:p w14:paraId="7D2EB28B"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372" w:type="pct"/>
          </w:tcPr>
          <w:p w14:paraId="03846813"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372" w:type="pct"/>
          </w:tcPr>
          <w:p w14:paraId="099951D6"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397" w:type="pct"/>
          </w:tcPr>
          <w:p w14:paraId="59E5234E"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393" w:type="pct"/>
          </w:tcPr>
          <w:p w14:paraId="468859C0" w14:textId="77777777" w:rsidR="00C458EA" w:rsidRPr="00000498" w:rsidRDefault="00C458EA" w:rsidP="00C458EA">
            <w:pPr>
              <w:spacing w:after="60" w:line="240" w:lineRule="auto"/>
              <w:jc w:val="both"/>
              <w:rPr>
                <w:rFonts w:asciiTheme="minorHAnsi" w:hAnsiTheme="minorHAnsi" w:cstheme="minorHAnsi"/>
                <w:szCs w:val="24"/>
                <w:lang w:val="pl-PL"/>
              </w:rPr>
            </w:pPr>
          </w:p>
        </w:tc>
        <w:tc>
          <w:tcPr>
            <w:tcW w:w="606" w:type="pct"/>
          </w:tcPr>
          <w:p w14:paraId="77E80299" w14:textId="77777777" w:rsidR="00C458EA" w:rsidRPr="00000498" w:rsidRDefault="00C458EA" w:rsidP="00C458EA">
            <w:pPr>
              <w:spacing w:after="60" w:line="240" w:lineRule="auto"/>
              <w:jc w:val="both"/>
              <w:rPr>
                <w:rFonts w:asciiTheme="minorHAnsi" w:hAnsiTheme="minorHAnsi" w:cstheme="minorHAnsi"/>
                <w:szCs w:val="24"/>
                <w:lang w:val="pl-PL"/>
              </w:rPr>
            </w:pPr>
          </w:p>
        </w:tc>
      </w:tr>
    </w:tbl>
    <w:p w14:paraId="7635AE19" w14:textId="4B441149" w:rsidR="00F50542" w:rsidRPr="00F879CC" w:rsidRDefault="00F50542" w:rsidP="00F50542">
      <w:pPr>
        <w:spacing w:before="240" w:after="240" w:line="240" w:lineRule="auto"/>
        <w:jc w:val="both"/>
        <w:rPr>
          <w:rFonts w:asciiTheme="minorHAnsi" w:eastAsia="Times New Roman" w:hAnsiTheme="minorHAnsi" w:cstheme="minorHAnsi"/>
          <w:iCs/>
          <w:sz w:val="20"/>
          <w:szCs w:val="20"/>
          <w:lang w:val="en-IE" w:eastAsia="en-GB"/>
        </w:rPr>
      </w:pPr>
    </w:p>
    <w:p w14:paraId="5BF76996" w14:textId="7FD33030" w:rsidR="000A440C" w:rsidRPr="00000498" w:rsidRDefault="001E1112" w:rsidP="00000498">
      <w:pPr>
        <w:spacing w:after="120" w:line="276" w:lineRule="auto"/>
        <w:ind w:left="709" w:right="797"/>
        <w:rPr>
          <w:rFonts w:asciiTheme="minorHAnsi" w:eastAsia="Times New Roman" w:hAnsiTheme="minorHAnsi" w:cstheme="minorHAnsi"/>
          <w:bCs/>
          <w:iCs/>
          <w:szCs w:val="24"/>
          <w:lang w:val="en-IE" w:eastAsia="en-GB"/>
        </w:rPr>
      </w:pPr>
      <w:r w:rsidRPr="00000498">
        <w:rPr>
          <w:rFonts w:asciiTheme="minorHAnsi" w:eastAsia="Times New Roman" w:hAnsiTheme="minorHAnsi" w:cstheme="minorHAnsi"/>
          <w:bCs/>
          <w:iCs/>
          <w:szCs w:val="24"/>
          <w:lang w:val="en-IE" w:eastAsia="en-GB"/>
        </w:rPr>
        <w:t>EFRR</w:t>
      </w:r>
      <w:r w:rsidR="005158B2" w:rsidRPr="00000498">
        <w:rPr>
          <w:rFonts w:asciiTheme="minorHAnsi" w:eastAsia="Times New Roman" w:hAnsiTheme="minorHAnsi" w:cstheme="minorHAnsi"/>
          <w:bCs/>
          <w:iCs/>
          <w:szCs w:val="24"/>
          <w:lang w:val="en-IE" w:eastAsia="en-GB"/>
        </w:rPr>
        <w:t xml:space="preserve">: </w:t>
      </w:r>
    </w:p>
    <w:p w14:paraId="6B8429F9" w14:textId="19B4D8AB" w:rsidR="00F50542" w:rsidRPr="00305E0A" w:rsidRDefault="001E1112" w:rsidP="00000498">
      <w:pPr>
        <w:spacing w:after="120" w:line="276" w:lineRule="auto"/>
        <w:ind w:left="709" w:right="797"/>
        <w:rPr>
          <w:rFonts w:asciiTheme="minorHAnsi" w:eastAsia="Times New Roman" w:hAnsiTheme="minorHAnsi" w:cstheme="minorHAnsi"/>
          <w:bCs/>
          <w:iCs/>
          <w:szCs w:val="24"/>
          <w:lang w:val="pl-PL" w:eastAsia="en-GB"/>
        </w:rPr>
      </w:pPr>
      <w:r w:rsidRPr="00000498">
        <w:rPr>
          <w:rFonts w:asciiTheme="minorHAnsi" w:eastAsia="Times New Roman" w:hAnsiTheme="minorHAnsi" w:cstheme="minorHAnsi"/>
          <w:bCs/>
          <w:iCs/>
          <w:szCs w:val="24"/>
          <w:lang w:val="pl-PL" w:eastAsia="en-GB"/>
        </w:rPr>
        <w:t xml:space="preserve">Tabela 8 jest </w:t>
      </w:r>
      <w:r w:rsidRPr="00340571">
        <w:rPr>
          <w:rFonts w:asciiTheme="minorHAnsi" w:eastAsia="Times New Roman" w:hAnsiTheme="minorHAnsi" w:cstheme="minorHAnsi"/>
          <w:bCs/>
          <w:iCs/>
          <w:szCs w:val="24"/>
          <w:lang w:val="pl-PL" w:eastAsia="en-GB"/>
        </w:rPr>
        <w:t>przechowywana w oddzielnym pliku Excel</w:t>
      </w:r>
      <w:r w:rsidR="00340571">
        <w:rPr>
          <w:rFonts w:asciiTheme="minorHAnsi" w:eastAsia="Times New Roman" w:hAnsiTheme="minorHAnsi" w:cstheme="minorHAnsi"/>
          <w:bCs/>
          <w:iCs/>
          <w:szCs w:val="24"/>
          <w:lang w:val="pl-PL" w:eastAsia="en-GB"/>
        </w:rPr>
        <w:t>,</w:t>
      </w:r>
      <w:r w:rsidRPr="00000498">
        <w:rPr>
          <w:rFonts w:asciiTheme="minorHAnsi" w:eastAsia="Times New Roman" w:hAnsiTheme="minorHAnsi" w:cstheme="minorHAnsi"/>
          <w:bCs/>
          <w:iCs/>
          <w:szCs w:val="24"/>
          <w:lang w:val="pl-PL" w:eastAsia="en-GB"/>
        </w:rPr>
        <w:t xml:space="preserve"> a odpowiednia zawartość </w:t>
      </w:r>
      <w:r w:rsidR="00A92425">
        <w:rPr>
          <w:rFonts w:asciiTheme="minorHAnsi" w:eastAsia="Times New Roman" w:hAnsiTheme="minorHAnsi" w:cstheme="minorHAnsi"/>
          <w:bCs/>
          <w:iCs/>
          <w:szCs w:val="24"/>
          <w:lang w:val="pl-PL" w:eastAsia="en-GB"/>
        </w:rPr>
        <w:t>został dodany</w:t>
      </w:r>
      <w:r w:rsidR="00A05A16" w:rsidRPr="00000498">
        <w:rPr>
          <w:rFonts w:asciiTheme="minorHAnsi" w:eastAsia="Times New Roman" w:hAnsiTheme="minorHAnsi" w:cstheme="minorHAnsi"/>
          <w:bCs/>
          <w:iCs/>
          <w:szCs w:val="24"/>
          <w:lang w:val="pl-PL" w:eastAsia="en-GB"/>
        </w:rPr>
        <w:t>, jako</w:t>
      </w:r>
      <w:r w:rsidRPr="00000498">
        <w:rPr>
          <w:rFonts w:asciiTheme="minorHAnsi" w:eastAsia="Times New Roman" w:hAnsiTheme="minorHAnsi" w:cstheme="minorHAnsi"/>
          <w:bCs/>
          <w:iCs/>
          <w:szCs w:val="24"/>
          <w:lang w:val="pl-PL" w:eastAsia="en-GB"/>
        </w:rPr>
        <w:t xml:space="preserve"> zrzut ekranu</w:t>
      </w:r>
      <w:r w:rsidR="00D37362">
        <w:rPr>
          <w:rFonts w:asciiTheme="minorHAnsi" w:eastAsia="Times New Roman" w:hAnsiTheme="minorHAnsi" w:cstheme="minorHAnsi"/>
          <w:bCs/>
          <w:iCs/>
          <w:szCs w:val="24"/>
          <w:lang w:val="pl-PL" w:eastAsia="en-GB"/>
        </w:rPr>
        <w:t>,</w:t>
      </w:r>
      <w:r w:rsidRPr="00000498">
        <w:rPr>
          <w:rFonts w:asciiTheme="minorHAnsi" w:eastAsia="Times New Roman" w:hAnsiTheme="minorHAnsi" w:cstheme="minorHAnsi"/>
          <w:bCs/>
          <w:iCs/>
          <w:szCs w:val="24"/>
          <w:lang w:val="pl-PL" w:eastAsia="en-GB"/>
        </w:rPr>
        <w:t xml:space="preserve"> poniżej. Niniejsza wersja dokumentu programowego skupia się na finansowaniu z EFRR (oszacowanie dokonane przez IZ/WS na podstawie </w:t>
      </w:r>
      <w:r w:rsidR="00A92425">
        <w:rPr>
          <w:rFonts w:asciiTheme="minorHAnsi" w:eastAsia="Times New Roman" w:hAnsiTheme="minorHAnsi" w:cstheme="minorHAnsi"/>
          <w:bCs/>
          <w:iCs/>
          <w:szCs w:val="24"/>
          <w:lang w:val="pl-PL" w:eastAsia="en-GB"/>
        </w:rPr>
        <w:t>informacji przekazanych IZ przez</w:t>
      </w:r>
      <w:r w:rsidR="00A01360">
        <w:rPr>
          <w:rFonts w:asciiTheme="minorHAnsi" w:eastAsia="Times New Roman" w:hAnsiTheme="minorHAnsi" w:cstheme="minorHAnsi"/>
          <w:bCs/>
          <w:iCs/>
          <w:szCs w:val="24"/>
          <w:lang w:val="pl-PL" w:eastAsia="en-GB"/>
        </w:rPr>
        <w:t xml:space="preserve"> </w:t>
      </w:r>
      <w:r w:rsidRPr="00000498">
        <w:rPr>
          <w:rFonts w:asciiTheme="minorHAnsi" w:eastAsia="Times New Roman" w:hAnsiTheme="minorHAnsi" w:cstheme="minorHAnsi"/>
          <w:bCs/>
          <w:iCs/>
          <w:szCs w:val="24"/>
          <w:lang w:val="pl-PL" w:eastAsia="en-GB"/>
        </w:rPr>
        <w:t>państw</w:t>
      </w:r>
      <w:r w:rsidR="00A92425">
        <w:rPr>
          <w:rFonts w:asciiTheme="minorHAnsi" w:eastAsia="Times New Roman" w:hAnsiTheme="minorHAnsi" w:cstheme="minorHAnsi"/>
          <w:bCs/>
          <w:iCs/>
          <w:szCs w:val="24"/>
          <w:lang w:val="pl-PL" w:eastAsia="en-GB"/>
        </w:rPr>
        <w:t>a</w:t>
      </w:r>
      <w:r w:rsidRPr="00000498">
        <w:rPr>
          <w:rFonts w:asciiTheme="minorHAnsi" w:eastAsia="Times New Roman" w:hAnsiTheme="minorHAnsi" w:cstheme="minorHAnsi"/>
          <w:bCs/>
          <w:iCs/>
          <w:szCs w:val="24"/>
          <w:lang w:val="pl-PL" w:eastAsia="en-GB"/>
        </w:rPr>
        <w:t xml:space="preserve"> </w:t>
      </w:r>
      <w:r w:rsidR="00A92425" w:rsidRPr="00000498">
        <w:rPr>
          <w:rFonts w:asciiTheme="minorHAnsi" w:eastAsia="Times New Roman" w:hAnsiTheme="minorHAnsi" w:cstheme="minorHAnsi"/>
          <w:bCs/>
          <w:iCs/>
          <w:szCs w:val="24"/>
          <w:lang w:val="pl-PL" w:eastAsia="en-GB"/>
        </w:rPr>
        <w:t>członkowski</w:t>
      </w:r>
      <w:r w:rsidR="00A92425">
        <w:rPr>
          <w:rFonts w:asciiTheme="minorHAnsi" w:eastAsia="Times New Roman" w:hAnsiTheme="minorHAnsi" w:cstheme="minorHAnsi"/>
          <w:bCs/>
          <w:iCs/>
          <w:szCs w:val="24"/>
          <w:lang w:val="pl-PL" w:eastAsia="en-GB"/>
        </w:rPr>
        <w:t>e</w:t>
      </w:r>
      <w:r w:rsidRPr="00000498">
        <w:rPr>
          <w:rFonts w:asciiTheme="minorHAnsi" w:eastAsia="Times New Roman" w:hAnsiTheme="minorHAnsi" w:cstheme="minorHAnsi"/>
          <w:bCs/>
          <w:iCs/>
          <w:szCs w:val="24"/>
          <w:lang w:val="pl-PL" w:eastAsia="en-GB"/>
        </w:rPr>
        <w:t>). Wkłady od NDICI i krajów trzecich zostaną dodane później</w:t>
      </w:r>
      <w:r w:rsidR="00530AD7" w:rsidRPr="00000498">
        <w:rPr>
          <w:rFonts w:asciiTheme="minorHAnsi" w:eastAsia="Times New Roman" w:hAnsiTheme="minorHAnsi" w:cstheme="minorHAnsi"/>
          <w:bCs/>
          <w:iCs/>
          <w:szCs w:val="24"/>
          <w:lang w:val="pl-PL" w:eastAsia="en-GB"/>
        </w:rPr>
        <w:t>.</w:t>
      </w:r>
      <w:r w:rsidR="00A92425">
        <w:rPr>
          <w:rFonts w:asciiTheme="minorHAnsi" w:eastAsia="Times New Roman" w:hAnsiTheme="minorHAnsi" w:cstheme="minorHAnsi"/>
          <w:bCs/>
          <w:iCs/>
          <w:szCs w:val="24"/>
          <w:lang w:val="pl-PL" w:eastAsia="en-GB"/>
        </w:rPr>
        <w:t xml:space="preserve"> </w:t>
      </w:r>
    </w:p>
    <w:p w14:paraId="5D95D5CF" w14:textId="3FB72830" w:rsidR="0037767B" w:rsidRPr="00305E0A" w:rsidRDefault="0037767B" w:rsidP="00645BA4">
      <w:pPr>
        <w:spacing w:after="120" w:line="240" w:lineRule="auto"/>
        <w:ind w:right="797"/>
        <w:jc w:val="both"/>
        <w:rPr>
          <w:rFonts w:asciiTheme="minorHAnsi" w:eastAsia="Times New Roman" w:hAnsiTheme="minorHAnsi" w:cstheme="minorHAnsi"/>
          <w:bCs/>
          <w:iCs/>
          <w:sz w:val="22"/>
          <w:lang w:val="pl-PL" w:eastAsia="en-GB"/>
        </w:rPr>
      </w:pPr>
    </w:p>
    <w:p w14:paraId="02AFB4C9" w14:textId="29B72484" w:rsidR="0037767B" w:rsidRPr="00305E0A" w:rsidRDefault="0037767B" w:rsidP="00F50542">
      <w:pPr>
        <w:spacing w:after="120" w:line="240" w:lineRule="auto"/>
        <w:jc w:val="both"/>
        <w:rPr>
          <w:rFonts w:asciiTheme="minorHAnsi" w:eastAsia="Times New Roman" w:hAnsiTheme="minorHAnsi" w:cstheme="minorHAnsi"/>
          <w:bCs/>
          <w:iCs/>
          <w:szCs w:val="24"/>
          <w:lang w:val="pl-PL" w:eastAsia="en-GB"/>
        </w:rPr>
      </w:pPr>
    </w:p>
    <w:p w14:paraId="720096D9" w14:textId="1BA7EAD6" w:rsidR="0037767B" w:rsidRPr="00305E0A" w:rsidRDefault="0037767B" w:rsidP="00F50542">
      <w:pPr>
        <w:spacing w:after="120" w:line="240" w:lineRule="auto"/>
        <w:jc w:val="both"/>
        <w:rPr>
          <w:rFonts w:asciiTheme="minorHAnsi" w:eastAsia="Times New Roman" w:hAnsiTheme="minorHAnsi" w:cstheme="minorHAnsi"/>
          <w:bCs/>
          <w:iCs/>
          <w:szCs w:val="24"/>
          <w:lang w:val="pl-PL" w:eastAsia="en-GB"/>
        </w:rPr>
      </w:pPr>
    </w:p>
    <w:p w14:paraId="65F62148" w14:textId="2E67ABDC" w:rsidR="0037767B" w:rsidRPr="00305E0A" w:rsidRDefault="0037767B" w:rsidP="00F50542">
      <w:pPr>
        <w:spacing w:after="120" w:line="240" w:lineRule="auto"/>
        <w:jc w:val="both"/>
        <w:rPr>
          <w:rFonts w:asciiTheme="minorHAnsi" w:eastAsia="Times New Roman" w:hAnsiTheme="minorHAnsi" w:cstheme="minorHAnsi"/>
          <w:bCs/>
          <w:iCs/>
          <w:szCs w:val="24"/>
          <w:lang w:val="pl-PL" w:eastAsia="en-GB"/>
        </w:rPr>
      </w:pPr>
    </w:p>
    <w:p w14:paraId="386105FC" w14:textId="719C0990" w:rsidR="0037767B" w:rsidRPr="00F879CC" w:rsidRDefault="00E17FA8" w:rsidP="00F50542">
      <w:pPr>
        <w:spacing w:after="120" w:line="240" w:lineRule="auto"/>
        <w:jc w:val="both"/>
        <w:rPr>
          <w:rFonts w:asciiTheme="minorHAnsi" w:eastAsia="Times New Roman" w:hAnsiTheme="minorHAnsi" w:cstheme="minorHAnsi"/>
          <w:bCs/>
          <w:iCs/>
          <w:szCs w:val="24"/>
          <w:lang w:val="en-IE" w:eastAsia="en-GB"/>
        </w:rPr>
      </w:pPr>
      <w:r w:rsidRPr="00F879CC">
        <w:rPr>
          <w:rFonts w:asciiTheme="minorHAnsi" w:hAnsiTheme="minorHAnsi" w:cstheme="minorHAnsi"/>
          <w:noProof/>
          <w:lang w:val="pl-PL" w:eastAsia="pl-PL"/>
        </w:rPr>
        <w:lastRenderedPageBreak/>
        <w:drawing>
          <wp:inline distT="0" distB="0" distL="0" distR="0" wp14:anchorId="0A27C7E9" wp14:editId="59BFD157">
            <wp:extent cx="9777730" cy="5793740"/>
            <wp:effectExtent l="0" t="0" r="0" b="0"/>
            <wp:docPr id="1" name="Picture 1" title="Zrzut ekranu z pliku Excel dotyczącego kwestii rachunkow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777730" cy="5793740"/>
                    </a:xfrm>
                    <a:prstGeom prst="rect">
                      <a:avLst/>
                    </a:prstGeom>
                  </pic:spPr>
                </pic:pic>
              </a:graphicData>
            </a:graphic>
          </wp:inline>
        </w:drawing>
      </w:r>
    </w:p>
    <w:p w14:paraId="0464FE34" w14:textId="6EA5D909" w:rsidR="00940E79" w:rsidRPr="00F879CC" w:rsidRDefault="00940E79" w:rsidP="00F50542">
      <w:pPr>
        <w:spacing w:after="120" w:line="240" w:lineRule="auto"/>
        <w:jc w:val="both"/>
        <w:rPr>
          <w:rFonts w:asciiTheme="minorHAnsi" w:hAnsiTheme="minorHAnsi" w:cstheme="minorHAnsi"/>
          <w:i/>
          <w:szCs w:val="24"/>
          <w:lang w:val="en-IE"/>
        </w:rPr>
        <w:sectPr w:rsidR="00940E79" w:rsidRPr="00F879CC">
          <w:headerReference w:type="even" r:id="rId11"/>
          <w:headerReference w:type="default" r:id="rId12"/>
          <w:footerReference w:type="even" r:id="rId13"/>
          <w:footerReference w:type="default" r:id="rId14"/>
          <w:headerReference w:type="first" r:id="rId15"/>
          <w:footerReference w:type="first" r:id="rId16"/>
          <w:pgSz w:w="16838" w:h="11906" w:orient="landscape"/>
          <w:pgMar w:top="720" w:right="720" w:bottom="720" w:left="720" w:header="708" w:footer="708" w:gutter="0"/>
          <w:cols w:space="708"/>
          <w:docGrid w:linePitch="360"/>
        </w:sectPr>
      </w:pPr>
    </w:p>
    <w:p w14:paraId="3178D3F4" w14:textId="56C14C55" w:rsidR="00F50542" w:rsidRPr="00A56537" w:rsidRDefault="008021D3" w:rsidP="00A971F1">
      <w:pPr>
        <w:pStyle w:val="Nagwek1"/>
        <w:numPr>
          <w:ilvl w:val="0"/>
          <w:numId w:val="3"/>
        </w:numPr>
        <w:rPr>
          <w:rFonts w:eastAsia="Times New Roman"/>
          <w:lang w:val="pl-PL" w:eastAsia="en-GB"/>
        </w:rPr>
      </w:pPr>
      <w:bookmarkStart w:id="128" w:name="_Toc73432995"/>
      <w:r w:rsidRPr="00A56537">
        <w:rPr>
          <w:rFonts w:eastAsia="Times New Roman"/>
          <w:lang w:val="pl-PL" w:eastAsia="en-GB"/>
        </w:rPr>
        <w:lastRenderedPageBreak/>
        <w:t>Działania podjęte w celu zaangażowania odpowiednich partnerów programu w przygotowanie programu Interreg oraz rola tych partnerów programu we wdrażaniu, monitorowaniu i ocenie</w:t>
      </w:r>
      <w:bookmarkEnd w:id="128"/>
    </w:p>
    <w:p w14:paraId="036800ED" w14:textId="7DF4F808" w:rsidR="00F50542" w:rsidRPr="00000498" w:rsidRDefault="008021D3" w:rsidP="00000498">
      <w:pPr>
        <w:spacing w:after="200" w:line="276" w:lineRule="auto"/>
        <w:rPr>
          <w:rFonts w:asciiTheme="minorHAnsi" w:eastAsia="Times New Roman" w:hAnsiTheme="minorHAnsi" w:cstheme="minorHAnsi"/>
          <w:b/>
          <w:iCs/>
          <w:szCs w:val="24"/>
          <w:lang w:val="pl-PL" w:eastAsia="en-GB"/>
        </w:rPr>
      </w:pPr>
      <w:r w:rsidRPr="00000498">
        <w:rPr>
          <w:rFonts w:asciiTheme="minorHAnsi" w:eastAsia="Times New Roman" w:hAnsiTheme="minorHAnsi" w:cstheme="minorHAnsi"/>
          <w:szCs w:val="24"/>
          <w:lang w:val="pl-PL" w:eastAsia="en-GB"/>
        </w:rPr>
        <w:t>Dotyczy: art. 17 ust. 4 lit. h)</w:t>
      </w:r>
    </w:p>
    <w:tbl>
      <w:tblPr>
        <w:tblStyle w:val="TableGrid1"/>
        <w:tblW w:w="9394" w:type="dxa"/>
        <w:tblLook w:val="04A0" w:firstRow="1" w:lastRow="0" w:firstColumn="1" w:lastColumn="0" w:noHBand="0" w:noVBand="1"/>
      </w:tblPr>
      <w:tblGrid>
        <w:gridCol w:w="9394"/>
      </w:tblGrid>
      <w:tr w:rsidR="00F50542" w:rsidRPr="00367EF1" w14:paraId="166DAB9D" w14:textId="77777777" w:rsidTr="00EE1A8F">
        <w:trPr>
          <w:trHeight w:val="489"/>
        </w:trPr>
        <w:tc>
          <w:tcPr>
            <w:tcW w:w="9394" w:type="dxa"/>
          </w:tcPr>
          <w:p w14:paraId="7E57D352" w14:textId="2B042D38" w:rsidR="002F4B24" w:rsidRPr="00000498" w:rsidRDefault="00DB5000" w:rsidP="00000498">
            <w:pPr>
              <w:spacing w:after="120" w:line="276" w:lineRule="auto"/>
              <w:rPr>
                <w:rFonts w:asciiTheme="minorHAnsi" w:eastAsia="Times New Roman" w:hAnsiTheme="minorHAnsi" w:cstheme="minorHAnsi"/>
                <w:b/>
                <w:szCs w:val="24"/>
                <w:lang w:val="pl-PL" w:eastAsia="en-GB"/>
              </w:rPr>
            </w:pPr>
            <w:r w:rsidRPr="00000498">
              <w:rPr>
                <w:rFonts w:asciiTheme="minorHAnsi" w:eastAsia="Times New Roman" w:hAnsiTheme="minorHAnsi" w:cstheme="minorHAnsi"/>
                <w:b/>
                <w:szCs w:val="24"/>
                <w:lang w:val="pl-PL" w:eastAsia="en-GB"/>
              </w:rPr>
              <w:t>Zaangażowanie partnerów w trakcie przygotowywania programu</w:t>
            </w:r>
          </w:p>
          <w:p w14:paraId="0A52F784" w14:textId="256800BB" w:rsidR="002F4B24" w:rsidRPr="00000498" w:rsidRDefault="006E50B5" w:rsidP="00000498">
            <w:pPr>
              <w:spacing w:after="12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 xml:space="preserve">Opracowanie Programu Interreg Region Morza Bałtyckiego na okres finansowania 2021-2027, zorganizowano zgodnie z europejskim kodeksem postępowania w zakresie partnerstwa określonym w rozporządzeniu delegowanym Komisji (UE) nr 240/2014, stosując go z zachowaniem należytej proporcjonalności do zakresu geograficznego obszaru objętego Programem. Proces koordynował </w:t>
            </w:r>
            <w:r w:rsidR="00AA0D3D">
              <w:rPr>
                <w:rFonts w:asciiTheme="minorHAnsi" w:eastAsia="Times New Roman" w:hAnsiTheme="minorHAnsi" w:cstheme="minorHAnsi"/>
                <w:szCs w:val="24"/>
                <w:lang w:val="pl-PL" w:eastAsia="en-GB"/>
              </w:rPr>
              <w:t>Bank Inwestycyjny</w:t>
            </w:r>
            <w:r w:rsidRPr="00000498">
              <w:rPr>
                <w:rFonts w:asciiTheme="minorHAnsi" w:eastAsia="Times New Roman" w:hAnsiTheme="minorHAnsi" w:cstheme="minorHAnsi"/>
                <w:szCs w:val="24"/>
                <w:lang w:val="pl-PL" w:eastAsia="en-GB"/>
              </w:rPr>
              <w:t xml:space="preserve"> Schleswig-Holstein, jako wyznaczona Instytucja Zarządzająca i Wspólny Sekretariat Programu (IZ/WS). Powołano Wspólny Komitet Programujący (WKP), jako organ decyzyjny w zakresie programowania, składający się z przedstawicieli krajowych i regionalnych ze wszystkich krajów zainteresowanych udziałem w przyszłym Programie.  Podkomitety i </w:t>
            </w:r>
            <w:r w:rsidR="00A05A16" w:rsidRPr="00000498">
              <w:rPr>
                <w:rFonts w:asciiTheme="minorHAnsi" w:eastAsia="Times New Roman" w:hAnsiTheme="minorHAnsi" w:cstheme="minorHAnsi"/>
                <w:szCs w:val="24"/>
                <w:lang w:val="pl-PL" w:eastAsia="en-GB"/>
              </w:rPr>
              <w:t>konsultacje</w:t>
            </w:r>
            <w:r w:rsidRPr="00000498">
              <w:rPr>
                <w:rFonts w:asciiTheme="minorHAnsi" w:eastAsia="Times New Roman" w:hAnsiTheme="minorHAnsi" w:cstheme="minorHAnsi"/>
                <w:szCs w:val="24"/>
                <w:lang w:val="pl-PL" w:eastAsia="en-GB"/>
              </w:rPr>
              <w:t xml:space="preserve"> krajowe realizowane w poszczególnych krajach zapewniają szerszy udział szczebla niższego niż krajowy oraz partnerów gospodarczych i społecznych</w:t>
            </w:r>
            <w:r w:rsidR="002F4B24" w:rsidRPr="00000498">
              <w:rPr>
                <w:rFonts w:asciiTheme="minorHAnsi" w:eastAsia="Times New Roman" w:hAnsiTheme="minorHAnsi" w:cstheme="minorHAnsi"/>
                <w:szCs w:val="24"/>
                <w:lang w:val="pl-PL" w:eastAsia="en-GB"/>
              </w:rPr>
              <w:t>.</w:t>
            </w:r>
          </w:p>
          <w:p w14:paraId="2F1FEC11" w14:textId="7E941FFC" w:rsidR="00406E85" w:rsidRPr="00000498" w:rsidRDefault="006E50B5" w:rsidP="00000498">
            <w:pPr>
              <w:spacing w:after="12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 xml:space="preserve">Program opiera się na wielu istniejących analizach i strategiach </w:t>
            </w:r>
            <w:r w:rsidR="00A6189D" w:rsidRPr="00000498">
              <w:rPr>
                <w:rFonts w:asciiTheme="minorHAnsi" w:eastAsia="Times New Roman" w:hAnsiTheme="minorHAnsi" w:cstheme="minorHAnsi"/>
                <w:szCs w:val="24"/>
                <w:lang w:val="pl-PL" w:eastAsia="en-GB"/>
              </w:rPr>
              <w:t xml:space="preserve">oraz </w:t>
            </w:r>
            <w:r w:rsidRPr="00000498">
              <w:rPr>
                <w:rFonts w:asciiTheme="minorHAnsi" w:eastAsia="Times New Roman" w:hAnsiTheme="minorHAnsi" w:cstheme="minorHAnsi"/>
                <w:szCs w:val="24"/>
                <w:lang w:val="pl-PL" w:eastAsia="en-GB"/>
              </w:rPr>
              <w:t xml:space="preserve">know-how doświadczonych panbałtyckich interesariuszy i </w:t>
            </w:r>
            <w:r w:rsidR="00A6189D" w:rsidRPr="00000498">
              <w:rPr>
                <w:rFonts w:asciiTheme="minorHAnsi" w:eastAsia="Times New Roman" w:hAnsiTheme="minorHAnsi" w:cstheme="minorHAnsi"/>
                <w:szCs w:val="24"/>
                <w:lang w:val="pl-PL" w:eastAsia="en-GB"/>
              </w:rPr>
              <w:t>organizacji</w:t>
            </w:r>
            <w:r w:rsidRPr="00000498">
              <w:rPr>
                <w:rFonts w:asciiTheme="minorHAnsi" w:eastAsia="Times New Roman" w:hAnsiTheme="minorHAnsi" w:cstheme="minorHAnsi"/>
                <w:szCs w:val="24"/>
                <w:lang w:val="pl-PL" w:eastAsia="en-GB"/>
              </w:rPr>
              <w:t>. Bazuje na ogromnym doświadczeniu zdobytym w poprzednich okresach Programu. W 2019 roku dokonano przeglądu priorytetów strategicznych w RMB. Na potrzeby tego przeglądu systematycznie sprawdzano i analizowano odpowiednie dokumenty panbałtyckie i krajowe</w:t>
            </w:r>
            <w:r w:rsidR="00406E85" w:rsidRPr="00000498">
              <w:rPr>
                <w:rFonts w:asciiTheme="minorHAnsi" w:eastAsia="Times New Roman" w:hAnsiTheme="minorHAnsi" w:cstheme="minorHAnsi"/>
                <w:szCs w:val="24"/>
                <w:lang w:val="pl-PL" w:eastAsia="en-GB"/>
              </w:rPr>
              <w:t xml:space="preserve">. </w:t>
            </w:r>
          </w:p>
          <w:p w14:paraId="2BEE26D8" w14:textId="763F0039" w:rsidR="002F4B24" w:rsidRPr="00000498" w:rsidRDefault="006E50B5" w:rsidP="00000498">
            <w:pPr>
              <w:spacing w:after="12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Przy wsparciu Instytucji Zarządzającej i Wspólnego Sekretariatu, WKP dokonał wyboru priorytetów Programu. Ramy tematyczne przyszłego programu obejmują ponadto, proponowane tematy i związane z nimi wyjaśnienia. Proces programowania był otwarty i partycypacyjny. Latem 2020 r., podczas otwartych konsultacji, zainteresowan</w:t>
            </w:r>
            <w:r w:rsidR="00636C93" w:rsidRPr="00000498">
              <w:rPr>
                <w:rFonts w:asciiTheme="minorHAnsi" w:eastAsia="Times New Roman" w:hAnsiTheme="minorHAnsi" w:cstheme="minorHAnsi"/>
                <w:szCs w:val="24"/>
                <w:lang w:val="pl-PL" w:eastAsia="en-GB"/>
              </w:rPr>
              <w:t>ych przedstawicieli</w:t>
            </w:r>
            <w:r w:rsidRPr="00000498">
              <w:rPr>
                <w:rFonts w:asciiTheme="minorHAnsi" w:eastAsia="Times New Roman" w:hAnsiTheme="minorHAnsi" w:cstheme="minorHAnsi"/>
                <w:szCs w:val="24"/>
                <w:lang w:val="pl-PL" w:eastAsia="en-GB"/>
              </w:rPr>
              <w:t xml:space="preserve"> opini</w:t>
            </w:r>
            <w:r w:rsidR="00636C93" w:rsidRPr="00000498">
              <w:rPr>
                <w:rFonts w:asciiTheme="minorHAnsi" w:eastAsia="Times New Roman" w:hAnsiTheme="minorHAnsi" w:cstheme="minorHAnsi"/>
                <w:szCs w:val="24"/>
                <w:lang w:val="pl-PL" w:eastAsia="en-GB"/>
              </w:rPr>
              <w:t>i</w:t>
            </w:r>
            <w:r w:rsidRPr="00000498">
              <w:rPr>
                <w:rFonts w:asciiTheme="minorHAnsi" w:eastAsia="Times New Roman" w:hAnsiTheme="minorHAnsi" w:cstheme="minorHAnsi"/>
                <w:szCs w:val="24"/>
                <w:lang w:val="pl-PL" w:eastAsia="en-GB"/>
              </w:rPr>
              <w:t xml:space="preserve"> publiczn</w:t>
            </w:r>
            <w:r w:rsidR="00636C93" w:rsidRPr="00000498">
              <w:rPr>
                <w:rFonts w:asciiTheme="minorHAnsi" w:eastAsia="Times New Roman" w:hAnsiTheme="minorHAnsi" w:cstheme="minorHAnsi"/>
                <w:szCs w:val="24"/>
                <w:lang w:val="pl-PL" w:eastAsia="en-GB"/>
              </w:rPr>
              <w:t>ej</w:t>
            </w:r>
            <w:r w:rsidRPr="00000498">
              <w:rPr>
                <w:rFonts w:asciiTheme="minorHAnsi" w:eastAsia="Times New Roman" w:hAnsiTheme="minorHAnsi" w:cstheme="minorHAnsi"/>
                <w:szCs w:val="24"/>
                <w:lang w:val="pl-PL" w:eastAsia="en-GB"/>
              </w:rPr>
              <w:t xml:space="preserve"> oraz interesariuszy (koordynatorzy </w:t>
            </w:r>
            <w:r w:rsidR="000C5539" w:rsidRPr="00000498">
              <w:rPr>
                <w:rFonts w:asciiTheme="minorHAnsi" w:eastAsia="Times New Roman" w:hAnsiTheme="minorHAnsi" w:cstheme="minorHAnsi"/>
                <w:szCs w:val="24"/>
                <w:lang w:val="pl-PL" w:eastAsia="en-GB"/>
              </w:rPr>
              <w:t>Obszarów Tematycznych</w:t>
            </w:r>
            <w:r w:rsidRPr="00000498">
              <w:rPr>
                <w:rFonts w:asciiTheme="minorHAnsi" w:eastAsia="Times New Roman" w:hAnsiTheme="minorHAnsi" w:cstheme="minorHAnsi"/>
                <w:szCs w:val="24"/>
                <w:lang w:val="pl-PL" w:eastAsia="en-GB"/>
              </w:rPr>
              <w:t xml:space="preserve"> SUE RMB i platformy projektów) poproszono o przedstawienie swoich przemyśleń na temat ram tematycznych</w:t>
            </w:r>
            <w:r w:rsidR="002F4B24" w:rsidRPr="00000498">
              <w:rPr>
                <w:rFonts w:asciiTheme="minorHAnsi" w:eastAsia="Times New Roman" w:hAnsiTheme="minorHAnsi" w:cstheme="minorHAnsi"/>
                <w:szCs w:val="24"/>
                <w:lang w:val="pl-PL" w:eastAsia="en-GB"/>
              </w:rPr>
              <w:t xml:space="preserve">. </w:t>
            </w:r>
            <w:r w:rsidRPr="00000498">
              <w:rPr>
                <w:rFonts w:asciiTheme="minorHAnsi" w:eastAsia="Times New Roman" w:hAnsiTheme="minorHAnsi" w:cstheme="minorHAnsi"/>
                <w:szCs w:val="24"/>
                <w:lang w:val="pl-PL" w:eastAsia="en-GB"/>
              </w:rPr>
              <w:t xml:space="preserve">Opinie przekazało 719 instytucji ze wszystkich krajów regionu Morza Bałtyckiego, w tym wielu przedstawicieli władz lokalnych i regionalnych oraz organizacji pozarządowych. Ponadto, koordynatorzy </w:t>
            </w:r>
            <w:r w:rsidR="000C5539" w:rsidRPr="00000498">
              <w:rPr>
                <w:rFonts w:asciiTheme="minorHAnsi" w:eastAsia="Times New Roman" w:hAnsiTheme="minorHAnsi" w:cstheme="minorHAnsi"/>
                <w:szCs w:val="24"/>
                <w:lang w:val="pl-PL" w:eastAsia="en-GB"/>
              </w:rPr>
              <w:t>Obszarów Tematycznych</w:t>
            </w:r>
            <w:r w:rsidRPr="00000498">
              <w:rPr>
                <w:rFonts w:asciiTheme="minorHAnsi" w:eastAsia="Times New Roman" w:hAnsiTheme="minorHAnsi" w:cstheme="minorHAnsi"/>
                <w:szCs w:val="24"/>
                <w:lang w:val="pl-PL" w:eastAsia="en-GB"/>
              </w:rPr>
              <w:t xml:space="preserve"> SUE RMB i ich grupy sterujące oraz platformy projektowe skomentowali tematy, które ich dotyczą w wybranym procesie. Wyniki pokazały silne poparcie dla proponowanego zakresu tematycznego Programu. Informacje zwrotne pomagają dodatkowo </w:t>
            </w:r>
            <w:r w:rsidR="00636C93" w:rsidRPr="00000498">
              <w:rPr>
                <w:rFonts w:asciiTheme="minorHAnsi" w:eastAsia="Times New Roman" w:hAnsiTheme="minorHAnsi" w:cstheme="minorHAnsi"/>
                <w:szCs w:val="24"/>
                <w:lang w:val="pl-PL" w:eastAsia="en-GB"/>
              </w:rPr>
              <w:t xml:space="preserve">wzmocnić </w:t>
            </w:r>
            <w:r w:rsidRPr="00000498">
              <w:rPr>
                <w:rFonts w:asciiTheme="minorHAnsi" w:eastAsia="Times New Roman" w:hAnsiTheme="minorHAnsi" w:cstheme="minorHAnsi"/>
                <w:szCs w:val="24"/>
                <w:lang w:val="pl-PL" w:eastAsia="en-GB"/>
              </w:rPr>
              <w:t>ramy tematyczne, które później zostały przełożone na dokument programowy</w:t>
            </w:r>
            <w:r w:rsidR="002F4B24" w:rsidRPr="00000498">
              <w:rPr>
                <w:rFonts w:asciiTheme="minorHAnsi" w:eastAsia="Times New Roman" w:hAnsiTheme="minorHAnsi" w:cstheme="minorHAnsi"/>
                <w:szCs w:val="24"/>
                <w:lang w:val="pl-PL" w:eastAsia="en-GB"/>
              </w:rPr>
              <w:t>.</w:t>
            </w:r>
          </w:p>
          <w:p w14:paraId="5AE875FB" w14:textId="7989C6D6" w:rsidR="002F4B24" w:rsidRPr="00000498" w:rsidRDefault="006E50B5" w:rsidP="00000498">
            <w:pPr>
              <w:spacing w:after="120" w:line="276" w:lineRule="auto"/>
              <w:rPr>
                <w:rFonts w:asciiTheme="minorHAnsi" w:eastAsia="Times New Roman" w:hAnsiTheme="minorHAnsi" w:cstheme="minorHAnsi"/>
                <w:b/>
                <w:szCs w:val="24"/>
                <w:lang w:val="pl-PL" w:eastAsia="en-GB"/>
              </w:rPr>
            </w:pPr>
            <w:r w:rsidRPr="00000498">
              <w:rPr>
                <w:rFonts w:asciiTheme="minorHAnsi" w:eastAsia="Times New Roman" w:hAnsiTheme="minorHAnsi" w:cstheme="minorHAnsi"/>
                <w:b/>
                <w:szCs w:val="24"/>
                <w:lang w:val="pl-PL" w:eastAsia="en-GB"/>
              </w:rPr>
              <w:t>Zaangażowanie partnerów podczas realizacji Programu</w:t>
            </w:r>
          </w:p>
          <w:p w14:paraId="23031193" w14:textId="5C7170D0" w:rsidR="002F4B24" w:rsidRPr="00FE3950" w:rsidRDefault="006E50B5" w:rsidP="00000498">
            <w:pPr>
              <w:spacing w:after="12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 xml:space="preserve">Pomyślna realizacja Programu wymaga silnego zaangażowania władz krajowych, regionalnych i lokalnych, partnerów gospodarczych i społecznych, a także organów reprezentujących </w:t>
            </w:r>
            <w:r w:rsidRPr="00000498">
              <w:rPr>
                <w:rFonts w:asciiTheme="minorHAnsi" w:eastAsia="Times New Roman" w:hAnsiTheme="minorHAnsi" w:cstheme="minorHAnsi"/>
                <w:szCs w:val="24"/>
                <w:lang w:val="pl-PL" w:eastAsia="en-GB"/>
              </w:rPr>
              <w:lastRenderedPageBreak/>
              <w:t xml:space="preserve">społeczeństwo obywatelskie w rozumieniu </w:t>
            </w:r>
            <w:r w:rsidR="00B37E96">
              <w:rPr>
                <w:rFonts w:asciiTheme="minorHAnsi" w:eastAsia="Times New Roman" w:hAnsiTheme="minorHAnsi" w:cstheme="minorHAnsi"/>
                <w:szCs w:val="24"/>
                <w:lang w:val="pl-PL" w:eastAsia="en-GB"/>
              </w:rPr>
              <w:t>r</w:t>
            </w:r>
            <w:r w:rsidRPr="00FE3950">
              <w:rPr>
                <w:rFonts w:asciiTheme="minorHAnsi" w:eastAsia="Times New Roman" w:hAnsiTheme="minorHAnsi" w:cstheme="minorHAnsi"/>
                <w:szCs w:val="24"/>
                <w:lang w:val="pl-PL" w:eastAsia="en-GB"/>
              </w:rPr>
              <w:t>ozporządzenia delegowanego Komisji (UE) nr 240/2014</w:t>
            </w:r>
            <w:r w:rsidR="00604065" w:rsidRPr="00FE3950">
              <w:rPr>
                <w:rFonts w:asciiTheme="minorHAnsi" w:eastAsia="Times New Roman" w:hAnsiTheme="minorHAnsi" w:cstheme="minorHAnsi"/>
                <w:szCs w:val="24"/>
                <w:lang w:val="pl-PL" w:eastAsia="en-GB"/>
              </w:rPr>
              <w:t>.</w:t>
            </w:r>
          </w:p>
          <w:p w14:paraId="47C603C0" w14:textId="3846B4D6" w:rsidR="002F4B24" w:rsidRPr="00FE3950" w:rsidRDefault="006E50B5" w:rsidP="00000498">
            <w:pPr>
              <w:spacing w:after="120" w:line="276" w:lineRule="auto"/>
              <w:rPr>
                <w:rFonts w:asciiTheme="minorHAnsi" w:eastAsia="Times New Roman" w:hAnsiTheme="minorHAnsi" w:cstheme="minorHAnsi"/>
                <w:szCs w:val="24"/>
                <w:lang w:val="pl-PL" w:eastAsia="en-GB"/>
              </w:rPr>
            </w:pPr>
            <w:r w:rsidRPr="00FE3950">
              <w:rPr>
                <w:rFonts w:asciiTheme="minorHAnsi" w:eastAsia="Times New Roman" w:hAnsiTheme="minorHAnsi" w:cstheme="minorHAnsi"/>
                <w:szCs w:val="24"/>
                <w:lang w:val="pl-PL" w:eastAsia="en-GB"/>
              </w:rPr>
              <w:t>Przyszły Komitet Monitorujący (KM) Interreg Region Morza Bałtyckiego będzie składał się z przedstawicieli zarówno krajowych jak i regionalnych z krajów uczestniczących. Ponadto, krajowe podkomitety wszystkich krajów uczestniczących zapewnią, iż uczestnictwo, na szczeblu regionalnym i lokalnym, partnerów gospodarczych i społecznych oraz organów reprezentujących społeczeństwo obywatelskie będzie odbywać się zgodnie z art. 10 ust. 2 rozporządzenia delegowanego Komisji nr 240/2014</w:t>
            </w:r>
            <w:r w:rsidR="00E42C8B" w:rsidRPr="00FE3950">
              <w:rPr>
                <w:rFonts w:asciiTheme="minorHAnsi" w:eastAsia="Times New Roman" w:hAnsiTheme="minorHAnsi" w:cstheme="minorHAnsi"/>
                <w:szCs w:val="24"/>
                <w:lang w:val="pl-PL" w:eastAsia="en-GB"/>
              </w:rPr>
              <w:t>.</w:t>
            </w:r>
          </w:p>
          <w:p w14:paraId="47F829F0" w14:textId="01D4C9E6" w:rsidR="00F50542" w:rsidRPr="00A56C60" w:rsidRDefault="00863818" w:rsidP="00A01360">
            <w:pPr>
              <w:spacing w:after="120" w:line="276" w:lineRule="auto"/>
              <w:rPr>
                <w:rFonts w:asciiTheme="minorHAnsi" w:eastAsia="Times New Roman" w:hAnsiTheme="minorHAnsi" w:cstheme="minorHAnsi"/>
                <w:sz w:val="22"/>
                <w:lang w:val="pl-PL" w:eastAsia="en-GB"/>
              </w:rPr>
            </w:pPr>
            <w:r w:rsidRPr="00FE3950">
              <w:rPr>
                <w:rFonts w:asciiTheme="minorHAnsi" w:eastAsia="Times New Roman" w:hAnsiTheme="minorHAnsi" w:cstheme="minorHAnsi"/>
                <w:szCs w:val="24"/>
                <w:lang w:val="pl-PL" w:eastAsia="en-GB"/>
              </w:rPr>
              <w:t>Współpraca z interesariuszami SUE RMB będzie wspierać jeszcze szerszy zasięg Programu obejmując partnerstwa na wielu poziomach zarządzania</w:t>
            </w:r>
            <w:r w:rsidR="002F4B24" w:rsidRPr="00FE3950">
              <w:rPr>
                <w:rFonts w:asciiTheme="minorHAnsi" w:eastAsia="Times New Roman" w:hAnsiTheme="minorHAnsi" w:cstheme="minorHAnsi"/>
                <w:szCs w:val="24"/>
                <w:lang w:val="pl-PL" w:eastAsia="en-GB"/>
              </w:rPr>
              <w:t>.</w:t>
            </w:r>
          </w:p>
        </w:tc>
      </w:tr>
    </w:tbl>
    <w:p w14:paraId="085D6E32" w14:textId="28F303B7" w:rsidR="00F50542" w:rsidRPr="00A56537" w:rsidRDefault="00863818" w:rsidP="009D39D9">
      <w:pPr>
        <w:pStyle w:val="Nagwek1"/>
        <w:numPr>
          <w:ilvl w:val="0"/>
          <w:numId w:val="3"/>
        </w:numPr>
        <w:rPr>
          <w:rFonts w:eastAsia="Times New Roman"/>
          <w:lang w:val="pl-PL" w:eastAsia="en-GB"/>
        </w:rPr>
      </w:pPr>
      <w:bookmarkStart w:id="129" w:name="_Toc73432996"/>
      <w:r w:rsidRPr="00A56537">
        <w:rPr>
          <w:rFonts w:eastAsia="Times New Roman"/>
          <w:lang w:val="pl-PL" w:eastAsia="en-GB"/>
        </w:rPr>
        <w:lastRenderedPageBreak/>
        <w:t>Podejście do komunikacji i widoczności programu Interreg (cele, odbiorcy docelowi, kanały komunikacji, w tym, gdzie to właściwe, zasięg w mediach społecznościowych, planowany budżet i odpowiednie wskaźniki na potrzeby monitorowania i oceny</w:t>
      </w:r>
      <w:r w:rsidR="000E01AC" w:rsidRPr="00A56537">
        <w:rPr>
          <w:rFonts w:eastAsia="Times New Roman"/>
          <w:lang w:val="pl-PL" w:eastAsia="en-GB"/>
        </w:rPr>
        <w:t>)</w:t>
      </w:r>
      <w:bookmarkEnd w:id="129"/>
      <w:r w:rsidR="00F50542" w:rsidRPr="00A56537">
        <w:rPr>
          <w:rFonts w:eastAsia="Times New Roman"/>
          <w:lang w:val="pl-PL" w:eastAsia="en-GB"/>
        </w:rPr>
        <w:t xml:space="preserve"> </w:t>
      </w:r>
    </w:p>
    <w:p w14:paraId="03592492" w14:textId="0A6C5278" w:rsidR="00F50542" w:rsidRPr="00000498" w:rsidRDefault="00863818" w:rsidP="00000498">
      <w:pPr>
        <w:spacing w:after="200" w:line="276" w:lineRule="auto"/>
        <w:rPr>
          <w:rFonts w:asciiTheme="minorHAnsi" w:eastAsia="Times New Roman" w:hAnsiTheme="minorHAnsi" w:cstheme="minorHAnsi"/>
          <w:b/>
          <w:iCs/>
          <w:szCs w:val="24"/>
          <w:lang w:val="pl-PL" w:eastAsia="en-GB"/>
        </w:rPr>
      </w:pPr>
      <w:r w:rsidRPr="00000498">
        <w:rPr>
          <w:rFonts w:asciiTheme="minorHAnsi" w:eastAsia="Times New Roman" w:hAnsiTheme="minorHAnsi" w:cstheme="minorHAnsi"/>
          <w:szCs w:val="24"/>
          <w:lang w:val="pl-PL" w:eastAsia="en-GB"/>
        </w:rPr>
        <w:t>Dotyczy: art. 17 ust. 4 lit. i)</w:t>
      </w:r>
    </w:p>
    <w:p w14:paraId="75BEF409" w14:textId="7D8F8D46" w:rsidR="001C6DC5" w:rsidRPr="00000498" w:rsidRDefault="00863818" w:rsidP="00000498">
      <w:pPr>
        <w:pBdr>
          <w:top w:val="single" w:sz="4" w:space="1" w:color="auto"/>
          <w:left w:val="single" w:sz="4" w:space="4" w:color="auto"/>
          <w:bottom w:val="single" w:sz="4" w:space="1" w:color="auto"/>
          <w:right w:val="single" w:sz="4" w:space="4" w:color="auto"/>
        </w:pBdr>
        <w:spacing w:after="120" w:line="276" w:lineRule="auto"/>
        <w:rPr>
          <w:rFonts w:asciiTheme="minorHAnsi" w:eastAsia="Times New Roman" w:hAnsiTheme="minorHAnsi" w:cstheme="minorHAnsi"/>
          <w:b/>
          <w:szCs w:val="24"/>
          <w:lang w:val="pl-PL" w:eastAsia="en-GB"/>
        </w:rPr>
      </w:pPr>
      <w:r w:rsidRPr="00000498">
        <w:rPr>
          <w:rFonts w:asciiTheme="minorHAnsi" w:eastAsia="Times New Roman" w:hAnsiTheme="minorHAnsi" w:cstheme="minorHAnsi"/>
          <w:b/>
          <w:szCs w:val="24"/>
          <w:lang w:val="pl-PL" w:eastAsia="en-GB"/>
        </w:rPr>
        <w:t>Podejście</w:t>
      </w:r>
      <w:r w:rsidR="001C6DC5" w:rsidRPr="00000498">
        <w:rPr>
          <w:rFonts w:asciiTheme="minorHAnsi" w:eastAsia="Times New Roman" w:hAnsiTheme="minorHAnsi" w:cstheme="minorHAnsi"/>
          <w:b/>
          <w:szCs w:val="24"/>
          <w:lang w:val="pl-PL" w:eastAsia="en-GB"/>
        </w:rPr>
        <w:t xml:space="preserve"> </w:t>
      </w:r>
    </w:p>
    <w:p w14:paraId="7C581DCC" w14:textId="77777777" w:rsidR="00863818" w:rsidRPr="00000498" w:rsidRDefault="00863818" w:rsidP="00000498">
      <w:pPr>
        <w:pBdr>
          <w:top w:val="single" w:sz="4" w:space="1" w:color="auto"/>
          <w:left w:val="single" w:sz="4" w:space="4" w:color="auto"/>
          <w:bottom w:val="single" w:sz="4" w:space="1" w:color="auto"/>
          <w:right w:val="single" w:sz="4" w:space="4" w:color="auto"/>
        </w:pBdr>
        <w:spacing w:after="12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Niniejsza sekcja określa podejście do komunikacji Programów zgodnie z wymogami wymienionymi w art. 35 rozporządzenia Interreg.</w:t>
      </w:r>
    </w:p>
    <w:p w14:paraId="455E6C2F" w14:textId="448376CF" w:rsidR="00170B12" w:rsidRPr="00000498" w:rsidRDefault="00863818" w:rsidP="00000498">
      <w:pPr>
        <w:pBdr>
          <w:top w:val="single" w:sz="4" w:space="1" w:color="auto"/>
          <w:left w:val="single" w:sz="4" w:space="4" w:color="auto"/>
          <w:bottom w:val="single" w:sz="4" w:space="1" w:color="auto"/>
          <w:right w:val="single" w:sz="4" w:space="4" w:color="auto"/>
        </w:pBdr>
        <w:spacing w:after="12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 xml:space="preserve">Interreg Region Morza Bałtyckiego </w:t>
      </w:r>
      <w:r w:rsidR="00000498">
        <w:rPr>
          <w:rFonts w:asciiTheme="minorHAnsi" w:eastAsia="Times New Roman" w:hAnsiTheme="minorHAnsi" w:cstheme="minorHAnsi"/>
          <w:szCs w:val="24"/>
          <w:lang w:val="pl-PL" w:eastAsia="en-GB"/>
        </w:rPr>
        <w:t>jest częścią grupy programów</w:t>
      </w:r>
      <w:r w:rsidRPr="00000498">
        <w:rPr>
          <w:rFonts w:asciiTheme="minorHAnsi" w:eastAsia="Times New Roman" w:hAnsiTheme="minorHAnsi" w:cstheme="minorHAnsi"/>
          <w:szCs w:val="24"/>
          <w:lang w:val="pl-PL" w:eastAsia="en-GB"/>
        </w:rPr>
        <w:t xml:space="preserve"> Interreg. Program stara się dostosować do narracji i wizualizacji Interreg, podkreślając </w:t>
      </w:r>
      <w:r w:rsidR="00636C93" w:rsidRPr="00000498">
        <w:rPr>
          <w:rFonts w:asciiTheme="minorHAnsi" w:eastAsia="Times New Roman" w:hAnsiTheme="minorHAnsi" w:cstheme="minorHAnsi"/>
          <w:szCs w:val="24"/>
          <w:lang w:val="pl-PL" w:eastAsia="en-GB"/>
        </w:rPr>
        <w:t xml:space="preserve">jednocześnie </w:t>
      </w:r>
      <w:r w:rsidRPr="00000498">
        <w:rPr>
          <w:rFonts w:asciiTheme="minorHAnsi" w:eastAsia="Times New Roman" w:hAnsiTheme="minorHAnsi" w:cstheme="minorHAnsi"/>
          <w:szCs w:val="24"/>
          <w:lang w:val="pl-PL" w:eastAsia="en-GB"/>
        </w:rPr>
        <w:t>jego cechy charakterystyczne. Będąc częścią rodziny Interreg, Program współpracuje z programami Interreg i Interact</w:t>
      </w:r>
      <w:r w:rsidR="00170B12" w:rsidRPr="00000498">
        <w:rPr>
          <w:rFonts w:asciiTheme="minorHAnsi" w:eastAsia="Times New Roman" w:hAnsiTheme="minorHAnsi" w:cstheme="minorHAnsi"/>
          <w:szCs w:val="24"/>
          <w:lang w:val="pl-PL" w:eastAsia="en-GB"/>
        </w:rPr>
        <w:t>.</w:t>
      </w:r>
    </w:p>
    <w:p w14:paraId="36C6CAB5" w14:textId="41578A64" w:rsidR="00170B12" w:rsidRPr="00000498" w:rsidRDefault="00863818" w:rsidP="00000498">
      <w:pPr>
        <w:pBdr>
          <w:top w:val="single" w:sz="4" w:space="1" w:color="auto"/>
          <w:left w:val="single" w:sz="4" w:space="4" w:color="auto"/>
          <w:bottom w:val="single" w:sz="4" w:space="1" w:color="auto"/>
          <w:right w:val="single" w:sz="4" w:space="4" w:color="auto"/>
        </w:pBdr>
        <w:spacing w:after="12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 xml:space="preserve">Program umożliwia praktyczne wdrażanie innowacyjnych i inteligentnych, jak i neutralnych dla klimatu rozwiązań w zakresie gospodarki wodnej, poprzez współpracę transnarodową z korzyścią dla mieszkańców regionu Morza Bałtyckiego. Informuje o wartości dodanej współpracy </w:t>
      </w:r>
      <w:r w:rsidR="00636C93" w:rsidRPr="00000498">
        <w:rPr>
          <w:rFonts w:asciiTheme="minorHAnsi" w:eastAsia="Times New Roman" w:hAnsiTheme="minorHAnsi" w:cstheme="minorHAnsi"/>
          <w:szCs w:val="24"/>
          <w:lang w:val="pl-PL" w:eastAsia="en-GB"/>
        </w:rPr>
        <w:t xml:space="preserve">transnarodowej </w:t>
      </w:r>
      <w:r w:rsidRPr="00000498">
        <w:rPr>
          <w:rFonts w:asciiTheme="minorHAnsi" w:eastAsia="Times New Roman" w:hAnsiTheme="minorHAnsi" w:cstheme="minorHAnsi"/>
          <w:szCs w:val="24"/>
          <w:lang w:val="pl-PL" w:eastAsia="en-GB"/>
        </w:rPr>
        <w:t>i Unii Europejskiej. W trakcie trwania Programu, komunikacja ma na celu zmobilizowanie odpowiednich partnerstw, umożliwienie udanej realizacji projektów i sprawienie by Interreg zyskał uznanie</w:t>
      </w:r>
      <w:r w:rsidR="00170B12" w:rsidRPr="00000498">
        <w:rPr>
          <w:rFonts w:asciiTheme="minorHAnsi" w:eastAsia="Times New Roman" w:hAnsiTheme="minorHAnsi" w:cstheme="minorHAnsi"/>
          <w:szCs w:val="24"/>
          <w:lang w:val="pl-PL" w:eastAsia="en-GB"/>
        </w:rPr>
        <w:t xml:space="preserve">. </w:t>
      </w:r>
    </w:p>
    <w:p w14:paraId="409E377D" w14:textId="3BC21C76" w:rsidR="001C6DC5" w:rsidRPr="00000498" w:rsidRDefault="00863818" w:rsidP="00000498">
      <w:pPr>
        <w:pBdr>
          <w:top w:val="single" w:sz="4" w:space="1" w:color="auto"/>
          <w:left w:val="single" w:sz="4" w:space="4" w:color="auto"/>
          <w:bottom w:val="single" w:sz="4" w:space="1" w:color="auto"/>
          <w:right w:val="single" w:sz="4" w:space="4" w:color="auto"/>
        </w:pBdr>
        <w:spacing w:after="120" w:line="276" w:lineRule="auto"/>
        <w:rPr>
          <w:rFonts w:asciiTheme="minorHAnsi" w:eastAsia="Times New Roman" w:hAnsiTheme="minorHAnsi" w:cstheme="minorHAnsi"/>
          <w:b/>
          <w:szCs w:val="24"/>
          <w:lang w:val="pl-PL" w:eastAsia="en-GB"/>
        </w:rPr>
      </w:pPr>
      <w:bookmarkStart w:id="130" w:name="_Hlk51062320"/>
      <w:r w:rsidRPr="00000498">
        <w:rPr>
          <w:rFonts w:asciiTheme="minorHAnsi" w:eastAsia="Times New Roman" w:hAnsiTheme="minorHAnsi" w:cstheme="minorHAnsi"/>
          <w:b/>
          <w:szCs w:val="24"/>
          <w:lang w:val="pl-PL" w:eastAsia="en-GB"/>
        </w:rPr>
        <w:t>Cele w zakresie komunikacji</w:t>
      </w:r>
    </w:p>
    <w:p w14:paraId="20A78EBD" w14:textId="6307CB64" w:rsidR="00170B12" w:rsidRPr="00000498" w:rsidRDefault="00185861" w:rsidP="00000498">
      <w:pPr>
        <w:pBdr>
          <w:top w:val="single" w:sz="4" w:space="1" w:color="auto"/>
          <w:left w:val="single" w:sz="4" w:space="4" w:color="auto"/>
          <w:bottom w:val="single" w:sz="4" w:space="1" w:color="auto"/>
          <w:right w:val="single" w:sz="4" w:space="4" w:color="auto"/>
        </w:pBdr>
        <w:spacing w:after="12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Działania na polu komunikacji przyczyniają się do osiągnięcia ogólnego celu Programu poprzez odniesienie się do określonej grupy docelowej za pomocą odpowiednich kanałów</w:t>
      </w:r>
      <w:r w:rsidR="00EF32FB">
        <w:rPr>
          <w:rFonts w:asciiTheme="minorHAnsi" w:eastAsia="Times New Roman" w:hAnsiTheme="minorHAnsi" w:cstheme="minorHAnsi"/>
          <w:szCs w:val="24"/>
          <w:lang w:val="pl-PL" w:eastAsia="en-GB"/>
        </w:rPr>
        <w:t>,</w:t>
      </w:r>
      <w:r w:rsidRPr="00000498">
        <w:rPr>
          <w:rFonts w:asciiTheme="minorHAnsi" w:eastAsia="Times New Roman" w:hAnsiTheme="minorHAnsi" w:cstheme="minorHAnsi"/>
          <w:szCs w:val="24"/>
          <w:lang w:val="pl-PL" w:eastAsia="en-GB"/>
        </w:rPr>
        <w:t xml:space="preserve"> </w:t>
      </w:r>
      <w:r w:rsidR="00EF32FB">
        <w:rPr>
          <w:rFonts w:asciiTheme="minorHAnsi" w:eastAsia="Times New Roman" w:hAnsiTheme="minorHAnsi" w:cstheme="minorHAnsi"/>
          <w:szCs w:val="24"/>
          <w:lang w:val="pl-PL" w:eastAsia="en-GB"/>
        </w:rPr>
        <w:t xml:space="preserve">aby osiągnąć osiem </w:t>
      </w:r>
      <w:r w:rsidRPr="00000498">
        <w:rPr>
          <w:rFonts w:asciiTheme="minorHAnsi" w:eastAsia="Times New Roman" w:hAnsiTheme="minorHAnsi" w:cstheme="minorHAnsi"/>
          <w:szCs w:val="24"/>
          <w:lang w:val="pl-PL" w:eastAsia="en-GB"/>
        </w:rPr>
        <w:t>celów w zakresie komunikacji</w:t>
      </w:r>
      <w:r w:rsidR="00170B12" w:rsidRPr="00000498">
        <w:rPr>
          <w:rFonts w:asciiTheme="minorHAnsi" w:eastAsia="Times New Roman" w:hAnsiTheme="minorHAnsi" w:cstheme="minorHAnsi"/>
          <w:szCs w:val="24"/>
          <w:lang w:val="pl-PL" w:eastAsia="en-GB"/>
        </w:rPr>
        <w:t xml:space="preserve">: </w:t>
      </w:r>
    </w:p>
    <w:p w14:paraId="3223C315" w14:textId="1164E82D" w:rsidR="00185861" w:rsidRPr="00000498" w:rsidRDefault="00185861" w:rsidP="00000498">
      <w:pPr>
        <w:pStyle w:val="Akapitzlist"/>
        <w:numPr>
          <w:ilvl w:val="0"/>
          <w:numId w:val="41"/>
        </w:numPr>
        <w:pBdr>
          <w:top w:val="single" w:sz="4" w:space="1" w:color="auto"/>
          <w:left w:val="single" w:sz="4" w:space="4" w:color="auto"/>
          <w:bottom w:val="single" w:sz="4" w:space="1" w:color="auto"/>
          <w:right w:val="single" w:sz="4" w:space="4" w:color="auto"/>
        </w:pBdr>
        <w:spacing w:after="120"/>
        <w:ind w:left="431" w:hanging="431"/>
        <w:rPr>
          <w:rFonts w:eastAsia="Times New Roman" w:cstheme="minorHAnsi"/>
          <w:sz w:val="24"/>
          <w:szCs w:val="24"/>
          <w:lang w:val="pl-PL" w:eastAsia="en-GB"/>
        </w:rPr>
      </w:pPr>
      <w:r w:rsidRPr="00E21BEC">
        <w:rPr>
          <w:rFonts w:eastAsia="Times New Roman" w:cstheme="minorHAnsi"/>
          <w:sz w:val="24"/>
          <w:szCs w:val="24"/>
          <w:lang w:val="pl-PL" w:eastAsia="en-GB"/>
        </w:rPr>
        <w:t>Przedstawiony Program przyciąga nowych wnioskodawców, w szczególności, lokaln</w:t>
      </w:r>
      <w:r w:rsidR="00EF32FB" w:rsidRPr="00000498">
        <w:rPr>
          <w:rFonts w:eastAsia="Times New Roman" w:cstheme="minorHAnsi"/>
          <w:sz w:val="24"/>
          <w:szCs w:val="24"/>
          <w:lang w:val="pl-PL" w:eastAsia="en-GB"/>
        </w:rPr>
        <w:t>e</w:t>
      </w:r>
      <w:r w:rsidRPr="00E21BEC">
        <w:rPr>
          <w:rFonts w:eastAsia="Times New Roman" w:cstheme="minorHAnsi"/>
          <w:sz w:val="24"/>
          <w:szCs w:val="24"/>
          <w:lang w:val="pl-PL" w:eastAsia="en-GB"/>
        </w:rPr>
        <w:t xml:space="preserve"> i regionaln</w:t>
      </w:r>
      <w:r w:rsidR="00EF32FB" w:rsidRPr="00000498">
        <w:rPr>
          <w:rFonts w:eastAsia="Times New Roman" w:cstheme="minorHAnsi"/>
          <w:sz w:val="24"/>
          <w:szCs w:val="24"/>
          <w:lang w:val="pl-PL" w:eastAsia="en-GB"/>
        </w:rPr>
        <w:t>e</w:t>
      </w:r>
      <w:r w:rsidRPr="00E21BEC">
        <w:rPr>
          <w:rFonts w:eastAsia="Times New Roman" w:cstheme="minorHAnsi"/>
          <w:sz w:val="24"/>
          <w:szCs w:val="24"/>
          <w:lang w:val="pl-PL" w:eastAsia="en-GB"/>
        </w:rPr>
        <w:t xml:space="preserve"> władz</w:t>
      </w:r>
      <w:r w:rsidR="00EF32FB" w:rsidRPr="00000498">
        <w:rPr>
          <w:rFonts w:eastAsia="Times New Roman" w:cstheme="minorHAnsi"/>
          <w:sz w:val="24"/>
          <w:szCs w:val="24"/>
          <w:lang w:val="pl-PL" w:eastAsia="en-GB"/>
        </w:rPr>
        <w:t>e</w:t>
      </w:r>
      <w:r w:rsidRPr="00E21BEC">
        <w:rPr>
          <w:rFonts w:eastAsia="Times New Roman" w:cstheme="minorHAnsi"/>
          <w:sz w:val="24"/>
          <w:szCs w:val="24"/>
          <w:lang w:val="pl-PL" w:eastAsia="en-GB"/>
        </w:rPr>
        <w:t xml:space="preserve"> publiczn</w:t>
      </w:r>
      <w:r w:rsidR="00EF32FB" w:rsidRPr="00000498">
        <w:rPr>
          <w:rFonts w:eastAsia="Times New Roman" w:cstheme="minorHAnsi"/>
          <w:sz w:val="24"/>
          <w:szCs w:val="24"/>
          <w:lang w:val="pl-PL" w:eastAsia="en-GB"/>
        </w:rPr>
        <w:t>e</w:t>
      </w:r>
      <w:r w:rsidRPr="00E21BEC">
        <w:rPr>
          <w:rFonts w:eastAsia="Times New Roman" w:cstheme="minorHAnsi"/>
          <w:sz w:val="24"/>
          <w:szCs w:val="24"/>
          <w:lang w:val="pl-PL" w:eastAsia="en-GB"/>
        </w:rPr>
        <w:t xml:space="preserve">, jawiąc </w:t>
      </w:r>
      <w:r w:rsidR="00A05A16" w:rsidRPr="00E21BEC">
        <w:rPr>
          <w:rFonts w:eastAsia="Times New Roman" w:cstheme="minorHAnsi"/>
          <w:sz w:val="24"/>
          <w:szCs w:val="24"/>
          <w:lang w:val="pl-PL" w:eastAsia="en-GB"/>
        </w:rPr>
        <w:t>się, jako</w:t>
      </w:r>
      <w:r w:rsidRPr="00E21BEC">
        <w:rPr>
          <w:rFonts w:eastAsia="Times New Roman" w:cstheme="minorHAnsi"/>
          <w:sz w:val="24"/>
          <w:szCs w:val="24"/>
          <w:lang w:val="pl-PL" w:eastAsia="en-GB"/>
        </w:rPr>
        <w:t xml:space="preserve"> odpowiednie i możliwe do zarządzania źródło finansowania;</w:t>
      </w:r>
    </w:p>
    <w:p w14:paraId="20FFCC94" w14:textId="672BAF08" w:rsidR="00185861" w:rsidRPr="00000498" w:rsidRDefault="00185861" w:rsidP="00000498">
      <w:pPr>
        <w:pStyle w:val="Akapitzlist"/>
        <w:numPr>
          <w:ilvl w:val="0"/>
          <w:numId w:val="41"/>
        </w:numPr>
        <w:pBdr>
          <w:top w:val="single" w:sz="4" w:space="1" w:color="auto"/>
          <w:left w:val="single" w:sz="4" w:space="4" w:color="auto"/>
          <w:bottom w:val="single" w:sz="4" w:space="1" w:color="auto"/>
          <w:right w:val="single" w:sz="4" w:space="4" w:color="auto"/>
        </w:pBdr>
        <w:spacing w:after="120"/>
        <w:ind w:left="431" w:hanging="431"/>
        <w:rPr>
          <w:rFonts w:eastAsia="Times New Roman" w:cstheme="minorHAnsi"/>
          <w:sz w:val="24"/>
          <w:szCs w:val="24"/>
          <w:lang w:val="pl-PL" w:eastAsia="en-GB"/>
        </w:rPr>
      </w:pPr>
      <w:r w:rsidRPr="00000498">
        <w:rPr>
          <w:rFonts w:eastAsia="Times New Roman" w:cstheme="minorHAnsi"/>
          <w:sz w:val="24"/>
          <w:szCs w:val="24"/>
          <w:lang w:val="pl-PL" w:eastAsia="en-GB"/>
        </w:rPr>
        <w:lastRenderedPageBreak/>
        <w:t>Każdy zainteresowany Programem ma możliwość pełnego zrozumienia jego wymagań i ograniczeń;</w:t>
      </w:r>
    </w:p>
    <w:p w14:paraId="10581C57" w14:textId="11E6B7F3" w:rsidR="00185861" w:rsidRPr="00000498" w:rsidRDefault="00185861" w:rsidP="00000498">
      <w:pPr>
        <w:pStyle w:val="Akapitzlist"/>
        <w:numPr>
          <w:ilvl w:val="0"/>
          <w:numId w:val="41"/>
        </w:numPr>
        <w:pBdr>
          <w:top w:val="single" w:sz="4" w:space="1" w:color="auto"/>
          <w:left w:val="single" w:sz="4" w:space="4" w:color="auto"/>
          <w:bottom w:val="single" w:sz="4" w:space="1" w:color="auto"/>
          <w:right w:val="single" w:sz="4" w:space="4" w:color="auto"/>
        </w:pBdr>
        <w:spacing w:after="120"/>
        <w:ind w:left="431" w:hanging="431"/>
        <w:rPr>
          <w:rFonts w:eastAsia="Times New Roman" w:cstheme="minorHAnsi"/>
          <w:sz w:val="24"/>
          <w:szCs w:val="24"/>
          <w:lang w:val="pl-PL" w:eastAsia="en-GB"/>
        </w:rPr>
      </w:pPr>
      <w:bookmarkStart w:id="131" w:name="OLE_LINK283"/>
      <w:bookmarkStart w:id="132" w:name="OLE_LINK284"/>
      <w:r w:rsidRPr="00000498">
        <w:rPr>
          <w:rFonts w:eastAsia="Times New Roman" w:cstheme="minorHAnsi"/>
          <w:sz w:val="24"/>
          <w:szCs w:val="24"/>
          <w:lang w:val="pl-PL" w:eastAsia="en-GB"/>
        </w:rPr>
        <w:t>Multiplikatorzy</w:t>
      </w:r>
      <w:bookmarkEnd w:id="131"/>
      <w:bookmarkEnd w:id="132"/>
      <w:r w:rsidRPr="00000498">
        <w:rPr>
          <w:rFonts w:eastAsia="Times New Roman" w:cstheme="minorHAnsi"/>
          <w:sz w:val="24"/>
          <w:szCs w:val="24"/>
          <w:lang w:val="pl-PL" w:eastAsia="en-GB"/>
        </w:rPr>
        <w:t xml:space="preserve"> dobrze rozumiejący Program pomagają w mobilizowaniu odpowiednich partnerstw poprzez komunikację ze swoimi odbiorcami;</w:t>
      </w:r>
    </w:p>
    <w:p w14:paraId="1F43EF87" w14:textId="5B2BAA49" w:rsidR="00185861" w:rsidRPr="00000498" w:rsidRDefault="00185861" w:rsidP="00000498">
      <w:pPr>
        <w:pStyle w:val="Akapitzlist"/>
        <w:numPr>
          <w:ilvl w:val="0"/>
          <w:numId w:val="41"/>
        </w:numPr>
        <w:pBdr>
          <w:top w:val="single" w:sz="4" w:space="1" w:color="auto"/>
          <w:left w:val="single" w:sz="4" w:space="4" w:color="auto"/>
          <w:bottom w:val="single" w:sz="4" w:space="1" w:color="auto"/>
          <w:right w:val="single" w:sz="4" w:space="4" w:color="auto"/>
        </w:pBdr>
        <w:spacing w:after="120"/>
        <w:ind w:left="431" w:hanging="431"/>
        <w:rPr>
          <w:rFonts w:eastAsia="Times New Roman" w:cstheme="minorHAnsi"/>
          <w:sz w:val="24"/>
          <w:szCs w:val="24"/>
          <w:lang w:val="pl-PL" w:eastAsia="en-GB"/>
        </w:rPr>
      </w:pPr>
      <w:r w:rsidRPr="00000498">
        <w:rPr>
          <w:rFonts w:eastAsia="Times New Roman" w:cstheme="minorHAnsi"/>
          <w:sz w:val="24"/>
          <w:szCs w:val="24"/>
          <w:lang w:val="pl-PL" w:eastAsia="en-GB"/>
        </w:rPr>
        <w:t>Wnioskodawcy, późniejsi partnerzy projektu, posiadają wystarczające zasoby pozwalające na identyfikację, dotarcie i zaangażowanie swoich docelowych odbiorców;</w:t>
      </w:r>
    </w:p>
    <w:p w14:paraId="0C48D12F" w14:textId="35309786" w:rsidR="00185861" w:rsidRPr="00000498" w:rsidRDefault="00185861" w:rsidP="00000498">
      <w:pPr>
        <w:pStyle w:val="Akapitzlist"/>
        <w:numPr>
          <w:ilvl w:val="0"/>
          <w:numId w:val="41"/>
        </w:numPr>
        <w:pBdr>
          <w:top w:val="single" w:sz="4" w:space="1" w:color="auto"/>
          <w:left w:val="single" w:sz="4" w:space="4" w:color="auto"/>
          <w:bottom w:val="single" w:sz="4" w:space="1" w:color="auto"/>
          <w:right w:val="single" w:sz="4" w:space="4" w:color="auto"/>
        </w:pBdr>
        <w:spacing w:after="120"/>
        <w:ind w:left="431" w:hanging="431"/>
        <w:rPr>
          <w:rFonts w:eastAsia="Times New Roman" w:cstheme="minorHAnsi"/>
          <w:sz w:val="24"/>
          <w:szCs w:val="24"/>
          <w:lang w:val="pl-PL" w:eastAsia="en-GB"/>
        </w:rPr>
      </w:pPr>
      <w:r w:rsidRPr="00000498">
        <w:rPr>
          <w:rFonts w:eastAsia="Times New Roman" w:cstheme="minorHAnsi"/>
          <w:sz w:val="24"/>
          <w:szCs w:val="24"/>
          <w:lang w:val="pl-PL" w:eastAsia="en-GB"/>
        </w:rPr>
        <w:t>Podmioty otrzymujące dofinansowanie z Programu, znają zasady i wymagania oraz prawidłowo je stosują;</w:t>
      </w:r>
    </w:p>
    <w:p w14:paraId="77F01CFD" w14:textId="2431C3D4" w:rsidR="00170B12" w:rsidRPr="00000498" w:rsidRDefault="00185861" w:rsidP="00000498">
      <w:pPr>
        <w:pStyle w:val="Akapitzlist"/>
        <w:numPr>
          <w:ilvl w:val="0"/>
          <w:numId w:val="41"/>
        </w:numPr>
        <w:pBdr>
          <w:top w:val="single" w:sz="4" w:space="1" w:color="auto"/>
          <w:left w:val="single" w:sz="4" w:space="4" w:color="auto"/>
          <w:bottom w:val="single" w:sz="4" w:space="1" w:color="auto"/>
          <w:right w:val="single" w:sz="4" w:space="4" w:color="auto"/>
        </w:pBdr>
        <w:spacing w:after="120"/>
        <w:ind w:left="431" w:hanging="431"/>
        <w:rPr>
          <w:rFonts w:eastAsia="Times New Roman" w:cstheme="minorHAnsi"/>
          <w:sz w:val="24"/>
          <w:szCs w:val="24"/>
          <w:lang w:val="pl-PL" w:eastAsia="en-GB"/>
        </w:rPr>
      </w:pPr>
      <w:r w:rsidRPr="00000498">
        <w:rPr>
          <w:rFonts w:eastAsia="Times New Roman" w:cstheme="minorHAnsi"/>
          <w:sz w:val="24"/>
          <w:szCs w:val="24"/>
          <w:lang w:val="pl-PL" w:eastAsia="en-GB"/>
        </w:rPr>
        <w:t>Instytucja Zarządzająca/Wspólny Sekretariat, funkcjonują w sposób rzetelny, przystępny i przewidywalny</w:t>
      </w:r>
      <w:r w:rsidR="00170B12" w:rsidRPr="00000498">
        <w:rPr>
          <w:rFonts w:eastAsia="Times New Roman" w:cstheme="minorHAnsi"/>
          <w:sz w:val="24"/>
          <w:szCs w:val="24"/>
          <w:lang w:val="pl-PL" w:eastAsia="en-GB"/>
        </w:rPr>
        <w:t xml:space="preserve">; </w:t>
      </w:r>
    </w:p>
    <w:p w14:paraId="1F550144" w14:textId="24324ED2" w:rsidR="00185861" w:rsidRPr="00000498" w:rsidRDefault="00185861" w:rsidP="00000498">
      <w:pPr>
        <w:pStyle w:val="Akapitzlist"/>
        <w:numPr>
          <w:ilvl w:val="0"/>
          <w:numId w:val="41"/>
        </w:numPr>
        <w:pBdr>
          <w:top w:val="single" w:sz="4" w:space="1" w:color="auto"/>
          <w:left w:val="single" w:sz="4" w:space="4" w:color="auto"/>
          <w:bottom w:val="single" w:sz="4" w:space="1" w:color="auto"/>
          <w:right w:val="single" w:sz="4" w:space="4" w:color="auto"/>
        </w:pBdr>
        <w:spacing w:after="120"/>
        <w:ind w:left="431" w:hanging="431"/>
        <w:rPr>
          <w:rFonts w:eastAsia="Times New Roman" w:cstheme="minorHAnsi"/>
          <w:sz w:val="24"/>
          <w:szCs w:val="24"/>
          <w:lang w:val="pl-PL" w:eastAsia="en-GB"/>
        </w:rPr>
      </w:pPr>
      <w:r w:rsidRPr="00000498">
        <w:rPr>
          <w:rFonts w:eastAsia="Times New Roman" w:cstheme="minorHAnsi"/>
          <w:sz w:val="24"/>
          <w:szCs w:val="24"/>
          <w:lang w:val="pl-PL" w:eastAsia="en-GB"/>
        </w:rPr>
        <w:t>Osoby uczestniczące w projektach zachęca się by poczuły się częścią społeczności Interreg oraz wyraziły pozytywne opinie o Interreg;</w:t>
      </w:r>
    </w:p>
    <w:p w14:paraId="023292C6" w14:textId="3906879C" w:rsidR="001C6DC5" w:rsidRPr="00000498" w:rsidRDefault="00185861" w:rsidP="00000498">
      <w:pPr>
        <w:pStyle w:val="Akapitzlist"/>
        <w:numPr>
          <w:ilvl w:val="0"/>
          <w:numId w:val="41"/>
        </w:numPr>
        <w:pBdr>
          <w:top w:val="single" w:sz="4" w:space="1" w:color="auto"/>
          <w:left w:val="single" w:sz="4" w:space="4" w:color="auto"/>
          <w:bottom w:val="single" w:sz="4" w:space="1" w:color="auto"/>
          <w:right w:val="single" w:sz="4" w:space="4" w:color="auto"/>
        </w:pBdr>
        <w:spacing w:after="120"/>
        <w:ind w:left="431" w:hanging="431"/>
        <w:rPr>
          <w:rFonts w:eastAsia="Times New Roman" w:cstheme="minorHAnsi"/>
          <w:sz w:val="24"/>
          <w:szCs w:val="24"/>
          <w:lang w:val="pl-PL" w:eastAsia="en-GB"/>
        </w:rPr>
      </w:pPr>
      <w:r w:rsidRPr="00000498">
        <w:rPr>
          <w:rFonts w:eastAsia="Times New Roman" w:cstheme="minorHAnsi"/>
          <w:sz w:val="24"/>
          <w:szCs w:val="24"/>
          <w:lang w:val="pl-PL" w:eastAsia="en-GB"/>
        </w:rPr>
        <w:t>Odpowiedni decydenci znają wyniki projektów z regionu Morza Bałtyckieg</w:t>
      </w:r>
      <w:r w:rsidR="000B30F2" w:rsidRPr="00000498">
        <w:rPr>
          <w:rFonts w:eastAsia="Times New Roman" w:cstheme="minorHAnsi"/>
          <w:sz w:val="24"/>
          <w:szCs w:val="24"/>
          <w:lang w:val="pl-PL" w:eastAsia="en-GB"/>
        </w:rPr>
        <w:t>o i uznają Interreg za użyteczne i skuteczne narzędzie.</w:t>
      </w:r>
    </w:p>
    <w:bookmarkEnd w:id="130"/>
    <w:p w14:paraId="037EB8CC" w14:textId="2C3FDC1C" w:rsidR="001C6DC5" w:rsidRPr="00000498" w:rsidRDefault="000B30F2" w:rsidP="00000498">
      <w:pPr>
        <w:pBdr>
          <w:top w:val="single" w:sz="4" w:space="1" w:color="auto"/>
          <w:left w:val="single" w:sz="4" w:space="4" w:color="auto"/>
          <w:bottom w:val="single" w:sz="4" w:space="1" w:color="auto"/>
          <w:right w:val="single" w:sz="4" w:space="4" w:color="auto"/>
        </w:pBdr>
        <w:spacing w:after="120" w:line="276" w:lineRule="auto"/>
        <w:rPr>
          <w:rFonts w:asciiTheme="minorHAnsi" w:eastAsia="Times New Roman" w:hAnsiTheme="minorHAnsi" w:cstheme="minorHAnsi"/>
          <w:b/>
          <w:szCs w:val="24"/>
          <w:lang w:val="pl-PL" w:eastAsia="en-GB"/>
        </w:rPr>
      </w:pPr>
      <w:r w:rsidRPr="00000498">
        <w:rPr>
          <w:rFonts w:asciiTheme="minorHAnsi" w:eastAsia="Times New Roman" w:hAnsiTheme="minorHAnsi" w:cstheme="minorHAnsi"/>
          <w:b/>
          <w:szCs w:val="24"/>
          <w:lang w:val="pl-PL" w:eastAsia="en-GB"/>
        </w:rPr>
        <w:t>Docelowi odbiorcy</w:t>
      </w:r>
    </w:p>
    <w:p w14:paraId="749828A0" w14:textId="09696DCF" w:rsidR="000B30F2" w:rsidRPr="00000498" w:rsidRDefault="000B30F2" w:rsidP="00000498">
      <w:pPr>
        <w:pBdr>
          <w:top w:val="single" w:sz="4" w:space="1" w:color="auto"/>
          <w:left w:val="single" w:sz="4" w:space="4" w:color="auto"/>
          <w:bottom w:val="single" w:sz="4" w:space="1" w:color="auto"/>
          <w:right w:val="single" w:sz="4" w:space="4" w:color="auto"/>
        </w:pBdr>
        <w:spacing w:after="12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Głównymi odbiorcami docelowymi Programu, a tym samym jego komunikacj</w:t>
      </w:r>
      <w:r w:rsidR="00332F81" w:rsidRPr="00000498">
        <w:rPr>
          <w:rFonts w:asciiTheme="minorHAnsi" w:eastAsia="Times New Roman" w:hAnsiTheme="minorHAnsi" w:cstheme="minorHAnsi"/>
          <w:szCs w:val="24"/>
          <w:lang w:val="pl-PL" w:eastAsia="en-GB"/>
        </w:rPr>
        <w:t>i</w:t>
      </w:r>
      <w:r w:rsidRPr="00000498">
        <w:rPr>
          <w:rFonts w:asciiTheme="minorHAnsi" w:eastAsia="Times New Roman" w:hAnsiTheme="minorHAnsi" w:cstheme="minorHAnsi"/>
          <w:szCs w:val="24"/>
          <w:lang w:val="pl-PL" w:eastAsia="en-GB"/>
        </w:rPr>
        <w:t>, są potencjalni beneficjenci. Są oni jasno zdefiniowani dla każdego priorytetu Programu w sekcjach „Główne grupy docelowe” niniejszego dokumentu, opisują</w:t>
      </w:r>
      <w:r w:rsidR="00332F81" w:rsidRPr="00000498">
        <w:rPr>
          <w:rFonts w:asciiTheme="minorHAnsi" w:eastAsia="Times New Roman" w:hAnsiTheme="minorHAnsi" w:cstheme="minorHAnsi"/>
          <w:szCs w:val="24"/>
          <w:lang w:val="pl-PL" w:eastAsia="en-GB"/>
        </w:rPr>
        <w:t>cych</w:t>
      </w:r>
      <w:r w:rsidRPr="00000498">
        <w:rPr>
          <w:rFonts w:asciiTheme="minorHAnsi" w:eastAsia="Times New Roman" w:hAnsiTheme="minorHAnsi" w:cstheme="minorHAnsi"/>
          <w:szCs w:val="24"/>
          <w:lang w:val="pl-PL" w:eastAsia="en-GB"/>
        </w:rPr>
        <w:t xml:space="preserve"> zakres tematyczny Programu finansowania.</w:t>
      </w:r>
    </w:p>
    <w:p w14:paraId="28C8D7A5" w14:textId="74BC094D" w:rsidR="00170B12" w:rsidRPr="00000498" w:rsidRDefault="000B30F2" w:rsidP="00000498">
      <w:pPr>
        <w:pBdr>
          <w:top w:val="single" w:sz="4" w:space="1" w:color="auto"/>
          <w:left w:val="single" w:sz="4" w:space="4" w:color="auto"/>
          <w:bottom w:val="single" w:sz="4" w:space="1" w:color="auto"/>
          <w:right w:val="single" w:sz="4" w:space="4" w:color="auto"/>
        </w:pBdr>
        <w:spacing w:after="12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 xml:space="preserve">Obejmują one, między innymi, władze publiczne na szczeblu lokalnym, regionalnym i krajowym; organizacje wsparcia biznesu i przedsiębiorstwa; organizacje pozarządowe; szkolnictwo wyższe i instytucje </w:t>
      </w:r>
      <w:r w:rsidR="00A05A16" w:rsidRPr="00000498">
        <w:rPr>
          <w:rFonts w:asciiTheme="minorHAnsi" w:eastAsia="Times New Roman" w:hAnsiTheme="minorHAnsi" w:cstheme="minorHAnsi"/>
          <w:szCs w:val="24"/>
          <w:lang w:val="pl-PL" w:eastAsia="en-GB"/>
        </w:rPr>
        <w:t>badawcze; ośrodki</w:t>
      </w:r>
      <w:r w:rsidRPr="00000498">
        <w:rPr>
          <w:rFonts w:asciiTheme="minorHAnsi" w:eastAsia="Times New Roman" w:hAnsiTheme="minorHAnsi" w:cstheme="minorHAnsi"/>
          <w:szCs w:val="24"/>
          <w:lang w:val="pl-PL" w:eastAsia="en-GB"/>
        </w:rPr>
        <w:t xml:space="preserve"> edukacyjne/szkoleniowe. Grupą docelową o szczególnym znaczeniu są interesariusze </w:t>
      </w:r>
      <w:r w:rsidR="00653FDC">
        <w:rPr>
          <w:rFonts w:asciiTheme="minorHAnsi" w:eastAsia="Times New Roman" w:hAnsiTheme="minorHAnsi" w:cstheme="minorHAnsi"/>
          <w:szCs w:val="24"/>
          <w:lang w:val="pl-PL" w:eastAsia="en-GB"/>
        </w:rPr>
        <w:t>S</w:t>
      </w:r>
      <w:r w:rsidRPr="00000498">
        <w:rPr>
          <w:rFonts w:asciiTheme="minorHAnsi" w:eastAsia="Times New Roman" w:hAnsiTheme="minorHAnsi" w:cstheme="minorHAnsi"/>
          <w:szCs w:val="24"/>
          <w:lang w:val="pl-PL" w:eastAsia="en-GB"/>
        </w:rPr>
        <w:t>trategii UE dla regionu Morza Bałtyckiego</w:t>
      </w:r>
      <w:r w:rsidR="00170B12" w:rsidRPr="00000498">
        <w:rPr>
          <w:rFonts w:asciiTheme="minorHAnsi" w:eastAsia="Times New Roman" w:hAnsiTheme="minorHAnsi" w:cstheme="minorHAnsi"/>
          <w:szCs w:val="24"/>
          <w:lang w:val="pl-PL" w:eastAsia="en-GB"/>
        </w:rPr>
        <w:t xml:space="preserve">. </w:t>
      </w:r>
    </w:p>
    <w:p w14:paraId="0F8D0474" w14:textId="0A92F7C1" w:rsidR="001C6DC5" w:rsidRPr="00000498" w:rsidRDefault="000B30F2" w:rsidP="00000498">
      <w:pPr>
        <w:pBdr>
          <w:top w:val="single" w:sz="4" w:space="1" w:color="auto"/>
          <w:left w:val="single" w:sz="4" w:space="4" w:color="auto"/>
          <w:bottom w:val="single" w:sz="4" w:space="1" w:color="auto"/>
          <w:right w:val="single" w:sz="4" w:space="4" w:color="auto"/>
        </w:pBdr>
        <w:spacing w:after="120" w:line="276" w:lineRule="auto"/>
        <w:rPr>
          <w:rFonts w:asciiTheme="minorHAnsi" w:eastAsia="Times New Roman" w:hAnsiTheme="minorHAnsi" w:cstheme="minorHAnsi"/>
          <w:b/>
          <w:szCs w:val="24"/>
          <w:lang w:val="pl-PL" w:eastAsia="en-GB"/>
        </w:rPr>
      </w:pPr>
      <w:r w:rsidRPr="00000498">
        <w:rPr>
          <w:rFonts w:asciiTheme="minorHAnsi" w:eastAsia="Times New Roman" w:hAnsiTheme="minorHAnsi" w:cstheme="minorHAnsi"/>
          <w:b/>
          <w:szCs w:val="24"/>
          <w:lang w:val="pl-PL" w:eastAsia="en-GB"/>
        </w:rPr>
        <w:t>Kanały komunikacji</w:t>
      </w:r>
    </w:p>
    <w:p w14:paraId="42C8B415" w14:textId="264D928A" w:rsidR="00170B12" w:rsidRPr="00000498" w:rsidRDefault="000B30F2" w:rsidP="00000498">
      <w:pPr>
        <w:pBdr>
          <w:top w:val="single" w:sz="4" w:space="1" w:color="auto"/>
          <w:left w:val="single" w:sz="4" w:space="4" w:color="auto"/>
          <w:bottom w:val="single" w:sz="4" w:space="1" w:color="auto"/>
          <w:right w:val="single" w:sz="4" w:space="4" w:color="auto"/>
        </w:pBdr>
        <w:spacing w:after="12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 xml:space="preserve">Cały szereg wybranych kanałów zapewnia komplementarność i skuteczność komunikacji, w całym cyklu życia Programu. Docelowi odbiorcy są osiągani </w:t>
      </w:r>
      <w:r w:rsidR="00332F81" w:rsidRPr="00000498">
        <w:rPr>
          <w:rFonts w:asciiTheme="minorHAnsi" w:eastAsia="Times New Roman" w:hAnsiTheme="minorHAnsi" w:cstheme="minorHAnsi"/>
          <w:szCs w:val="24"/>
          <w:lang w:val="pl-PL" w:eastAsia="en-GB"/>
        </w:rPr>
        <w:t>„</w:t>
      </w:r>
      <w:r w:rsidRPr="00000498">
        <w:rPr>
          <w:rFonts w:asciiTheme="minorHAnsi" w:eastAsia="Times New Roman" w:hAnsiTheme="minorHAnsi" w:cstheme="minorHAnsi"/>
          <w:szCs w:val="24"/>
          <w:lang w:val="pl-PL" w:eastAsia="en-GB"/>
        </w:rPr>
        <w:t>tam gdzie się znajdują</w:t>
      </w:r>
      <w:r w:rsidR="00332F81" w:rsidRPr="00000498">
        <w:rPr>
          <w:rFonts w:asciiTheme="minorHAnsi" w:eastAsia="Times New Roman" w:hAnsiTheme="minorHAnsi" w:cstheme="minorHAnsi"/>
          <w:szCs w:val="24"/>
          <w:lang w:val="pl-PL" w:eastAsia="en-GB"/>
        </w:rPr>
        <w:t>”</w:t>
      </w:r>
      <w:r w:rsidRPr="00000498">
        <w:rPr>
          <w:rFonts w:asciiTheme="minorHAnsi" w:eastAsia="Times New Roman" w:hAnsiTheme="minorHAnsi" w:cstheme="minorHAnsi"/>
          <w:szCs w:val="24"/>
          <w:lang w:val="pl-PL" w:eastAsia="en-GB"/>
        </w:rPr>
        <w:t xml:space="preserve"> i zapraszani do kanałów Programów. Wybór obejmuje kanały tradycyjne i cyfrowe, </w:t>
      </w:r>
      <w:r w:rsidR="00332F81" w:rsidRPr="00000498">
        <w:rPr>
          <w:rFonts w:asciiTheme="minorHAnsi" w:eastAsia="Times New Roman" w:hAnsiTheme="minorHAnsi" w:cstheme="minorHAnsi"/>
          <w:szCs w:val="24"/>
          <w:lang w:val="pl-PL" w:eastAsia="en-GB"/>
        </w:rPr>
        <w:t>„</w:t>
      </w:r>
      <w:r w:rsidRPr="00000498">
        <w:rPr>
          <w:rFonts w:asciiTheme="minorHAnsi" w:eastAsia="Times New Roman" w:hAnsiTheme="minorHAnsi" w:cstheme="minorHAnsi"/>
          <w:szCs w:val="24"/>
          <w:lang w:val="pl-PL" w:eastAsia="en-GB"/>
        </w:rPr>
        <w:t>jeden do wielu</w:t>
      </w:r>
      <w:r w:rsidR="00332F81" w:rsidRPr="00000498">
        <w:rPr>
          <w:rFonts w:asciiTheme="minorHAnsi" w:eastAsia="Times New Roman" w:hAnsiTheme="minorHAnsi" w:cstheme="minorHAnsi"/>
          <w:szCs w:val="24"/>
          <w:lang w:val="pl-PL" w:eastAsia="en-GB"/>
        </w:rPr>
        <w:t>”</w:t>
      </w:r>
      <w:r w:rsidRPr="00000498">
        <w:rPr>
          <w:rFonts w:asciiTheme="minorHAnsi" w:eastAsia="Times New Roman" w:hAnsiTheme="minorHAnsi" w:cstheme="minorHAnsi"/>
          <w:szCs w:val="24"/>
          <w:lang w:val="pl-PL" w:eastAsia="en-GB"/>
        </w:rPr>
        <w:t xml:space="preserve">, </w:t>
      </w:r>
      <w:r w:rsidR="00332F81" w:rsidRPr="00000498">
        <w:rPr>
          <w:rFonts w:asciiTheme="minorHAnsi" w:eastAsia="Times New Roman" w:hAnsiTheme="minorHAnsi" w:cstheme="minorHAnsi"/>
          <w:szCs w:val="24"/>
          <w:lang w:val="pl-PL" w:eastAsia="en-GB"/>
        </w:rPr>
        <w:t>„</w:t>
      </w:r>
      <w:r w:rsidRPr="00000498">
        <w:rPr>
          <w:rFonts w:asciiTheme="minorHAnsi" w:eastAsia="Times New Roman" w:hAnsiTheme="minorHAnsi" w:cstheme="minorHAnsi"/>
          <w:szCs w:val="24"/>
          <w:lang w:val="pl-PL" w:eastAsia="en-GB"/>
        </w:rPr>
        <w:t>jeden do kilku</w:t>
      </w:r>
      <w:r w:rsidR="00332F81" w:rsidRPr="00000498">
        <w:rPr>
          <w:rFonts w:asciiTheme="minorHAnsi" w:eastAsia="Times New Roman" w:hAnsiTheme="minorHAnsi" w:cstheme="minorHAnsi"/>
          <w:szCs w:val="24"/>
          <w:lang w:val="pl-PL" w:eastAsia="en-GB"/>
        </w:rPr>
        <w:t>”</w:t>
      </w:r>
      <w:r w:rsidRPr="00000498">
        <w:rPr>
          <w:rFonts w:asciiTheme="minorHAnsi" w:eastAsia="Times New Roman" w:hAnsiTheme="minorHAnsi" w:cstheme="minorHAnsi"/>
          <w:szCs w:val="24"/>
          <w:lang w:val="pl-PL" w:eastAsia="en-GB"/>
        </w:rPr>
        <w:t xml:space="preserve"> oraz kanały interaktywne takie, jak</w:t>
      </w:r>
      <w:r w:rsidR="00170B12" w:rsidRPr="00000498">
        <w:rPr>
          <w:rFonts w:asciiTheme="minorHAnsi" w:eastAsia="Times New Roman" w:hAnsiTheme="minorHAnsi" w:cstheme="minorHAnsi"/>
          <w:szCs w:val="24"/>
          <w:lang w:val="pl-PL" w:eastAsia="en-GB"/>
        </w:rPr>
        <w:t xml:space="preserve">: </w:t>
      </w:r>
    </w:p>
    <w:p w14:paraId="41F7A537" w14:textId="4A8D43CA" w:rsidR="00A63288" w:rsidRPr="00000498" w:rsidRDefault="00A63288" w:rsidP="00000498">
      <w:pPr>
        <w:pStyle w:val="Akapitzlist"/>
        <w:numPr>
          <w:ilvl w:val="0"/>
          <w:numId w:val="42"/>
        </w:numPr>
        <w:pBdr>
          <w:top w:val="single" w:sz="4" w:space="1" w:color="auto"/>
          <w:left w:val="single" w:sz="4" w:space="4" w:color="auto"/>
          <w:bottom w:val="single" w:sz="4" w:space="1" w:color="auto"/>
          <w:right w:val="single" w:sz="4" w:space="4" w:color="auto"/>
        </w:pBdr>
        <w:spacing w:after="120"/>
        <w:ind w:left="431" w:hanging="431"/>
        <w:rPr>
          <w:rFonts w:eastAsia="Times New Roman" w:cstheme="minorHAnsi"/>
          <w:sz w:val="24"/>
          <w:szCs w:val="24"/>
          <w:lang w:val="pl-PL" w:eastAsia="en-GB"/>
        </w:rPr>
      </w:pPr>
      <w:r w:rsidRPr="00E21BEC">
        <w:rPr>
          <w:rFonts w:eastAsia="Times New Roman" w:cstheme="minorHAnsi"/>
          <w:sz w:val="24"/>
          <w:szCs w:val="24"/>
          <w:lang w:val="pl-PL" w:eastAsia="en-GB"/>
        </w:rPr>
        <w:t>Strony internetowe Programu i projektów, na których znajdują się publikacje promocyjne, edukacyjne i informacyjne oraz katalog dofinansowanych projektów;</w:t>
      </w:r>
    </w:p>
    <w:p w14:paraId="548A15DB" w14:textId="286E673D" w:rsidR="00A63288" w:rsidRPr="00000498" w:rsidRDefault="00332F81" w:rsidP="00000498">
      <w:pPr>
        <w:pStyle w:val="Akapitzlist"/>
        <w:numPr>
          <w:ilvl w:val="0"/>
          <w:numId w:val="42"/>
        </w:numPr>
        <w:pBdr>
          <w:top w:val="single" w:sz="4" w:space="1" w:color="auto"/>
          <w:left w:val="single" w:sz="4" w:space="4" w:color="auto"/>
          <w:bottom w:val="single" w:sz="4" w:space="1" w:color="auto"/>
          <w:right w:val="single" w:sz="4" w:space="4" w:color="auto"/>
        </w:pBdr>
        <w:spacing w:after="120"/>
        <w:ind w:left="431" w:hanging="431"/>
        <w:rPr>
          <w:rFonts w:eastAsia="Times New Roman" w:cstheme="minorHAnsi"/>
          <w:sz w:val="24"/>
          <w:szCs w:val="24"/>
          <w:lang w:val="pl-PL" w:eastAsia="en-GB"/>
        </w:rPr>
      </w:pPr>
      <w:r w:rsidRPr="00000498">
        <w:rPr>
          <w:rFonts w:eastAsia="Times New Roman" w:cstheme="minorHAnsi"/>
          <w:sz w:val="24"/>
          <w:szCs w:val="24"/>
          <w:lang w:val="pl-PL" w:eastAsia="en-GB"/>
        </w:rPr>
        <w:t xml:space="preserve">Szereg </w:t>
      </w:r>
      <w:r w:rsidR="00A63288" w:rsidRPr="00000498">
        <w:rPr>
          <w:rFonts w:eastAsia="Times New Roman" w:cstheme="minorHAnsi"/>
          <w:sz w:val="24"/>
          <w:szCs w:val="24"/>
          <w:lang w:val="pl-PL" w:eastAsia="en-GB"/>
        </w:rPr>
        <w:t>platform mediów społecznościowych i innych platform wymiany online;</w:t>
      </w:r>
    </w:p>
    <w:p w14:paraId="50755B75" w14:textId="2E7B543F" w:rsidR="00A63288" w:rsidRPr="00000498" w:rsidRDefault="00A63288" w:rsidP="00000498">
      <w:pPr>
        <w:pStyle w:val="Akapitzlist"/>
        <w:numPr>
          <w:ilvl w:val="0"/>
          <w:numId w:val="42"/>
        </w:numPr>
        <w:pBdr>
          <w:top w:val="single" w:sz="4" w:space="1" w:color="auto"/>
          <w:left w:val="single" w:sz="4" w:space="4" w:color="auto"/>
          <w:bottom w:val="single" w:sz="4" w:space="1" w:color="auto"/>
          <w:right w:val="single" w:sz="4" w:space="4" w:color="auto"/>
        </w:pBdr>
        <w:spacing w:after="120"/>
        <w:ind w:left="431" w:hanging="431"/>
        <w:rPr>
          <w:rFonts w:eastAsia="Times New Roman" w:cstheme="minorHAnsi"/>
          <w:sz w:val="24"/>
          <w:szCs w:val="24"/>
          <w:lang w:val="pl-PL" w:eastAsia="en-GB"/>
        </w:rPr>
      </w:pPr>
      <w:r w:rsidRPr="00000498">
        <w:rPr>
          <w:rFonts w:eastAsia="Times New Roman" w:cstheme="minorHAnsi"/>
          <w:sz w:val="24"/>
          <w:szCs w:val="24"/>
          <w:lang w:val="pl-PL" w:eastAsia="en-GB"/>
        </w:rPr>
        <w:t>System monitoringu online;</w:t>
      </w:r>
    </w:p>
    <w:p w14:paraId="41427CBB" w14:textId="4C5BBA7F" w:rsidR="00A63288" w:rsidRPr="00000498" w:rsidRDefault="00A63288" w:rsidP="00000498">
      <w:pPr>
        <w:pStyle w:val="Akapitzlist"/>
        <w:numPr>
          <w:ilvl w:val="0"/>
          <w:numId w:val="42"/>
        </w:numPr>
        <w:pBdr>
          <w:top w:val="single" w:sz="4" w:space="1" w:color="auto"/>
          <w:left w:val="single" w:sz="4" w:space="4" w:color="auto"/>
          <w:bottom w:val="single" w:sz="4" w:space="1" w:color="auto"/>
          <w:right w:val="single" w:sz="4" w:space="4" w:color="auto"/>
        </w:pBdr>
        <w:spacing w:after="120"/>
        <w:ind w:left="431" w:hanging="431"/>
        <w:rPr>
          <w:rFonts w:eastAsia="Times New Roman" w:cstheme="minorHAnsi"/>
          <w:sz w:val="24"/>
          <w:szCs w:val="24"/>
          <w:lang w:val="pl-PL" w:eastAsia="en-GB"/>
        </w:rPr>
      </w:pPr>
      <w:r w:rsidRPr="00000498">
        <w:rPr>
          <w:rFonts w:eastAsia="Times New Roman" w:cstheme="minorHAnsi"/>
          <w:sz w:val="24"/>
          <w:szCs w:val="24"/>
          <w:lang w:val="pl-PL" w:eastAsia="en-GB"/>
        </w:rPr>
        <w:t>Wydarzenia, w tym własne wydarzenia, konsultacje, inne wydarzenia oraz wydarzenia na szczeblu ogólnounijnym;</w:t>
      </w:r>
    </w:p>
    <w:p w14:paraId="2EB7FAFC" w14:textId="220B8070" w:rsidR="00A63288" w:rsidRPr="00000498" w:rsidRDefault="00A63288" w:rsidP="00000498">
      <w:pPr>
        <w:pStyle w:val="Akapitzlist"/>
        <w:numPr>
          <w:ilvl w:val="0"/>
          <w:numId w:val="42"/>
        </w:numPr>
        <w:pBdr>
          <w:top w:val="single" w:sz="4" w:space="1" w:color="auto"/>
          <w:left w:val="single" w:sz="4" w:space="4" w:color="auto"/>
          <w:bottom w:val="single" w:sz="4" w:space="1" w:color="auto"/>
          <w:right w:val="single" w:sz="4" w:space="4" w:color="auto"/>
        </w:pBdr>
        <w:spacing w:after="120"/>
        <w:ind w:left="431" w:hanging="431"/>
        <w:rPr>
          <w:rFonts w:eastAsia="Times New Roman" w:cstheme="minorHAnsi"/>
          <w:sz w:val="24"/>
          <w:szCs w:val="24"/>
          <w:lang w:val="pl-PL" w:eastAsia="en-GB"/>
        </w:rPr>
      </w:pPr>
      <w:r w:rsidRPr="00000498">
        <w:rPr>
          <w:rFonts w:eastAsia="Times New Roman" w:cstheme="minorHAnsi"/>
          <w:sz w:val="24"/>
          <w:szCs w:val="24"/>
          <w:lang w:val="pl-PL" w:eastAsia="en-GB"/>
        </w:rPr>
        <w:t>Biuletyny;</w:t>
      </w:r>
    </w:p>
    <w:p w14:paraId="63246259" w14:textId="2E4AFE90" w:rsidR="00A63288" w:rsidRPr="00000498" w:rsidRDefault="00A63288" w:rsidP="00000498">
      <w:pPr>
        <w:pStyle w:val="Akapitzlist"/>
        <w:numPr>
          <w:ilvl w:val="0"/>
          <w:numId w:val="42"/>
        </w:numPr>
        <w:pBdr>
          <w:top w:val="single" w:sz="4" w:space="1" w:color="auto"/>
          <w:left w:val="single" w:sz="4" w:space="4" w:color="auto"/>
          <w:bottom w:val="single" w:sz="4" w:space="1" w:color="auto"/>
          <w:right w:val="single" w:sz="4" w:space="4" w:color="auto"/>
        </w:pBdr>
        <w:spacing w:after="120"/>
        <w:ind w:left="431" w:hanging="431"/>
        <w:rPr>
          <w:rFonts w:eastAsia="Times New Roman" w:cstheme="minorHAnsi"/>
          <w:sz w:val="24"/>
          <w:szCs w:val="24"/>
          <w:lang w:val="pl-PL" w:eastAsia="en-GB"/>
        </w:rPr>
      </w:pPr>
      <w:r w:rsidRPr="00000498">
        <w:rPr>
          <w:rFonts w:eastAsia="Times New Roman" w:cstheme="minorHAnsi"/>
          <w:sz w:val="24"/>
          <w:szCs w:val="24"/>
          <w:lang w:val="pl-PL" w:eastAsia="en-GB"/>
        </w:rPr>
        <w:t>Ankiety i inne sposoby gromadzenia jakościowych informacji zwrotnych;</w:t>
      </w:r>
    </w:p>
    <w:p w14:paraId="05DDD125" w14:textId="0E14A4CB" w:rsidR="00A63288" w:rsidRPr="00000498" w:rsidRDefault="00A63288" w:rsidP="00000498">
      <w:pPr>
        <w:pStyle w:val="Akapitzlist"/>
        <w:numPr>
          <w:ilvl w:val="0"/>
          <w:numId w:val="42"/>
        </w:numPr>
        <w:pBdr>
          <w:top w:val="single" w:sz="4" w:space="1" w:color="auto"/>
          <w:left w:val="single" w:sz="4" w:space="4" w:color="auto"/>
          <w:bottom w:val="single" w:sz="4" w:space="1" w:color="auto"/>
          <w:right w:val="single" w:sz="4" w:space="4" w:color="auto"/>
        </w:pBdr>
        <w:spacing w:after="120"/>
        <w:ind w:left="431" w:hanging="431"/>
        <w:rPr>
          <w:rFonts w:eastAsia="Times New Roman" w:cstheme="minorHAnsi"/>
          <w:sz w:val="24"/>
          <w:szCs w:val="24"/>
          <w:lang w:val="pl-PL" w:eastAsia="en-GB"/>
        </w:rPr>
      </w:pPr>
      <w:r w:rsidRPr="00000498">
        <w:rPr>
          <w:rFonts w:eastAsia="Times New Roman" w:cstheme="minorHAnsi"/>
          <w:sz w:val="24"/>
          <w:szCs w:val="24"/>
          <w:lang w:val="pl-PL" w:eastAsia="en-GB"/>
        </w:rPr>
        <w:t>Ogólnounijne kampanie i wydarzenia w tym</w:t>
      </w:r>
      <w:r w:rsidR="00332F81" w:rsidRPr="00000498">
        <w:rPr>
          <w:rFonts w:eastAsia="Times New Roman" w:cstheme="minorHAnsi"/>
          <w:sz w:val="24"/>
          <w:szCs w:val="24"/>
          <w:lang w:val="pl-PL" w:eastAsia="en-GB"/>
        </w:rPr>
        <w:t>,</w:t>
      </w:r>
      <w:r w:rsidRPr="00000498">
        <w:rPr>
          <w:rFonts w:eastAsia="Times New Roman" w:cstheme="minorHAnsi"/>
          <w:sz w:val="24"/>
          <w:szCs w:val="24"/>
          <w:lang w:val="pl-PL" w:eastAsia="en-GB"/>
        </w:rPr>
        <w:t xml:space="preserve"> te organizowane we współpracy z innymi programami Interreg.</w:t>
      </w:r>
    </w:p>
    <w:p w14:paraId="29AD1FA1" w14:textId="77777777" w:rsidR="00A63288" w:rsidRPr="00000498" w:rsidRDefault="00A63288" w:rsidP="00000498">
      <w:pPr>
        <w:pBdr>
          <w:top w:val="single" w:sz="4" w:space="1" w:color="auto"/>
          <w:left w:val="single" w:sz="4" w:space="4" w:color="auto"/>
          <w:bottom w:val="single" w:sz="4" w:space="1" w:color="auto"/>
          <w:right w:val="single" w:sz="4" w:space="4" w:color="auto"/>
        </w:pBdr>
        <w:spacing w:after="12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lastRenderedPageBreak/>
        <w:t>Kraje uczestniczące biorą udział w działaniach komunikacyjnych i prowadzą działania na szczeblu krajowym na swoim terytorium.</w:t>
      </w:r>
    </w:p>
    <w:p w14:paraId="47687BC9" w14:textId="71A33D40" w:rsidR="00170B12" w:rsidRPr="00000498" w:rsidRDefault="00A63288" w:rsidP="00000498">
      <w:pPr>
        <w:pBdr>
          <w:top w:val="single" w:sz="4" w:space="1" w:color="auto"/>
          <w:left w:val="single" w:sz="4" w:space="4" w:color="auto"/>
          <w:bottom w:val="single" w:sz="4" w:space="1" w:color="auto"/>
          <w:right w:val="single" w:sz="4" w:space="4" w:color="auto"/>
        </w:pBdr>
        <w:spacing w:after="12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Platformy projektów to jedno z podstawowych narzędzi służących do rozpowszechniania wyników projektów</w:t>
      </w:r>
      <w:r w:rsidR="00964705" w:rsidRPr="00000498">
        <w:rPr>
          <w:rFonts w:asciiTheme="minorHAnsi" w:eastAsia="Times New Roman" w:hAnsiTheme="minorHAnsi" w:cstheme="minorHAnsi"/>
          <w:szCs w:val="24"/>
          <w:lang w:val="pl-PL" w:eastAsia="en-GB"/>
        </w:rPr>
        <w:t>.</w:t>
      </w:r>
    </w:p>
    <w:p w14:paraId="10E21E08" w14:textId="27A62755" w:rsidR="001C6DC5" w:rsidRPr="00000498" w:rsidRDefault="00A63288" w:rsidP="00000498">
      <w:pPr>
        <w:pBdr>
          <w:top w:val="single" w:sz="4" w:space="1" w:color="auto"/>
          <w:left w:val="single" w:sz="4" w:space="4" w:color="auto"/>
          <w:bottom w:val="single" w:sz="4" w:space="1" w:color="auto"/>
          <w:right w:val="single" w:sz="4" w:space="4" w:color="auto"/>
        </w:pBdr>
        <w:spacing w:after="120" w:line="276" w:lineRule="auto"/>
        <w:rPr>
          <w:rFonts w:asciiTheme="minorHAnsi" w:eastAsia="Times New Roman" w:hAnsiTheme="minorHAnsi" w:cstheme="minorHAnsi"/>
          <w:b/>
          <w:szCs w:val="24"/>
          <w:lang w:val="pl-PL" w:eastAsia="en-GB"/>
        </w:rPr>
      </w:pPr>
      <w:r w:rsidRPr="00000498">
        <w:rPr>
          <w:rFonts w:asciiTheme="minorHAnsi" w:eastAsia="Times New Roman" w:hAnsiTheme="minorHAnsi" w:cstheme="minorHAnsi"/>
          <w:b/>
          <w:szCs w:val="24"/>
          <w:lang w:val="pl-PL" w:eastAsia="en-GB"/>
        </w:rPr>
        <w:t>Monitorowanie i ewaluacja</w:t>
      </w:r>
    </w:p>
    <w:p w14:paraId="2519C886" w14:textId="3499F924" w:rsidR="00A63288" w:rsidRPr="00000498" w:rsidRDefault="00A63288" w:rsidP="00000498">
      <w:pPr>
        <w:pBdr>
          <w:top w:val="single" w:sz="4" w:space="1" w:color="auto"/>
          <w:left w:val="single" w:sz="4" w:space="4" w:color="auto"/>
          <w:bottom w:val="single" w:sz="4" w:space="1" w:color="auto"/>
          <w:right w:val="single" w:sz="4" w:space="4" w:color="auto"/>
        </w:pBdr>
        <w:spacing w:after="12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 xml:space="preserve">Program będzie regularnie monitorował i oceniał podstawowe aspekty komunikacji, aby elastycznie dostosowywać się do, np. zmieniających się lub pojawiających się potrzeb docelowych odbiorców </w:t>
      </w:r>
      <w:r w:rsidR="00A05A16" w:rsidRPr="00000498">
        <w:rPr>
          <w:rFonts w:asciiTheme="minorHAnsi" w:eastAsia="Times New Roman" w:hAnsiTheme="minorHAnsi" w:cstheme="minorHAnsi"/>
          <w:szCs w:val="24"/>
          <w:lang w:val="pl-PL" w:eastAsia="en-GB"/>
        </w:rPr>
        <w:t>oraz zatwierdzić</w:t>
      </w:r>
      <w:r w:rsidRPr="00000498">
        <w:rPr>
          <w:rFonts w:asciiTheme="minorHAnsi" w:eastAsia="Times New Roman" w:hAnsiTheme="minorHAnsi" w:cstheme="minorHAnsi"/>
          <w:szCs w:val="24"/>
          <w:lang w:val="pl-PL" w:eastAsia="en-GB"/>
        </w:rPr>
        <w:t xml:space="preserve"> zakończone powodzeniem działania na polu komunikacji.</w:t>
      </w:r>
    </w:p>
    <w:p w14:paraId="692E8116" w14:textId="77777777" w:rsidR="00A63288" w:rsidRPr="00000498" w:rsidRDefault="00A63288" w:rsidP="00000498">
      <w:pPr>
        <w:pBdr>
          <w:top w:val="single" w:sz="4" w:space="1" w:color="auto"/>
          <w:left w:val="single" w:sz="4" w:space="4" w:color="auto"/>
          <w:bottom w:val="single" w:sz="4" w:space="1" w:color="auto"/>
          <w:right w:val="single" w:sz="4" w:space="4" w:color="auto"/>
        </w:pBdr>
        <w:spacing w:after="12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Wskaźniki, wartości wyjściowe i docelowe, odzwierciedlają grupę docelową i wykorzystywane kanały oraz łączą:</w:t>
      </w:r>
    </w:p>
    <w:p w14:paraId="381B22FA" w14:textId="4CDE40FC" w:rsidR="00A63288" w:rsidRPr="00000498" w:rsidRDefault="00A63288" w:rsidP="00000498">
      <w:pPr>
        <w:pStyle w:val="Akapitzlist"/>
        <w:numPr>
          <w:ilvl w:val="0"/>
          <w:numId w:val="43"/>
        </w:numPr>
        <w:pBdr>
          <w:top w:val="single" w:sz="4" w:space="1" w:color="auto"/>
          <w:left w:val="single" w:sz="4" w:space="4" w:color="auto"/>
          <w:bottom w:val="single" w:sz="4" w:space="1" w:color="auto"/>
          <w:right w:val="single" w:sz="4" w:space="4" w:color="auto"/>
        </w:pBdr>
        <w:spacing w:after="120"/>
        <w:ind w:left="431" w:hanging="431"/>
        <w:rPr>
          <w:rFonts w:eastAsia="Times New Roman" w:cstheme="minorHAnsi"/>
          <w:sz w:val="24"/>
          <w:szCs w:val="24"/>
          <w:lang w:val="pl-PL" w:eastAsia="en-GB"/>
        </w:rPr>
      </w:pPr>
      <w:r w:rsidRPr="00000498">
        <w:rPr>
          <w:rFonts w:eastAsia="Times New Roman" w:cstheme="minorHAnsi"/>
          <w:sz w:val="24"/>
          <w:szCs w:val="24"/>
          <w:lang w:val="pl-PL" w:eastAsia="en-GB"/>
        </w:rPr>
        <w:t>Miary ilościowe</w:t>
      </w:r>
      <w:r w:rsidR="007254D4">
        <w:rPr>
          <w:rFonts w:eastAsia="Times New Roman" w:cstheme="minorHAnsi"/>
          <w:sz w:val="24"/>
          <w:szCs w:val="24"/>
          <w:lang w:val="pl-PL" w:eastAsia="en-GB"/>
        </w:rPr>
        <w:t xml:space="preserve">, </w:t>
      </w:r>
      <w:r w:rsidRPr="00000498">
        <w:rPr>
          <w:rFonts w:eastAsia="Times New Roman" w:cstheme="minorHAnsi"/>
          <w:sz w:val="24"/>
          <w:szCs w:val="24"/>
          <w:lang w:val="pl-PL" w:eastAsia="en-GB"/>
        </w:rPr>
        <w:t xml:space="preserve"> takie jak statystyki ruchu na stronie oraz konwersje; otwarcia biuletynów, zaangażowanie w media społecznościowe (jako wskaźniki wyników);</w:t>
      </w:r>
    </w:p>
    <w:p w14:paraId="04199F93" w14:textId="0ACCFEEA" w:rsidR="00A63288" w:rsidRPr="00000498" w:rsidRDefault="00A63288" w:rsidP="00000498">
      <w:pPr>
        <w:pStyle w:val="Akapitzlist"/>
        <w:numPr>
          <w:ilvl w:val="0"/>
          <w:numId w:val="43"/>
        </w:numPr>
        <w:pBdr>
          <w:top w:val="single" w:sz="4" w:space="1" w:color="auto"/>
          <w:left w:val="single" w:sz="4" w:space="4" w:color="auto"/>
          <w:bottom w:val="single" w:sz="4" w:space="1" w:color="auto"/>
          <w:right w:val="single" w:sz="4" w:space="4" w:color="auto"/>
        </w:pBdr>
        <w:spacing w:after="120"/>
        <w:ind w:left="431" w:hanging="431"/>
        <w:rPr>
          <w:rFonts w:eastAsia="Times New Roman" w:cstheme="minorHAnsi"/>
          <w:sz w:val="24"/>
          <w:szCs w:val="24"/>
          <w:lang w:val="pl-PL" w:eastAsia="en-GB"/>
        </w:rPr>
      </w:pPr>
      <w:r w:rsidRPr="00000498">
        <w:rPr>
          <w:rFonts w:eastAsia="Times New Roman" w:cstheme="minorHAnsi"/>
          <w:sz w:val="24"/>
          <w:szCs w:val="24"/>
          <w:lang w:val="pl-PL" w:eastAsia="en-GB"/>
        </w:rPr>
        <w:t>Miary jakościowe oparte na ankietach przeprowadzonych wśród wnioskodawców i partnerów projektu w celu pomiaru ich satysfakcji (jako wskaźniki rezultatu).</w:t>
      </w:r>
    </w:p>
    <w:p w14:paraId="204E5CC7" w14:textId="794A059F" w:rsidR="00F32674" w:rsidRPr="00F879CC" w:rsidRDefault="00F32674" w:rsidP="00000498">
      <w:pPr>
        <w:pBdr>
          <w:top w:val="single" w:sz="4" w:space="1" w:color="auto"/>
          <w:left w:val="single" w:sz="4" w:space="4" w:color="auto"/>
          <w:bottom w:val="single" w:sz="4" w:space="1" w:color="auto"/>
          <w:right w:val="single" w:sz="4" w:space="4" w:color="auto"/>
        </w:pBdr>
        <w:spacing w:after="120" w:line="276" w:lineRule="auto"/>
        <w:rPr>
          <w:rFonts w:asciiTheme="minorHAnsi" w:eastAsia="Times New Roman" w:hAnsiTheme="minorHAnsi" w:cstheme="minorHAnsi"/>
          <w:sz w:val="22"/>
          <w:lang w:val="pl-PL" w:eastAsia="en-GB"/>
        </w:rPr>
      </w:pPr>
      <w:r w:rsidRPr="00000498">
        <w:rPr>
          <w:rFonts w:asciiTheme="minorHAnsi" w:eastAsia="Times New Roman" w:hAnsiTheme="minorHAnsi" w:cstheme="minorHAnsi"/>
          <w:szCs w:val="24"/>
          <w:lang w:val="pl-PL" w:eastAsia="en-GB"/>
        </w:rPr>
        <w:t>Więcej informacji</w:t>
      </w:r>
      <w:r w:rsidR="00A63288" w:rsidRPr="00000498">
        <w:rPr>
          <w:rFonts w:asciiTheme="minorHAnsi" w:eastAsia="Times New Roman" w:hAnsiTheme="minorHAnsi" w:cstheme="minorHAnsi"/>
          <w:szCs w:val="24"/>
          <w:lang w:val="pl-PL" w:eastAsia="en-GB"/>
        </w:rPr>
        <w:t xml:space="preserve"> na temat komunikacji w ramach Programu zostanie przedstawionych w strategii komunikacji dotyczącej Programu, która określi działania w całym cyklu życia Programu, budżet i wskaźniki</w:t>
      </w:r>
      <w:r w:rsidRPr="00000498">
        <w:rPr>
          <w:rFonts w:asciiTheme="minorHAnsi" w:eastAsia="Times New Roman" w:hAnsiTheme="minorHAnsi" w:cstheme="minorHAnsi"/>
          <w:szCs w:val="24"/>
          <w:lang w:val="pl-PL" w:eastAsia="en-GB"/>
        </w:rPr>
        <w:t>.</w:t>
      </w:r>
    </w:p>
    <w:p w14:paraId="5EAAC10E" w14:textId="27F19E3E" w:rsidR="009D4219" w:rsidRPr="00A56537" w:rsidRDefault="00186B1B" w:rsidP="00827ACE">
      <w:pPr>
        <w:pStyle w:val="Nagwek1"/>
        <w:numPr>
          <w:ilvl w:val="0"/>
          <w:numId w:val="3"/>
        </w:numPr>
        <w:rPr>
          <w:rFonts w:eastAsia="Times New Roman"/>
          <w:lang w:val="pl-PL" w:eastAsia="en-GB"/>
        </w:rPr>
      </w:pPr>
      <w:bookmarkStart w:id="133" w:name="_Toc73432997"/>
      <w:r w:rsidRPr="00A56537">
        <w:rPr>
          <w:rFonts w:eastAsia="Times New Roman"/>
          <w:lang w:val="pl-PL" w:eastAsia="en-GB"/>
        </w:rPr>
        <w:t>Wskazanie wsparcia dla projektów o małej skali, w tym małych projektów</w:t>
      </w:r>
      <w:r w:rsidR="00E21BEC" w:rsidRPr="00A56537">
        <w:rPr>
          <w:rFonts w:eastAsia="Times New Roman"/>
          <w:lang w:val="pl-PL" w:eastAsia="en-GB"/>
        </w:rPr>
        <w:t xml:space="preserve"> </w:t>
      </w:r>
      <w:r w:rsidRPr="00A56537">
        <w:rPr>
          <w:rFonts w:eastAsia="Times New Roman"/>
          <w:lang w:val="pl-PL" w:eastAsia="en-GB"/>
        </w:rPr>
        <w:t>w ramach funduszy małych projektów</w:t>
      </w:r>
      <w:bookmarkEnd w:id="133"/>
      <w:r w:rsidR="009D4219" w:rsidRPr="00A56537">
        <w:rPr>
          <w:rFonts w:eastAsia="Times New Roman"/>
          <w:lang w:val="pl-PL" w:eastAsia="en-GB"/>
        </w:rPr>
        <w:t xml:space="preserve"> </w:t>
      </w:r>
    </w:p>
    <w:p w14:paraId="4FA31F25" w14:textId="3FDB8C67" w:rsidR="00E20A0C" w:rsidRPr="00000498" w:rsidRDefault="00186B1B" w:rsidP="00000498">
      <w:pPr>
        <w:spacing w:before="240" w:after="240" w:line="276" w:lineRule="auto"/>
        <w:rPr>
          <w:rFonts w:asciiTheme="minorHAnsi" w:eastAsia="Times New Roman" w:hAnsiTheme="minorHAnsi" w:cstheme="minorHAnsi"/>
          <w:iCs/>
          <w:szCs w:val="24"/>
          <w:lang w:val="pl-PL" w:eastAsia="en-GB"/>
        </w:rPr>
      </w:pPr>
      <w:r w:rsidRPr="00000498">
        <w:rPr>
          <w:rFonts w:asciiTheme="minorHAnsi" w:eastAsia="Times New Roman" w:hAnsiTheme="minorHAnsi" w:cstheme="minorHAnsi"/>
          <w:iCs/>
          <w:szCs w:val="24"/>
          <w:lang w:val="pl-PL" w:eastAsia="en-GB"/>
        </w:rPr>
        <w:t>Dotyczy: art. 17 ust. 4 lit. nowa j), art. 24</w:t>
      </w:r>
    </w:p>
    <w:tbl>
      <w:tblPr>
        <w:tblStyle w:val="Tabela-Siatka"/>
        <w:tblW w:w="0" w:type="auto"/>
        <w:tblLook w:val="04A0" w:firstRow="1" w:lastRow="0" w:firstColumn="1" w:lastColumn="0" w:noHBand="0" w:noVBand="1"/>
      </w:tblPr>
      <w:tblGrid>
        <w:gridCol w:w="9062"/>
      </w:tblGrid>
      <w:tr w:rsidR="009D4219" w:rsidRPr="00F1357A" w14:paraId="7802C0B0" w14:textId="77777777" w:rsidTr="009D4219">
        <w:trPr>
          <w:trHeight w:val="512"/>
        </w:trPr>
        <w:tc>
          <w:tcPr>
            <w:tcW w:w="9062" w:type="dxa"/>
          </w:tcPr>
          <w:p w14:paraId="50EE7061" w14:textId="2AC8C543" w:rsidR="000B5923" w:rsidRPr="00000498" w:rsidRDefault="00186B1B" w:rsidP="00000498">
            <w:pPr>
              <w:spacing w:before="240" w:after="240" w:line="276" w:lineRule="auto"/>
              <w:rPr>
                <w:rFonts w:asciiTheme="minorHAnsi" w:eastAsia="Times New Roman" w:hAnsiTheme="minorHAnsi" w:cstheme="minorHAnsi"/>
                <w:iCs/>
                <w:szCs w:val="24"/>
                <w:lang w:val="pl-PL" w:eastAsia="en-GB"/>
              </w:rPr>
            </w:pPr>
            <w:r w:rsidRPr="00000498">
              <w:rPr>
                <w:rFonts w:asciiTheme="minorHAnsi" w:eastAsia="Times New Roman" w:hAnsiTheme="minorHAnsi" w:cstheme="minorHAnsi"/>
                <w:iCs/>
                <w:szCs w:val="24"/>
                <w:lang w:val="pl-PL" w:eastAsia="en-GB"/>
              </w:rPr>
              <w:t>Zgodnie z art. 24 ust. 1 lit. a) rozporządzenia (UE) [nowe rozporządzenie Interreg], Program wdraża małe projekty bezpośrednio w ramach Programu</w:t>
            </w:r>
            <w:r w:rsidR="000B5923" w:rsidRPr="00000498">
              <w:rPr>
                <w:rFonts w:asciiTheme="minorHAnsi" w:eastAsia="Times New Roman" w:hAnsiTheme="minorHAnsi" w:cstheme="minorHAnsi"/>
                <w:iCs/>
                <w:szCs w:val="24"/>
                <w:lang w:val="pl-PL" w:eastAsia="en-GB"/>
              </w:rPr>
              <w:t xml:space="preserve">. </w:t>
            </w:r>
          </w:p>
          <w:p w14:paraId="27478733" w14:textId="1E9ED5F4" w:rsidR="000B5923" w:rsidRPr="00000498" w:rsidRDefault="00186B1B" w:rsidP="00000498">
            <w:pPr>
              <w:spacing w:before="240" w:after="240" w:line="276" w:lineRule="auto"/>
              <w:rPr>
                <w:rFonts w:asciiTheme="minorHAnsi" w:eastAsia="Times New Roman" w:hAnsiTheme="minorHAnsi" w:cstheme="minorHAnsi"/>
                <w:iCs/>
                <w:szCs w:val="24"/>
                <w:lang w:val="pl-PL" w:eastAsia="en-GB"/>
              </w:rPr>
            </w:pPr>
            <w:r w:rsidRPr="00000498">
              <w:rPr>
                <w:rFonts w:asciiTheme="minorHAnsi" w:eastAsia="Times New Roman" w:hAnsiTheme="minorHAnsi" w:cstheme="minorHAnsi"/>
                <w:iCs/>
                <w:szCs w:val="24"/>
                <w:lang w:val="pl-PL" w:eastAsia="en-GB"/>
              </w:rPr>
              <w:t>Małe projekty mają na celu ułatwienie dostępu do Programu i uproszczenie realizacji projektów. Ma to na celu przyciągnięcie organizacji, które są niedoreprezentowane w Programie, nie uczestniczyły przez dłuższy czas lub nigdy nie brały udziału w regularnych projektach. Instrument małego projektu, jest skierowany głównie do władz lokalnych, regionalnych i krajowych oraz do organizacji pozarządowych</w:t>
            </w:r>
            <w:r w:rsidR="000B5923" w:rsidRPr="00000498">
              <w:rPr>
                <w:rFonts w:asciiTheme="minorHAnsi" w:eastAsia="Times New Roman" w:hAnsiTheme="minorHAnsi" w:cstheme="minorHAnsi"/>
                <w:iCs/>
                <w:szCs w:val="24"/>
                <w:lang w:val="pl-PL" w:eastAsia="en-GB"/>
              </w:rPr>
              <w:t>.</w:t>
            </w:r>
          </w:p>
          <w:p w14:paraId="2BE7A8A3" w14:textId="6055B9C8" w:rsidR="000B5923" w:rsidRPr="00000498" w:rsidRDefault="00186B1B" w:rsidP="00000498">
            <w:pPr>
              <w:spacing w:before="240" w:after="240" w:line="276" w:lineRule="auto"/>
              <w:rPr>
                <w:rFonts w:asciiTheme="minorHAnsi" w:eastAsia="Times New Roman" w:hAnsiTheme="minorHAnsi" w:cstheme="minorHAnsi"/>
                <w:iCs/>
                <w:szCs w:val="24"/>
                <w:lang w:val="pl-PL" w:eastAsia="en-GB"/>
              </w:rPr>
            </w:pPr>
            <w:r w:rsidRPr="00000498">
              <w:rPr>
                <w:rFonts w:asciiTheme="minorHAnsi" w:eastAsia="Times New Roman" w:hAnsiTheme="minorHAnsi" w:cstheme="minorHAnsi"/>
                <w:iCs/>
                <w:szCs w:val="24"/>
                <w:lang w:val="pl-PL" w:eastAsia="en-GB"/>
              </w:rPr>
              <w:t>Małe projekty mogą obejmować wszystkie cele tematyczne (priorytety 1-3) Programu i muszą być jednoznacznie dopasowane tematycznie do jednego z nich. Działania oraz rezultaty i produkty wyjściowe małego projektu muszą być odpowiednie, aby mogły służyć przynajmniej jednemu z następujących celów</w:t>
            </w:r>
            <w:r w:rsidR="000B5923" w:rsidRPr="00000498">
              <w:rPr>
                <w:rFonts w:asciiTheme="minorHAnsi" w:eastAsia="Times New Roman" w:hAnsiTheme="minorHAnsi" w:cstheme="minorHAnsi"/>
                <w:iCs/>
                <w:szCs w:val="24"/>
                <w:lang w:val="pl-PL" w:eastAsia="en-GB"/>
              </w:rPr>
              <w:t>:</w:t>
            </w:r>
          </w:p>
          <w:p w14:paraId="3F560220" w14:textId="33A1ADB9" w:rsidR="00186B1B" w:rsidRPr="00000498" w:rsidRDefault="00186B1B" w:rsidP="00000498">
            <w:pPr>
              <w:pStyle w:val="Akapitzlist"/>
              <w:numPr>
                <w:ilvl w:val="0"/>
                <w:numId w:val="14"/>
              </w:numPr>
              <w:spacing w:before="240" w:after="240"/>
              <w:ind w:left="431" w:hanging="431"/>
              <w:rPr>
                <w:rFonts w:eastAsia="Times New Roman" w:cstheme="minorHAnsi"/>
                <w:iCs/>
                <w:sz w:val="24"/>
                <w:szCs w:val="24"/>
                <w:lang w:val="pl-PL" w:eastAsia="en-GB"/>
              </w:rPr>
            </w:pPr>
            <w:r w:rsidRPr="00000498">
              <w:rPr>
                <w:rFonts w:eastAsia="Times New Roman" w:cstheme="minorHAnsi"/>
                <w:iCs/>
                <w:sz w:val="24"/>
                <w:szCs w:val="24"/>
                <w:lang w:val="pl-PL" w:eastAsia="en-GB"/>
              </w:rPr>
              <w:t xml:space="preserve">budowanie zaufania, które może prowadzić do dalszych inicjatyw w zakresie </w:t>
            </w:r>
            <w:r w:rsidRPr="00000498">
              <w:rPr>
                <w:rFonts w:eastAsia="Times New Roman" w:cstheme="minorHAnsi"/>
                <w:iCs/>
                <w:sz w:val="24"/>
                <w:szCs w:val="24"/>
                <w:lang w:val="pl-PL" w:eastAsia="en-GB"/>
              </w:rPr>
              <w:lastRenderedPageBreak/>
              <w:t>współpracy;</w:t>
            </w:r>
          </w:p>
          <w:p w14:paraId="370F39FB" w14:textId="619C6C33" w:rsidR="00186B1B" w:rsidRPr="00000498" w:rsidRDefault="00186B1B" w:rsidP="00000498">
            <w:pPr>
              <w:pStyle w:val="Akapitzlist"/>
              <w:numPr>
                <w:ilvl w:val="0"/>
                <w:numId w:val="14"/>
              </w:numPr>
              <w:spacing w:before="240" w:after="240"/>
              <w:ind w:left="431" w:hanging="431"/>
              <w:rPr>
                <w:rFonts w:eastAsia="Times New Roman" w:cstheme="minorHAnsi"/>
                <w:iCs/>
                <w:sz w:val="24"/>
                <w:szCs w:val="24"/>
                <w:lang w:val="pl-PL" w:eastAsia="en-GB"/>
              </w:rPr>
            </w:pPr>
            <w:r w:rsidRPr="00000498">
              <w:rPr>
                <w:rFonts w:eastAsia="Times New Roman" w:cstheme="minorHAnsi"/>
                <w:iCs/>
                <w:sz w:val="24"/>
                <w:szCs w:val="24"/>
                <w:lang w:val="pl-PL" w:eastAsia="en-GB"/>
              </w:rPr>
              <w:t>inicjowanie i utrzymywanie sieci ważnych dla RMB;</w:t>
            </w:r>
          </w:p>
          <w:p w14:paraId="5E301432" w14:textId="77777777" w:rsidR="00186B1B" w:rsidRPr="00000498" w:rsidRDefault="00186B1B" w:rsidP="00000498">
            <w:pPr>
              <w:pStyle w:val="Akapitzlist"/>
              <w:numPr>
                <w:ilvl w:val="0"/>
                <w:numId w:val="14"/>
              </w:numPr>
              <w:spacing w:before="240" w:after="240"/>
              <w:ind w:left="431" w:hanging="431"/>
              <w:rPr>
                <w:rFonts w:eastAsia="Times New Roman" w:cstheme="minorHAnsi"/>
                <w:iCs/>
                <w:sz w:val="24"/>
                <w:szCs w:val="24"/>
                <w:lang w:val="pl-PL" w:eastAsia="en-GB"/>
              </w:rPr>
            </w:pPr>
            <w:r w:rsidRPr="00000498">
              <w:rPr>
                <w:rFonts w:eastAsia="Times New Roman" w:cstheme="minorHAnsi"/>
                <w:iCs/>
                <w:sz w:val="24"/>
                <w:szCs w:val="24"/>
                <w:lang w:val="pl-PL" w:eastAsia="en-GB"/>
              </w:rPr>
              <w:t>przybliżenie Programu obywatelom;</w:t>
            </w:r>
          </w:p>
          <w:p w14:paraId="2D304678" w14:textId="5C925365" w:rsidR="000B5923" w:rsidRPr="00000498" w:rsidRDefault="00186B1B" w:rsidP="00000498">
            <w:pPr>
              <w:pStyle w:val="Akapitzlist"/>
              <w:numPr>
                <w:ilvl w:val="0"/>
                <w:numId w:val="14"/>
              </w:numPr>
              <w:spacing w:before="240" w:after="240"/>
              <w:ind w:left="431" w:hanging="431"/>
              <w:rPr>
                <w:rFonts w:eastAsia="Times New Roman" w:cstheme="minorHAnsi"/>
                <w:iCs/>
                <w:sz w:val="24"/>
                <w:szCs w:val="24"/>
                <w:lang w:val="pl-PL" w:eastAsia="en-GB"/>
              </w:rPr>
            </w:pPr>
            <w:r w:rsidRPr="00000498">
              <w:rPr>
                <w:rFonts w:eastAsia="Times New Roman" w:cstheme="minorHAnsi"/>
                <w:iCs/>
                <w:sz w:val="24"/>
                <w:szCs w:val="24"/>
                <w:lang w:val="pl-PL" w:eastAsia="en-GB"/>
              </w:rPr>
              <w:t>umożliwianie szybkiej reakcji na nieprzewidywalne i pilne wyzwania.</w:t>
            </w:r>
            <w:r w:rsidR="000B5923" w:rsidRPr="00000498">
              <w:rPr>
                <w:rFonts w:eastAsia="Times New Roman" w:cstheme="minorHAnsi"/>
                <w:iCs/>
                <w:sz w:val="24"/>
                <w:szCs w:val="24"/>
                <w:lang w:val="pl-PL" w:eastAsia="en-GB"/>
              </w:rPr>
              <w:t xml:space="preserve"> </w:t>
            </w:r>
          </w:p>
          <w:p w14:paraId="3D0CA53D" w14:textId="77777777" w:rsidR="00186B1B" w:rsidRPr="00000498" w:rsidRDefault="00186B1B" w:rsidP="00000498">
            <w:pPr>
              <w:spacing w:before="240" w:after="240" w:line="276" w:lineRule="auto"/>
              <w:rPr>
                <w:rFonts w:asciiTheme="minorHAnsi" w:eastAsia="Times New Roman" w:hAnsiTheme="minorHAnsi" w:cstheme="minorHAnsi"/>
                <w:iCs/>
                <w:szCs w:val="24"/>
                <w:lang w:val="pl-PL" w:eastAsia="en-GB"/>
              </w:rPr>
            </w:pPr>
            <w:r w:rsidRPr="00000498">
              <w:rPr>
                <w:rFonts w:asciiTheme="minorHAnsi" w:eastAsia="Times New Roman" w:hAnsiTheme="minorHAnsi" w:cstheme="minorHAnsi"/>
                <w:iCs/>
                <w:szCs w:val="24"/>
                <w:lang w:val="pl-PL" w:eastAsia="en-GB"/>
              </w:rPr>
              <w:t>Cel małych projektów musi wyraźnie wykraczać poza niższy poziom współpracy taki, jak spotkania czy wymiana informacji. Zachęca się, aby w ramach projektów wdrażać działania eksperymentalne w zakresie stosowania nowych rozwiązań lub podejść.</w:t>
            </w:r>
          </w:p>
          <w:p w14:paraId="5BD0E58A" w14:textId="292BD8AC" w:rsidR="000B5923" w:rsidRPr="00F879CC" w:rsidRDefault="00186B1B" w:rsidP="00000498">
            <w:pPr>
              <w:spacing w:before="240" w:after="240" w:line="276" w:lineRule="auto"/>
              <w:rPr>
                <w:rFonts w:asciiTheme="minorHAnsi" w:eastAsia="Times New Roman" w:hAnsiTheme="minorHAnsi" w:cstheme="minorHAnsi"/>
                <w:i/>
                <w:iCs/>
                <w:szCs w:val="24"/>
                <w:lang w:val="en-IE" w:eastAsia="en-GB"/>
              </w:rPr>
            </w:pPr>
            <w:r w:rsidRPr="00000498">
              <w:rPr>
                <w:rFonts w:asciiTheme="minorHAnsi" w:eastAsia="Times New Roman" w:hAnsiTheme="minorHAnsi" w:cstheme="minorHAnsi"/>
                <w:iCs/>
                <w:szCs w:val="24"/>
                <w:lang w:val="pl-PL" w:eastAsia="en-GB"/>
              </w:rPr>
              <w:t>Całkowity budżet małego projektu jest ograniczony do 500 000 EUR. Projekty będą realizowane wyłącznie w ramach form kosztów uproszczonych</w:t>
            </w:r>
            <w:r w:rsidR="000B5923" w:rsidRPr="00000498">
              <w:rPr>
                <w:rFonts w:asciiTheme="minorHAnsi" w:eastAsia="Times New Roman" w:hAnsiTheme="minorHAnsi" w:cstheme="minorHAnsi"/>
                <w:iCs/>
                <w:szCs w:val="24"/>
                <w:lang w:val="en-IE" w:eastAsia="en-GB"/>
              </w:rPr>
              <w:t>.</w:t>
            </w:r>
          </w:p>
        </w:tc>
      </w:tr>
    </w:tbl>
    <w:p w14:paraId="5C8E0760" w14:textId="77777777" w:rsidR="009D4219" w:rsidRPr="00000498" w:rsidRDefault="009D4219" w:rsidP="00000498">
      <w:pPr>
        <w:spacing w:before="240" w:after="240" w:line="240" w:lineRule="auto"/>
        <w:rPr>
          <w:rFonts w:asciiTheme="minorHAnsi" w:eastAsia="Times New Roman" w:hAnsiTheme="minorHAnsi" w:cstheme="minorHAnsi"/>
          <w:iCs/>
          <w:szCs w:val="24"/>
          <w:lang w:val="en-IE" w:eastAsia="en-GB"/>
        </w:rPr>
      </w:pPr>
    </w:p>
    <w:p w14:paraId="672DCB1F" w14:textId="23B9326F" w:rsidR="00F50542" w:rsidRDefault="00925752" w:rsidP="00121F7E">
      <w:pPr>
        <w:pStyle w:val="Nagwek1"/>
        <w:numPr>
          <w:ilvl w:val="0"/>
          <w:numId w:val="3"/>
        </w:numPr>
        <w:rPr>
          <w:rFonts w:eastAsia="Times New Roman"/>
          <w:lang w:val="pl-PL" w:eastAsia="en-GB"/>
        </w:rPr>
      </w:pPr>
      <w:bookmarkStart w:id="134" w:name="_Toc73432998"/>
      <w:r w:rsidRPr="00A56537">
        <w:rPr>
          <w:rFonts w:eastAsia="Times New Roman"/>
          <w:lang w:val="pl-PL" w:eastAsia="en-GB"/>
        </w:rPr>
        <w:t>Przepisy wykonawcze</w:t>
      </w:r>
      <w:bookmarkEnd w:id="134"/>
    </w:p>
    <w:p w14:paraId="7FBC3718" w14:textId="77777777" w:rsidR="00A56537" w:rsidRPr="00A56537" w:rsidRDefault="00A56537" w:rsidP="00A56537">
      <w:pPr>
        <w:pStyle w:val="Akapitzlist"/>
        <w:spacing w:before="240" w:after="240"/>
        <w:ind w:left="360"/>
        <w:rPr>
          <w:rFonts w:asciiTheme="majorHAnsi" w:eastAsia="Times New Roman" w:hAnsiTheme="majorHAnsi" w:cstheme="majorBidi"/>
          <w:b/>
          <w:bCs/>
          <w:color w:val="365F91" w:themeColor="accent1" w:themeShade="BF"/>
          <w:sz w:val="28"/>
          <w:szCs w:val="28"/>
          <w:lang w:val="pl-PL" w:eastAsia="en-GB"/>
        </w:rPr>
      </w:pPr>
    </w:p>
    <w:p w14:paraId="62D6497D" w14:textId="61515B0C" w:rsidR="00F50542" w:rsidRPr="00000498" w:rsidRDefault="00891B4E" w:rsidP="00774F2C">
      <w:pPr>
        <w:pStyle w:val="Nagwek2"/>
        <w:rPr>
          <w:rFonts w:eastAsia="Times New Roman"/>
          <w:lang w:val="pl-PL" w:eastAsia="en-GB"/>
        </w:rPr>
      </w:pPr>
      <w:bookmarkStart w:id="135" w:name="_Toc73432999"/>
      <w:r>
        <w:rPr>
          <w:rFonts w:eastAsia="Times New Roman"/>
          <w:lang w:val="pl-PL" w:eastAsia="en-GB"/>
        </w:rPr>
        <w:t>7.1</w:t>
      </w:r>
      <w:r w:rsidR="00774F2C">
        <w:rPr>
          <w:rFonts w:eastAsia="Times New Roman"/>
          <w:lang w:val="pl-PL" w:eastAsia="en-GB"/>
        </w:rPr>
        <w:t xml:space="preserve"> </w:t>
      </w:r>
      <w:r w:rsidR="00925752" w:rsidRPr="00000498">
        <w:rPr>
          <w:rFonts w:eastAsia="Times New Roman"/>
          <w:lang w:val="pl-PL" w:eastAsia="en-GB"/>
        </w:rPr>
        <w:t>Władze programu</w:t>
      </w:r>
      <w:bookmarkEnd w:id="135"/>
      <w:r w:rsidR="00F50542" w:rsidRPr="00000498">
        <w:rPr>
          <w:rFonts w:eastAsia="Times New Roman"/>
          <w:lang w:val="pl-PL" w:eastAsia="en-GB"/>
        </w:rPr>
        <w:t xml:space="preserve"> </w:t>
      </w:r>
    </w:p>
    <w:p w14:paraId="51CE2975" w14:textId="693F1AFB" w:rsidR="00F50542" w:rsidRPr="00000498" w:rsidRDefault="00925752" w:rsidP="00000498">
      <w:pPr>
        <w:spacing w:after="200" w:line="276" w:lineRule="auto"/>
        <w:rPr>
          <w:rFonts w:asciiTheme="minorHAnsi" w:eastAsia="Times New Roman" w:hAnsiTheme="minorHAnsi" w:cstheme="minorHAnsi"/>
          <w:b/>
          <w:iCs/>
          <w:szCs w:val="24"/>
          <w:lang w:val="pl-PL" w:eastAsia="en-GB"/>
        </w:rPr>
      </w:pPr>
      <w:r w:rsidRPr="00000498">
        <w:rPr>
          <w:rFonts w:asciiTheme="minorHAnsi" w:eastAsia="Times New Roman" w:hAnsiTheme="minorHAnsi" w:cstheme="minorHAnsi"/>
          <w:szCs w:val="24"/>
          <w:lang w:val="pl-PL" w:eastAsia="en-GB"/>
        </w:rPr>
        <w:t>Dotyczy: art. 17 ust. 7 lit. a)</w:t>
      </w:r>
    </w:p>
    <w:p w14:paraId="6D1960AB" w14:textId="5AA976C8" w:rsidR="00F50542" w:rsidRPr="00000498" w:rsidRDefault="00871A6C" w:rsidP="00000498">
      <w:pPr>
        <w:spacing w:after="200" w:line="276" w:lineRule="auto"/>
        <w:contextualSpacing/>
        <w:rPr>
          <w:rFonts w:asciiTheme="minorHAnsi" w:eastAsia="Times New Roman" w:hAnsiTheme="minorHAnsi" w:cstheme="minorHAnsi"/>
          <w:iCs/>
          <w:szCs w:val="24"/>
          <w:lang w:val="pl-PL" w:eastAsia="en-GB"/>
        </w:rPr>
      </w:pPr>
      <w:r w:rsidRPr="00000498">
        <w:rPr>
          <w:rFonts w:asciiTheme="minorHAnsi" w:eastAsia="Times New Roman" w:hAnsiTheme="minorHAnsi" w:cstheme="minorHAnsi"/>
          <w:iCs/>
          <w:szCs w:val="24"/>
          <w:lang w:val="pl-PL" w:eastAsia="en-GB"/>
        </w:rPr>
        <w:t>Tabela</w:t>
      </w:r>
      <w:r w:rsidR="00F50542" w:rsidRPr="00000498">
        <w:rPr>
          <w:rFonts w:asciiTheme="minorHAnsi" w:eastAsia="Times New Roman" w:hAnsiTheme="minorHAnsi" w:cstheme="minorHAnsi"/>
          <w:iCs/>
          <w:szCs w:val="24"/>
          <w:lang w:val="pl-PL" w:eastAsia="en-GB"/>
        </w:rPr>
        <w:t xml:space="preserve"> 10</w:t>
      </w:r>
    </w:p>
    <w:tbl>
      <w:tblPr>
        <w:tblStyle w:val="TableGrid1"/>
        <w:tblW w:w="0" w:type="auto"/>
        <w:tblLook w:val="04A0" w:firstRow="1" w:lastRow="0" w:firstColumn="1" w:lastColumn="0" w:noHBand="0" w:noVBand="1"/>
        <w:tblCaption w:val="Tabela dotycząca władz Programu"/>
        <w:tblDescription w:val="Wskazano w niej m.in. instytucje oraz osoby kontaktowe. "/>
      </w:tblPr>
      <w:tblGrid>
        <w:gridCol w:w="1762"/>
        <w:gridCol w:w="2565"/>
        <w:gridCol w:w="1592"/>
        <w:gridCol w:w="3369"/>
      </w:tblGrid>
      <w:tr w:rsidR="00B77F10" w:rsidRPr="00891B4E" w14:paraId="5CB5341C" w14:textId="77777777" w:rsidTr="00000498">
        <w:trPr>
          <w:tblHeader/>
        </w:trPr>
        <w:tc>
          <w:tcPr>
            <w:tcW w:w="2058" w:type="dxa"/>
          </w:tcPr>
          <w:p w14:paraId="019E60EF" w14:textId="0A5CA249" w:rsidR="00F50542" w:rsidRPr="00000498" w:rsidRDefault="00925752" w:rsidP="00F50542">
            <w:pPr>
              <w:spacing w:line="240" w:lineRule="auto"/>
              <w:rPr>
                <w:rFonts w:asciiTheme="minorHAnsi" w:hAnsiTheme="minorHAnsi" w:cstheme="minorHAnsi"/>
                <w:b/>
                <w:szCs w:val="24"/>
                <w:lang w:val="pl-PL"/>
              </w:rPr>
            </w:pPr>
            <w:r w:rsidRPr="00000498">
              <w:rPr>
                <w:rFonts w:asciiTheme="minorHAnsi" w:hAnsiTheme="minorHAnsi" w:cstheme="minorHAnsi"/>
                <w:b/>
                <w:szCs w:val="24"/>
                <w:lang w:val="pl-PL"/>
              </w:rPr>
              <w:t>Władze programu</w:t>
            </w:r>
            <w:r w:rsidR="00F50542" w:rsidRPr="00000498">
              <w:rPr>
                <w:rFonts w:asciiTheme="minorHAnsi" w:hAnsiTheme="minorHAnsi" w:cstheme="minorHAnsi"/>
                <w:b/>
                <w:szCs w:val="24"/>
                <w:lang w:val="pl-PL"/>
              </w:rPr>
              <w:t xml:space="preserve"> </w:t>
            </w:r>
          </w:p>
        </w:tc>
        <w:tc>
          <w:tcPr>
            <w:tcW w:w="2473" w:type="dxa"/>
          </w:tcPr>
          <w:p w14:paraId="33F95803" w14:textId="6545A1D9" w:rsidR="00F50542" w:rsidRPr="00000498" w:rsidRDefault="00925752" w:rsidP="00F50542">
            <w:pPr>
              <w:spacing w:line="240" w:lineRule="auto"/>
              <w:rPr>
                <w:rFonts w:asciiTheme="minorHAnsi" w:hAnsiTheme="minorHAnsi" w:cstheme="minorHAnsi"/>
                <w:b/>
                <w:szCs w:val="24"/>
                <w:lang w:val="pl-PL"/>
              </w:rPr>
            </w:pPr>
            <w:r w:rsidRPr="00000498">
              <w:rPr>
                <w:rFonts w:asciiTheme="minorHAnsi" w:hAnsiTheme="minorHAnsi" w:cstheme="minorHAnsi"/>
                <w:b/>
                <w:szCs w:val="24"/>
                <w:lang w:val="pl-PL"/>
              </w:rPr>
              <w:t>Nazwa instytucji</w:t>
            </w:r>
            <w:r w:rsidR="00F50542" w:rsidRPr="00000498">
              <w:rPr>
                <w:rFonts w:asciiTheme="minorHAnsi" w:hAnsiTheme="minorHAnsi" w:cstheme="minorHAnsi"/>
                <w:b/>
                <w:szCs w:val="24"/>
                <w:lang w:val="pl-PL"/>
              </w:rPr>
              <w:t xml:space="preserve"> </w:t>
            </w:r>
            <w:r w:rsidR="00F50542" w:rsidRPr="00000498">
              <w:rPr>
                <w:rFonts w:asciiTheme="minorHAnsi" w:hAnsiTheme="minorHAnsi" w:cstheme="minorHAnsi"/>
                <w:szCs w:val="24"/>
                <w:lang w:val="pl-PL"/>
              </w:rPr>
              <w:t>[255]</w:t>
            </w:r>
          </w:p>
        </w:tc>
        <w:tc>
          <w:tcPr>
            <w:tcW w:w="1725" w:type="dxa"/>
          </w:tcPr>
          <w:p w14:paraId="7FB244DA" w14:textId="4BA957F9" w:rsidR="00F50542" w:rsidRPr="00000498" w:rsidRDefault="00925752" w:rsidP="00F50542">
            <w:pPr>
              <w:spacing w:line="240" w:lineRule="auto"/>
              <w:rPr>
                <w:rFonts w:asciiTheme="minorHAnsi" w:hAnsiTheme="minorHAnsi" w:cstheme="minorHAnsi"/>
                <w:b/>
                <w:szCs w:val="24"/>
                <w:lang w:val="pl-PL"/>
              </w:rPr>
            </w:pPr>
            <w:r w:rsidRPr="00000498">
              <w:rPr>
                <w:rFonts w:asciiTheme="minorHAnsi" w:hAnsiTheme="minorHAnsi" w:cstheme="minorHAnsi"/>
                <w:b/>
                <w:szCs w:val="24"/>
                <w:lang w:val="pl-PL"/>
              </w:rPr>
              <w:t>Osoba kontaktowa</w:t>
            </w:r>
            <w:r w:rsidR="00F50542" w:rsidRPr="00000498">
              <w:rPr>
                <w:rFonts w:asciiTheme="minorHAnsi" w:hAnsiTheme="minorHAnsi" w:cstheme="minorHAnsi"/>
                <w:b/>
                <w:szCs w:val="24"/>
                <w:lang w:val="pl-PL"/>
              </w:rPr>
              <w:t xml:space="preserve"> </w:t>
            </w:r>
            <w:r w:rsidR="00F50542" w:rsidRPr="00000498">
              <w:rPr>
                <w:rFonts w:asciiTheme="minorHAnsi" w:hAnsiTheme="minorHAnsi" w:cstheme="minorHAnsi"/>
                <w:szCs w:val="24"/>
                <w:lang w:val="pl-PL"/>
              </w:rPr>
              <w:t>[200]</w:t>
            </w:r>
          </w:p>
        </w:tc>
        <w:tc>
          <w:tcPr>
            <w:tcW w:w="2806" w:type="dxa"/>
          </w:tcPr>
          <w:p w14:paraId="75085BC3" w14:textId="77777777" w:rsidR="00F50542" w:rsidRPr="00000498" w:rsidRDefault="00F50542" w:rsidP="00F50542">
            <w:pPr>
              <w:spacing w:line="240" w:lineRule="auto"/>
              <w:rPr>
                <w:rFonts w:asciiTheme="minorHAnsi" w:hAnsiTheme="minorHAnsi" w:cstheme="minorHAnsi"/>
                <w:b/>
                <w:szCs w:val="24"/>
                <w:lang w:val="pl-PL"/>
              </w:rPr>
            </w:pPr>
            <w:r w:rsidRPr="00000498">
              <w:rPr>
                <w:rFonts w:asciiTheme="minorHAnsi" w:hAnsiTheme="minorHAnsi" w:cstheme="minorHAnsi"/>
                <w:b/>
                <w:szCs w:val="24"/>
                <w:lang w:val="pl-PL"/>
              </w:rPr>
              <w:t xml:space="preserve">E-mail </w:t>
            </w:r>
            <w:r w:rsidRPr="00000498">
              <w:rPr>
                <w:rFonts w:asciiTheme="minorHAnsi" w:hAnsiTheme="minorHAnsi" w:cstheme="minorHAnsi"/>
                <w:szCs w:val="24"/>
                <w:lang w:val="pl-PL"/>
              </w:rPr>
              <w:t>[200]</w:t>
            </w:r>
          </w:p>
        </w:tc>
      </w:tr>
      <w:tr w:rsidR="00B77F10" w:rsidRPr="00367EF1" w14:paraId="60F10D71" w14:textId="77777777" w:rsidTr="0015409E">
        <w:tc>
          <w:tcPr>
            <w:tcW w:w="2058" w:type="dxa"/>
          </w:tcPr>
          <w:p w14:paraId="2E9D0225" w14:textId="32ADFE0C" w:rsidR="003331B8" w:rsidRPr="00000498" w:rsidRDefault="00925752" w:rsidP="003331B8">
            <w:pPr>
              <w:spacing w:line="240" w:lineRule="auto"/>
              <w:rPr>
                <w:rFonts w:asciiTheme="minorHAnsi" w:hAnsiTheme="minorHAnsi" w:cstheme="minorHAnsi"/>
                <w:szCs w:val="24"/>
                <w:lang w:val="pl-PL"/>
              </w:rPr>
            </w:pPr>
            <w:r w:rsidRPr="00000498">
              <w:rPr>
                <w:rFonts w:asciiTheme="minorHAnsi" w:hAnsiTheme="minorHAnsi" w:cstheme="minorHAnsi"/>
                <w:szCs w:val="24"/>
                <w:lang w:val="pl-PL"/>
              </w:rPr>
              <w:t>Instytucja zarządzająca</w:t>
            </w:r>
          </w:p>
        </w:tc>
        <w:tc>
          <w:tcPr>
            <w:tcW w:w="2473" w:type="dxa"/>
          </w:tcPr>
          <w:p w14:paraId="6A28672B" w14:textId="77777777" w:rsidR="003331B8" w:rsidRPr="00000498" w:rsidRDefault="003331B8" w:rsidP="003331B8">
            <w:pPr>
              <w:autoSpaceDE w:val="0"/>
              <w:autoSpaceDN w:val="0"/>
              <w:adjustRightInd w:val="0"/>
              <w:spacing w:line="240" w:lineRule="auto"/>
              <w:rPr>
                <w:rFonts w:asciiTheme="minorHAnsi" w:hAnsiTheme="minorHAnsi" w:cstheme="minorHAnsi"/>
                <w:szCs w:val="24"/>
                <w:lang w:val="de-DE"/>
              </w:rPr>
            </w:pPr>
            <w:r w:rsidRPr="00000498">
              <w:rPr>
                <w:rFonts w:asciiTheme="minorHAnsi" w:hAnsiTheme="minorHAnsi" w:cstheme="minorHAnsi"/>
                <w:szCs w:val="24"/>
                <w:lang w:val="de-DE"/>
              </w:rPr>
              <w:t>Investitionsbank Schleswig-Holstein</w:t>
            </w:r>
          </w:p>
          <w:p w14:paraId="2B0AC346" w14:textId="77777777" w:rsidR="003331B8" w:rsidRPr="00000498" w:rsidRDefault="003331B8" w:rsidP="003331B8">
            <w:pPr>
              <w:autoSpaceDE w:val="0"/>
              <w:autoSpaceDN w:val="0"/>
              <w:adjustRightInd w:val="0"/>
              <w:spacing w:line="240" w:lineRule="auto"/>
              <w:rPr>
                <w:rFonts w:asciiTheme="minorHAnsi" w:hAnsiTheme="minorHAnsi" w:cstheme="minorHAnsi"/>
                <w:szCs w:val="24"/>
                <w:lang w:val="de-DE"/>
              </w:rPr>
            </w:pPr>
            <w:r w:rsidRPr="00000498">
              <w:rPr>
                <w:rFonts w:asciiTheme="minorHAnsi" w:hAnsiTheme="minorHAnsi" w:cstheme="minorHAnsi"/>
                <w:szCs w:val="24"/>
                <w:lang w:val="de-DE"/>
              </w:rPr>
              <w:t>(IB.SH)</w:t>
            </w:r>
          </w:p>
          <w:p w14:paraId="58681577" w14:textId="77777777" w:rsidR="003331B8" w:rsidRPr="00000498" w:rsidRDefault="003331B8" w:rsidP="003331B8">
            <w:pPr>
              <w:spacing w:line="240" w:lineRule="auto"/>
              <w:rPr>
                <w:rFonts w:asciiTheme="minorHAnsi" w:hAnsiTheme="minorHAnsi" w:cstheme="minorHAnsi"/>
                <w:szCs w:val="24"/>
                <w:lang w:val="de-DE"/>
              </w:rPr>
            </w:pPr>
          </w:p>
        </w:tc>
        <w:tc>
          <w:tcPr>
            <w:tcW w:w="1725" w:type="dxa"/>
          </w:tcPr>
          <w:p w14:paraId="2305A8D4" w14:textId="19F36429" w:rsidR="003331B8" w:rsidRPr="00000498" w:rsidRDefault="00925752" w:rsidP="003331B8">
            <w:pPr>
              <w:spacing w:line="240" w:lineRule="auto"/>
              <w:rPr>
                <w:rFonts w:asciiTheme="minorHAnsi" w:hAnsiTheme="minorHAnsi" w:cstheme="minorHAnsi"/>
                <w:szCs w:val="24"/>
                <w:lang w:val="pl-PL"/>
              </w:rPr>
            </w:pPr>
            <w:r w:rsidRPr="00000498">
              <w:rPr>
                <w:rFonts w:asciiTheme="minorHAnsi" w:hAnsiTheme="minorHAnsi" w:cstheme="minorHAnsi"/>
                <w:szCs w:val="24"/>
                <w:lang w:val="pl-PL"/>
              </w:rPr>
              <w:t>Pan</w:t>
            </w:r>
            <w:r w:rsidR="00D84745" w:rsidRPr="00000498">
              <w:rPr>
                <w:rFonts w:asciiTheme="minorHAnsi" w:hAnsiTheme="minorHAnsi" w:cstheme="minorHAnsi"/>
                <w:szCs w:val="24"/>
                <w:lang w:val="pl-PL"/>
              </w:rPr>
              <w:t xml:space="preserve"> </w:t>
            </w:r>
            <w:r w:rsidR="003331B8" w:rsidRPr="00000498">
              <w:rPr>
                <w:rFonts w:asciiTheme="minorHAnsi" w:hAnsiTheme="minorHAnsi" w:cstheme="minorHAnsi"/>
                <w:szCs w:val="24"/>
                <w:lang w:val="pl-PL"/>
              </w:rPr>
              <w:t>Erk Westermann-</w:t>
            </w:r>
          </w:p>
          <w:p w14:paraId="2B2A8E94" w14:textId="77777777" w:rsidR="003331B8" w:rsidRPr="00000498" w:rsidRDefault="003331B8" w:rsidP="003331B8">
            <w:pPr>
              <w:spacing w:line="240" w:lineRule="auto"/>
              <w:rPr>
                <w:rFonts w:asciiTheme="minorHAnsi" w:hAnsiTheme="minorHAnsi" w:cstheme="minorHAnsi"/>
                <w:szCs w:val="24"/>
                <w:lang w:val="pl-PL"/>
              </w:rPr>
            </w:pPr>
            <w:r w:rsidRPr="00000498">
              <w:rPr>
                <w:rFonts w:asciiTheme="minorHAnsi" w:hAnsiTheme="minorHAnsi" w:cstheme="minorHAnsi"/>
                <w:szCs w:val="24"/>
                <w:lang w:val="pl-PL"/>
              </w:rPr>
              <w:t>Lammers</w:t>
            </w:r>
          </w:p>
          <w:p w14:paraId="1AAC9B22" w14:textId="2EFE07F4" w:rsidR="003331B8" w:rsidRPr="00000498" w:rsidRDefault="003331B8" w:rsidP="003331B8">
            <w:pPr>
              <w:spacing w:line="240" w:lineRule="auto"/>
              <w:rPr>
                <w:rFonts w:asciiTheme="minorHAnsi" w:hAnsiTheme="minorHAnsi" w:cstheme="minorHAnsi"/>
                <w:szCs w:val="24"/>
                <w:lang w:val="pl-PL"/>
              </w:rPr>
            </w:pPr>
            <w:r w:rsidRPr="00000498">
              <w:rPr>
                <w:rFonts w:asciiTheme="minorHAnsi" w:hAnsiTheme="minorHAnsi" w:cstheme="minorHAnsi"/>
                <w:szCs w:val="24"/>
                <w:lang w:val="pl-PL"/>
              </w:rPr>
              <w:t>(</w:t>
            </w:r>
            <w:r w:rsidR="00925752" w:rsidRPr="00000498">
              <w:rPr>
                <w:rFonts w:asciiTheme="minorHAnsi" w:hAnsiTheme="minorHAnsi" w:cstheme="minorHAnsi"/>
                <w:szCs w:val="24"/>
                <w:lang w:val="pl-PL"/>
              </w:rPr>
              <w:t>Dyrektor Zarządzający</w:t>
            </w:r>
            <w:r w:rsidRPr="00000498">
              <w:rPr>
                <w:rFonts w:asciiTheme="minorHAnsi" w:hAnsiTheme="minorHAnsi" w:cstheme="minorHAnsi"/>
                <w:szCs w:val="24"/>
                <w:lang w:val="pl-PL"/>
              </w:rPr>
              <w:t xml:space="preserve">); </w:t>
            </w:r>
          </w:p>
          <w:p w14:paraId="6AC8393F" w14:textId="77777777" w:rsidR="003331B8" w:rsidRPr="00000498" w:rsidRDefault="003331B8" w:rsidP="003331B8">
            <w:pPr>
              <w:spacing w:line="240" w:lineRule="auto"/>
              <w:rPr>
                <w:rFonts w:asciiTheme="minorHAnsi" w:hAnsiTheme="minorHAnsi" w:cstheme="minorHAnsi"/>
                <w:szCs w:val="24"/>
                <w:lang w:val="pl-PL"/>
              </w:rPr>
            </w:pPr>
          </w:p>
          <w:p w14:paraId="2C0C4FC5" w14:textId="6E678000" w:rsidR="003331B8" w:rsidRPr="00000498" w:rsidRDefault="00925752" w:rsidP="008E0E46">
            <w:pPr>
              <w:spacing w:line="240" w:lineRule="auto"/>
              <w:rPr>
                <w:rFonts w:asciiTheme="minorHAnsi" w:hAnsiTheme="minorHAnsi" w:cstheme="minorHAnsi"/>
                <w:szCs w:val="24"/>
                <w:lang w:val="pl-PL"/>
              </w:rPr>
            </w:pPr>
            <w:r w:rsidRPr="00000498">
              <w:rPr>
                <w:rFonts w:asciiTheme="minorHAnsi" w:hAnsiTheme="minorHAnsi" w:cstheme="minorHAnsi"/>
                <w:szCs w:val="24"/>
                <w:lang w:val="pl-PL"/>
              </w:rPr>
              <w:t>Pan</w:t>
            </w:r>
            <w:r w:rsidR="00D84745" w:rsidRPr="00000498">
              <w:rPr>
                <w:rFonts w:asciiTheme="minorHAnsi" w:hAnsiTheme="minorHAnsi" w:cstheme="minorHAnsi"/>
                <w:szCs w:val="24"/>
                <w:lang w:val="pl-PL"/>
              </w:rPr>
              <w:t xml:space="preserve"> </w:t>
            </w:r>
            <w:r w:rsidR="004D7FF9" w:rsidRPr="00000498">
              <w:rPr>
                <w:rFonts w:asciiTheme="minorHAnsi" w:hAnsiTheme="minorHAnsi" w:cstheme="minorHAnsi"/>
                <w:szCs w:val="24"/>
                <w:lang w:val="pl-PL"/>
              </w:rPr>
              <w:t>Ronald Lieske</w:t>
            </w:r>
            <w:r w:rsidR="003331B8" w:rsidRPr="00000498">
              <w:rPr>
                <w:rFonts w:asciiTheme="minorHAnsi" w:hAnsiTheme="minorHAnsi" w:cstheme="minorHAnsi"/>
                <w:szCs w:val="24"/>
                <w:lang w:val="pl-PL"/>
              </w:rPr>
              <w:t xml:space="preserve"> (</w:t>
            </w:r>
            <w:r w:rsidR="000102F4" w:rsidRPr="00000498">
              <w:rPr>
                <w:rFonts w:asciiTheme="minorHAnsi" w:hAnsiTheme="minorHAnsi" w:cstheme="minorHAnsi"/>
                <w:szCs w:val="24"/>
                <w:lang w:val="pl-PL"/>
              </w:rPr>
              <w:t>Dyrektor IZ/WS Interreg Region Morza Bałtyckiego</w:t>
            </w:r>
            <w:r w:rsidR="003331B8" w:rsidRPr="00000498">
              <w:rPr>
                <w:rFonts w:asciiTheme="minorHAnsi" w:hAnsiTheme="minorHAnsi" w:cstheme="minorHAnsi"/>
                <w:szCs w:val="24"/>
                <w:lang w:val="pl-PL"/>
              </w:rPr>
              <w:t>)</w:t>
            </w:r>
          </w:p>
        </w:tc>
        <w:tc>
          <w:tcPr>
            <w:tcW w:w="2806" w:type="dxa"/>
          </w:tcPr>
          <w:p w14:paraId="08CE9411" w14:textId="77777777" w:rsidR="003331B8" w:rsidRPr="00000498" w:rsidRDefault="003331B8" w:rsidP="003331B8">
            <w:pPr>
              <w:spacing w:line="240" w:lineRule="auto"/>
              <w:rPr>
                <w:rFonts w:asciiTheme="minorHAnsi" w:hAnsiTheme="minorHAnsi" w:cstheme="minorHAnsi"/>
                <w:szCs w:val="24"/>
                <w:lang w:val="pl-PL"/>
              </w:rPr>
            </w:pPr>
            <w:r w:rsidRPr="00000498">
              <w:rPr>
                <w:rFonts w:asciiTheme="minorHAnsi" w:hAnsiTheme="minorHAnsi" w:cstheme="minorHAnsi"/>
                <w:szCs w:val="24"/>
                <w:lang w:val="pl-PL"/>
              </w:rPr>
              <w:t>info@ib-sh.de</w:t>
            </w:r>
          </w:p>
          <w:p w14:paraId="781311BC" w14:textId="77777777" w:rsidR="003331B8" w:rsidRPr="00000498" w:rsidRDefault="003331B8" w:rsidP="003331B8">
            <w:pPr>
              <w:spacing w:line="240" w:lineRule="auto"/>
              <w:rPr>
                <w:rFonts w:asciiTheme="minorHAnsi" w:hAnsiTheme="minorHAnsi" w:cstheme="minorHAnsi"/>
                <w:szCs w:val="24"/>
                <w:lang w:val="pl-PL"/>
              </w:rPr>
            </w:pPr>
          </w:p>
          <w:p w14:paraId="0E9C5708" w14:textId="77777777" w:rsidR="003331B8" w:rsidRPr="00000498" w:rsidRDefault="003331B8" w:rsidP="003331B8">
            <w:pPr>
              <w:spacing w:line="240" w:lineRule="auto"/>
              <w:rPr>
                <w:rFonts w:asciiTheme="minorHAnsi" w:hAnsiTheme="minorHAnsi" w:cstheme="minorHAnsi"/>
                <w:szCs w:val="24"/>
                <w:lang w:val="pl-PL"/>
              </w:rPr>
            </w:pPr>
          </w:p>
          <w:p w14:paraId="1EC37998" w14:textId="77777777" w:rsidR="003331B8" w:rsidRPr="00000498" w:rsidRDefault="003331B8" w:rsidP="003331B8">
            <w:pPr>
              <w:spacing w:line="240" w:lineRule="auto"/>
              <w:rPr>
                <w:rFonts w:asciiTheme="minorHAnsi" w:hAnsiTheme="minorHAnsi" w:cstheme="minorHAnsi"/>
                <w:szCs w:val="24"/>
                <w:lang w:val="pl-PL"/>
              </w:rPr>
            </w:pPr>
          </w:p>
          <w:p w14:paraId="4C1C6BB9" w14:textId="77777777" w:rsidR="003331B8" w:rsidRPr="00000498" w:rsidRDefault="003331B8" w:rsidP="003331B8">
            <w:pPr>
              <w:spacing w:line="240" w:lineRule="auto"/>
              <w:rPr>
                <w:rFonts w:asciiTheme="minorHAnsi" w:hAnsiTheme="minorHAnsi" w:cstheme="minorHAnsi"/>
                <w:szCs w:val="24"/>
                <w:lang w:val="pl-PL"/>
              </w:rPr>
            </w:pPr>
          </w:p>
          <w:p w14:paraId="6F5D14BA" w14:textId="795D7830" w:rsidR="003331B8" w:rsidRPr="00000498" w:rsidRDefault="003331B8" w:rsidP="003331B8">
            <w:pPr>
              <w:spacing w:line="240" w:lineRule="auto"/>
              <w:rPr>
                <w:rFonts w:asciiTheme="minorHAnsi" w:hAnsiTheme="minorHAnsi" w:cstheme="minorHAnsi"/>
                <w:szCs w:val="24"/>
                <w:lang w:val="pl-PL"/>
              </w:rPr>
            </w:pPr>
            <w:r w:rsidRPr="00000498">
              <w:rPr>
                <w:rFonts w:asciiTheme="minorHAnsi" w:hAnsiTheme="minorHAnsi" w:cstheme="minorHAnsi"/>
                <w:szCs w:val="24"/>
                <w:lang w:val="pl-PL"/>
              </w:rPr>
              <w:t>info@interreg-baltic.eu</w:t>
            </w:r>
          </w:p>
        </w:tc>
      </w:tr>
      <w:tr w:rsidR="00B77F10" w:rsidRPr="00367EF1" w14:paraId="090A70B6" w14:textId="77777777" w:rsidTr="0015409E">
        <w:tc>
          <w:tcPr>
            <w:tcW w:w="2058" w:type="dxa"/>
          </w:tcPr>
          <w:p w14:paraId="1A9D9B38" w14:textId="18C144F6" w:rsidR="00F50542" w:rsidRPr="00000498" w:rsidRDefault="000102F4" w:rsidP="00F50542">
            <w:pPr>
              <w:spacing w:line="240" w:lineRule="auto"/>
              <w:rPr>
                <w:rFonts w:asciiTheme="minorHAnsi" w:hAnsiTheme="minorHAnsi" w:cstheme="minorHAnsi"/>
                <w:szCs w:val="24"/>
                <w:lang w:val="pl-PL"/>
              </w:rPr>
            </w:pPr>
            <w:r w:rsidRPr="00000498">
              <w:rPr>
                <w:rFonts w:asciiTheme="minorHAnsi" w:hAnsiTheme="minorHAnsi" w:cstheme="minorHAnsi"/>
                <w:szCs w:val="24"/>
                <w:lang w:val="pl-PL"/>
              </w:rPr>
              <w:t xml:space="preserve">Władze krajowe (gdzie to właściwe, w przypadku programów z udziałem </w:t>
            </w:r>
            <w:r w:rsidRPr="00000498">
              <w:rPr>
                <w:rFonts w:asciiTheme="minorHAnsi" w:hAnsiTheme="minorHAnsi" w:cstheme="minorHAnsi"/>
                <w:szCs w:val="24"/>
                <w:lang w:val="pl-PL"/>
              </w:rPr>
              <w:lastRenderedPageBreak/>
              <w:t>uczestniczących krajów trzecich</w:t>
            </w:r>
            <w:r w:rsidR="00F50542" w:rsidRPr="00000498">
              <w:rPr>
                <w:rFonts w:asciiTheme="minorHAnsi" w:hAnsiTheme="minorHAnsi" w:cstheme="minorHAnsi"/>
                <w:szCs w:val="24"/>
                <w:lang w:val="pl-PL"/>
              </w:rPr>
              <w:t>)</w:t>
            </w:r>
          </w:p>
        </w:tc>
        <w:tc>
          <w:tcPr>
            <w:tcW w:w="2473" w:type="dxa"/>
          </w:tcPr>
          <w:p w14:paraId="2B586DCA" w14:textId="77777777" w:rsidR="00F50542" w:rsidRPr="00000498" w:rsidRDefault="00F50542" w:rsidP="00F50542">
            <w:pPr>
              <w:spacing w:line="240" w:lineRule="auto"/>
              <w:rPr>
                <w:rFonts w:asciiTheme="minorHAnsi" w:hAnsiTheme="minorHAnsi" w:cstheme="minorHAnsi"/>
                <w:szCs w:val="24"/>
                <w:lang w:val="pl-PL"/>
              </w:rPr>
            </w:pPr>
          </w:p>
        </w:tc>
        <w:tc>
          <w:tcPr>
            <w:tcW w:w="1725" w:type="dxa"/>
          </w:tcPr>
          <w:p w14:paraId="7A78ABEE" w14:textId="77777777" w:rsidR="00F50542" w:rsidRPr="00000498" w:rsidRDefault="00F50542" w:rsidP="00F50542">
            <w:pPr>
              <w:spacing w:line="240" w:lineRule="auto"/>
              <w:rPr>
                <w:rFonts w:asciiTheme="minorHAnsi" w:hAnsiTheme="minorHAnsi" w:cstheme="minorHAnsi"/>
                <w:szCs w:val="24"/>
                <w:lang w:val="pl-PL"/>
              </w:rPr>
            </w:pPr>
          </w:p>
        </w:tc>
        <w:tc>
          <w:tcPr>
            <w:tcW w:w="2806" w:type="dxa"/>
          </w:tcPr>
          <w:p w14:paraId="0268C998" w14:textId="77777777" w:rsidR="00F50542" w:rsidRPr="00000498" w:rsidRDefault="00F50542" w:rsidP="00F50542">
            <w:pPr>
              <w:spacing w:line="240" w:lineRule="auto"/>
              <w:rPr>
                <w:rFonts w:asciiTheme="minorHAnsi" w:hAnsiTheme="minorHAnsi" w:cstheme="minorHAnsi"/>
                <w:szCs w:val="24"/>
                <w:lang w:val="pl-PL"/>
              </w:rPr>
            </w:pPr>
          </w:p>
        </w:tc>
      </w:tr>
      <w:tr w:rsidR="00B77F10" w:rsidRPr="00367EF1" w14:paraId="363FAFCE" w14:textId="77777777" w:rsidTr="0015409E">
        <w:tc>
          <w:tcPr>
            <w:tcW w:w="2058" w:type="dxa"/>
          </w:tcPr>
          <w:p w14:paraId="7092BB33" w14:textId="457B4AD0" w:rsidR="003331B8" w:rsidRPr="00000498" w:rsidRDefault="000102F4" w:rsidP="003331B8">
            <w:pPr>
              <w:spacing w:line="240" w:lineRule="auto"/>
              <w:rPr>
                <w:rFonts w:asciiTheme="minorHAnsi" w:hAnsiTheme="minorHAnsi" w:cstheme="minorHAnsi"/>
                <w:szCs w:val="24"/>
                <w:lang w:val="pl-PL"/>
              </w:rPr>
            </w:pPr>
            <w:r w:rsidRPr="00000498">
              <w:rPr>
                <w:rFonts w:asciiTheme="minorHAnsi" w:hAnsiTheme="minorHAnsi" w:cstheme="minorHAnsi"/>
                <w:szCs w:val="24"/>
                <w:lang w:val="pl-PL"/>
              </w:rPr>
              <w:lastRenderedPageBreak/>
              <w:t>Organ audytowy</w:t>
            </w:r>
          </w:p>
        </w:tc>
        <w:tc>
          <w:tcPr>
            <w:tcW w:w="2473" w:type="dxa"/>
          </w:tcPr>
          <w:p w14:paraId="7BFACD0B" w14:textId="7930D9D6" w:rsidR="000102F4" w:rsidRPr="00000498" w:rsidRDefault="000102F4" w:rsidP="000102F4">
            <w:pPr>
              <w:spacing w:line="240" w:lineRule="auto"/>
              <w:rPr>
                <w:rFonts w:asciiTheme="minorHAnsi" w:hAnsiTheme="minorHAnsi" w:cstheme="minorHAnsi"/>
                <w:szCs w:val="24"/>
                <w:lang w:val="pl-PL"/>
              </w:rPr>
            </w:pPr>
            <w:r w:rsidRPr="00000498">
              <w:rPr>
                <w:rFonts w:asciiTheme="minorHAnsi" w:hAnsiTheme="minorHAnsi" w:cstheme="minorHAnsi"/>
                <w:szCs w:val="24"/>
                <w:lang w:val="pl-PL"/>
              </w:rPr>
              <w:t>Ministerstwo Sprawiedliwości, Kultury i Spraw Europejskich, kraju związkowego</w:t>
            </w:r>
          </w:p>
          <w:p w14:paraId="4824967E" w14:textId="023E53B0" w:rsidR="003331B8" w:rsidRPr="00000498" w:rsidRDefault="000102F4" w:rsidP="000102F4">
            <w:pPr>
              <w:spacing w:line="240" w:lineRule="auto"/>
              <w:rPr>
                <w:rFonts w:asciiTheme="minorHAnsi" w:hAnsiTheme="minorHAnsi" w:cstheme="minorHAnsi"/>
                <w:szCs w:val="24"/>
                <w:lang w:val="en-IE"/>
              </w:rPr>
            </w:pPr>
            <w:r w:rsidRPr="00000498">
              <w:rPr>
                <w:rFonts w:asciiTheme="minorHAnsi" w:hAnsiTheme="minorHAnsi" w:cstheme="minorHAnsi"/>
                <w:szCs w:val="24"/>
                <w:lang w:val="en-IE"/>
              </w:rPr>
              <w:t>Szlezwik-Holsztyn</w:t>
            </w:r>
          </w:p>
        </w:tc>
        <w:tc>
          <w:tcPr>
            <w:tcW w:w="1725" w:type="dxa"/>
          </w:tcPr>
          <w:p w14:paraId="6D42F840" w14:textId="0EAE29E7" w:rsidR="003331B8" w:rsidRPr="00000498" w:rsidRDefault="000102F4" w:rsidP="003331B8">
            <w:pPr>
              <w:spacing w:line="240" w:lineRule="auto"/>
              <w:rPr>
                <w:rFonts w:asciiTheme="minorHAnsi" w:hAnsiTheme="minorHAnsi" w:cstheme="minorHAnsi"/>
                <w:szCs w:val="24"/>
                <w:lang w:val="pl-PL"/>
              </w:rPr>
            </w:pPr>
            <w:r w:rsidRPr="00000498">
              <w:rPr>
                <w:rFonts w:asciiTheme="minorHAnsi" w:hAnsiTheme="minorHAnsi" w:cstheme="minorHAnsi"/>
                <w:szCs w:val="24"/>
                <w:lang w:val="pl-PL"/>
              </w:rPr>
              <w:t>Pan</w:t>
            </w:r>
            <w:r w:rsidR="00D84745" w:rsidRPr="00000498">
              <w:rPr>
                <w:rFonts w:asciiTheme="minorHAnsi" w:hAnsiTheme="minorHAnsi" w:cstheme="minorHAnsi"/>
                <w:szCs w:val="24"/>
                <w:lang w:val="pl-PL"/>
              </w:rPr>
              <w:t xml:space="preserve"> </w:t>
            </w:r>
            <w:r w:rsidR="003331B8" w:rsidRPr="00000498">
              <w:rPr>
                <w:rFonts w:asciiTheme="minorHAnsi" w:hAnsiTheme="minorHAnsi" w:cstheme="minorHAnsi"/>
                <w:szCs w:val="24"/>
                <w:lang w:val="pl-PL"/>
              </w:rPr>
              <w:t xml:space="preserve">Markus Stiegler </w:t>
            </w:r>
          </w:p>
          <w:p w14:paraId="3EAE3DF5" w14:textId="3A6438BD" w:rsidR="003331B8" w:rsidRPr="00000498" w:rsidRDefault="003331B8" w:rsidP="000102F4">
            <w:pPr>
              <w:spacing w:line="240" w:lineRule="auto"/>
              <w:rPr>
                <w:rFonts w:asciiTheme="minorHAnsi" w:hAnsiTheme="minorHAnsi" w:cstheme="minorHAnsi"/>
                <w:szCs w:val="24"/>
                <w:lang w:val="pl-PL"/>
              </w:rPr>
            </w:pPr>
            <w:r w:rsidRPr="00000498">
              <w:rPr>
                <w:rFonts w:asciiTheme="minorHAnsi" w:hAnsiTheme="minorHAnsi" w:cstheme="minorHAnsi"/>
                <w:szCs w:val="24"/>
                <w:lang w:val="pl-PL"/>
              </w:rPr>
              <w:t>(</w:t>
            </w:r>
            <w:r w:rsidR="000102F4" w:rsidRPr="00000498">
              <w:rPr>
                <w:rFonts w:asciiTheme="minorHAnsi" w:hAnsiTheme="minorHAnsi" w:cstheme="minorHAnsi"/>
                <w:szCs w:val="24"/>
                <w:lang w:val="pl-PL"/>
              </w:rPr>
              <w:t>Kierownik działu</w:t>
            </w:r>
            <w:r w:rsidRPr="00000498">
              <w:rPr>
                <w:rFonts w:asciiTheme="minorHAnsi" w:hAnsiTheme="minorHAnsi" w:cstheme="minorHAnsi"/>
                <w:szCs w:val="24"/>
                <w:lang w:val="pl-PL"/>
              </w:rPr>
              <w:t>)</w:t>
            </w:r>
          </w:p>
        </w:tc>
        <w:tc>
          <w:tcPr>
            <w:tcW w:w="2806" w:type="dxa"/>
          </w:tcPr>
          <w:p w14:paraId="3D8BC635" w14:textId="7C06CFAF" w:rsidR="003331B8" w:rsidRPr="00000498" w:rsidRDefault="003331B8" w:rsidP="003331B8">
            <w:pPr>
              <w:spacing w:line="240" w:lineRule="auto"/>
              <w:rPr>
                <w:rFonts w:asciiTheme="minorHAnsi" w:hAnsiTheme="minorHAnsi" w:cstheme="minorHAnsi"/>
                <w:szCs w:val="24"/>
                <w:lang w:val="pl-PL"/>
              </w:rPr>
            </w:pPr>
            <w:r w:rsidRPr="00000498">
              <w:rPr>
                <w:rFonts w:asciiTheme="minorHAnsi" w:hAnsiTheme="minorHAnsi" w:cstheme="minorHAnsi"/>
                <w:szCs w:val="24"/>
                <w:lang w:val="pl-PL"/>
              </w:rPr>
              <w:t>markus.stiegler@jumi.landsh.de</w:t>
            </w:r>
          </w:p>
        </w:tc>
      </w:tr>
      <w:tr w:rsidR="00B77F10" w:rsidRPr="00367EF1" w14:paraId="370F87D3" w14:textId="77777777" w:rsidTr="0015409E">
        <w:tc>
          <w:tcPr>
            <w:tcW w:w="2058" w:type="dxa"/>
          </w:tcPr>
          <w:p w14:paraId="44482F6D" w14:textId="737244B6" w:rsidR="003331B8" w:rsidRPr="00000498" w:rsidRDefault="000102F4" w:rsidP="003331B8">
            <w:pPr>
              <w:spacing w:line="240" w:lineRule="auto"/>
              <w:rPr>
                <w:rFonts w:asciiTheme="minorHAnsi" w:hAnsiTheme="minorHAnsi" w:cstheme="minorHAnsi"/>
                <w:szCs w:val="24"/>
                <w:lang w:val="pl-PL"/>
              </w:rPr>
            </w:pPr>
            <w:r w:rsidRPr="00000498">
              <w:rPr>
                <w:rFonts w:asciiTheme="minorHAnsi" w:hAnsiTheme="minorHAnsi" w:cstheme="minorHAnsi"/>
                <w:szCs w:val="24"/>
                <w:lang w:val="pl-PL"/>
              </w:rPr>
              <w:t>Grupa przedstawicieli audytorów</w:t>
            </w:r>
          </w:p>
        </w:tc>
        <w:tc>
          <w:tcPr>
            <w:tcW w:w="2473" w:type="dxa"/>
          </w:tcPr>
          <w:p w14:paraId="7DB2878A" w14:textId="77777777" w:rsidR="000102F4" w:rsidRPr="00000498" w:rsidRDefault="000102F4" w:rsidP="000102F4">
            <w:pPr>
              <w:autoSpaceDE w:val="0"/>
              <w:autoSpaceDN w:val="0"/>
              <w:adjustRightInd w:val="0"/>
              <w:spacing w:line="240" w:lineRule="auto"/>
              <w:rPr>
                <w:rFonts w:asciiTheme="minorHAnsi" w:hAnsiTheme="minorHAnsi" w:cstheme="minorHAnsi"/>
                <w:szCs w:val="24"/>
                <w:lang w:val="pl-PL"/>
              </w:rPr>
            </w:pPr>
            <w:r w:rsidRPr="00000498">
              <w:rPr>
                <w:rFonts w:asciiTheme="minorHAnsi" w:hAnsiTheme="minorHAnsi" w:cstheme="minorHAnsi"/>
                <w:szCs w:val="24"/>
                <w:lang w:val="pl-PL"/>
              </w:rPr>
              <w:t>SLA w DE: Ministerstwo Sprawiedliwości, Kultury</w:t>
            </w:r>
          </w:p>
          <w:p w14:paraId="20504E47" w14:textId="2C1E9622" w:rsidR="003331B8" w:rsidRPr="00000498" w:rsidRDefault="000102F4" w:rsidP="00000498">
            <w:pPr>
              <w:autoSpaceDE w:val="0"/>
              <w:autoSpaceDN w:val="0"/>
              <w:adjustRightInd w:val="0"/>
              <w:spacing w:line="240" w:lineRule="auto"/>
              <w:rPr>
                <w:rFonts w:asciiTheme="minorHAnsi" w:hAnsiTheme="minorHAnsi" w:cstheme="minorHAnsi"/>
                <w:szCs w:val="24"/>
                <w:lang w:val="pl-PL"/>
              </w:rPr>
            </w:pPr>
            <w:r w:rsidRPr="00000498">
              <w:rPr>
                <w:rFonts w:asciiTheme="minorHAnsi" w:hAnsiTheme="minorHAnsi" w:cstheme="minorHAnsi"/>
                <w:szCs w:val="24"/>
                <w:lang w:val="pl-PL"/>
              </w:rPr>
              <w:t>i Spraw Europejskich, kraju związkowego Szlezwik</w:t>
            </w:r>
            <w:r w:rsidR="00EF3045">
              <w:rPr>
                <w:rFonts w:asciiTheme="minorHAnsi" w:hAnsiTheme="minorHAnsi" w:cstheme="minorHAnsi"/>
                <w:szCs w:val="24"/>
                <w:lang w:val="pl-PL"/>
              </w:rPr>
              <w:t>-</w:t>
            </w:r>
            <w:r w:rsidRPr="00000498">
              <w:rPr>
                <w:rFonts w:asciiTheme="minorHAnsi" w:hAnsiTheme="minorHAnsi" w:cstheme="minorHAnsi"/>
                <w:szCs w:val="24"/>
                <w:lang w:val="pl-PL"/>
              </w:rPr>
              <w:t>Holsztyn, Niemcy</w:t>
            </w:r>
          </w:p>
        </w:tc>
        <w:tc>
          <w:tcPr>
            <w:tcW w:w="1725" w:type="dxa"/>
          </w:tcPr>
          <w:p w14:paraId="2B89A70B" w14:textId="67774A03" w:rsidR="003331B8" w:rsidRPr="00000498" w:rsidRDefault="000102F4" w:rsidP="003331B8">
            <w:pPr>
              <w:spacing w:line="240" w:lineRule="auto"/>
              <w:rPr>
                <w:rFonts w:asciiTheme="minorHAnsi" w:hAnsiTheme="minorHAnsi" w:cstheme="minorHAnsi"/>
                <w:szCs w:val="24"/>
                <w:lang w:val="pl-PL"/>
              </w:rPr>
            </w:pPr>
            <w:r w:rsidRPr="00000498">
              <w:rPr>
                <w:rFonts w:asciiTheme="minorHAnsi" w:hAnsiTheme="minorHAnsi" w:cstheme="minorHAnsi"/>
                <w:szCs w:val="24"/>
                <w:lang w:val="pl-PL"/>
              </w:rPr>
              <w:t>Pan</w:t>
            </w:r>
            <w:r w:rsidR="00D84745" w:rsidRPr="00000498">
              <w:rPr>
                <w:rFonts w:asciiTheme="minorHAnsi" w:hAnsiTheme="minorHAnsi" w:cstheme="minorHAnsi"/>
                <w:szCs w:val="24"/>
                <w:lang w:val="pl-PL"/>
              </w:rPr>
              <w:t xml:space="preserve"> </w:t>
            </w:r>
            <w:r w:rsidR="003331B8" w:rsidRPr="00000498">
              <w:rPr>
                <w:rFonts w:asciiTheme="minorHAnsi" w:hAnsiTheme="minorHAnsi" w:cstheme="minorHAnsi"/>
                <w:szCs w:val="24"/>
                <w:lang w:val="pl-PL"/>
              </w:rPr>
              <w:t xml:space="preserve">Markus Stiegler </w:t>
            </w:r>
          </w:p>
          <w:p w14:paraId="43D7BFED" w14:textId="320706CC" w:rsidR="003331B8" w:rsidRPr="00000498" w:rsidRDefault="003331B8" w:rsidP="000102F4">
            <w:pPr>
              <w:spacing w:line="240" w:lineRule="auto"/>
              <w:rPr>
                <w:rFonts w:asciiTheme="minorHAnsi" w:hAnsiTheme="minorHAnsi" w:cstheme="minorHAnsi"/>
                <w:szCs w:val="24"/>
                <w:lang w:val="pl-PL"/>
              </w:rPr>
            </w:pPr>
            <w:r w:rsidRPr="00000498">
              <w:rPr>
                <w:rFonts w:asciiTheme="minorHAnsi" w:hAnsiTheme="minorHAnsi" w:cstheme="minorHAnsi"/>
                <w:szCs w:val="24"/>
                <w:lang w:val="pl-PL"/>
              </w:rPr>
              <w:t>(</w:t>
            </w:r>
            <w:r w:rsidR="000102F4" w:rsidRPr="00000498">
              <w:rPr>
                <w:rFonts w:asciiTheme="minorHAnsi" w:hAnsiTheme="minorHAnsi" w:cstheme="minorHAnsi"/>
                <w:szCs w:val="24"/>
                <w:lang w:val="pl-PL"/>
              </w:rPr>
              <w:t>Kierownik działu</w:t>
            </w:r>
            <w:r w:rsidRPr="00000498">
              <w:rPr>
                <w:rFonts w:asciiTheme="minorHAnsi" w:hAnsiTheme="minorHAnsi" w:cstheme="minorHAnsi"/>
                <w:szCs w:val="24"/>
                <w:lang w:val="pl-PL"/>
              </w:rPr>
              <w:t>)</w:t>
            </w:r>
          </w:p>
        </w:tc>
        <w:tc>
          <w:tcPr>
            <w:tcW w:w="2806" w:type="dxa"/>
          </w:tcPr>
          <w:p w14:paraId="46EAC189" w14:textId="77777777" w:rsidR="003331B8" w:rsidRPr="00000498" w:rsidRDefault="003331B8" w:rsidP="003331B8">
            <w:pPr>
              <w:spacing w:line="240" w:lineRule="auto"/>
              <w:rPr>
                <w:rFonts w:asciiTheme="minorHAnsi" w:hAnsiTheme="minorHAnsi" w:cstheme="minorHAnsi"/>
                <w:szCs w:val="24"/>
                <w:lang w:val="pl-PL"/>
              </w:rPr>
            </w:pPr>
          </w:p>
        </w:tc>
      </w:tr>
      <w:tr w:rsidR="00B77F10" w:rsidRPr="00EF3045" w14:paraId="697F6AD1" w14:textId="77777777" w:rsidTr="0015409E">
        <w:tc>
          <w:tcPr>
            <w:tcW w:w="2058" w:type="dxa"/>
          </w:tcPr>
          <w:p w14:paraId="60BED106" w14:textId="77777777" w:rsidR="003331B8" w:rsidRPr="00000498" w:rsidRDefault="003331B8" w:rsidP="003331B8">
            <w:pPr>
              <w:spacing w:line="240" w:lineRule="auto"/>
              <w:rPr>
                <w:rFonts w:asciiTheme="minorHAnsi" w:hAnsiTheme="minorHAnsi" w:cstheme="minorHAnsi"/>
                <w:szCs w:val="24"/>
                <w:lang w:val="pl-PL"/>
              </w:rPr>
            </w:pPr>
          </w:p>
        </w:tc>
        <w:tc>
          <w:tcPr>
            <w:tcW w:w="2473" w:type="dxa"/>
          </w:tcPr>
          <w:p w14:paraId="1365BB1C" w14:textId="22549233" w:rsidR="003331B8" w:rsidRPr="00000498" w:rsidRDefault="000102F4" w:rsidP="003331B8">
            <w:pPr>
              <w:autoSpaceDE w:val="0"/>
              <w:autoSpaceDN w:val="0"/>
              <w:adjustRightInd w:val="0"/>
              <w:spacing w:line="240" w:lineRule="auto"/>
              <w:rPr>
                <w:rFonts w:asciiTheme="minorHAnsi" w:hAnsiTheme="minorHAnsi" w:cstheme="minorHAnsi"/>
                <w:szCs w:val="24"/>
                <w:lang w:val="pl-PL"/>
              </w:rPr>
            </w:pPr>
            <w:r w:rsidRPr="00000498">
              <w:rPr>
                <w:rFonts w:asciiTheme="minorHAnsi" w:hAnsiTheme="minorHAnsi" w:cstheme="minorHAnsi"/>
                <w:szCs w:val="24"/>
                <w:lang w:val="pl-PL"/>
              </w:rPr>
              <w:t>SLA w</w:t>
            </w:r>
            <w:r w:rsidR="003331B8" w:rsidRPr="00000498">
              <w:rPr>
                <w:rFonts w:asciiTheme="minorHAnsi" w:hAnsiTheme="minorHAnsi" w:cstheme="minorHAnsi"/>
                <w:szCs w:val="24"/>
                <w:lang w:val="pl-PL"/>
              </w:rPr>
              <w:t xml:space="preserve"> DK: </w:t>
            </w:r>
            <w:r w:rsidRPr="00000498">
              <w:rPr>
                <w:rFonts w:asciiTheme="minorHAnsi" w:hAnsiTheme="minorHAnsi" w:cstheme="minorHAnsi"/>
                <w:szCs w:val="24"/>
                <w:lang w:val="pl-PL"/>
              </w:rPr>
              <w:t>Duński organ ds. biznesu/controllingu UE</w:t>
            </w:r>
          </w:p>
        </w:tc>
        <w:tc>
          <w:tcPr>
            <w:tcW w:w="1725" w:type="dxa"/>
          </w:tcPr>
          <w:p w14:paraId="40C7D22D" w14:textId="13EC8A90" w:rsidR="003331B8" w:rsidRPr="00000498" w:rsidRDefault="000102F4" w:rsidP="003331B8">
            <w:pPr>
              <w:spacing w:line="240" w:lineRule="auto"/>
              <w:rPr>
                <w:rFonts w:asciiTheme="minorHAnsi" w:hAnsiTheme="minorHAnsi" w:cstheme="minorHAnsi"/>
                <w:szCs w:val="24"/>
                <w:lang w:val="en-IE"/>
              </w:rPr>
            </w:pPr>
            <w:r w:rsidRPr="00000498">
              <w:rPr>
                <w:rFonts w:asciiTheme="minorHAnsi" w:hAnsiTheme="minorHAnsi" w:cstheme="minorHAnsi"/>
                <w:szCs w:val="24"/>
                <w:lang w:val="en-IE"/>
              </w:rPr>
              <w:t>Pan</w:t>
            </w:r>
            <w:r w:rsidR="003331B8" w:rsidRPr="00000498">
              <w:rPr>
                <w:rFonts w:asciiTheme="minorHAnsi" w:hAnsiTheme="minorHAnsi" w:cstheme="minorHAnsi"/>
                <w:szCs w:val="24"/>
                <w:lang w:val="en-IE"/>
              </w:rPr>
              <w:t xml:space="preserve"> Svend Holger Wellemberg</w:t>
            </w:r>
          </w:p>
        </w:tc>
        <w:tc>
          <w:tcPr>
            <w:tcW w:w="2806" w:type="dxa"/>
          </w:tcPr>
          <w:p w14:paraId="4CD6DA3E" w14:textId="77777777" w:rsidR="003331B8" w:rsidRPr="00000498" w:rsidRDefault="003331B8" w:rsidP="003331B8">
            <w:pPr>
              <w:spacing w:line="240" w:lineRule="auto"/>
              <w:rPr>
                <w:rFonts w:asciiTheme="minorHAnsi" w:hAnsiTheme="minorHAnsi" w:cstheme="minorHAnsi"/>
                <w:szCs w:val="24"/>
                <w:lang w:val="en-IE"/>
              </w:rPr>
            </w:pPr>
          </w:p>
        </w:tc>
      </w:tr>
      <w:tr w:rsidR="00B77F10" w:rsidRPr="00EF3045" w14:paraId="63494122" w14:textId="77777777" w:rsidTr="0015409E">
        <w:tc>
          <w:tcPr>
            <w:tcW w:w="2058" w:type="dxa"/>
          </w:tcPr>
          <w:p w14:paraId="3A247AD9" w14:textId="77777777" w:rsidR="003331B8" w:rsidRPr="00000498" w:rsidRDefault="003331B8" w:rsidP="003331B8">
            <w:pPr>
              <w:spacing w:line="240" w:lineRule="auto"/>
              <w:rPr>
                <w:rFonts w:asciiTheme="minorHAnsi" w:hAnsiTheme="minorHAnsi" w:cstheme="minorHAnsi"/>
                <w:szCs w:val="24"/>
                <w:lang w:val="pl-PL"/>
              </w:rPr>
            </w:pPr>
          </w:p>
        </w:tc>
        <w:tc>
          <w:tcPr>
            <w:tcW w:w="2473" w:type="dxa"/>
          </w:tcPr>
          <w:p w14:paraId="24899FBD" w14:textId="46110B89" w:rsidR="003331B8" w:rsidRPr="00000498" w:rsidRDefault="000102F4" w:rsidP="003331B8">
            <w:pPr>
              <w:autoSpaceDE w:val="0"/>
              <w:autoSpaceDN w:val="0"/>
              <w:adjustRightInd w:val="0"/>
              <w:spacing w:line="240" w:lineRule="auto"/>
              <w:rPr>
                <w:rFonts w:asciiTheme="minorHAnsi" w:hAnsiTheme="minorHAnsi" w:cstheme="minorHAnsi"/>
                <w:szCs w:val="24"/>
                <w:lang w:val="pl-PL"/>
              </w:rPr>
            </w:pPr>
            <w:r w:rsidRPr="00000498">
              <w:rPr>
                <w:rFonts w:asciiTheme="minorHAnsi" w:hAnsiTheme="minorHAnsi" w:cstheme="minorHAnsi"/>
                <w:szCs w:val="24"/>
                <w:lang w:val="pl-PL"/>
              </w:rPr>
              <w:t>SLA w</w:t>
            </w:r>
            <w:r w:rsidR="003331B8" w:rsidRPr="00000498">
              <w:rPr>
                <w:rFonts w:asciiTheme="minorHAnsi" w:hAnsiTheme="minorHAnsi" w:cstheme="minorHAnsi"/>
                <w:szCs w:val="24"/>
                <w:lang w:val="pl-PL"/>
              </w:rPr>
              <w:t xml:space="preserve"> EE: </w:t>
            </w:r>
            <w:r w:rsidRPr="00000498">
              <w:rPr>
                <w:rFonts w:asciiTheme="minorHAnsi" w:hAnsiTheme="minorHAnsi" w:cstheme="minorHAnsi"/>
                <w:szCs w:val="24"/>
                <w:lang w:val="pl-PL"/>
              </w:rPr>
              <w:t>Ministerstwo Finansów, Dział Kontroli Finansowej, Dział Audytu III</w:t>
            </w:r>
          </w:p>
        </w:tc>
        <w:tc>
          <w:tcPr>
            <w:tcW w:w="1725" w:type="dxa"/>
          </w:tcPr>
          <w:p w14:paraId="4EC1E562" w14:textId="099DC876" w:rsidR="003331B8" w:rsidRPr="00000498" w:rsidRDefault="00D3109B" w:rsidP="003331B8">
            <w:pPr>
              <w:spacing w:line="240" w:lineRule="auto"/>
              <w:rPr>
                <w:rFonts w:asciiTheme="minorHAnsi" w:hAnsiTheme="minorHAnsi" w:cstheme="minorHAnsi"/>
                <w:szCs w:val="24"/>
                <w:lang w:val="en-IE"/>
              </w:rPr>
            </w:pPr>
            <w:r w:rsidRPr="00000498">
              <w:rPr>
                <w:rFonts w:asciiTheme="minorHAnsi" w:hAnsiTheme="minorHAnsi" w:cstheme="minorHAnsi"/>
                <w:szCs w:val="24"/>
                <w:lang w:val="en-IE"/>
              </w:rPr>
              <w:t>Pan</w:t>
            </w:r>
            <w:r w:rsidR="003331B8" w:rsidRPr="00000498">
              <w:rPr>
                <w:rFonts w:asciiTheme="minorHAnsi" w:hAnsiTheme="minorHAnsi" w:cstheme="minorHAnsi"/>
                <w:szCs w:val="24"/>
                <w:lang w:val="en-IE"/>
              </w:rPr>
              <w:t xml:space="preserve"> Kaur Siruli</w:t>
            </w:r>
          </w:p>
        </w:tc>
        <w:tc>
          <w:tcPr>
            <w:tcW w:w="2806" w:type="dxa"/>
          </w:tcPr>
          <w:p w14:paraId="7F89C4A1" w14:textId="77777777" w:rsidR="003331B8" w:rsidRPr="00000498" w:rsidRDefault="003331B8" w:rsidP="003331B8">
            <w:pPr>
              <w:spacing w:line="240" w:lineRule="auto"/>
              <w:rPr>
                <w:rFonts w:asciiTheme="minorHAnsi" w:hAnsiTheme="minorHAnsi" w:cstheme="minorHAnsi"/>
                <w:szCs w:val="24"/>
                <w:lang w:val="en-IE"/>
              </w:rPr>
            </w:pPr>
          </w:p>
        </w:tc>
      </w:tr>
      <w:tr w:rsidR="00B77F10" w:rsidRPr="00EF3045" w14:paraId="236299A9" w14:textId="77777777" w:rsidTr="0015409E">
        <w:tc>
          <w:tcPr>
            <w:tcW w:w="2058" w:type="dxa"/>
          </w:tcPr>
          <w:p w14:paraId="085C42FE" w14:textId="77777777" w:rsidR="003331B8" w:rsidRPr="00000498" w:rsidRDefault="003331B8" w:rsidP="003331B8">
            <w:pPr>
              <w:spacing w:line="240" w:lineRule="auto"/>
              <w:rPr>
                <w:rFonts w:asciiTheme="minorHAnsi" w:hAnsiTheme="minorHAnsi" w:cstheme="minorHAnsi"/>
                <w:szCs w:val="24"/>
                <w:lang w:val="pl-PL"/>
              </w:rPr>
            </w:pPr>
          </w:p>
        </w:tc>
        <w:tc>
          <w:tcPr>
            <w:tcW w:w="2473" w:type="dxa"/>
          </w:tcPr>
          <w:p w14:paraId="779FB480" w14:textId="77777777" w:rsidR="00D3109B" w:rsidRPr="00000498" w:rsidRDefault="00D3109B" w:rsidP="00D3109B">
            <w:pPr>
              <w:autoSpaceDE w:val="0"/>
              <w:autoSpaceDN w:val="0"/>
              <w:adjustRightInd w:val="0"/>
              <w:spacing w:line="240" w:lineRule="auto"/>
              <w:rPr>
                <w:rFonts w:asciiTheme="minorHAnsi" w:hAnsiTheme="minorHAnsi" w:cstheme="minorHAnsi"/>
                <w:szCs w:val="24"/>
                <w:lang w:val="pl-PL"/>
              </w:rPr>
            </w:pPr>
            <w:r w:rsidRPr="00000498">
              <w:rPr>
                <w:rFonts w:asciiTheme="minorHAnsi" w:hAnsiTheme="minorHAnsi" w:cstheme="minorHAnsi"/>
                <w:szCs w:val="24"/>
                <w:lang w:val="pl-PL"/>
              </w:rPr>
              <w:t>SLA w</w:t>
            </w:r>
            <w:r w:rsidR="003331B8" w:rsidRPr="00000498">
              <w:rPr>
                <w:rFonts w:asciiTheme="minorHAnsi" w:hAnsiTheme="minorHAnsi" w:cstheme="minorHAnsi"/>
                <w:szCs w:val="24"/>
                <w:lang w:val="pl-PL"/>
              </w:rPr>
              <w:t xml:space="preserve"> FI: </w:t>
            </w:r>
            <w:r w:rsidRPr="00000498">
              <w:rPr>
                <w:rFonts w:asciiTheme="minorHAnsi" w:hAnsiTheme="minorHAnsi" w:cstheme="minorHAnsi"/>
                <w:szCs w:val="24"/>
                <w:lang w:val="pl-PL"/>
              </w:rPr>
              <w:t>Ministerstwo Finansów/funkcja</w:t>
            </w:r>
          </w:p>
          <w:p w14:paraId="44DC79C0" w14:textId="77777777" w:rsidR="00D3109B" w:rsidRPr="00000498" w:rsidRDefault="00D3109B" w:rsidP="00D3109B">
            <w:pPr>
              <w:autoSpaceDE w:val="0"/>
              <w:autoSpaceDN w:val="0"/>
              <w:adjustRightInd w:val="0"/>
              <w:spacing w:line="240" w:lineRule="auto"/>
              <w:rPr>
                <w:rFonts w:asciiTheme="minorHAnsi" w:hAnsiTheme="minorHAnsi" w:cstheme="minorHAnsi"/>
                <w:szCs w:val="24"/>
                <w:lang w:val="pl-PL"/>
              </w:rPr>
            </w:pPr>
            <w:r w:rsidRPr="00000498">
              <w:rPr>
                <w:rFonts w:asciiTheme="minorHAnsi" w:hAnsiTheme="minorHAnsi" w:cstheme="minorHAnsi"/>
                <w:szCs w:val="24"/>
                <w:lang w:val="pl-PL"/>
              </w:rPr>
              <w:t>rządowych kontrolerów finansowych</w:t>
            </w:r>
          </w:p>
          <w:p w14:paraId="5682BB47" w14:textId="5937A047" w:rsidR="003331B8" w:rsidRPr="00000498" w:rsidRDefault="00D3109B" w:rsidP="00D3109B">
            <w:pPr>
              <w:autoSpaceDE w:val="0"/>
              <w:autoSpaceDN w:val="0"/>
              <w:adjustRightInd w:val="0"/>
              <w:spacing w:line="240" w:lineRule="auto"/>
              <w:rPr>
                <w:rFonts w:asciiTheme="minorHAnsi" w:hAnsiTheme="minorHAnsi" w:cstheme="minorHAnsi"/>
                <w:szCs w:val="24"/>
                <w:lang w:val="pl-PL"/>
              </w:rPr>
            </w:pPr>
            <w:r w:rsidRPr="00000498">
              <w:rPr>
                <w:rFonts w:asciiTheme="minorHAnsi" w:hAnsiTheme="minorHAnsi" w:cstheme="minorHAnsi"/>
                <w:szCs w:val="24"/>
                <w:lang w:val="pl-PL"/>
              </w:rPr>
              <w:t>/Dział Instytucji Audytowej, Finlandia</w:t>
            </w:r>
          </w:p>
        </w:tc>
        <w:tc>
          <w:tcPr>
            <w:tcW w:w="1725" w:type="dxa"/>
          </w:tcPr>
          <w:p w14:paraId="705764B0" w14:textId="0F4EFA2F" w:rsidR="003331B8" w:rsidRPr="00000498" w:rsidRDefault="00D3109B" w:rsidP="003331B8">
            <w:pPr>
              <w:spacing w:line="240" w:lineRule="auto"/>
              <w:rPr>
                <w:rFonts w:asciiTheme="minorHAnsi" w:hAnsiTheme="minorHAnsi" w:cstheme="minorHAnsi"/>
                <w:szCs w:val="24"/>
                <w:lang w:val="en-IE"/>
              </w:rPr>
            </w:pPr>
            <w:r w:rsidRPr="00000498">
              <w:rPr>
                <w:rFonts w:asciiTheme="minorHAnsi" w:hAnsiTheme="minorHAnsi" w:cstheme="minorHAnsi"/>
                <w:szCs w:val="24"/>
                <w:lang w:val="en-IE"/>
              </w:rPr>
              <w:t>Pani</w:t>
            </w:r>
            <w:r w:rsidR="003331B8" w:rsidRPr="00000498">
              <w:rPr>
                <w:rFonts w:asciiTheme="minorHAnsi" w:hAnsiTheme="minorHAnsi" w:cstheme="minorHAnsi"/>
                <w:szCs w:val="24"/>
                <w:lang w:val="en-IE"/>
              </w:rPr>
              <w:t xml:space="preserve"> Sirpa Korkea-aho</w:t>
            </w:r>
          </w:p>
        </w:tc>
        <w:tc>
          <w:tcPr>
            <w:tcW w:w="2806" w:type="dxa"/>
          </w:tcPr>
          <w:p w14:paraId="63BEA23B" w14:textId="77777777" w:rsidR="003331B8" w:rsidRPr="00000498" w:rsidRDefault="003331B8" w:rsidP="003331B8">
            <w:pPr>
              <w:spacing w:line="240" w:lineRule="auto"/>
              <w:rPr>
                <w:rFonts w:asciiTheme="minorHAnsi" w:hAnsiTheme="minorHAnsi" w:cstheme="minorHAnsi"/>
                <w:szCs w:val="24"/>
                <w:lang w:val="en-IE"/>
              </w:rPr>
            </w:pPr>
          </w:p>
        </w:tc>
      </w:tr>
      <w:tr w:rsidR="00B77F10" w:rsidRPr="00EF3045" w14:paraId="00BE49DE" w14:textId="77777777" w:rsidTr="0015409E">
        <w:tc>
          <w:tcPr>
            <w:tcW w:w="2058" w:type="dxa"/>
          </w:tcPr>
          <w:p w14:paraId="599C6A98" w14:textId="77777777" w:rsidR="003331B8" w:rsidRPr="00000498" w:rsidRDefault="003331B8" w:rsidP="003331B8">
            <w:pPr>
              <w:spacing w:line="240" w:lineRule="auto"/>
              <w:rPr>
                <w:rFonts w:asciiTheme="minorHAnsi" w:hAnsiTheme="minorHAnsi" w:cstheme="minorHAnsi"/>
                <w:szCs w:val="24"/>
                <w:lang w:val="pl-PL"/>
              </w:rPr>
            </w:pPr>
          </w:p>
        </w:tc>
        <w:tc>
          <w:tcPr>
            <w:tcW w:w="2473" w:type="dxa"/>
          </w:tcPr>
          <w:p w14:paraId="5C70AAD6" w14:textId="77777777" w:rsidR="00D3109B" w:rsidRPr="00000498" w:rsidRDefault="00D3109B" w:rsidP="00D3109B">
            <w:pPr>
              <w:autoSpaceDE w:val="0"/>
              <w:autoSpaceDN w:val="0"/>
              <w:adjustRightInd w:val="0"/>
              <w:spacing w:line="240" w:lineRule="auto"/>
              <w:rPr>
                <w:rFonts w:asciiTheme="minorHAnsi" w:hAnsiTheme="minorHAnsi" w:cstheme="minorHAnsi"/>
                <w:szCs w:val="24"/>
                <w:lang w:val="pl-PL"/>
              </w:rPr>
            </w:pPr>
            <w:r w:rsidRPr="00000498">
              <w:rPr>
                <w:rFonts w:asciiTheme="minorHAnsi" w:hAnsiTheme="minorHAnsi" w:cstheme="minorHAnsi"/>
                <w:szCs w:val="24"/>
                <w:lang w:val="pl-PL"/>
              </w:rPr>
              <w:t>SLA w</w:t>
            </w:r>
            <w:r w:rsidR="003331B8" w:rsidRPr="00000498">
              <w:rPr>
                <w:rFonts w:asciiTheme="minorHAnsi" w:hAnsiTheme="minorHAnsi" w:cstheme="minorHAnsi"/>
                <w:szCs w:val="24"/>
                <w:lang w:val="pl-PL"/>
              </w:rPr>
              <w:t xml:space="preserve"> LT: </w:t>
            </w:r>
            <w:r w:rsidRPr="00000498">
              <w:rPr>
                <w:rFonts w:asciiTheme="minorHAnsi" w:hAnsiTheme="minorHAnsi" w:cstheme="minorHAnsi"/>
                <w:szCs w:val="24"/>
                <w:lang w:val="pl-PL"/>
              </w:rPr>
              <w:t>Ministerstwo Spraw Wewnętrznych</w:t>
            </w:r>
          </w:p>
          <w:p w14:paraId="60B23D48" w14:textId="6956C7A7" w:rsidR="003331B8" w:rsidRPr="00000498" w:rsidRDefault="00D3109B" w:rsidP="00D3109B">
            <w:pPr>
              <w:autoSpaceDE w:val="0"/>
              <w:autoSpaceDN w:val="0"/>
              <w:adjustRightInd w:val="0"/>
              <w:spacing w:line="240" w:lineRule="auto"/>
              <w:rPr>
                <w:rFonts w:asciiTheme="minorHAnsi" w:hAnsiTheme="minorHAnsi" w:cstheme="minorHAnsi"/>
                <w:szCs w:val="24"/>
                <w:lang w:val="pl-PL"/>
              </w:rPr>
            </w:pPr>
            <w:r w:rsidRPr="00000498">
              <w:rPr>
                <w:rFonts w:asciiTheme="minorHAnsi" w:hAnsiTheme="minorHAnsi" w:cstheme="minorHAnsi"/>
                <w:szCs w:val="24"/>
                <w:lang w:val="pl-PL"/>
              </w:rPr>
              <w:t>Republiki Litewskiej, Dział Audytu Wewnętrznego</w:t>
            </w:r>
          </w:p>
        </w:tc>
        <w:tc>
          <w:tcPr>
            <w:tcW w:w="1725" w:type="dxa"/>
          </w:tcPr>
          <w:p w14:paraId="30E5DADC" w14:textId="26070E13" w:rsidR="003331B8" w:rsidRPr="00000498" w:rsidRDefault="00D3109B" w:rsidP="003331B8">
            <w:pPr>
              <w:spacing w:line="240" w:lineRule="auto"/>
              <w:rPr>
                <w:rFonts w:asciiTheme="minorHAnsi" w:hAnsiTheme="minorHAnsi" w:cstheme="minorHAnsi"/>
                <w:szCs w:val="24"/>
                <w:lang w:val="en-IE"/>
              </w:rPr>
            </w:pPr>
            <w:r w:rsidRPr="00000498">
              <w:rPr>
                <w:rFonts w:asciiTheme="minorHAnsi" w:hAnsiTheme="minorHAnsi" w:cstheme="minorHAnsi"/>
                <w:szCs w:val="24"/>
                <w:lang w:val="en-IE"/>
              </w:rPr>
              <w:t>Pani</w:t>
            </w:r>
            <w:r w:rsidR="003331B8" w:rsidRPr="00000498">
              <w:rPr>
                <w:rFonts w:asciiTheme="minorHAnsi" w:hAnsiTheme="minorHAnsi" w:cstheme="minorHAnsi"/>
                <w:szCs w:val="24"/>
                <w:lang w:val="en-IE"/>
              </w:rPr>
              <w:t xml:space="preserve"> Rasa Rybakovienė</w:t>
            </w:r>
          </w:p>
        </w:tc>
        <w:tc>
          <w:tcPr>
            <w:tcW w:w="2806" w:type="dxa"/>
          </w:tcPr>
          <w:p w14:paraId="7D09EC61" w14:textId="77777777" w:rsidR="003331B8" w:rsidRPr="00000498" w:rsidRDefault="003331B8" w:rsidP="003331B8">
            <w:pPr>
              <w:spacing w:line="240" w:lineRule="auto"/>
              <w:rPr>
                <w:rFonts w:asciiTheme="minorHAnsi" w:hAnsiTheme="minorHAnsi" w:cstheme="minorHAnsi"/>
                <w:szCs w:val="24"/>
                <w:lang w:val="en-IE"/>
              </w:rPr>
            </w:pPr>
          </w:p>
        </w:tc>
      </w:tr>
      <w:tr w:rsidR="00B77F10" w:rsidRPr="00EF3045" w14:paraId="0B1A6EC1" w14:textId="77777777" w:rsidTr="0015409E">
        <w:tc>
          <w:tcPr>
            <w:tcW w:w="2058" w:type="dxa"/>
          </w:tcPr>
          <w:p w14:paraId="7F130F4E" w14:textId="77777777" w:rsidR="003331B8" w:rsidRPr="00000498" w:rsidRDefault="003331B8" w:rsidP="003331B8">
            <w:pPr>
              <w:spacing w:line="240" w:lineRule="auto"/>
              <w:rPr>
                <w:rFonts w:asciiTheme="minorHAnsi" w:hAnsiTheme="minorHAnsi" w:cstheme="minorHAnsi"/>
                <w:szCs w:val="24"/>
                <w:lang w:val="pl-PL"/>
              </w:rPr>
            </w:pPr>
          </w:p>
        </w:tc>
        <w:tc>
          <w:tcPr>
            <w:tcW w:w="2473" w:type="dxa"/>
          </w:tcPr>
          <w:p w14:paraId="05BCC416" w14:textId="77777777" w:rsidR="00D3109B" w:rsidRPr="00000498" w:rsidRDefault="00D3109B" w:rsidP="00D3109B">
            <w:pPr>
              <w:autoSpaceDE w:val="0"/>
              <w:autoSpaceDN w:val="0"/>
              <w:adjustRightInd w:val="0"/>
              <w:spacing w:line="240" w:lineRule="auto"/>
              <w:rPr>
                <w:rFonts w:asciiTheme="minorHAnsi" w:hAnsiTheme="minorHAnsi" w:cstheme="minorHAnsi"/>
                <w:szCs w:val="24"/>
                <w:lang w:val="pl-PL"/>
              </w:rPr>
            </w:pPr>
            <w:r w:rsidRPr="00000498">
              <w:rPr>
                <w:rFonts w:asciiTheme="minorHAnsi" w:hAnsiTheme="minorHAnsi" w:cstheme="minorHAnsi"/>
                <w:szCs w:val="24"/>
                <w:lang w:val="pl-PL"/>
              </w:rPr>
              <w:t>SLA w</w:t>
            </w:r>
            <w:r w:rsidR="003331B8" w:rsidRPr="00000498">
              <w:rPr>
                <w:rFonts w:asciiTheme="minorHAnsi" w:hAnsiTheme="minorHAnsi" w:cstheme="minorHAnsi"/>
                <w:szCs w:val="24"/>
                <w:lang w:val="pl-PL"/>
              </w:rPr>
              <w:t xml:space="preserve"> LV: </w:t>
            </w:r>
            <w:r w:rsidRPr="00000498">
              <w:rPr>
                <w:rFonts w:asciiTheme="minorHAnsi" w:hAnsiTheme="minorHAnsi" w:cstheme="minorHAnsi"/>
                <w:szCs w:val="24"/>
                <w:lang w:val="pl-PL"/>
              </w:rPr>
              <w:t>Ministerstwo Ochrony Środowiska i Rozwoju Regionalnego</w:t>
            </w:r>
          </w:p>
          <w:p w14:paraId="193F2FE7" w14:textId="35BB309F" w:rsidR="003331B8" w:rsidRPr="00000498" w:rsidRDefault="00D3109B" w:rsidP="00D3109B">
            <w:pPr>
              <w:autoSpaceDE w:val="0"/>
              <w:autoSpaceDN w:val="0"/>
              <w:adjustRightInd w:val="0"/>
              <w:spacing w:line="240" w:lineRule="auto"/>
              <w:rPr>
                <w:rFonts w:asciiTheme="minorHAnsi" w:hAnsiTheme="minorHAnsi" w:cstheme="minorHAnsi"/>
                <w:szCs w:val="24"/>
                <w:lang w:val="en-IE"/>
              </w:rPr>
            </w:pPr>
            <w:r w:rsidRPr="00000498">
              <w:rPr>
                <w:rFonts w:asciiTheme="minorHAnsi" w:hAnsiTheme="minorHAnsi" w:cstheme="minorHAnsi"/>
                <w:szCs w:val="24"/>
                <w:lang w:val="en-IE"/>
              </w:rPr>
              <w:t>/</w:t>
            </w:r>
            <w:r w:rsidRPr="00000498">
              <w:rPr>
                <w:rFonts w:asciiTheme="minorHAnsi" w:hAnsiTheme="minorHAnsi" w:cstheme="minorHAnsi"/>
                <w:szCs w:val="24"/>
                <w:lang w:val="pl-PL"/>
              </w:rPr>
              <w:t>Departament Audytu Wewnętrznego, Łotwa</w:t>
            </w:r>
          </w:p>
        </w:tc>
        <w:tc>
          <w:tcPr>
            <w:tcW w:w="1725" w:type="dxa"/>
          </w:tcPr>
          <w:p w14:paraId="281D8178" w14:textId="319F153D" w:rsidR="003331B8" w:rsidRPr="00000498" w:rsidRDefault="00D3109B" w:rsidP="003331B8">
            <w:pPr>
              <w:spacing w:line="240" w:lineRule="auto"/>
              <w:rPr>
                <w:rFonts w:asciiTheme="minorHAnsi" w:hAnsiTheme="minorHAnsi" w:cstheme="minorHAnsi"/>
                <w:szCs w:val="24"/>
                <w:lang w:val="en-IE"/>
              </w:rPr>
            </w:pPr>
            <w:r w:rsidRPr="00000498">
              <w:rPr>
                <w:rFonts w:asciiTheme="minorHAnsi" w:hAnsiTheme="minorHAnsi" w:cstheme="minorHAnsi"/>
                <w:szCs w:val="24"/>
                <w:lang w:val="en-IE"/>
              </w:rPr>
              <w:t>Pani</w:t>
            </w:r>
            <w:r w:rsidR="003331B8" w:rsidRPr="00000498">
              <w:rPr>
                <w:rFonts w:asciiTheme="minorHAnsi" w:hAnsiTheme="minorHAnsi" w:cstheme="minorHAnsi"/>
                <w:szCs w:val="24"/>
                <w:lang w:val="en-IE"/>
              </w:rPr>
              <w:t xml:space="preserve"> Zanda Janušauska</w:t>
            </w:r>
          </w:p>
        </w:tc>
        <w:tc>
          <w:tcPr>
            <w:tcW w:w="2806" w:type="dxa"/>
          </w:tcPr>
          <w:p w14:paraId="0EFC9630" w14:textId="77777777" w:rsidR="003331B8" w:rsidRPr="00000498" w:rsidRDefault="003331B8" w:rsidP="003331B8">
            <w:pPr>
              <w:spacing w:line="240" w:lineRule="auto"/>
              <w:rPr>
                <w:rFonts w:asciiTheme="minorHAnsi" w:hAnsiTheme="minorHAnsi" w:cstheme="minorHAnsi"/>
                <w:szCs w:val="24"/>
                <w:lang w:val="en-IE"/>
              </w:rPr>
            </w:pPr>
          </w:p>
        </w:tc>
      </w:tr>
      <w:tr w:rsidR="00B77F10" w:rsidRPr="00EF3045" w14:paraId="4B025165" w14:textId="77777777" w:rsidTr="0015409E">
        <w:tc>
          <w:tcPr>
            <w:tcW w:w="2058" w:type="dxa"/>
          </w:tcPr>
          <w:p w14:paraId="463AB373" w14:textId="77777777" w:rsidR="003331B8" w:rsidRPr="00000498" w:rsidRDefault="003331B8" w:rsidP="003331B8">
            <w:pPr>
              <w:spacing w:line="240" w:lineRule="auto"/>
              <w:rPr>
                <w:rFonts w:asciiTheme="minorHAnsi" w:hAnsiTheme="minorHAnsi" w:cstheme="minorHAnsi"/>
                <w:szCs w:val="24"/>
                <w:lang w:val="pl-PL"/>
              </w:rPr>
            </w:pPr>
          </w:p>
        </w:tc>
        <w:tc>
          <w:tcPr>
            <w:tcW w:w="2473" w:type="dxa"/>
          </w:tcPr>
          <w:p w14:paraId="10D8DEF2" w14:textId="77777777" w:rsidR="00D3109B" w:rsidRPr="00000498" w:rsidRDefault="00D3109B" w:rsidP="00D3109B">
            <w:pPr>
              <w:autoSpaceDE w:val="0"/>
              <w:autoSpaceDN w:val="0"/>
              <w:adjustRightInd w:val="0"/>
              <w:spacing w:line="240" w:lineRule="auto"/>
              <w:rPr>
                <w:rFonts w:asciiTheme="minorHAnsi" w:hAnsiTheme="minorHAnsi" w:cstheme="minorHAnsi"/>
                <w:szCs w:val="24"/>
                <w:lang w:val="pl-PL"/>
              </w:rPr>
            </w:pPr>
            <w:r w:rsidRPr="00000498">
              <w:rPr>
                <w:rFonts w:asciiTheme="minorHAnsi" w:hAnsiTheme="minorHAnsi" w:cstheme="minorHAnsi"/>
                <w:szCs w:val="24"/>
                <w:lang w:val="pl-PL"/>
              </w:rPr>
              <w:t>SLA w</w:t>
            </w:r>
            <w:r w:rsidR="003331B8" w:rsidRPr="00000498">
              <w:rPr>
                <w:rFonts w:asciiTheme="minorHAnsi" w:hAnsiTheme="minorHAnsi" w:cstheme="minorHAnsi"/>
                <w:szCs w:val="24"/>
                <w:lang w:val="pl-PL"/>
              </w:rPr>
              <w:t xml:space="preserve"> NO: </w:t>
            </w:r>
            <w:r w:rsidRPr="00000498">
              <w:rPr>
                <w:rFonts w:asciiTheme="minorHAnsi" w:hAnsiTheme="minorHAnsi" w:cstheme="minorHAnsi"/>
                <w:szCs w:val="24"/>
                <w:lang w:val="pl-PL"/>
              </w:rPr>
              <w:t>Biuro Audytora Generalnego</w:t>
            </w:r>
          </w:p>
          <w:p w14:paraId="55030D54" w14:textId="6AEDB703" w:rsidR="003331B8" w:rsidRPr="00000498" w:rsidRDefault="00D3109B" w:rsidP="00D3109B">
            <w:pPr>
              <w:autoSpaceDE w:val="0"/>
              <w:autoSpaceDN w:val="0"/>
              <w:adjustRightInd w:val="0"/>
              <w:spacing w:line="240" w:lineRule="auto"/>
              <w:rPr>
                <w:rFonts w:asciiTheme="minorHAnsi" w:hAnsiTheme="minorHAnsi" w:cstheme="minorHAnsi"/>
                <w:szCs w:val="24"/>
                <w:lang w:val="en-IE"/>
              </w:rPr>
            </w:pPr>
            <w:r w:rsidRPr="00000498">
              <w:rPr>
                <w:rFonts w:asciiTheme="minorHAnsi" w:hAnsiTheme="minorHAnsi" w:cstheme="minorHAnsi"/>
                <w:szCs w:val="24"/>
                <w:lang w:val="en-IE"/>
              </w:rPr>
              <w:t>Norwegii</w:t>
            </w:r>
          </w:p>
        </w:tc>
        <w:tc>
          <w:tcPr>
            <w:tcW w:w="1725" w:type="dxa"/>
          </w:tcPr>
          <w:p w14:paraId="71234573" w14:textId="612693E6" w:rsidR="003331B8" w:rsidRPr="00000498" w:rsidRDefault="00D3109B" w:rsidP="003331B8">
            <w:pPr>
              <w:spacing w:line="240" w:lineRule="auto"/>
              <w:rPr>
                <w:rFonts w:asciiTheme="minorHAnsi" w:hAnsiTheme="minorHAnsi" w:cstheme="minorHAnsi"/>
                <w:szCs w:val="24"/>
                <w:lang w:val="en-IE"/>
              </w:rPr>
            </w:pPr>
            <w:r w:rsidRPr="00000498">
              <w:rPr>
                <w:rFonts w:asciiTheme="minorHAnsi" w:hAnsiTheme="minorHAnsi" w:cstheme="minorHAnsi"/>
                <w:szCs w:val="24"/>
                <w:lang w:val="en-IE"/>
              </w:rPr>
              <w:t>Pan</w:t>
            </w:r>
            <w:r w:rsidR="003331B8" w:rsidRPr="00000498">
              <w:rPr>
                <w:rFonts w:asciiTheme="minorHAnsi" w:hAnsiTheme="minorHAnsi" w:cstheme="minorHAnsi"/>
                <w:szCs w:val="24"/>
                <w:lang w:val="en-IE"/>
              </w:rPr>
              <w:t xml:space="preserve"> Tor Digranes</w:t>
            </w:r>
          </w:p>
        </w:tc>
        <w:tc>
          <w:tcPr>
            <w:tcW w:w="2806" w:type="dxa"/>
          </w:tcPr>
          <w:p w14:paraId="712C493B" w14:textId="77777777" w:rsidR="003331B8" w:rsidRPr="00000498" w:rsidRDefault="003331B8" w:rsidP="003331B8">
            <w:pPr>
              <w:spacing w:line="240" w:lineRule="auto"/>
              <w:rPr>
                <w:rFonts w:asciiTheme="minorHAnsi" w:hAnsiTheme="minorHAnsi" w:cstheme="minorHAnsi"/>
                <w:szCs w:val="24"/>
                <w:lang w:val="en-IE"/>
              </w:rPr>
            </w:pPr>
          </w:p>
        </w:tc>
      </w:tr>
      <w:tr w:rsidR="00B77F10" w:rsidRPr="00367EF1" w14:paraId="77B4EE2B" w14:textId="77777777" w:rsidTr="0015409E">
        <w:tc>
          <w:tcPr>
            <w:tcW w:w="2058" w:type="dxa"/>
          </w:tcPr>
          <w:p w14:paraId="5A3A7B5C" w14:textId="77777777" w:rsidR="003331B8" w:rsidRPr="00000498" w:rsidRDefault="003331B8" w:rsidP="003331B8">
            <w:pPr>
              <w:spacing w:line="240" w:lineRule="auto"/>
              <w:rPr>
                <w:rFonts w:asciiTheme="minorHAnsi" w:hAnsiTheme="minorHAnsi" w:cstheme="minorHAnsi"/>
                <w:szCs w:val="24"/>
                <w:lang w:val="pl-PL"/>
              </w:rPr>
            </w:pPr>
          </w:p>
        </w:tc>
        <w:tc>
          <w:tcPr>
            <w:tcW w:w="2473" w:type="dxa"/>
          </w:tcPr>
          <w:p w14:paraId="109B69A4" w14:textId="7F896855" w:rsidR="003331B8" w:rsidRPr="00000498" w:rsidRDefault="00D3109B" w:rsidP="00D3109B">
            <w:pPr>
              <w:autoSpaceDE w:val="0"/>
              <w:autoSpaceDN w:val="0"/>
              <w:adjustRightInd w:val="0"/>
              <w:spacing w:line="240" w:lineRule="auto"/>
              <w:rPr>
                <w:rFonts w:asciiTheme="minorHAnsi" w:hAnsiTheme="minorHAnsi" w:cstheme="minorHAnsi"/>
                <w:szCs w:val="24"/>
                <w:lang w:val="pl-PL"/>
              </w:rPr>
            </w:pPr>
            <w:r w:rsidRPr="00000498">
              <w:rPr>
                <w:rFonts w:asciiTheme="minorHAnsi" w:hAnsiTheme="minorHAnsi" w:cstheme="minorHAnsi"/>
                <w:szCs w:val="24"/>
                <w:lang w:val="pl-PL"/>
              </w:rPr>
              <w:t>SLA w</w:t>
            </w:r>
            <w:r w:rsidR="003331B8" w:rsidRPr="00000498">
              <w:rPr>
                <w:rFonts w:asciiTheme="minorHAnsi" w:hAnsiTheme="minorHAnsi" w:cstheme="minorHAnsi"/>
                <w:szCs w:val="24"/>
                <w:lang w:val="pl-PL"/>
              </w:rPr>
              <w:t xml:space="preserve"> PL: </w:t>
            </w:r>
            <w:r w:rsidRPr="00000498">
              <w:rPr>
                <w:rFonts w:asciiTheme="minorHAnsi" w:hAnsiTheme="minorHAnsi" w:cstheme="minorHAnsi"/>
                <w:szCs w:val="24"/>
                <w:lang w:val="pl-PL"/>
              </w:rPr>
              <w:t>Ministerstwo Finansów, Polska</w:t>
            </w:r>
          </w:p>
        </w:tc>
        <w:tc>
          <w:tcPr>
            <w:tcW w:w="1725" w:type="dxa"/>
          </w:tcPr>
          <w:p w14:paraId="35307DAA" w14:textId="2FBD0C80" w:rsidR="003331B8" w:rsidRPr="00DC4C40" w:rsidRDefault="003331B8" w:rsidP="003331B8">
            <w:pPr>
              <w:spacing w:line="240" w:lineRule="auto"/>
              <w:rPr>
                <w:rFonts w:asciiTheme="minorHAnsi" w:hAnsiTheme="minorHAnsi" w:cstheme="minorHAnsi"/>
                <w:szCs w:val="24"/>
                <w:lang w:val="pl-PL"/>
              </w:rPr>
            </w:pPr>
          </w:p>
        </w:tc>
        <w:tc>
          <w:tcPr>
            <w:tcW w:w="2806" w:type="dxa"/>
          </w:tcPr>
          <w:p w14:paraId="2051A85E" w14:textId="21F0D8E2" w:rsidR="003331B8" w:rsidRPr="00DC4C40" w:rsidRDefault="003331B8" w:rsidP="003331B8">
            <w:pPr>
              <w:spacing w:line="240" w:lineRule="auto"/>
              <w:rPr>
                <w:rFonts w:asciiTheme="minorHAnsi" w:hAnsiTheme="minorHAnsi" w:cstheme="minorHAnsi"/>
                <w:szCs w:val="24"/>
                <w:lang w:val="pl-PL"/>
              </w:rPr>
            </w:pPr>
          </w:p>
        </w:tc>
      </w:tr>
      <w:tr w:rsidR="00B77F10" w:rsidRPr="00EF3045" w14:paraId="50ED60C8" w14:textId="77777777" w:rsidTr="0015409E">
        <w:tc>
          <w:tcPr>
            <w:tcW w:w="2058" w:type="dxa"/>
          </w:tcPr>
          <w:p w14:paraId="73C3540C" w14:textId="77777777" w:rsidR="003331B8" w:rsidRPr="00DC4C40" w:rsidRDefault="003331B8" w:rsidP="003331B8">
            <w:pPr>
              <w:spacing w:line="240" w:lineRule="auto"/>
              <w:rPr>
                <w:rFonts w:asciiTheme="minorHAnsi" w:hAnsiTheme="minorHAnsi" w:cstheme="minorHAnsi"/>
                <w:szCs w:val="24"/>
                <w:lang w:val="pl-PL"/>
              </w:rPr>
            </w:pPr>
          </w:p>
        </w:tc>
        <w:tc>
          <w:tcPr>
            <w:tcW w:w="2473" w:type="dxa"/>
          </w:tcPr>
          <w:p w14:paraId="277C47DF" w14:textId="7C77FDF9" w:rsidR="003331B8" w:rsidRPr="00000498" w:rsidRDefault="00D3109B" w:rsidP="00D3109B">
            <w:pPr>
              <w:autoSpaceDE w:val="0"/>
              <w:autoSpaceDN w:val="0"/>
              <w:adjustRightInd w:val="0"/>
              <w:spacing w:line="240" w:lineRule="auto"/>
              <w:rPr>
                <w:rFonts w:asciiTheme="minorHAnsi" w:hAnsiTheme="minorHAnsi" w:cstheme="minorHAnsi"/>
                <w:szCs w:val="24"/>
                <w:lang w:val="pl-PL"/>
              </w:rPr>
            </w:pPr>
            <w:r w:rsidRPr="00000498">
              <w:rPr>
                <w:rFonts w:asciiTheme="minorHAnsi" w:hAnsiTheme="minorHAnsi" w:cstheme="minorHAnsi"/>
                <w:szCs w:val="24"/>
                <w:lang w:val="pl-PL"/>
              </w:rPr>
              <w:t>SLA w</w:t>
            </w:r>
            <w:r w:rsidR="003331B8" w:rsidRPr="00000498">
              <w:rPr>
                <w:rFonts w:asciiTheme="minorHAnsi" w:hAnsiTheme="minorHAnsi" w:cstheme="minorHAnsi"/>
                <w:szCs w:val="24"/>
                <w:lang w:val="pl-PL"/>
              </w:rPr>
              <w:t xml:space="preserve"> RU: </w:t>
            </w:r>
            <w:r w:rsidRPr="00000498">
              <w:rPr>
                <w:rFonts w:asciiTheme="minorHAnsi" w:hAnsiTheme="minorHAnsi" w:cstheme="minorHAnsi"/>
                <w:szCs w:val="24"/>
                <w:lang w:val="pl-PL"/>
              </w:rPr>
              <w:t xml:space="preserve">Ministerstwo </w:t>
            </w:r>
            <w:r w:rsidRPr="00000498">
              <w:rPr>
                <w:rFonts w:asciiTheme="minorHAnsi" w:hAnsiTheme="minorHAnsi" w:cstheme="minorHAnsi"/>
                <w:szCs w:val="24"/>
                <w:lang w:val="pl-PL"/>
              </w:rPr>
              <w:lastRenderedPageBreak/>
              <w:t>Finansów Federacji Rosyjskiej/Departament Międzynarodowych Relacji Finansowych</w:t>
            </w:r>
          </w:p>
        </w:tc>
        <w:tc>
          <w:tcPr>
            <w:tcW w:w="1725" w:type="dxa"/>
          </w:tcPr>
          <w:p w14:paraId="65DE050F" w14:textId="5D3EF310" w:rsidR="003331B8" w:rsidRPr="00000498" w:rsidRDefault="00D3109B" w:rsidP="003331B8">
            <w:pPr>
              <w:spacing w:line="240" w:lineRule="auto"/>
              <w:rPr>
                <w:rFonts w:asciiTheme="minorHAnsi" w:hAnsiTheme="minorHAnsi" w:cstheme="minorHAnsi"/>
                <w:szCs w:val="24"/>
                <w:lang w:val="en-IE"/>
              </w:rPr>
            </w:pPr>
            <w:r w:rsidRPr="00000498">
              <w:rPr>
                <w:rFonts w:asciiTheme="minorHAnsi" w:hAnsiTheme="minorHAnsi" w:cstheme="minorHAnsi"/>
                <w:szCs w:val="24"/>
                <w:lang w:val="en-IE"/>
              </w:rPr>
              <w:lastRenderedPageBreak/>
              <w:t>Pan</w:t>
            </w:r>
            <w:r w:rsidR="003331B8" w:rsidRPr="00000498">
              <w:rPr>
                <w:rFonts w:asciiTheme="minorHAnsi" w:hAnsiTheme="minorHAnsi" w:cstheme="minorHAnsi"/>
                <w:szCs w:val="24"/>
                <w:lang w:val="en-IE"/>
              </w:rPr>
              <w:t xml:space="preserve"> Andrey </w:t>
            </w:r>
            <w:r w:rsidR="003331B8" w:rsidRPr="00000498">
              <w:rPr>
                <w:rFonts w:asciiTheme="minorHAnsi" w:hAnsiTheme="minorHAnsi" w:cstheme="minorHAnsi"/>
                <w:szCs w:val="24"/>
                <w:lang w:val="en-IE"/>
              </w:rPr>
              <w:lastRenderedPageBreak/>
              <w:t>Bokarev</w:t>
            </w:r>
          </w:p>
        </w:tc>
        <w:tc>
          <w:tcPr>
            <w:tcW w:w="2806" w:type="dxa"/>
          </w:tcPr>
          <w:p w14:paraId="1175027E" w14:textId="77777777" w:rsidR="003331B8" w:rsidRPr="00000498" w:rsidRDefault="003331B8" w:rsidP="003331B8">
            <w:pPr>
              <w:spacing w:line="240" w:lineRule="auto"/>
              <w:rPr>
                <w:rFonts w:asciiTheme="minorHAnsi" w:hAnsiTheme="minorHAnsi" w:cstheme="minorHAnsi"/>
                <w:szCs w:val="24"/>
                <w:lang w:val="en-IE"/>
              </w:rPr>
            </w:pPr>
          </w:p>
        </w:tc>
      </w:tr>
      <w:tr w:rsidR="00B77F10" w:rsidRPr="00EF3045" w14:paraId="6A2F077B" w14:textId="77777777" w:rsidTr="0015409E">
        <w:tc>
          <w:tcPr>
            <w:tcW w:w="2058" w:type="dxa"/>
          </w:tcPr>
          <w:p w14:paraId="3901E08B" w14:textId="77777777" w:rsidR="003331B8" w:rsidRPr="00000498" w:rsidRDefault="003331B8" w:rsidP="003331B8">
            <w:pPr>
              <w:spacing w:line="240" w:lineRule="auto"/>
              <w:rPr>
                <w:rFonts w:asciiTheme="minorHAnsi" w:hAnsiTheme="minorHAnsi" w:cstheme="minorHAnsi"/>
                <w:szCs w:val="24"/>
                <w:lang w:val="pl-PL"/>
              </w:rPr>
            </w:pPr>
          </w:p>
        </w:tc>
        <w:tc>
          <w:tcPr>
            <w:tcW w:w="2473" w:type="dxa"/>
          </w:tcPr>
          <w:p w14:paraId="180FFE27" w14:textId="5CCCCDCF" w:rsidR="003331B8" w:rsidRPr="00000498" w:rsidRDefault="00D3109B" w:rsidP="003331B8">
            <w:pPr>
              <w:autoSpaceDE w:val="0"/>
              <w:autoSpaceDN w:val="0"/>
              <w:adjustRightInd w:val="0"/>
              <w:spacing w:line="240" w:lineRule="auto"/>
              <w:rPr>
                <w:rFonts w:asciiTheme="minorHAnsi" w:hAnsiTheme="minorHAnsi" w:cstheme="minorHAnsi"/>
                <w:szCs w:val="24"/>
                <w:lang w:val="pl-PL"/>
              </w:rPr>
            </w:pPr>
            <w:r w:rsidRPr="00000498">
              <w:rPr>
                <w:rFonts w:asciiTheme="minorHAnsi" w:hAnsiTheme="minorHAnsi" w:cstheme="minorHAnsi"/>
                <w:szCs w:val="24"/>
                <w:lang w:val="pl-PL"/>
              </w:rPr>
              <w:t>SLA w</w:t>
            </w:r>
            <w:r w:rsidR="003331B8" w:rsidRPr="00000498">
              <w:rPr>
                <w:rFonts w:asciiTheme="minorHAnsi" w:hAnsiTheme="minorHAnsi" w:cstheme="minorHAnsi"/>
                <w:szCs w:val="24"/>
                <w:lang w:val="pl-PL"/>
              </w:rPr>
              <w:t xml:space="preserve"> SE: </w:t>
            </w:r>
            <w:r w:rsidRPr="00000498">
              <w:rPr>
                <w:rFonts w:asciiTheme="minorHAnsi" w:hAnsiTheme="minorHAnsi" w:cstheme="minorHAnsi"/>
                <w:szCs w:val="24"/>
                <w:lang w:val="pl-PL"/>
              </w:rPr>
              <w:t>Krajowy Organ Zarządzania Finansowego Szwecji</w:t>
            </w:r>
          </w:p>
        </w:tc>
        <w:tc>
          <w:tcPr>
            <w:tcW w:w="1725" w:type="dxa"/>
          </w:tcPr>
          <w:p w14:paraId="3895E6D9" w14:textId="798513DF" w:rsidR="003331B8" w:rsidRPr="00000498" w:rsidRDefault="00D3109B" w:rsidP="003331B8">
            <w:pPr>
              <w:spacing w:line="240" w:lineRule="auto"/>
              <w:rPr>
                <w:rFonts w:asciiTheme="minorHAnsi" w:hAnsiTheme="minorHAnsi" w:cstheme="minorHAnsi"/>
                <w:szCs w:val="24"/>
                <w:lang w:val="en-IE"/>
              </w:rPr>
            </w:pPr>
            <w:r w:rsidRPr="00000498">
              <w:rPr>
                <w:rFonts w:asciiTheme="minorHAnsi" w:hAnsiTheme="minorHAnsi" w:cstheme="minorHAnsi"/>
                <w:szCs w:val="24"/>
                <w:lang w:val="en-IE"/>
              </w:rPr>
              <w:t>Pani</w:t>
            </w:r>
            <w:r w:rsidR="003331B8" w:rsidRPr="00000498">
              <w:rPr>
                <w:rFonts w:asciiTheme="minorHAnsi" w:hAnsiTheme="minorHAnsi" w:cstheme="minorHAnsi"/>
                <w:szCs w:val="24"/>
                <w:lang w:val="en-IE"/>
              </w:rPr>
              <w:t xml:space="preserve"> Ulrika Bergelv</w:t>
            </w:r>
          </w:p>
        </w:tc>
        <w:tc>
          <w:tcPr>
            <w:tcW w:w="2806" w:type="dxa"/>
          </w:tcPr>
          <w:p w14:paraId="69C5F403" w14:textId="77777777" w:rsidR="003331B8" w:rsidRPr="00000498" w:rsidRDefault="003331B8" w:rsidP="003331B8">
            <w:pPr>
              <w:spacing w:line="240" w:lineRule="auto"/>
              <w:rPr>
                <w:rFonts w:asciiTheme="minorHAnsi" w:hAnsiTheme="minorHAnsi" w:cstheme="minorHAnsi"/>
                <w:szCs w:val="24"/>
                <w:lang w:val="en-IE"/>
              </w:rPr>
            </w:pPr>
          </w:p>
        </w:tc>
      </w:tr>
      <w:tr w:rsidR="00B77F10" w:rsidRPr="00EF3045" w14:paraId="40EE3AE7" w14:textId="77777777" w:rsidTr="0015409E">
        <w:tc>
          <w:tcPr>
            <w:tcW w:w="2058" w:type="dxa"/>
          </w:tcPr>
          <w:p w14:paraId="114F4F3C" w14:textId="77777777" w:rsidR="003331B8" w:rsidRPr="00000498" w:rsidRDefault="003331B8" w:rsidP="003331B8">
            <w:pPr>
              <w:spacing w:line="240" w:lineRule="auto"/>
              <w:rPr>
                <w:rFonts w:asciiTheme="minorHAnsi" w:hAnsiTheme="minorHAnsi" w:cstheme="minorHAnsi"/>
                <w:szCs w:val="24"/>
                <w:lang w:val="pl-PL"/>
              </w:rPr>
            </w:pPr>
          </w:p>
        </w:tc>
        <w:tc>
          <w:tcPr>
            <w:tcW w:w="2473" w:type="dxa"/>
          </w:tcPr>
          <w:p w14:paraId="5EA37E01" w14:textId="75521AE5" w:rsidR="003331B8" w:rsidRPr="00000498" w:rsidRDefault="00D3109B" w:rsidP="003331B8">
            <w:pPr>
              <w:autoSpaceDE w:val="0"/>
              <w:autoSpaceDN w:val="0"/>
              <w:adjustRightInd w:val="0"/>
              <w:spacing w:line="240" w:lineRule="auto"/>
              <w:rPr>
                <w:rFonts w:asciiTheme="minorHAnsi" w:hAnsiTheme="minorHAnsi" w:cstheme="minorHAnsi"/>
                <w:szCs w:val="24"/>
                <w:lang w:val="pl-PL"/>
              </w:rPr>
            </w:pPr>
            <w:r w:rsidRPr="00000498">
              <w:rPr>
                <w:rFonts w:asciiTheme="minorHAnsi" w:hAnsiTheme="minorHAnsi" w:cstheme="minorHAnsi"/>
                <w:szCs w:val="24"/>
                <w:lang w:val="pl-PL"/>
              </w:rPr>
              <w:t>SLA w</w:t>
            </w:r>
            <w:r w:rsidR="003331B8" w:rsidRPr="00000498">
              <w:rPr>
                <w:rFonts w:asciiTheme="minorHAnsi" w:hAnsiTheme="minorHAnsi" w:cstheme="minorHAnsi"/>
                <w:szCs w:val="24"/>
                <w:lang w:val="pl-PL"/>
              </w:rPr>
              <w:t xml:space="preserve"> Åland (FI): </w:t>
            </w:r>
            <w:r w:rsidRPr="00000498">
              <w:rPr>
                <w:rFonts w:asciiTheme="minorHAnsi" w:hAnsiTheme="minorHAnsi" w:cstheme="minorHAnsi"/>
                <w:szCs w:val="24"/>
                <w:lang w:val="pl-PL"/>
              </w:rPr>
              <w:t>Krajowe Biuro Audytowe</w:t>
            </w:r>
          </w:p>
          <w:p w14:paraId="2A9F67F2" w14:textId="69DEB455" w:rsidR="003331B8" w:rsidRPr="00000498" w:rsidRDefault="003331B8" w:rsidP="003331B8">
            <w:pPr>
              <w:autoSpaceDE w:val="0"/>
              <w:autoSpaceDN w:val="0"/>
              <w:adjustRightInd w:val="0"/>
              <w:spacing w:line="240" w:lineRule="auto"/>
              <w:rPr>
                <w:rFonts w:asciiTheme="minorHAnsi" w:hAnsiTheme="minorHAnsi" w:cstheme="minorHAnsi"/>
                <w:szCs w:val="24"/>
                <w:lang w:val="en-IE"/>
              </w:rPr>
            </w:pPr>
            <w:r w:rsidRPr="00000498">
              <w:rPr>
                <w:rFonts w:asciiTheme="minorHAnsi" w:hAnsiTheme="minorHAnsi" w:cstheme="minorHAnsi"/>
                <w:szCs w:val="24"/>
                <w:lang w:val="en-IE"/>
              </w:rPr>
              <w:t>Åland</w:t>
            </w:r>
          </w:p>
        </w:tc>
        <w:tc>
          <w:tcPr>
            <w:tcW w:w="1725" w:type="dxa"/>
          </w:tcPr>
          <w:p w14:paraId="40637CC4" w14:textId="7E0ECF98" w:rsidR="003331B8" w:rsidRPr="00000498" w:rsidRDefault="00D3109B" w:rsidP="003331B8">
            <w:pPr>
              <w:spacing w:line="240" w:lineRule="auto"/>
              <w:rPr>
                <w:rFonts w:asciiTheme="minorHAnsi" w:hAnsiTheme="minorHAnsi" w:cstheme="minorHAnsi"/>
                <w:szCs w:val="24"/>
                <w:lang w:val="en-IE"/>
              </w:rPr>
            </w:pPr>
            <w:r w:rsidRPr="00000498">
              <w:rPr>
                <w:rFonts w:asciiTheme="minorHAnsi" w:hAnsiTheme="minorHAnsi" w:cstheme="minorHAnsi"/>
                <w:szCs w:val="24"/>
                <w:lang w:val="en-IE"/>
              </w:rPr>
              <w:t>Pan</w:t>
            </w:r>
            <w:r w:rsidR="003331B8" w:rsidRPr="00000498">
              <w:rPr>
                <w:rFonts w:asciiTheme="minorHAnsi" w:hAnsiTheme="minorHAnsi" w:cstheme="minorHAnsi"/>
                <w:szCs w:val="24"/>
                <w:lang w:val="en-IE"/>
              </w:rPr>
              <w:t xml:space="preserve"> Dan Bergman</w:t>
            </w:r>
          </w:p>
        </w:tc>
        <w:tc>
          <w:tcPr>
            <w:tcW w:w="2806" w:type="dxa"/>
          </w:tcPr>
          <w:p w14:paraId="43B63A7A" w14:textId="77777777" w:rsidR="003331B8" w:rsidRPr="00000498" w:rsidRDefault="003331B8" w:rsidP="003331B8">
            <w:pPr>
              <w:spacing w:line="240" w:lineRule="auto"/>
              <w:rPr>
                <w:rFonts w:asciiTheme="minorHAnsi" w:hAnsiTheme="minorHAnsi" w:cstheme="minorHAnsi"/>
                <w:szCs w:val="24"/>
                <w:lang w:val="en-IE"/>
              </w:rPr>
            </w:pPr>
          </w:p>
        </w:tc>
      </w:tr>
      <w:tr w:rsidR="00B77F10" w:rsidRPr="00EF3045" w14:paraId="2ADBC0CA" w14:textId="77777777" w:rsidTr="0015409E">
        <w:tc>
          <w:tcPr>
            <w:tcW w:w="2058" w:type="dxa"/>
          </w:tcPr>
          <w:p w14:paraId="69DA886F" w14:textId="09FEAC1C" w:rsidR="003331B8" w:rsidRPr="00000498" w:rsidRDefault="00D3109B" w:rsidP="003331B8">
            <w:pPr>
              <w:spacing w:line="240" w:lineRule="auto"/>
              <w:rPr>
                <w:rFonts w:asciiTheme="minorHAnsi" w:hAnsiTheme="minorHAnsi" w:cstheme="minorHAnsi"/>
                <w:szCs w:val="24"/>
                <w:lang w:val="pl-PL"/>
              </w:rPr>
            </w:pPr>
            <w:r w:rsidRPr="00000498">
              <w:rPr>
                <w:rFonts w:asciiTheme="minorHAnsi" w:hAnsiTheme="minorHAnsi" w:cstheme="minorHAnsi"/>
                <w:szCs w:val="24"/>
                <w:lang w:val="pl-PL"/>
              </w:rPr>
              <w:t xml:space="preserve">Organ na </w:t>
            </w:r>
            <w:r w:rsidR="00A05A16" w:rsidRPr="00000498">
              <w:rPr>
                <w:rFonts w:asciiTheme="minorHAnsi" w:hAnsiTheme="minorHAnsi" w:cstheme="minorHAnsi"/>
                <w:szCs w:val="24"/>
                <w:lang w:val="pl-PL"/>
              </w:rPr>
              <w:t>rzecz, którego</w:t>
            </w:r>
            <w:r w:rsidRPr="00000498">
              <w:rPr>
                <w:rFonts w:asciiTheme="minorHAnsi" w:hAnsiTheme="minorHAnsi" w:cstheme="minorHAnsi"/>
                <w:szCs w:val="24"/>
                <w:lang w:val="pl-PL"/>
              </w:rPr>
              <w:t xml:space="preserve"> Komisja ma dokonywać płatności</w:t>
            </w:r>
          </w:p>
        </w:tc>
        <w:tc>
          <w:tcPr>
            <w:tcW w:w="2473" w:type="dxa"/>
          </w:tcPr>
          <w:p w14:paraId="59298447" w14:textId="28C48BC9" w:rsidR="00D84745" w:rsidRPr="00000498" w:rsidRDefault="00D84745" w:rsidP="003331B8">
            <w:pPr>
              <w:autoSpaceDE w:val="0"/>
              <w:autoSpaceDN w:val="0"/>
              <w:adjustRightInd w:val="0"/>
              <w:spacing w:line="240" w:lineRule="auto"/>
              <w:rPr>
                <w:rFonts w:asciiTheme="minorHAnsi" w:hAnsiTheme="minorHAnsi" w:cstheme="minorHAnsi"/>
                <w:szCs w:val="24"/>
                <w:lang w:val="de-DE"/>
              </w:rPr>
            </w:pPr>
            <w:r w:rsidRPr="00000498">
              <w:rPr>
                <w:rFonts w:asciiTheme="minorHAnsi" w:hAnsiTheme="minorHAnsi" w:cstheme="minorHAnsi"/>
                <w:szCs w:val="24"/>
                <w:lang w:val="de-DE"/>
              </w:rPr>
              <w:t>Investitionsbank</w:t>
            </w:r>
          </w:p>
          <w:p w14:paraId="707FB69B" w14:textId="360AD8BC" w:rsidR="003331B8" w:rsidRPr="00000498" w:rsidRDefault="003331B8" w:rsidP="003331B8">
            <w:pPr>
              <w:autoSpaceDE w:val="0"/>
              <w:autoSpaceDN w:val="0"/>
              <w:adjustRightInd w:val="0"/>
              <w:spacing w:line="240" w:lineRule="auto"/>
              <w:rPr>
                <w:rFonts w:asciiTheme="minorHAnsi" w:hAnsiTheme="minorHAnsi" w:cstheme="minorHAnsi"/>
                <w:szCs w:val="24"/>
                <w:lang w:val="de-DE"/>
              </w:rPr>
            </w:pPr>
            <w:r w:rsidRPr="00000498">
              <w:rPr>
                <w:rFonts w:asciiTheme="minorHAnsi" w:hAnsiTheme="minorHAnsi" w:cstheme="minorHAnsi"/>
                <w:szCs w:val="24"/>
                <w:lang w:val="de-DE"/>
              </w:rPr>
              <w:t>Schleswig-Holstein</w:t>
            </w:r>
          </w:p>
          <w:p w14:paraId="6E8D5955" w14:textId="77777777" w:rsidR="003331B8" w:rsidRPr="00000498" w:rsidRDefault="003331B8" w:rsidP="003331B8">
            <w:pPr>
              <w:autoSpaceDE w:val="0"/>
              <w:autoSpaceDN w:val="0"/>
              <w:adjustRightInd w:val="0"/>
              <w:spacing w:line="240" w:lineRule="auto"/>
              <w:rPr>
                <w:rFonts w:asciiTheme="minorHAnsi" w:hAnsiTheme="minorHAnsi" w:cstheme="minorHAnsi"/>
                <w:szCs w:val="24"/>
                <w:lang w:val="de-DE"/>
              </w:rPr>
            </w:pPr>
            <w:r w:rsidRPr="00000498">
              <w:rPr>
                <w:rFonts w:asciiTheme="minorHAnsi" w:hAnsiTheme="minorHAnsi" w:cstheme="minorHAnsi"/>
                <w:szCs w:val="24"/>
                <w:lang w:val="de-DE"/>
              </w:rPr>
              <w:t>(IB.SH)</w:t>
            </w:r>
          </w:p>
          <w:p w14:paraId="7FB101E8" w14:textId="77777777" w:rsidR="003331B8" w:rsidRPr="00000498" w:rsidRDefault="003331B8" w:rsidP="003331B8">
            <w:pPr>
              <w:spacing w:line="240" w:lineRule="auto"/>
              <w:rPr>
                <w:rFonts w:asciiTheme="minorHAnsi" w:hAnsiTheme="minorHAnsi" w:cstheme="minorHAnsi"/>
                <w:szCs w:val="24"/>
                <w:lang w:val="de-DE"/>
              </w:rPr>
            </w:pPr>
          </w:p>
        </w:tc>
        <w:tc>
          <w:tcPr>
            <w:tcW w:w="1725" w:type="dxa"/>
          </w:tcPr>
          <w:p w14:paraId="44A31D96" w14:textId="597394B1" w:rsidR="003331B8" w:rsidRPr="00000498" w:rsidRDefault="00D3109B" w:rsidP="003331B8">
            <w:pPr>
              <w:spacing w:line="240" w:lineRule="auto"/>
              <w:rPr>
                <w:rFonts w:asciiTheme="minorHAnsi" w:hAnsiTheme="minorHAnsi" w:cstheme="minorHAnsi"/>
                <w:szCs w:val="24"/>
                <w:lang w:val="pl-PL"/>
              </w:rPr>
            </w:pPr>
            <w:r w:rsidRPr="00000498">
              <w:rPr>
                <w:rFonts w:asciiTheme="minorHAnsi" w:hAnsiTheme="minorHAnsi" w:cstheme="minorHAnsi"/>
                <w:szCs w:val="24"/>
                <w:lang w:val="pl-PL"/>
              </w:rPr>
              <w:t>Pan</w:t>
            </w:r>
            <w:r w:rsidR="00D84745" w:rsidRPr="00000498">
              <w:rPr>
                <w:rFonts w:asciiTheme="minorHAnsi" w:hAnsiTheme="minorHAnsi" w:cstheme="minorHAnsi"/>
                <w:szCs w:val="24"/>
                <w:lang w:val="pl-PL"/>
              </w:rPr>
              <w:t xml:space="preserve"> </w:t>
            </w:r>
            <w:r w:rsidR="007131B3" w:rsidRPr="00000498">
              <w:rPr>
                <w:rFonts w:asciiTheme="minorHAnsi" w:hAnsiTheme="minorHAnsi" w:cstheme="minorHAnsi"/>
                <w:szCs w:val="24"/>
                <w:lang w:val="pl-PL"/>
              </w:rPr>
              <w:t>Ronald Lieske</w:t>
            </w:r>
            <w:r w:rsidR="003331B8" w:rsidRPr="00000498">
              <w:rPr>
                <w:rFonts w:asciiTheme="minorHAnsi" w:hAnsiTheme="minorHAnsi" w:cstheme="minorHAnsi"/>
                <w:szCs w:val="24"/>
                <w:lang w:val="pl-PL"/>
              </w:rPr>
              <w:t xml:space="preserve"> (</w:t>
            </w:r>
            <w:r w:rsidRPr="00000498">
              <w:rPr>
                <w:rFonts w:asciiTheme="minorHAnsi" w:hAnsiTheme="minorHAnsi" w:cstheme="minorHAnsi"/>
                <w:szCs w:val="24"/>
                <w:lang w:val="pl-PL"/>
              </w:rPr>
              <w:t>Dyrektor IZ/WS Interreg Regionu Morza Bałtyckiego</w:t>
            </w:r>
            <w:r w:rsidR="003331B8" w:rsidRPr="00000498">
              <w:rPr>
                <w:rFonts w:asciiTheme="minorHAnsi" w:hAnsiTheme="minorHAnsi" w:cstheme="minorHAnsi"/>
                <w:szCs w:val="24"/>
                <w:lang w:val="pl-PL"/>
              </w:rPr>
              <w:t>)</w:t>
            </w:r>
          </w:p>
        </w:tc>
        <w:tc>
          <w:tcPr>
            <w:tcW w:w="2806" w:type="dxa"/>
          </w:tcPr>
          <w:p w14:paraId="40B2EA85" w14:textId="17FE9201" w:rsidR="003331B8" w:rsidRPr="00000498" w:rsidRDefault="003331B8" w:rsidP="003331B8">
            <w:pPr>
              <w:spacing w:line="240" w:lineRule="auto"/>
              <w:rPr>
                <w:rFonts w:asciiTheme="minorHAnsi" w:hAnsiTheme="minorHAnsi" w:cstheme="minorHAnsi"/>
                <w:szCs w:val="24"/>
                <w:lang w:val="en-IE"/>
              </w:rPr>
            </w:pPr>
            <w:r w:rsidRPr="00000498">
              <w:rPr>
                <w:rFonts w:asciiTheme="minorHAnsi" w:hAnsiTheme="minorHAnsi" w:cstheme="minorHAnsi"/>
                <w:szCs w:val="24"/>
                <w:lang w:val="en-IE"/>
              </w:rPr>
              <w:t>info@interreg-baltic.eu</w:t>
            </w:r>
          </w:p>
        </w:tc>
      </w:tr>
    </w:tbl>
    <w:p w14:paraId="4B7FE25E" w14:textId="77777777" w:rsidR="00F50542" w:rsidRPr="00F879CC" w:rsidRDefault="00F50542" w:rsidP="00F50542">
      <w:pPr>
        <w:spacing w:line="240" w:lineRule="auto"/>
        <w:rPr>
          <w:rFonts w:asciiTheme="minorHAnsi" w:eastAsia="Times New Roman" w:hAnsiTheme="minorHAnsi" w:cstheme="minorHAnsi"/>
          <w:b/>
          <w:iCs/>
          <w:szCs w:val="24"/>
          <w:lang w:val="en-IE" w:eastAsia="en-GB"/>
        </w:rPr>
      </w:pPr>
    </w:p>
    <w:p w14:paraId="041C19F3" w14:textId="3BE51FC5" w:rsidR="00F50542" w:rsidRPr="00A56537" w:rsidRDefault="00774F2C" w:rsidP="00774F2C">
      <w:pPr>
        <w:pStyle w:val="Nagwek2"/>
        <w:rPr>
          <w:rFonts w:eastAsia="Times New Roman"/>
          <w:lang w:val="pl-PL" w:eastAsia="en-GB"/>
        </w:rPr>
      </w:pPr>
      <w:bookmarkStart w:id="136" w:name="_Toc73433000"/>
      <w:bookmarkStart w:id="137" w:name="_Hlk65235564"/>
      <w:r>
        <w:rPr>
          <w:rFonts w:eastAsia="Times New Roman"/>
          <w:lang w:val="pl-PL" w:eastAsia="en-GB"/>
        </w:rPr>
        <w:t xml:space="preserve">7.2 </w:t>
      </w:r>
      <w:r w:rsidR="00D3109B" w:rsidRPr="00A56537">
        <w:rPr>
          <w:rFonts w:eastAsia="Times New Roman"/>
          <w:lang w:val="pl-PL" w:eastAsia="en-GB"/>
        </w:rPr>
        <w:t>Procedura tworzenia wspólnego sekretariatu</w:t>
      </w:r>
      <w:bookmarkEnd w:id="136"/>
      <w:r w:rsidR="00F50542" w:rsidRPr="00A56537">
        <w:rPr>
          <w:rFonts w:eastAsia="Times New Roman"/>
          <w:lang w:val="pl-PL" w:eastAsia="en-GB"/>
        </w:rPr>
        <w:t xml:space="preserve"> </w:t>
      </w:r>
    </w:p>
    <w:bookmarkEnd w:id="137"/>
    <w:p w14:paraId="451C4509" w14:textId="43DD8A85" w:rsidR="00F50542" w:rsidRPr="00000498" w:rsidRDefault="00D3109B" w:rsidP="00000498">
      <w:pPr>
        <w:spacing w:after="200" w:line="276" w:lineRule="auto"/>
        <w:rPr>
          <w:rFonts w:asciiTheme="minorHAnsi" w:eastAsia="Times New Roman" w:hAnsiTheme="minorHAnsi" w:cstheme="minorHAnsi"/>
          <w:b/>
          <w:iCs/>
          <w:szCs w:val="24"/>
          <w:lang w:val="pl-PL" w:eastAsia="en-GB"/>
        </w:rPr>
      </w:pPr>
      <w:r w:rsidRPr="00000498">
        <w:rPr>
          <w:rFonts w:asciiTheme="minorHAnsi" w:eastAsia="Times New Roman" w:hAnsiTheme="minorHAnsi" w:cstheme="minorHAnsi"/>
          <w:szCs w:val="24"/>
          <w:lang w:val="pl-PL" w:eastAsia="en-GB"/>
        </w:rPr>
        <w:t>Dotyczy: art. 17 ust. 7 lit. b)</w:t>
      </w:r>
    </w:p>
    <w:p w14:paraId="3F5BB4E9" w14:textId="558F7A28" w:rsidR="003331B8" w:rsidRPr="00000498" w:rsidRDefault="00AA0D3D" w:rsidP="00000498">
      <w:pPr>
        <w:pBdr>
          <w:top w:val="single" w:sz="4" w:space="1" w:color="auto"/>
          <w:left w:val="single" w:sz="4" w:space="1" w:color="auto"/>
          <w:bottom w:val="single" w:sz="4" w:space="1" w:color="auto"/>
          <w:right w:val="single" w:sz="4" w:space="4" w:color="auto"/>
        </w:pBdr>
        <w:spacing w:after="120" w:line="276" w:lineRule="auto"/>
        <w:rPr>
          <w:rFonts w:asciiTheme="minorHAnsi" w:eastAsia="Times New Roman" w:hAnsiTheme="minorHAnsi" w:cstheme="minorHAnsi"/>
          <w:szCs w:val="24"/>
          <w:lang w:val="pl-PL" w:eastAsia="en-GB"/>
        </w:rPr>
      </w:pPr>
      <w:r>
        <w:rPr>
          <w:rFonts w:asciiTheme="minorHAnsi" w:eastAsia="Times New Roman" w:hAnsiTheme="minorHAnsi" w:cstheme="minorHAnsi"/>
          <w:szCs w:val="24"/>
          <w:lang w:val="pl-PL" w:eastAsia="en-GB"/>
        </w:rPr>
        <w:t>Bank Inwestycyjny</w:t>
      </w:r>
      <w:r w:rsidR="003331B8" w:rsidRPr="00000498">
        <w:rPr>
          <w:rFonts w:asciiTheme="minorHAnsi" w:eastAsia="Times New Roman" w:hAnsiTheme="minorHAnsi" w:cstheme="minorHAnsi"/>
          <w:szCs w:val="24"/>
          <w:lang w:val="pl-PL" w:eastAsia="en-GB"/>
        </w:rPr>
        <w:t xml:space="preserve"> Schleswig-Holstein (IB.SH) </w:t>
      </w:r>
      <w:r w:rsidR="00EA2076" w:rsidRPr="00000498">
        <w:rPr>
          <w:rFonts w:asciiTheme="minorHAnsi" w:eastAsia="Times New Roman" w:hAnsiTheme="minorHAnsi" w:cstheme="minorHAnsi"/>
          <w:szCs w:val="24"/>
          <w:lang w:val="pl-PL" w:eastAsia="en-GB"/>
        </w:rPr>
        <w:t>został wybrany przez Wspólny Komitet Programujący do roli Instytucji Zarządzającej i Wspólnego Sekretariatu (IZ/WS) dla Interreg Region Morza Bałtyckiego na okres finansowania 2021-202</w:t>
      </w:r>
      <w:r w:rsidR="003331B8" w:rsidRPr="00000498">
        <w:rPr>
          <w:rFonts w:asciiTheme="minorHAnsi" w:eastAsia="Times New Roman" w:hAnsiTheme="minorHAnsi" w:cstheme="minorHAnsi"/>
          <w:szCs w:val="24"/>
          <w:lang w:val="pl-PL" w:eastAsia="en-GB"/>
        </w:rPr>
        <w:t xml:space="preserve">7. </w:t>
      </w:r>
    </w:p>
    <w:p w14:paraId="2553ADE8" w14:textId="77777777" w:rsidR="00EA2076" w:rsidRPr="00000498" w:rsidRDefault="00EA2076" w:rsidP="00000498">
      <w:pPr>
        <w:pBdr>
          <w:top w:val="single" w:sz="4" w:space="1" w:color="auto"/>
          <w:left w:val="single" w:sz="4" w:space="1" w:color="auto"/>
          <w:bottom w:val="single" w:sz="4" w:space="1" w:color="auto"/>
          <w:right w:val="single" w:sz="4" w:space="4" w:color="auto"/>
        </w:pBdr>
        <w:spacing w:after="12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IB.SH jest publicznym bankiem rozwoju typu non-profit, którego właścicielem jest niemiecki kraj związkowy Szlezwik-Holsztyn. Zadania IZ/WS będą realizowane przez oddział IB.SH Interreg Region Morza Bałtyckiego z siedzibą w Rostocku w Niemczech, który od 1997 r. odpowiada za zarządzanie programami współpracy transnarodowej w regionie.</w:t>
      </w:r>
    </w:p>
    <w:p w14:paraId="52A3C124" w14:textId="00587D7A" w:rsidR="003331B8" w:rsidRPr="00000498" w:rsidRDefault="00EA2076" w:rsidP="00000498">
      <w:pPr>
        <w:pBdr>
          <w:top w:val="single" w:sz="4" w:space="1" w:color="auto"/>
          <w:left w:val="single" w:sz="4" w:space="1" w:color="auto"/>
          <w:bottom w:val="single" w:sz="4" w:space="1" w:color="auto"/>
          <w:right w:val="single" w:sz="4" w:space="4" w:color="auto"/>
        </w:pBdr>
        <w:spacing w:after="12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IZ/WS będzie operować, jako wspólna jednostka funkcjonalna kierowana przez jednego dyrektora. W składzie IZ/WS znajdzie się międzynarodowa kadra, najlepiej z doświadczeniem zawodowym z regionu Morza Bałtyckiego, a komunikacja będzie odbywała się w języku programu, tj. angielskim.</w:t>
      </w:r>
      <w:r w:rsidR="004E2CB2" w:rsidRPr="00000498">
        <w:rPr>
          <w:rFonts w:asciiTheme="minorHAnsi" w:eastAsia="Times New Roman" w:hAnsiTheme="minorHAnsi" w:cstheme="minorHAnsi"/>
          <w:szCs w:val="24"/>
          <w:lang w:val="pl-PL" w:eastAsia="en-GB"/>
        </w:rPr>
        <w:t xml:space="preserve"> Pracownicy IZ/WS będą zatrudnia</w:t>
      </w:r>
      <w:r w:rsidRPr="00000498">
        <w:rPr>
          <w:rFonts w:asciiTheme="minorHAnsi" w:eastAsia="Times New Roman" w:hAnsiTheme="minorHAnsi" w:cstheme="minorHAnsi"/>
          <w:szCs w:val="24"/>
          <w:lang w:val="pl-PL" w:eastAsia="en-GB"/>
        </w:rPr>
        <w:t>ni przez IB.SH</w:t>
      </w:r>
      <w:r w:rsidR="003331B8" w:rsidRPr="00000498">
        <w:rPr>
          <w:rFonts w:asciiTheme="minorHAnsi" w:eastAsia="Times New Roman" w:hAnsiTheme="minorHAnsi" w:cstheme="minorHAnsi"/>
          <w:szCs w:val="24"/>
          <w:lang w:val="pl-PL" w:eastAsia="en-GB"/>
        </w:rPr>
        <w:t xml:space="preserve">. </w:t>
      </w:r>
    </w:p>
    <w:p w14:paraId="6F3550C0" w14:textId="42BCA117" w:rsidR="003331B8" w:rsidRPr="00000498" w:rsidRDefault="00EA2076" w:rsidP="00000498">
      <w:pPr>
        <w:pBdr>
          <w:top w:val="single" w:sz="4" w:space="1" w:color="auto"/>
          <w:left w:val="single" w:sz="4" w:space="1" w:color="auto"/>
          <w:bottom w:val="single" w:sz="4" w:space="1" w:color="auto"/>
          <w:right w:val="single" w:sz="4" w:space="4" w:color="auto"/>
        </w:pBdr>
        <w:spacing w:after="12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 xml:space="preserve">IZ/WS będzie w szczególności wspierać komitet monitorujący w wykonywaniu jego funkcji. Będzie to główny punkt kontaktowy dla społeczeństwa zainteresowanego Programem, potencjalnych beneficjentów oraz wybranych/prowadzonych operacji. W szczególności, będzie, jak określono w </w:t>
      </w:r>
      <w:r w:rsidR="00A05A16" w:rsidRPr="00000498">
        <w:rPr>
          <w:rFonts w:asciiTheme="minorHAnsi" w:eastAsia="Times New Roman" w:hAnsiTheme="minorHAnsi" w:cstheme="minorHAnsi"/>
          <w:szCs w:val="24"/>
          <w:lang w:val="pl-PL" w:eastAsia="en-GB"/>
        </w:rPr>
        <w:t>art. 45 ust</w:t>
      </w:r>
      <w:r w:rsidRPr="00000498">
        <w:rPr>
          <w:rFonts w:asciiTheme="minorHAnsi" w:eastAsia="Times New Roman" w:hAnsiTheme="minorHAnsi" w:cstheme="minorHAnsi"/>
          <w:szCs w:val="24"/>
          <w:lang w:val="pl-PL" w:eastAsia="en-GB"/>
        </w:rPr>
        <w:t>. 2 rozporządzenia Interreg, dostarczać informacji potencjalnym beneficjentom o możliwościach finansowania oraz pomagać beneficjentom i partnerom w realizacji operacji</w:t>
      </w:r>
      <w:r w:rsidR="003331B8" w:rsidRPr="00000498">
        <w:rPr>
          <w:rFonts w:asciiTheme="minorHAnsi" w:eastAsia="Times New Roman" w:hAnsiTheme="minorHAnsi" w:cstheme="minorHAnsi"/>
          <w:szCs w:val="24"/>
          <w:lang w:val="pl-PL" w:eastAsia="en-GB"/>
        </w:rPr>
        <w:t xml:space="preserve">. </w:t>
      </w:r>
      <w:r w:rsidR="004E2CB2" w:rsidRPr="00000498">
        <w:rPr>
          <w:rFonts w:asciiTheme="minorHAnsi" w:eastAsia="Times New Roman" w:hAnsiTheme="minorHAnsi" w:cstheme="minorHAnsi"/>
          <w:szCs w:val="24"/>
          <w:lang w:val="pl-PL" w:eastAsia="en-GB"/>
        </w:rPr>
        <w:t xml:space="preserve">W stosownych przypadkach, IZ/WS będzie również wspierać </w:t>
      </w:r>
      <w:r w:rsidR="004E2CB2" w:rsidRPr="00000498">
        <w:rPr>
          <w:rFonts w:asciiTheme="minorHAnsi" w:eastAsia="Times New Roman" w:hAnsiTheme="minorHAnsi" w:cstheme="minorHAnsi"/>
          <w:szCs w:val="24"/>
          <w:lang w:val="pl-PL" w:eastAsia="en-GB"/>
        </w:rPr>
        <w:lastRenderedPageBreak/>
        <w:t xml:space="preserve">Instytucję Audytową. Taka pomoc dla Instytucji Audytowej jest ściśle ograniczona do wsparcia administracyjnego, np. dostarczania danych do doboru próby kontrolnej przez Komisję Europejską, współpracy w zakresie przygotowania i działań następczych po spotkaniach grupy audytorów, zapewniając przepływ komunikacji między różnymi zaangażowanymi </w:t>
      </w:r>
      <w:r w:rsidR="00A05A16" w:rsidRPr="00000498">
        <w:rPr>
          <w:rFonts w:asciiTheme="minorHAnsi" w:eastAsia="Times New Roman" w:hAnsiTheme="minorHAnsi" w:cstheme="minorHAnsi"/>
          <w:szCs w:val="24"/>
          <w:lang w:val="pl-PL" w:eastAsia="en-GB"/>
        </w:rPr>
        <w:t>organami w</w:t>
      </w:r>
      <w:r w:rsidR="004E2CB2" w:rsidRPr="00000498">
        <w:rPr>
          <w:rFonts w:asciiTheme="minorHAnsi" w:eastAsia="Times New Roman" w:hAnsiTheme="minorHAnsi" w:cstheme="minorHAnsi"/>
          <w:szCs w:val="24"/>
          <w:lang w:val="pl-PL" w:eastAsia="en-GB"/>
        </w:rPr>
        <w:t xml:space="preserve"> audycie drugiego stopnia. Wsparcie to nie koliduje z zadaniami instytucji audytowej określonymi w </w:t>
      </w:r>
      <w:r w:rsidR="00A05A16" w:rsidRPr="00000498">
        <w:rPr>
          <w:rFonts w:asciiTheme="minorHAnsi" w:eastAsia="Times New Roman" w:hAnsiTheme="minorHAnsi" w:cstheme="minorHAnsi"/>
          <w:szCs w:val="24"/>
          <w:lang w:val="pl-PL" w:eastAsia="en-GB"/>
        </w:rPr>
        <w:t>art. 48 rozporządzenia</w:t>
      </w:r>
      <w:r w:rsidR="004E2CB2" w:rsidRPr="00000498">
        <w:rPr>
          <w:rFonts w:asciiTheme="minorHAnsi" w:eastAsia="Times New Roman" w:hAnsiTheme="minorHAnsi" w:cstheme="minorHAnsi"/>
          <w:szCs w:val="24"/>
          <w:lang w:val="pl-PL" w:eastAsia="en-GB"/>
        </w:rPr>
        <w:t xml:space="preserve"> (UE) [nowe rozporządzenie Interreg]</w:t>
      </w:r>
      <w:r w:rsidR="003331B8" w:rsidRPr="00000498">
        <w:rPr>
          <w:rFonts w:asciiTheme="minorHAnsi" w:eastAsia="Times New Roman" w:hAnsiTheme="minorHAnsi" w:cstheme="minorHAnsi"/>
          <w:szCs w:val="24"/>
          <w:lang w:val="pl-PL" w:eastAsia="en-GB"/>
        </w:rPr>
        <w:t>.</w:t>
      </w:r>
    </w:p>
    <w:p w14:paraId="2A3478D8" w14:textId="77777777" w:rsidR="004E2CB2" w:rsidRPr="00000498" w:rsidRDefault="004E2CB2" w:rsidP="00000498">
      <w:pPr>
        <w:pBdr>
          <w:top w:val="single" w:sz="4" w:space="1" w:color="auto"/>
          <w:left w:val="single" w:sz="4" w:space="1" w:color="auto"/>
          <w:bottom w:val="single" w:sz="4" w:space="1" w:color="auto"/>
          <w:right w:val="single" w:sz="4" w:space="4" w:color="auto"/>
        </w:pBdr>
        <w:spacing w:after="12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Praca IZ/WS będzie oparta na zasadach przejrzystości, rozliczalności i przewidywalności tak, aby zapewnić jak najlepsze wykorzystanie pieniędzy europejskich podatników.</w:t>
      </w:r>
    </w:p>
    <w:p w14:paraId="3A0CB9D4" w14:textId="77777777" w:rsidR="004E2CB2" w:rsidRPr="00000498" w:rsidRDefault="004E2CB2" w:rsidP="00000498">
      <w:pPr>
        <w:pBdr>
          <w:top w:val="single" w:sz="4" w:space="1" w:color="auto"/>
          <w:left w:val="single" w:sz="4" w:space="1" w:color="auto"/>
          <w:bottom w:val="single" w:sz="4" w:space="1" w:color="auto"/>
          <w:right w:val="single" w:sz="4" w:space="4" w:color="auto"/>
        </w:pBdr>
        <w:spacing w:after="12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IZ/WS będzie finansowany z budżetu PT Programu.</w:t>
      </w:r>
    </w:p>
    <w:p w14:paraId="6099D0E8" w14:textId="43AEFB96" w:rsidR="003C53B2" w:rsidRPr="00000498" w:rsidRDefault="004E2CB2" w:rsidP="00000498">
      <w:pPr>
        <w:pBdr>
          <w:top w:val="single" w:sz="4" w:space="1" w:color="auto"/>
          <w:left w:val="single" w:sz="4" w:space="1" w:color="auto"/>
          <w:bottom w:val="single" w:sz="4" w:space="1" w:color="auto"/>
          <w:right w:val="single" w:sz="4" w:space="4" w:color="auto"/>
        </w:pBdr>
        <w:spacing w:after="12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W celu informowania beneficjentów o programie, kraje uczestniczące mogą zdecydować o utworzeniu punktów kontaktowych</w:t>
      </w:r>
      <w:r w:rsidR="003C53B2" w:rsidRPr="00000498">
        <w:rPr>
          <w:rFonts w:asciiTheme="minorHAnsi" w:eastAsia="Times New Roman" w:hAnsiTheme="minorHAnsi" w:cstheme="minorHAnsi"/>
          <w:szCs w:val="24"/>
          <w:lang w:val="pl-PL" w:eastAsia="en-GB"/>
        </w:rPr>
        <w:t>.</w:t>
      </w:r>
    </w:p>
    <w:p w14:paraId="18BD88DC" w14:textId="5240F889" w:rsidR="001D4851" w:rsidRPr="00000498" w:rsidRDefault="005B7D4F" w:rsidP="00000498">
      <w:pPr>
        <w:pBdr>
          <w:top w:val="single" w:sz="4" w:space="1" w:color="auto"/>
          <w:left w:val="single" w:sz="4" w:space="1" w:color="auto"/>
          <w:bottom w:val="single" w:sz="4" w:space="1" w:color="auto"/>
          <w:right w:val="single" w:sz="4" w:space="4" w:color="auto"/>
        </w:pBdr>
        <w:spacing w:after="120" w:line="276" w:lineRule="auto"/>
        <w:rPr>
          <w:rFonts w:asciiTheme="minorHAnsi" w:eastAsia="Times New Roman" w:hAnsiTheme="minorHAnsi" w:cstheme="minorHAnsi"/>
          <w:szCs w:val="24"/>
          <w:u w:val="single"/>
          <w:lang w:val="pl-PL" w:eastAsia="en-GB"/>
        </w:rPr>
      </w:pPr>
      <w:r w:rsidRPr="00000498">
        <w:rPr>
          <w:rFonts w:asciiTheme="minorHAnsi" w:eastAsia="Times New Roman" w:hAnsiTheme="minorHAnsi" w:cstheme="minorHAnsi"/>
          <w:szCs w:val="24"/>
          <w:u w:val="single"/>
          <w:lang w:val="pl-PL" w:eastAsia="en-GB"/>
        </w:rPr>
        <w:t>Weryfikacje zarządcze, rola kontrolerów</w:t>
      </w:r>
    </w:p>
    <w:p w14:paraId="3A382887" w14:textId="3B4D506E" w:rsidR="001D4851" w:rsidRPr="00000498" w:rsidRDefault="005B7D4F" w:rsidP="00000498">
      <w:pPr>
        <w:pBdr>
          <w:top w:val="single" w:sz="4" w:space="1" w:color="auto"/>
          <w:left w:val="single" w:sz="4" w:space="1" w:color="auto"/>
          <w:bottom w:val="single" w:sz="4" w:space="1" w:color="auto"/>
          <w:right w:val="single" w:sz="4" w:space="4" w:color="auto"/>
        </w:pBdr>
        <w:spacing w:after="12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Weryfikacje zarządcze zgodnie z art. 46 ust. 4 rozporządzenia (UE) [nowe ro</w:t>
      </w:r>
      <w:r w:rsidR="002D75FC" w:rsidRPr="00000498">
        <w:rPr>
          <w:rFonts w:asciiTheme="minorHAnsi" w:eastAsia="Times New Roman" w:hAnsiTheme="minorHAnsi" w:cstheme="minorHAnsi"/>
          <w:szCs w:val="24"/>
          <w:lang w:val="pl-PL" w:eastAsia="en-GB"/>
        </w:rPr>
        <w:t>zporządzenie Interreg] wydatków</w:t>
      </w:r>
      <w:r w:rsidRPr="00000498">
        <w:rPr>
          <w:rFonts w:asciiTheme="minorHAnsi" w:eastAsia="Times New Roman" w:hAnsiTheme="minorHAnsi" w:cstheme="minorHAnsi"/>
          <w:szCs w:val="24"/>
          <w:lang w:val="pl-PL" w:eastAsia="en-GB"/>
        </w:rPr>
        <w:t xml:space="preserve"> inny</w:t>
      </w:r>
      <w:r w:rsidR="009D337B" w:rsidRPr="00000498">
        <w:rPr>
          <w:rFonts w:asciiTheme="minorHAnsi" w:eastAsia="Times New Roman" w:hAnsiTheme="minorHAnsi" w:cstheme="minorHAnsi"/>
          <w:szCs w:val="24"/>
          <w:lang w:val="pl-PL" w:eastAsia="en-GB"/>
        </w:rPr>
        <w:t>ch</w:t>
      </w:r>
      <w:r w:rsidRPr="00000498">
        <w:rPr>
          <w:rFonts w:asciiTheme="minorHAnsi" w:eastAsia="Times New Roman" w:hAnsiTheme="minorHAnsi" w:cstheme="minorHAnsi"/>
          <w:szCs w:val="24"/>
          <w:lang w:val="pl-PL" w:eastAsia="en-GB"/>
        </w:rPr>
        <w:t xml:space="preserve">, niż wydatki objęte schematem kosztów uproszczonych będą przeprowadzane przez podmiot lub osobę (kontrolera) wyznaczoną przez państwo uczestniczące, odpowiedzialne za tę weryfikację na swoim terytorium. IZ/WS zapewnia, że wydatki każdego beneficjenta uczestniczącego w operacji zostały zweryfikowane przez kontrolera. Więcej informacji zostanie określonych w Podręczniku </w:t>
      </w:r>
      <w:r w:rsidR="00D5372C">
        <w:rPr>
          <w:rFonts w:asciiTheme="minorHAnsi" w:eastAsia="Times New Roman" w:hAnsiTheme="minorHAnsi" w:cstheme="minorHAnsi"/>
          <w:szCs w:val="24"/>
          <w:lang w:val="pl-PL" w:eastAsia="en-GB"/>
        </w:rPr>
        <w:t>P</w:t>
      </w:r>
      <w:r w:rsidRPr="00000498">
        <w:rPr>
          <w:rFonts w:asciiTheme="minorHAnsi" w:eastAsia="Times New Roman" w:hAnsiTheme="minorHAnsi" w:cstheme="minorHAnsi"/>
          <w:szCs w:val="24"/>
          <w:lang w:val="pl-PL" w:eastAsia="en-GB"/>
        </w:rPr>
        <w:t>rogramu</w:t>
      </w:r>
      <w:r w:rsidR="001D4851" w:rsidRPr="00000498">
        <w:rPr>
          <w:rFonts w:asciiTheme="minorHAnsi" w:eastAsia="Times New Roman" w:hAnsiTheme="minorHAnsi" w:cstheme="minorHAnsi"/>
          <w:szCs w:val="24"/>
          <w:lang w:val="pl-PL" w:eastAsia="en-GB"/>
        </w:rPr>
        <w:t>.</w:t>
      </w:r>
    </w:p>
    <w:p w14:paraId="00D78B04" w14:textId="202FFDEF" w:rsidR="005B7D4F" w:rsidRPr="00000498" w:rsidRDefault="005B7D4F" w:rsidP="00000498">
      <w:pPr>
        <w:pBdr>
          <w:top w:val="single" w:sz="4" w:space="1" w:color="auto"/>
          <w:left w:val="single" w:sz="4" w:space="1" w:color="auto"/>
          <w:bottom w:val="single" w:sz="4" w:space="1" w:color="auto"/>
          <w:right w:val="single" w:sz="4" w:space="4" w:color="auto"/>
        </w:pBdr>
        <w:spacing w:after="120" w:line="276" w:lineRule="auto"/>
        <w:rPr>
          <w:rFonts w:asciiTheme="minorHAnsi" w:eastAsia="Times New Roman" w:hAnsiTheme="minorHAnsi" w:cstheme="minorHAnsi"/>
          <w:szCs w:val="24"/>
          <w:lang w:val="pl-PL" w:eastAsia="en-GB"/>
        </w:rPr>
      </w:pPr>
      <w:bookmarkStart w:id="138" w:name="OLE_LINK5"/>
      <w:bookmarkStart w:id="139" w:name="OLE_LINK6"/>
      <w:r w:rsidRPr="00000498">
        <w:rPr>
          <w:rFonts w:asciiTheme="minorHAnsi" w:eastAsia="Times New Roman" w:hAnsiTheme="minorHAnsi" w:cstheme="minorHAnsi"/>
          <w:szCs w:val="24"/>
          <w:lang w:val="pl-PL" w:eastAsia="en-GB"/>
        </w:rPr>
        <w:t xml:space="preserve">Weryfikacje zarządcze </w:t>
      </w:r>
      <w:bookmarkEnd w:id="138"/>
      <w:bookmarkEnd w:id="139"/>
      <w:r w:rsidRPr="00000498">
        <w:rPr>
          <w:rFonts w:asciiTheme="minorHAnsi" w:eastAsia="Times New Roman" w:hAnsiTheme="minorHAnsi" w:cstheme="minorHAnsi"/>
          <w:szCs w:val="24"/>
          <w:lang w:val="pl-PL" w:eastAsia="en-GB"/>
        </w:rPr>
        <w:t>(kontrole) zgodnie z art. 46 ust. 4 rozporządzenia (UE) [nowe rozporządzenie Interreg] wydatków w ramach schematu kosztów uproszczonych będą przeprowadzane przez IZ/WS</w:t>
      </w:r>
      <w:r w:rsidR="00B528B6">
        <w:rPr>
          <w:rFonts w:asciiTheme="minorHAnsi" w:eastAsia="Times New Roman" w:hAnsiTheme="minorHAnsi" w:cstheme="minorHAnsi"/>
          <w:szCs w:val="24"/>
          <w:lang w:val="pl-PL" w:eastAsia="en-GB"/>
        </w:rPr>
        <w:t>.</w:t>
      </w:r>
      <w:r w:rsidRPr="00000498">
        <w:rPr>
          <w:rFonts w:asciiTheme="minorHAnsi" w:eastAsia="Times New Roman" w:hAnsiTheme="minorHAnsi" w:cstheme="minorHAnsi"/>
          <w:szCs w:val="24"/>
          <w:lang w:val="pl-PL" w:eastAsia="en-GB"/>
        </w:rPr>
        <w:t xml:space="preserve"> </w:t>
      </w:r>
      <w:r w:rsidR="00B528B6">
        <w:rPr>
          <w:rFonts w:asciiTheme="minorHAnsi" w:eastAsia="Times New Roman" w:hAnsiTheme="minorHAnsi" w:cstheme="minorHAnsi"/>
          <w:szCs w:val="24"/>
          <w:lang w:val="pl-PL" w:eastAsia="en-GB"/>
        </w:rPr>
        <w:t>IZ/WS</w:t>
      </w:r>
      <w:r w:rsidRPr="00000498">
        <w:rPr>
          <w:rFonts w:asciiTheme="minorHAnsi" w:eastAsia="Times New Roman" w:hAnsiTheme="minorHAnsi" w:cstheme="minorHAnsi"/>
          <w:szCs w:val="24"/>
          <w:lang w:val="pl-PL" w:eastAsia="en-GB"/>
        </w:rPr>
        <w:t xml:space="preserve"> może zaangażować wyznaczonych kontrolerów z krajów uczestniczących w weryfikację wydatków zadeklarowanych w ramach schematu kosztów uproszczonych.</w:t>
      </w:r>
    </w:p>
    <w:p w14:paraId="67FCCA94" w14:textId="77777777" w:rsidR="005B7D4F" w:rsidRPr="00000498" w:rsidRDefault="005B7D4F" w:rsidP="00000498">
      <w:pPr>
        <w:pBdr>
          <w:top w:val="single" w:sz="4" w:space="1" w:color="auto"/>
          <w:left w:val="single" w:sz="4" w:space="1" w:color="auto"/>
          <w:bottom w:val="single" w:sz="4" w:space="1" w:color="auto"/>
          <w:right w:val="single" w:sz="4" w:space="4" w:color="auto"/>
        </w:pBdr>
        <w:spacing w:after="12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Każde państwo uczestniczące wyznacza kontrolera (-ów) odpowiedzialnego (-ych) za przeprowadzanie weryfikacji wydatków beneficjentów na swoim terytorium.</w:t>
      </w:r>
    </w:p>
    <w:p w14:paraId="2F8FA5C6" w14:textId="67F47D76" w:rsidR="001D4851" w:rsidRPr="00000498" w:rsidRDefault="005B7D4F" w:rsidP="00000498">
      <w:pPr>
        <w:pBdr>
          <w:top w:val="single" w:sz="4" w:space="1" w:color="auto"/>
          <w:left w:val="single" w:sz="4" w:space="1" w:color="auto"/>
          <w:bottom w:val="single" w:sz="4" w:space="1" w:color="auto"/>
          <w:right w:val="single" w:sz="4" w:space="4" w:color="auto"/>
        </w:pBdr>
        <w:spacing w:after="12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O metodzie wyznaczenia kontrolerów decyduje każdy kraj uczestniczący oddzielnie i może się ona różnić w poszczególnych krajach uczestniczących</w:t>
      </w:r>
      <w:r w:rsidR="001D4851" w:rsidRPr="00000498">
        <w:rPr>
          <w:rFonts w:asciiTheme="minorHAnsi" w:eastAsia="Times New Roman" w:hAnsiTheme="minorHAnsi" w:cstheme="minorHAnsi"/>
          <w:szCs w:val="24"/>
          <w:lang w:val="pl-PL" w:eastAsia="en-GB"/>
        </w:rPr>
        <w:t>.</w:t>
      </w:r>
    </w:p>
    <w:p w14:paraId="2EBDD453" w14:textId="0C87C5DE" w:rsidR="001D4851" w:rsidRPr="00000498" w:rsidRDefault="002D75FC" w:rsidP="00000498">
      <w:pPr>
        <w:pBdr>
          <w:top w:val="single" w:sz="4" w:space="1" w:color="auto"/>
          <w:left w:val="single" w:sz="4" w:space="1" w:color="auto"/>
          <w:bottom w:val="single" w:sz="4" w:space="1" w:color="auto"/>
          <w:right w:val="single" w:sz="4" w:space="4" w:color="auto"/>
        </w:pBdr>
        <w:spacing w:after="12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Każde wyznaczenie lub odwołanie kontrolera należy zgłosić IZ/WS</w:t>
      </w:r>
      <w:r w:rsidR="001D4851" w:rsidRPr="00000498">
        <w:rPr>
          <w:rFonts w:asciiTheme="minorHAnsi" w:eastAsia="Times New Roman" w:hAnsiTheme="minorHAnsi" w:cstheme="minorHAnsi"/>
          <w:szCs w:val="24"/>
          <w:lang w:val="pl-PL" w:eastAsia="en-GB"/>
        </w:rPr>
        <w:t>.</w:t>
      </w:r>
    </w:p>
    <w:p w14:paraId="288CD0BC" w14:textId="77777777" w:rsidR="00F50542" w:rsidRPr="00F879CC" w:rsidRDefault="00F50542" w:rsidP="00F50542">
      <w:pPr>
        <w:spacing w:line="240" w:lineRule="auto"/>
        <w:rPr>
          <w:rFonts w:asciiTheme="minorHAnsi" w:eastAsia="Times New Roman" w:hAnsiTheme="minorHAnsi" w:cstheme="minorHAnsi"/>
          <w:b/>
          <w:iCs/>
          <w:szCs w:val="24"/>
          <w:lang w:val="pl-PL" w:eastAsia="en-GB"/>
        </w:rPr>
      </w:pPr>
    </w:p>
    <w:p w14:paraId="3D3072D8" w14:textId="02D54215" w:rsidR="00F50542" w:rsidRPr="00000498" w:rsidRDefault="009D4219" w:rsidP="00774F2C">
      <w:pPr>
        <w:pStyle w:val="Nagwek2"/>
        <w:rPr>
          <w:rFonts w:eastAsia="Times New Roman"/>
          <w:lang w:val="pl-PL" w:eastAsia="en-GB"/>
        </w:rPr>
      </w:pPr>
      <w:bookmarkStart w:id="140" w:name="_Toc73433001"/>
      <w:r w:rsidRPr="00000498">
        <w:rPr>
          <w:rFonts w:eastAsia="Times New Roman"/>
          <w:lang w:val="pl-PL" w:eastAsia="en-GB"/>
        </w:rPr>
        <w:t>7</w:t>
      </w:r>
      <w:r w:rsidR="002221CD">
        <w:rPr>
          <w:rFonts w:eastAsia="Times New Roman"/>
          <w:lang w:val="pl-PL" w:eastAsia="en-GB"/>
        </w:rPr>
        <w:t xml:space="preserve">.3 </w:t>
      </w:r>
      <w:r w:rsidR="002D75FC" w:rsidRPr="00000498">
        <w:rPr>
          <w:rFonts w:eastAsia="Times New Roman"/>
          <w:lang w:val="pl-PL" w:eastAsia="en-GB"/>
        </w:rPr>
        <w:t>Podział odpowiedzialności między uczestniczące państwa członkowskie oraz, w stosownych przypadkach, państwa trzecie i KTZ w przypadku korekt finansowych nałożonych przez instytucję zarządzającą lub Komisję</w:t>
      </w:r>
      <w:bookmarkEnd w:id="140"/>
    </w:p>
    <w:p w14:paraId="06B2AB4E" w14:textId="44325CB0" w:rsidR="00F50542" w:rsidRPr="00000498" w:rsidRDefault="002D75FC" w:rsidP="00000498">
      <w:pPr>
        <w:spacing w:after="200" w:line="276" w:lineRule="auto"/>
        <w:rPr>
          <w:rFonts w:asciiTheme="minorHAnsi" w:eastAsia="Times New Roman" w:hAnsiTheme="minorHAnsi" w:cstheme="minorHAnsi"/>
          <w:b/>
          <w:iCs/>
          <w:szCs w:val="24"/>
          <w:lang w:val="pl-PL" w:eastAsia="en-GB"/>
        </w:rPr>
      </w:pPr>
      <w:r w:rsidRPr="00000498">
        <w:rPr>
          <w:rFonts w:asciiTheme="minorHAnsi" w:eastAsia="Times New Roman" w:hAnsiTheme="minorHAnsi" w:cstheme="minorHAnsi"/>
          <w:szCs w:val="24"/>
          <w:lang w:val="pl-PL" w:eastAsia="en-GB"/>
        </w:rPr>
        <w:t>Dotyczy: art. 17 ust. 7 lit. c)</w:t>
      </w:r>
    </w:p>
    <w:p w14:paraId="16AC36A6" w14:textId="64612FF3" w:rsidR="009C76EF" w:rsidRPr="00000498" w:rsidRDefault="00A56537" w:rsidP="00000498">
      <w:pPr>
        <w:pBdr>
          <w:top w:val="single" w:sz="4" w:space="1" w:color="auto"/>
          <w:left w:val="single" w:sz="4" w:space="4" w:color="auto"/>
          <w:bottom w:val="single" w:sz="4" w:space="1" w:color="auto"/>
          <w:right w:val="single" w:sz="4" w:space="4" w:color="auto"/>
        </w:pBdr>
        <w:spacing w:after="120" w:line="276" w:lineRule="auto"/>
        <w:rPr>
          <w:rFonts w:asciiTheme="minorHAnsi" w:eastAsia="Times New Roman" w:hAnsiTheme="minorHAnsi" w:cstheme="minorHAnsi"/>
          <w:szCs w:val="24"/>
          <w:u w:val="single"/>
          <w:lang w:val="pl-PL" w:eastAsia="en-GB"/>
        </w:rPr>
      </w:pPr>
      <w:r w:rsidRPr="00F42A23">
        <w:rPr>
          <w:rFonts w:asciiTheme="minorHAnsi" w:eastAsia="Times New Roman" w:hAnsiTheme="minorHAnsi" w:cstheme="minorHAnsi"/>
          <w:szCs w:val="24"/>
          <w:u w:val="single"/>
          <w:lang w:val="pl-PL" w:eastAsia="en-GB"/>
        </w:rPr>
        <w:t>Redukcja</w:t>
      </w:r>
      <w:r w:rsidR="002D75FC" w:rsidRPr="00F42A23">
        <w:rPr>
          <w:rFonts w:asciiTheme="minorHAnsi" w:eastAsia="Times New Roman" w:hAnsiTheme="minorHAnsi" w:cstheme="minorHAnsi"/>
          <w:szCs w:val="24"/>
          <w:u w:val="single"/>
          <w:lang w:val="pl-PL" w:eastAsia="en-GB"/>
        </w:rPr>
        <w:t xml:space="preserve"> i odzysk</w:t>
      </w:r>
      <w:r w:rsidRPr="00F42A23">
        <w:rPr>
          <w:rFonts w:asciiTheme="minorHAnsi" w:eastAsia="Times New Roman" w:hAnsiTheme="minorHAnsi" w:cstheme="minorHAnsi"/>
          <w:szCs w:val="24"/>
          <w:u w:val="single"/>
          <w:lang w:val="pl-PL" w:eastAsia="en-GB"/>
        </w:rPr>
        <w:t>iwanie</w:t>
      </w:r>
      <w:r w:rsidR="002D75FC" w:rsidRPr="00F42A23">
        <w:rPr>
          <w:rFonts w:asciiTheme="minorHAnsi" w:eastAsia="Times New Roman" w:hAnsiTheme="minorHAnsi" w:cstheme="minorHAnsi"/>
          <w:szCs w:val="24"/>
          <w:u w:val="single"/>
          <w:lang w:val="pl-PL" w:eastAsia="en-GB"/>
        </w:rPr>
        <w:t xml:space="preserve"> nienależnie</w:t>
      </w:r>
      <w:r w:rsidR="002D75FC" w:rsidRPr="00000498">
        <w:rPr>
          <w:rFonts w:asciiTheme="minorHAnsi" w:eastAsia="Times New Roman" w:hAnsiTheme="minorHAnsi" w:cstheme="minorHAnsi"/>
          <w:szCs w:val="24"/>
          <w:u w:val="single"/>
          <w:lang w:val="pl-PL" w:eastAsia="en-GB"/>
        </w:rPr>
        <w:t xml:space="preserve"> wypłaconych środków od beneficjentów</w:t>
      </w:r>
    </w:p>
    <w:p w14:paraId="67B92FC2" w14:textId="748A88A9" w:rsidR="009C76EF" w:rsidRPr="00000498" w:rsidRDefault="002D75FC" w:rsidP="00000498">
      <w:pPr>
        <w:pBdr>
          <w:top w:val="single" w:sz="4" w:space="1" w:color="auto"/>
          <w:left w:val="single" w:sz="4" w:space="4" w:color="auto"/>
          <w:bottom w:val="single" w:sz="4" w:space="1" w:color="auto"/>
          <w:right w:val="single" w:sz="4" w:space="4" w:color="auto"/>
        </w:pBdr>
        <w:spacing w:after="12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lastRenderedPageBreak/>
        <w:t>Instytucja Zarządzająca zapewnia, że wszelkie kwoty wypłacone w wyniku nieprawidłowości zostaną odzyskane z projektu za pośrednictwem partnera wiodącego. Partnerzy projektu zwrócą partnerowi wiodącemu wszelkie nienależnie wypłacone kwoty. Instytucja zarządzająca odzyskuje również środki od partnera wiodącego (a partner wiodący od partnera projektu) po rozwiązaniu umowy o dofinansowanie, w całości lub w części, na warunkach określonych w umowie o dofinansowanie</w:t>
      </w:r>
      <w:r w:rsidR="009C76EF" w:rsidRPr="00000498">
        <w:rPr>
          <w:rFonts w:asciiTheme="minorHAnsi" w:eastAsia="Times New Roman" w:hAnsiTheme="minorHAnsi" w:cstheme="minorHAnsi"/>
          <w:szCs w:val="24"/>
          <w:lang w:val="pl-PL" w:eastAsia="en-GB"/>
        </w:rPr>
        <w:t>.</w:t>
      </w:r>
    </w:p>
    <w:p w14:paraId="466A0652" w14:textId="6C2D8F3D" w:rsidR="009C76EF" w:rsidRPr="00000498" w:rsidRDefault="002D75FC" w:rsidP="00000498">
      <w:pPr>
        <w:pBdr>
          <w:top w:val="single" w:sz="4" w:space="1" w:color="auto"/>
          <w:left w:val="single" w:sz="4" w:space="4" w:color="auto"/>
          <w:bottom w:val="single" w:sz="4" w:space="1" w:color="auto"/>
          <w:right w:val="single" w:sz="4" w:space="4" w:color="auto"/>
        </w:pBdr>
        <w:spacing w:after="12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 xml:space="preserve">Jeżeli partnerowi wiodącemu nie uda się zapewnić spłaty od innego partnera projektu lub jeśli instytucji zarządzającej nie uda się zapewnić spłaty od partnera wiodącego lub partnera projektu, państwa członkowskie UE na </w:t>
      </w:r>
      <w:r w:rsidR="00A05A16" w:rsidRPr="00000498">
        <w:rPr>
          <w:rFonts w:asciiTheme="minorHAnsi" w:eastAsia="Times New Roman" w:hAnsiTheme="minorHAnsi" w:cstheme="minorHAnsi"/>
          <w:szCs w:val="24"/>
          <w:lang w:val="pl-PL" w:eastAsia="en-GB"/>
        </w:rPr>
        <w:t>terytorium których</w:t>
      </w:r>
      <w:r w:rsidRPr="00000498">
        <w:rPr>
          <w:rFonts w:asciiTheme="minorHAnsi" w:eastAsia="Times New Roman" w:hAnsiTheme="minorHAnsi" w:cstheme="minorHAnsi"/>
          <w:szCs w:val="24"/>
          <w:lang w:val="pl-PL" w:eastAsia="en-GB"/>
        </w:rPr>
        <w:t xml:space="preserve"> znajduje się dany beneficjent lub, w przypadku EUWT, jest zarejestrowany, dokonuje zwrotu kosztów instytucji zarządzającej na podstawie art. 52 rozporządzenia (UE) [nowe rozporządzenie Interreg]. Szczegółowe informacje dotyczące procedury zostaną zawarte w opisie systemu zarządzania i kontroli, który zostanie ustanowiony zgodnie z art. 63 rozporządzenia (UE) RWP. Zgodnie z art. 52 rozporządzenia (UE) [nowe rozporządzenie Interreg], po </w:t>
      </w:r>
      <w:r w:rsidR="00A05A16" w:rsidRPr="00000498">
        <w:rPr>
          <w:rFonts w:asciiTheme="minorHAnsi" w:eastAsia="Times New Roman" w:hAnsiTheme="minorHAnsi" w:cstheme="minorHAnsi"/>
          <w:szCs w:val="24"/>
          <w:lang w:val="pl-PL" w:eastAsia="en-GB"/>
        </w:rPr>
        <w:t>zwróceniu</w:t>
      </w:r>
      <w:r w:rsidRPr="00000498">
        <w:rPr>
          <w:rFonts w:asciiTheme="minorHAnsi" w:eastAsia="Times New Roman" w:hAnsiTheme="minorHAnsi" w:cstheme="minorHAnsi"/>
          <w:szCs w:val="24"/>
          <w:lang w:val="pl-PL" w:eastAsia="en-GB"/>
        </w:rPr>
        <w:t xml:space="preserve"> przez państwa członkowskie UE IZ/WS wszelkich kwot nienależnie wypłaconych partnerowi mogą one kontynuować lub rozpocząć procedurę odzyskiwania w odniesieniu do tego partnera zgodnie ze swoim prawem krajowym</w:t>
      </w:r>
      <w:r w:rsidR="006811CD">
        <w:rPr>
          <w:rFonts w:asciiTheme="minorHAnsi" w:eastAsia="Times New Roman" w:hAnsiTheme="minorHAnsi" w:cstheme="minorHAnsi"/>
          <w:szCs w:val="24"/>
          <w:lang w:val="pl-PL" w:eastAsia="en-GB"/>
        </w:rPr>
        <w:t>. D</w:t>
      </w:r>
      <w:r w:rsidRPr="00000498">
        <w:rPr>
          <w:rFonts w:asciiTheme="minorHAnsi" w:eastAsia="Times New Roman" w:hAnsiTheme="minorHAnsi" w:cstheme="minorHAnsi"/>
          <w:szCs w:val="24"/>
          <w:lang w:val="pl-PL" w:eastAsia="en-GB"/>
        </w:rPr>
        <w:t>otyczy to również Norwegii</w:t>
      </w:r>
      <w:r w:rsidR="009C76EF" w:rsidRPr="00000498">
        <w:rPr>
          <w:rFonts w:asciiTheme="minorHAnsi" w:eastAsia="Times New Roman" w:hAnsiTheme="minorHAnsi" w:cstheme="minorHAnsi"/>
          <w:szCs w:val="24"/>
          <w:lang w:val="pl-PL" w:eastAsia="en-GB"/>
        </w:rPr>
        <w:t xml:space="preserve">. </w:t>
      </w:r>
    </w:p>
    <w:p w14:paraId="406A7D73" w14:textId="77777777" w:rsidR="002D75FC" w:rsidRPr="00000498" w:rsidRDefault="002D75FC" w:rsidP="00000498">
      <w:pPr>
        <w:pBdr>
          <w:top w:val="single" w:sz="4" w:space="1" w:color="auto"/>
          <w:left w:val="single" w:sz="4" w:space="4" w:color="auto"/>
          <w:bottom w:val="single" w:sz="4" w:space="1" w:color="auto"/>
          <w:right w:val="single" w:sz="4" w:space="4" w:color="auto"/>
        </w:pBdr>
        <w:spacing w:after="12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W przypadku pomocy niezgodnej z prawem (pomoc państwa), muszą zostać spełnione dalsze wymogi dotyczące odzyskania pomocy niezgodnej z prawem (pomoc państwa). Szczegółowe informacje zostaną określone w procedurze opisanej w Podręczniku Programu.</w:t>
      </w:r>
    </w:p>
    <w:p w14:paraId="6CFC0029" w14:textId="3E98C5F1" w:rsidR="009C76EF" w:rsidRPr="00000498" w:rsidRDefault="002D75FC" w:rsidP="00000498">
      <w:pPr>
        <w:pBdr>
          <w:top w:val="single" w:sz="4" w:space="1" w:color="auto"/>
          <w:left w:val="single" w:sz="4" w:space="4" w:color="auto"/>
          <w:bottom w:val="single" w:sz="4" w:space="1" w:color="auto"/>
          <w:right w:val="single" w:sz="4" w:space="4" w:color="auto"/>
        </w:pBdr>
        <w:spacing w:after="12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IZ/WS jest odpowiedzialna za zwrot danych kwot do budżetu ogólnego Unii zgodnie z podziałem zobowiązań między uczestniczącymi państwami członkowskimi, jak określono w Programie oraz w art. 52 rozporządzenia (UE) [nowe rozporządzenie Interreg]</w:t>
      </w:r>
      <w:r w:rsidR="009C76EF" w:rsidRPr="00000498">
        <w:rPr>
          <w:rFonts w:asciiTheme="minorHAnsi" w:eastAsia="Times New Roman" w:hAnsiTheme="minorHAnsi" w:cstheme="minorHAnsi"/>
          <w:szCs w:val="24"/>
          <w:lang w:val="pl-PL" w:eastAsia="en-GB"/>
        </w:rPr>
        <w:t>.</w:t>
      </w:r>
    </w:p>
    <w:p w14:paraId="61FB1452" w14:textId="1B754383" w:rsidR="009C76EF" w:rsidRPr="00000498" w:rsidRDefault="003A00D1" w:rsidP="00000498">
      <w:pPr>
        <w:pBdr>
          <w:top w:val="single" w:sz="4" w:space="1" w:color="auto"/>
          <w:left w:val="single" w:sz="4" w:space="4" w:color="auto"/>
          <w:bottom w:val="single" w:sz="4" w:space="1" w:color="auto"/>
          <w:right w:val="single" w:sz="4" w:space="4" w:color="auto"/>
        </w:pBdr>
        <w:spacing w:after="12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W odniesieniu do korekt finansowych nałożonych przez IZ/WS lub Komisję Europejską na podstawie art. 97 lub 98 rozporządzenia (UE) [RWP], konsekwencje finansowe dla państw członkowskich UE przedstawiono w sekcji „zobowiązania i nieprawidłowości” poniżej. Wszelka związana z tym wymiana korespondencji między Komisją Europejską a państwem członkowskim UE będzie przesyłana do wiadomości IZ/WS, która, w stosownych przypadkach, poinformuje instytucję audytową/grupę audytorów.</w:t>
      </w:r>
    </w:p>
    <w:p w14:paraId="78476740" w14:textId="7C47DFFF" w:rsidR="009C76EF" w:rsidRPr="00000498" w:rsidRDefault="003A00D1" w:rsidP="00000498">
      <w:pPr>
        <w:pBdr>
          <w:top w:val="single" w:sz="4" w:space="1" w:color="auto"/>
          <w:left w:val="single" w:sz="4" w:space="4" w:color="auto"/>
          <w:bottom w:val="single" w:sz="4" w:space="1" w:color="auto"/>
          <w:right w:val="single" w:sz="4" w:space="4" w:color="auto"/>
        </w:pBdr>
        <w:spacing w:after="120" w:line="276" w:lineRule="auto"/>
        <w:rPr>
          <w:rFonts w:asciiTheme="minorHAnsi" w:eastAsia="Times New Roman" w:hAnsiTheme="minorHAnsi" w:cstheme="minorHAnsi"/>
          <w:szCs w:val="24"/>
          <w:u w:val="single"/>
          <w:lang w:val="pl-PL" w:eastAsia="en-GB"/>
        </w:rPr>
      </w:pPr>
      <w:r w:rsidRPr="00000498">
        <w:rPr>
          <w:rFonts w:asciiTheme="minorHAnsi" w:eastAsia="Times New Roman" w:hAnsiTheme="minorHAnsi" w:cstheme="minorHAnsi"/>
          <w:szCs w:val="24"/>
          <w:u w:val="single"/>
          <w:lang w:val="pl-PL" w:eastAsia="en-GB"/>
        </w:rPr>
        <w:t>Zobowiązania i nieprawidłowości</w:t>
      </w:r>
    </w:p>
    <w:p w14:paraId="25DCA9FD" w14:textId="2ADD1A10" w:rsidR="00C66467" w:rsidRPr="00000498" w:rsidRDefault="00C66467" w:rsidP="00000498">
      <w:pPr>
        <w:pBdr>
          <w:top w:val="single" w:sz="4" w:space="1" w:color="auto"/>
          <w:left w:val="single" w:sz="4" w:space="4" w:color="auto"/>
          <w:bottom w:val="single" w:sz="4" w:space="1" w:color="auto"/>
          <w:right w:val="single" w:sz="4" w:space="4" w:color="auto"/>
        </w:pBdr>
        <w:spacing w:after="12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Każde państwo członkowskie UE jest odpowiedzialne za zgłaszanie Komisji Europejskiej (OLAF) i jednocześnie IZ/WS, wszelkich nieprawidłowości ze strony partnerów wiodących lub partnerów projektu znajdujących się na jego terytorium. Każde państwo członkowskie UE będzie na bieżąco inform</w:t>
      </w:r>
      <w:r w:rsidR="006811CD">
        <w:rPr>
          <w:rFonts w:asciiTheme="minorHAnsi" w:eastAsia="Times New Roman" w:hAnsiTheme="minorHAnsi" w:cstheme="minorHAnsi"/>
          <w:szCs w:val="24"/>
          <w:lang w:val="pl-PL" w:eastAsia="en-GB"/>
        </w:rPr>
        <w:t>ować</w:t>
      </w:r>
      <w:r w:rsidRPr="00000498">
        <w:rPr>
          <w:rFonts w:asciiTheme="minorHAnsi" w:eastAsia="Times New Roman" w:hAnsiTheme="minorHAnsi" w:cstheme="minorHAnsi"/>
          <w:szCs w:val="24"/>
          <w:lang w:val="pl-PL" w:eastAsia="en-GB"/>
        </w:rPr>
        <w:t xml:space="preserve"> Komisję Europejską oraz IZ/WS o wszelkich postępach w zakresie powiązanych postępowań administracyjnych i prawnych. IZ/WS zapewni przekazanie informacji Instytucji Audytowej.</w:t>
      </w:r>
    </w:p>
    <w:p w14:paraId="1D721B44" w14:textId="78DE4F67" w:rsidR="00C66467" w:rsidRPr="00000498" w:rsidRDefault="00C66467" w:rsidP="00000498">
      <w:pPr>
        <w:pBdr>
          <w:top w:val="single" w:sz="4" w:space="1" w:color="auto"/>
          <w:left w:val="single" w:sz="4" w:space="4" w:color="auto"/>
          <w:bottom w:val="single" w:sz="4" w:space="1" w:color="auto"/>
          <w:right w:val="single" w:sz="4" w:space="4" w:color="auto"/>
        </w:pBdr>
        <w:spacing w:after="12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Jeżeli IZ/WS podejrzewa nieprawidłowe wykorzystanie przyznanych środków przez partnera wiodącego lub innego partnera operacji, informuje o tym właściwe organy administracji krajowej oraz odpowiednich członków KM.</w:t>
      </w:r>
    </w:p>
    <w:p w14:paraId="5DC0589A" w14:textId="3D8CB6B3" w:rsidR="009C76EF" w:rsidRPr="00000498" w:rsidRDefault="00C66467" w:rsidP="00000498">
      <w:pPr>
        <w:pBdr>
          <w:top w:val="single" w:sz="4" w:space="1" w:color="auto"/>
          <w:left w:val="single" w:sz="4" w:space="4" w:color="auto"/>
          <w:bottom w:val="single" w:sz="4" w:space="1" w:color="auto"/>
          <w:right w:val="single" w:sz="4" w:space="4" w:color="auto"/>
        </w:pBdr>
        <w:spacing w:after="12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lastRenderedPageBreak/>
        <w:t>W przypadku wykrycia nieprawidłowości przez jakikolwiek inny organ Programu lub władze krajowe, powinny one również bezzwłocznie poinformować IZ/WS</w:t>
      </w:r>
      <w:r w:rsidR="009C76EF" w:rsidRPr="00000498">
        <w:rPr>
          <w:rFonts w:asciiTheme="minorHAnsi" w:eastAsia="Times New Roman" w:hAnsiTheme="minorHAnsi" w:cstheme="minorHAnsi"/>
          <w:szCs w:val="24"/>
          <w:lang w:val="pl-PL" w:eastAsia="en-GB"/>
        </w:rPr>
        <w:t>.</w:t>
      </w:r>
    </w:p>
    <w:p w14:paraId="356EE5D2" w14:textId="77777777" w:rsidR="00C66467" w:rsidRPr="00000498" w:rsidRDefault="00C66467" w:rsidP="00000498">
      <w:pPr>
        <w:pBdr>
          <w:top w:val="single" w:sz="4" w:space="1" w:color="auto"/>
          <w:left w:val="single" w:sz="4" w:space="4" w:color="auto"/>
          <w:bottom w:val="single" w:sz="4" w:space="1" w:color="auto"/>
          <w:right w:val="single" w:sz="4" w:space="4" w:color="auto"/>
        </w:pBdr>
        <w:spacing w:after="12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Metodologia powiadamiania i podejmowania decyzji o nieprawidłowościach oraz odzyskiwania środków nienależnie wydanych na poziomie projektów zostanie określona w Podręczniku Programu.</w:t>
      </w:r>
    </w:p>
    <w:p w14:paraId="114C22BB" w14:textId="7F3D97DF" w:rsidR="009C76EF" w:rsidRPr="00000498" w:rsidRDefault="00C66467" w:rsidP="00000498">
      <w:pPr>
        <w:pBdr>
          <w:top w:val="single" w:sz="4" w:space="1" w:color="auto"/>
          <w:left w:val="single" w:sz="4" w:space="4" w:color="auto"/>
          <w:bottom w:val="single" w:sz="4" w:space="1" w:color="auto"/>
          <w:right w:val="single" w:sz="4" w:space="4" w:color="auto"/>
        </w:pBdr>
        <w:spacing w:after="12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 xml:space="preserve">Oprócz procedury windykacyjnej możliwe jest również (częściowe) rozwiązanie umowy o dofinansowanie. Dalsze postępowanie związane z (częściowym) wypowiedzeniem będzie opisane w Umowie o dofinansowanie/Podręczniku </w:t>
      </w:r>
      <w:r w:rsidR="00D5372C">
        <w:rPr>
          <w:rFonts w:asciiTheme="minorHAnsi" w:eastAsia="Times New Roman" w:hAnsiTheme="minorHAnsi" w:cstheme="minorHAnsi"/>
          <w:szCs w:val="24"/>
          <w:lang w:val="pl-PL" w:eastAsia="en-GB"/>
        </w:rPr>
        <w:t>P</w:t>
      </w:r>
      <w:r w:rsidRPr="00000498">
        <w:rPr>
          <w:rFonts w:asciiTheme="minorHAnsi" w:eastAsia="Times New Roman" w:hAnsiTheme="minorHAnsi" w:cstheme="minorHAnsi"/>
          <w:szCs w:val="24"/>
          <w:lang w:val="pl-PL" w:eastAsia="en-GB"/>
        </w:rPr>
        <w:t>rogramu</w:t>
      </w:r>
      <w:r w:rsidR="009C76EF" w:rsidRPr="00000498">
        <w:rPr>
          <w:rFonts w:asciiTheme="minorHAnsi" w:eastAsia="Times New Roman" w:hAnsiTheme="minorHAnsi" w:cstheme="minorHAnsi"/>
          <w:szCs w:val="24"/>
          <w:lang w:val="pl-PL" w:eastAsia="en-GB"/>
        </w:rPr>
        <w:t>.</w:t>
      </w:r>
    </w:p>
    <w:p w14:paraId="30DD0D91" w14:textId="114BF363" w:rsidR="009C76EF" w:rsidRPr="00000498" w:rsidRDefault="00C66467" w:rsidP="00000498">
      <w:pPr>
        <w:pBdr>
          <w:top w:val="single" w:sz="4" w:space="1" w:color="auto"/>
          <w:left w:val="single" w:sz="4" w:space="4" w:color="auto"/>
          <w:bottom w:val="single" w:sz="4" w:space="1" w:color="auto"/>
          <w:right w:val="single" w:sz="4" w:space="4" w:color="auto"/>
        </w:pBdr>
        <w:spacing w:after="12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 xml:space="preserve">W </w:t>
      </w:r>
      <w:r w:rsidR="00A05A16" w:rsidRPr="00000498">
        <w:rPr>
          <w:rFonts w:asciiTheme="minorHAnsi" w:eastAsia="Times New Roman" w:hAnsiTheme="minorHAnsi" w:cstheme="minorHAnsi"/>
          <w:szCs w:val="24"/>
          <w:lang w:val="pl-PL" w:eastAsia="en-GB"/>
        </w:rPr>
        <w:t>przypadku, gdy</w:t>
      </w:r>
      <w:r w:rsidRPr="00000498">
        <w:rPr>
          <w:rFonts w:asciiTheme="minorHAnsi" w:eastAsia="Times New Roman" w:hAnsiTheme="minorHAnsi" w:cstheme="minorHAnsi"/>
          <w:szCs w:val="24"/>
          <w:lang w:val="pl-PL" w:eastAsia="en-GB"/>
        </w:rPr>
        <w:t xml:space="preserve"> KM w porozumieniu z IZ i zainteresowanym krajem uczestniczącym zdecyduje, iż IB.SH rozpocznie lub będzie kontynuował postępowanie sądowe w celu odzyskania kwot nienależnie wypłaconych od partnera wiodącego lub partnera projektu, kraj uczestniczący, który byłby odpowiedzialny zgodnie z art. 52 </w:t>
      </w:r>
      <w:r w:rsidR="00A05A16" w:rsidRPr="00000498">
        <w:rPr>
          <w:rFonts w:asciiTheme="minorHAnsi" w:eastAsia="Times New Roman" w:hAnsiTheme="minorHAnsi" w:cstheme="minorHAnsi"/>
          <w:szCs w:val="24"/>
          <w:lang w:val="pl-PL" w:eastAsia="en-GB"/>
        </w:rPr>
        <w:t>rozporządzenia (UE</w:t>
      </w:r>
      <w:r w:rsidRPr="00000498">
        <w:rPr>
          <w:rFonts w:asciiTheme="minorHAnsi" w:eastAsia="Times New Roman" w:hAnsiTheme="minorHAnsi" w:cstheme="minorHAnsi"/>
          <w:szCs w:val="24"/>
          <w:lang w:val="pl-PL" w:eastAsia="en-GB"/>
        </w:rPr>
        <w:t>) [nowe rozporządzenie w sprawie Interreg] zobowiązuje się do zwrotu IB.SH kosztów sądowych oraz kosztów wynikających z postępowania po przedstawieniu dokumentów dowodowych nawet, jeśli postępowanie zakończy się niepowodzeniem. Koszty postępowania sądowego zawsze będzie pokrywało zainteresowane państwo uczestniczące</w:t>
      </w:r>
      <w:r w:rsidR="009C76EF" w:rsidRPr="00000498">
        <w:rPr>
          <w:rFonts w:asciiTheme="minorHAnsi" w:eastAsia="Times New Roman" w:hAnsiTheme="minorHAnsi" w:cstheme="minorHAnsi"/>
          <w:szCs w:val="24"/>
          <w:lang w:val="pl-PL" w:eastAsia="en-GB"/>
        </w:rPr>
        <w:t>.</w:t>
      </w:r>
    </w:p>
    <w:p w14:paraId="2B5E3EE8" w14:textId="75E46BBC" w:rsidR="009C76EF" w:rsidRPr="00000498" w:rsidRDefault="00C66467" w:rsidP="00000498">
      <w:pPr>
        <w:pBdr>
          <w:top w:val="single" w:sz="4" w:space="1" w:color="auto"/>
          <w:left w:val="single" w:sz="4" w:space="4" w:color="auto"/>
          <w:bottom w:val="single" w:sz="4" w:space="1" w:color="auto"/>
          <w:right w:val="single" w:sz="4" w:space="4" w:color="auto"/>
        </w:pBdr>
        <w:spacing w:after="12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W związku z wykorzystaniem środków z Programu, kraj uczestniczący ponosi następującą odpowiedzialność</w:t>
      </w:r>
      <w:r w:rsidR="009C76EF" w:rsidRPr="00000498">
        <w:rPr>
          <w:rFonts w:asciiTheme="minorHAnsi" w:eastAsia="Times New Roman" w:hAnsiTheme="minorHAnsi" w:cstheme="minorHAnsi"/>
          <w:szCs w:val="24"/>
          <w:lang w:val="pl-PL" w:eastAsia="en-GB"/>
        </w:rPr>
        <w:t>:</w:t>
      </w:r>
    </w:p>
    <w:p w14:paraId="59A00BD8" w14:textId="587FF08D" w:rsidR="009C76EF" w:rsidRPr="00F42A23" w:rsidRDefault="00C66467" w:rsidP="00000498">
      <w:pPr>
        <w:pStyle w:val="Akapitzlist"/>
        <w:numPr>
          <w:ilvl w:val="0"/>
          <w:numId w:val="26"/>
        </w:numPr>
        <w:pBdr>
          <w:top w:val="single" w:sz="4" w:space="1" w:color="auto"/>
          <w:left w:val="single" w:sz="4" w:space="4" w:color="auto"/>
          <w:bottom w:val="single" w:sz="4" w:space="1" w:color="auto"/>
          <w:right w:val="single" w:sz="4" w:space="4" w:color="auto"/>
        </w:pBdr>
        <w:spacing w:after="120"/>
        <w:ind w:left="431" w:hanging="431"/>
        <w:rPr>
          <w:rFonts w:eastAsia="Times New Roman" w:cstheme="minorHAnsi"/>
          <w:sz w:val="24"/>
          <w:szCs w:val="24"/>
          <w:lang w:val="pl-PL" w:eastAsia="en-GB"/>
        </w:rPr>
      </w:pPr>
      <w:r w:rsidRPr="00F42A23">
        <w:rPr>
          <w:rFonts w:eastAsia="Times New Roman" w:cstheme="minorHAnsi"/>
          <w:sz w:val="24"/>
          <w:szCs w:val="24"/>
          <w:lang w:val="pl-PL" w:eastAsia="en-GB"/>
        </w:rPr>
        <w:t>każde państwo uczestniczące będzie ponosić odpowiedzialność za wydatki związane z projektem przyznane partnerom projektu znajdującym się na jego terytorium;</w:t>
      </w:r>
    </w:p>
    <w:p w14:paraId="6BF334D5" w14:textId="5AD79D15" w:rsidR="009C76EF" w:rsidRPr="00F42A23" w:rsidRDefault="00C66467" w:rsidP="00000498">
      <w:pPr>
        <w:pStyle w:val="Akapitzlist"/>
        <w:numPr>
          <w:ilvl w:val="0"/>
          <w:numId w:val="26"/>
        </w:numPr>
        <w:pBdr>
          <w:top w:val="single" w:sz="4" w:space="1" w:color="auto"/>
          <w:left w:val="single" w:sz="4" w:space="4" w:color="auto"/>
          <w:bottom w:val="single" w:sz="4" w:space="1" w:color="auto"/>
          <w:right w:val="single" w:sz="4" w:space="4" w:color="auto"/>
        </w:pBdr>
        <w:spacing w:after="120"/>
        <w:ind w:left="431" w:hanging="431"/>
        <w:rPr>
          <w:rFonts w:eastAsia="Times New Roman" w:cstheme="minorHAnsi"/>
          <w:sz w:val="24"/>
          <w:szCs w:val="24"/>
          <w:lang w:val="pl-PL" w:eastAsia="en-GB"/>
        </w:rPr>
      </w:pPr>
      <w:r w:rsidRPr="00F42A23">
        <w:rPr>
          <w:rFonts w:eastAsia="Times New Roman" w:cstheme="minorHAnsi"/>
          <w:sz w:val="24"/>
          <w:szCs w:val="24"/>
          <w:lang w:val="pl-PL" w:eastAsia="en-GB"/>
        </w:rPr>
        <w:t xml:space="preserve">w przypadku nieprawidłowości systemowej lub korekty finansowej (o której zadecydują władze Programu lub Komisja Europejska), kraj uczestniczący poniesie konsekwencje finansowe proporcjonalnie do nieprawidłowości wykrytej na </w:t>
      </w:r>
      <w:r w:rsidR="00A56537" w:rsidRPr="00F42A23">
        <w:rPr>
          <w:rFonts w:eastAsia="Times New Roman" w:cstheme="minorHAnsi"/>
          <w:sz w:val="24"/>
          <w:szCs w:val="24"/>
          <w:lang w:val="pl-PL" w:eastAsia="en-GB"/>
        </w:rPr>
        <w:t xml:space="preserve">jego </w:t>
      </w:r>
      <w:r w:rsidRPr="00F42A23">
        <w:rPr>
          <w:rFonts w:eastAsia="Times New Roman" w:cstheme="minorHAnsi"/>
          <w:sz w:val="24"/>
          <w:szCs w:val="24"/>
          <w:lang w:val="pl-PL" w:eastAsia="en-GB"/>
        </w:rPr>
        <w:t xml:space="preserve">terytorium. W przypadku, gdy nieprawidłowości systemowe lub korekty finansowej nie można powiązać z konkretnym krajem, państwo to ponosi odpowiedzialność proporcjonalnie do wkładu </w:t>
      </w:r>
      <w:r w:rsidR="00E56CFE" w:rsidRPr="00F42A23">
        <w:rPr>
          <w:rFonts w:eastAsia="Times New Roman" w:cstheme="minorHAnsi"/>
          <w:sz w:val="24"/>
          <w:szCs w:val="24"/>
          <w:lang w:val="pl-PL" w:eastAsia="en-GB"/>
        </w:rPr>
        <w:t xml:space="preserve">wypłaconego </w:t>
      </w:r>
      <w:r w:rsidRPr="00F42A23">
        <w:rPr>
          <w:rFonts w:eastAsia="Times New Roman" w:cstheme="minorHAnsi"/>
          <w:sz w:val="24"/>
          <w:szCs w:val="24"/>
          <w:lang w:val="pl-PL" w:eastAsia="en-GB"/>
        </w:rPr>
        <w:t xml:space="preserve">z programu partnerom projektu </w:t>
      </w:r>
      <w:r w:rsidR="00A56537" w:rsidRPr="00F42A23">
        <w:rPr>
          <w:rFonts w:eastAsia="Times New Roman" w:cstheme="minorHAnsi"/>
          <w:sz w:val="24"/>
          <w:szCs w:val="24"/>
          <w:lang w:val="pl-PL" w:eastAsia="en-GB"/>
        </w:rPr>
        <w:t xml:space="preserve">z tego państwa </w:t>
      </w:r>
      <w:r w:rsidRPr="00F42A23">
        <w:rPr>
          <w:rFonts w:eastAsia="Times New Roman" w:cstheme="minorHAnsi"/>
          <w:sz w:val="24"/>
          <w:szCs w:val="24"/>
          <w:lang w:val="pl-PL" w:eastAsia="en-GB"/>
        </w:rPr>
        <w:t>zaangażowanym w Program;</w:t>
      </w:r>
    </w:p>
    <w:p w14:paraId="3F7DA696" w14:textId="01C89C70" w:rsidR="009C76EF" w:rsidRPr="00F42A23" w:rsidRDefault="00C66467" w:rsidP="00000498">
      <w:pPr>
        <w:pStyle w:val="Akapitzlist"/>
        <w:numPr>
          <w:ilvl w:val="0"/>
          <w:numId w:val="26"/>
        </w:numPr>
        <w:pBdr>
          <w:top w:val="single" w:sz="4" w:space="1" w:color="auto"/>
          <w:left w:val="single" w:sz="4" w:space="4" w:color="auto"/>
          <w:bottom w:val="single" w:sz="4" w:space="1" w:color="auto"/>
          <w:right w:val="single" w:sz="4" w:space="4" w:color="auto"/>
        </w:pBdr>
        <w:spacing w:after="120"/>
        <w:ind w:left="431" w:hanging="431"/>
        <w:rPr>
          <w:rFonts w:eastAsia="Times New Roman" w:cstheme="minorHAnsi"/>
          <w:sz w:val="24"/>
          <w:szCs w:val="24"/>
          <w:lang w:val="pl-PL" w:eastAsia="en-GB"/>
        </w:rPr>
      </w:pPr>
      <w:r w:rsidRPr="00F42A23">
        <w:rPr>
          <w:rFonts w:eastAsia="Times New Roman" w:cstheme="minorHAnsi"/>
          <w:sz w:val="24"/>
          <w:szCs w:val="24"/>
          <w:lang w:val="pl-PL" w:eastAsia="en-GB"/>
        </w:rPr>
        <w:t>zgodnie z art. 27 rozporządzenia (UE) [nowe rozporządzenie Interreg], PT oblicza się poprzez zastosowanie stawki ryczałtowej do kwalifikowalnych wydatków projektu zadeklarowanych Komisji Europejskiej. W konsekwencji odpowiedzialność za wydatki PT jest regulowana zgodnie z zasadami mającymi zastosowanie do wydatków związanych z projektami, nieprawidłowości systemowych lub korekt finansowych. Można je również zastosować do korekt PT, ponieważ są one bezpośrednią konsekwencją korekt związanych z wydatkami w ramach projektu.</w:t>
      </w:r>
    </w:p>
    <w:p w14:paraId="526C9166" w14:textId="4D2FC452" w:rsidR="009C76EF" w:rsidRPr="00000498" w:rsidRDefault="00C66467" w:rsidP="00000498">
      <w:pPr>
        <w:pBdr>
          <w:top w:val="single" w:sz="4" w:space="1" w:color="auto"/>
          <w:left w:val="single" w:sz="4" w:space="4" w:color="auto"/>
          <w:bottom w:val="single" w:sz="4" w:space="1" w:color="auto"/>
          <w:right w:val="single" w:sz="4" w:space="4" w:color="auto"/>
        </w:pBdr>
        <w:spacing w:after="120" w:line="276" w:lineRule="auto"/>
        <w:rPr>
          <w:rFonts w:asciiTheme="minorHAnsi" w:eastAsia="Times New Roman" w:hAnsiTheme="minorHAnsi" w:cstheme="minorHAnsi"/>
          <w:szCs w:val="24"/>
          <w:u w:val="single"/>
          <w:lang w:val="pl-PL" w:eastAsia="en-GB"/>
        </w:rPr>
      </w:pPr>
      <w:r w:rsidRPr="00F42A23">
        <w:rPr>
          <w:rFonts w:asciiTheme="minorHAnsi" w:eastAsia="Times New Roman" w:hAnsiTheme="minorHAnsi" w:cstheme="minorHAnsi"/>
          <w:szCs w:val="24"/>
          <w:u w:val="single"/>
          <w:lang w:val="pl-PL" w:eastAsia="en-GB"/>
        </w:rPr>
        <w:t>Nieprzestrzeganie ustalonych postanowień i terminów -</w:t>
      </w:r>
      <w:r w:rsidRPr="00000498">
        <w:rPr>
          <w:rFonts w:asciiTheme="minorHAnsi" w:eastAsia="Times New Roman" w:hAnsiTheme="minorHAnsi" w:cstheme="minorHAnsi"/>
          <w:szCs w:val="24"/>
          <w:u w:val="single"/>
          <w:lang w:val="pl-PL" w:eastAsia="en-GB"/>
        </w:rPr>
        <w:t xml:space="preserve"> sankcje</w:t>
      </w:r>
    </w:p>
    <w:p w14:paraId="3C4DE1B9" w14:textId="77777777" w:rsidR="00C66467" w:rsidRPr="00000498" w:rsidRDefault="00C66467" w:rsidP="00000498">
      <w:pPr>
        <w:pBdr>
          <w:top w:val="single" w:sz="4" w:space="1" w:color="auto"/>
          <w:left w:val="single" w:sz="4" w:space="4" w:color="auto"/>
          <w:bottom w:val="single" w:sz="4" w:space="1" w:color="auto"/>
          <w:right w:val="single" w:sz="4" w:space="4" w:color="auto"/>
        </w:pBdr>
        <w:spacing w:after="12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Uzgodnione przepisy dotyczą, między innymi, obowiązków krajowych w zakresie systemów audytu i kontroli, podziału zobowiązań związanych ze współfinansowaniem PT, korekt finansowych i procedur odzyskiwania środków.</w:t>
      </w:r>
    </w:p>
    <w:p w14:paraId="2D3A4753" w14:textId="12D93C45" w:rsidR="009C76EF" w:rsidRPr="00000498" w:rsidRDefault="00C66467" w:rsidP="00000498">
      <w:pPr>
        <w:pBdr>
          <w:top w:val="single" w:sz="4" w:space="1" w:color="auto"/>
          <w:left w:val="single" w:sz="4" w:space="4" w:color="auto"/>
          <w:bottom w:val="single" w:sz="4" w:space="1" w:color="auto"/>
          <w:right w:val="single" w:sz="4" w:space="4" w:color="auto"/>
        </w:pBdr>
        <w:spacing w:after="12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lastRenderedPageBreak/>
        <w:t>W przypadku nieprzestrzegania uzgodnionych postanowień, sprawy będą rozpatrywane indywidualnie. Jeżeli kraj uczestniczący nie wypełnia swoich obowiązków, IZ ma prawo zawiesić płatności dla wszystkich partnerów projektu zlokalizowanych na terytorium tego kraju uczestniczącego. Przed wprowadzeniem jakichkolwiek sankcji IZ/WS podejmuje dodatkowe kroki, w tym angażuje KM w celu rozwiązania sprawy</w:t>
      </w:r>
      <w:r w:rsidR="00C86694" w:rsidRPr="00000498">
        <w:rPr>
          <w:rFonts w:asciiTheme="minorHAnsi" w:eastAsia="Times New Roman" w:hAnsiTheme="minorHAnsi" w:cstheme="minorHAnsi"/>
          <w:szCs w:val="24"/>
          <w:lang w:val="pl-PL" w:eastAsia="en-GB"/>
        </w:rPr>
        <w:t>.</w:t>
      </w:r>
    </w:p>
    <w:p w14:paraId="093D9338" w14:textId="6968099B" w:rsidR="00D25D25" w:rsidRPr="00000498" w:rsidRDefault="00B207DC" w:rsidP="00000498">
      <w:pPr>
        <w:pBdr>
          <w:top w:val="single" w:sz="4" w:space="1" w:color="auto"/>
          <w:left w:val="single" w:sz="4" w:space="4" w:color="auto"/>
          <w:bottom w:val="single" w:sz="4" w:space="1" w:color="auto"/>
          <w:right w:val="single" w:sz="4" w:space="4" w:color="auto"/>
        </w:pBdr>
        <w:spacing w:after="120" w:line="276" w:lineRule="auto"/>
        <w:rPr>
          <w:rFonts w:asciiTheme="minorHAnsi" w:eastAsia="Times New Roman" w:hAnsiTheme="minorHAnsi" w:cstheme="minorHAnsi"/>
          <w:szCs w:val="24"/>
          <w:lang w:val="pl-PL" w:eastAsia="en-GB"/>
        </w:rPr>
      </w:pPr>
      <w:r w:rsidRPr="00000498">
        <w:rPr>
          <w:rFonts w:asciiTheme="minorHAnsi" w:eastAsia="Times New Roman" w:hAnsiTheme="minorHAnsi" w:cstheme="minorHAnsi"/>
          <w:szCs w:val="24"/>
          <w:lang w:val="pl-PL" w:eastAsia="en-GB"/>
        </w:rPr>
        <w:t xml:space="preserve">Procedury postępowania w przypadku nieprzestrzegania uzgodnionych postanowień i terminów na poziomie projektu zostaną określone w umowie o dofinansowanie i </w:t>
      </w:r>
      <w:r w:rsidR="00D5372C">
        <w:rPr>
          <w:rFonts w:asciiTheme="minorHAnsi" w:eastAsia="Times New Roman" w:hAnsiTheme="minorHAnsi" w:cstheme="minorHAnsi"/>
          <w:szCs w:val="24"/>
          <w:lang w:val="pl-PL" w:eastAsia="en-GB"/>
        </w:rPr>
        <w:t>P</w:t>
      </w:r>
      <w:r w:rsidRPr="00000498">
        <w:rPr>
          <w:rFonts w:asciiTheme="minorHAnsi" w:eastAsia="Times New Roman" w:hAnsiTheme="minorHAnsi" w:cstheme="minorHAnsi"/>
          <w:szCs w:val="24"/>
          <w:lang w:val="pl-PL" w:eastAsia="en-GB"/>
        </w:rPr>
        <w:t xml:space="preserve">odręczniku </w:t>
      </w:r>
      <w:r w:rsidR="00D5372C">
        <w:rPr>
          <w:rFonts w:asciiTheme="minorHAnsi" w:eastAsia="Times New Roman" w:hAnsiTheme="minorHAnsi" w:cstheme="minorHAnsi"/>
          <w:szCs w:val="24"/>
          <w:lang w:val="pl-PL" w:eastAsia="en-GB"/>
        </w:rPr>
        <w:t>P</w:t>
      </w:r>
      <w:r w:rsidRPr="00000498">
        <w:rPr>
          <w:rFonts w:asciiTheme="minorHAnsi" w:eastAsia="Times New Roman" w:hAnsiTheme="minorHAnsi" w:cstheme="minorHAnsi"/>
          <w:szCs w:val="24"/>
          <w:lang w:val="pl-PL" w:eastAsia="en-GB"/>
        </w:rPr>
        <w:t>rogramu</w:t>
      </w:r>
      <w:r w:rsidR="009C76EF" w:rsidRPr="00000498">
        <w:rPr>
          <w:rFonts w:asciiTheme="minorHAnsi" w:eastAsia="Times New Roman" w:hAnsiTheme="minorHAnsi" w:cstheme="minorHAnsi"/>
          <w:szCs w:val="24"/>
          <w:lang w:val="pl-PL" w:eastAsia="en-GB"/>
        </w:rPr>
        <w:t>.</w:t>
      </w:r>
    </w:p>
    <w:p w14:paraId="0D3D3F74" w14:textId="77777777" w:rsidR="00B979C6" w:rsidRPr="00F879CC" w:rsidRDefault="00B979C6">
      <w:pPr>
        <w:spacing w:after="200" w:line="276" w:lineRule="auto"/>
        <w:rPr>
          <w:rFonts w:asciiTheme="minorHAnsi" w:eastAsia="Times New Roman" w:hAnsiTheme="minorHAnsi" w:cstheme="minorHAnsi"/>
          <w:b/>
          <w:iCs/>
          <w:szCs w:val="24"/>
          <w:lang w:val="pl-PL" w:eastAsia="en-GB"/>
        </w:rPr>
      </w:pPr>
      <w:r w:rsidRPr="00F879CC">
        <w:rPr>
          <w:rFonts w:asciiTheme="minorHAnsi" w:eastAsia="Times New Roman" w:hAnsiTheme="minorHAnsi" w:cstheme="minorHAnsi"/>
          <w:b/>
          <w:iCs/>
          <w:szCs w:val="24"/>
          <w:lang w:val="pl-PL" w:eastAsia="en-GB"/>
        </w:rPr>
        <w:br w:type="page"/>
      </w:r>
    </w:p>
    <w:p w14:paraId="0D5AB77A" w14:textId="47C22D39" w:rsidR="00BB3222" w:rsidRPr="00A56537" w:rsidRDefault="00B207DC" w:rsidP="00121F7E">
      <w:pPr>
        <w:pStyle w:val="Nagwek1"/>
        <w:numPr>
          <w:ilvl w:val="0"/>
          <w:numId w:val="3"/>
        </w:numPr>
        <w:rPr>
          <w:rFonts w:eastAsia="Times New Roman"/>
          <w:lang w:val="pl-PL" w:eastAsia="en-GB"/>
        </w:rPr>
      </w:pPr>
      <w:bookmarkStart w:id="141" w:name="_Toc73433002"/>
      <w:r w:rsidRPr="00A56537">
        <w:rPr>
          <w:rFonts w:eastAsia="Times New Roman"/>
          <w:lang w:val="pl-PL" w:eastAsia="en-GB"/>
        </w:rPr>
        <w:lastRenderedPageBreak/>
        <w:t>Stosowanie kosztów jednostkowych, kwot ryczałtowych, stawek ryczałtowych i finansowania niepowiązanego z kosztami</w:t>
      </w:r>
      <w:bookmarkEnd w:id="141"/>
    </w:p>
    <w:p w14:paraId="6C3D8E79" w14:textId="4C501AF7" w:rsidR="00BB3222" w:rsidRPr="00000498" w:rsidRDefault="00B207DC" w:rsidP="00973953">
      <w:pPr>
        <w:spacing w:before="240" w:after="240" w:line="276" w:lineRule="auto"/>
        <w:rPr>
          <w:rFonts w:asciiTheme="minorHAnsi" w:eastAsia="Times New Roman" w:hAnsiTheme="minorHAnsi" w:cstheme="minorHAnsi"/>
          <w:bCs/>
          <w:szCs w:val="24"/>
          <w:lang w:val="pl-PL"/>
        </w:rPr>
      </w:pPr>
      <w:r w:rsidRPr="00000498">
        <w:rPr>
          <w:rFonts w:asciiTheme="minorHAnsi" w:eastAsia="Times New Roman" w:hAnsiTheme="minorHAnsi" w:cstheme="minorHAnsi"/>
          <w:bCs/>
          <w:szCs w:val="24"/>
          <w:lang w:val="pl-PL"/>
        </w:rPr>
        <w:t>Dotyczy: art. 88 i 89 RWP</w:t>
      </w:r>
    </w:p>
    <w:p w14:paraId="108F98EB" w14:textId="466C98C8" w:rsidR="00BB3222" w:rsidRPr="00F879CC" w:rsidRDefault="00871A6C" w:rsidP="00973953">
      <w:pPr>
        <w:spacing w:before="120" w:after="120" w:line="276" w:lineRule="auto"/>
        <w:rPr>
          <w:rFonts w:asciiTheme="minorHAnsi" w:eastAsia="Times New Roman" w:hAnsiTheme="minorHAnsi" w:cstheme="minorHAnsi"/>
          <w:bCs/>
          <w:iCs/>
          <w:szCs w:val="24"/>
          <w:lang w:val="pl-PL"/>
        </w:rPr>
      </w:pPr>
      <w:r w:rsidRPr="00F879CC">
        <w:rPr>
          <w:rFonts w:asciiTheme="minorHAnsi" w:eastAsia="Times New Roman" w:hAnsiTheme="minorHAnsi" w:cstheme="minorHAnsi"/>
          <w:bCs/>
          <w:iCs/>
          <w:szCs w:val="24"/>
          <w:lang w:val="pl-PL"/>
        </w:rPr>
        <w:t>Tabela</w:t>
      </w:r>
      <w:r w:rsidR="00BB3222" w:rsidRPr="00F879CC">
        <w:rPr>
          <w:rFonts w:asciiTheme="minorHAnsi" w:eastAsia="Times New Roman" w:hAnsiTheme="minorHAnsi" w:cstheme="minorHAnsi"/>
          <w:bCs/>
          <w:iCs/>
          <w:szCs w:val="24"/>
          <w:lang w:val="pl-PL"/>
        </w:rPr>
        <w:t xml:space="preserve"> 11: </w:t>
      </w:r>
      <w:r w:rsidR="00B207DC" w:rsidRPr="00F879CC">
        <w:rPr>
          <w:rFonts w:asciiTheme="minorHAnsi" w:eastAsia="Times New Roman" w:hAnsiTheme="minorHAnsi" w:cstheme="minorHAnsi"/>
          <w:bCs/>
          <w:iCs/>
          <w:szCs w:val="24"/>
          <w:lang w:val="pl-PL"/>
        </w:rPr>
        <w:t>Stosowanie kosztów jednostkowych, kwot ryczałtowych, stawek ryczałtowych i finansowania niepowiązanego z kosztami.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dotycząca stosowania kosztów jednostkowych, kwot ryczałtowych, stawek ryczałtowych i finansowania niepowiązanego z kosztami"/>
      </w:tblPr>
      <w:tblGrid>
        <w:gridCol w:w="5920"/>
        <w:gridCol w:w="1701"/>
        <w:gridCol w:w="1701"/>
      </w:tblGrid>
      <w:tr w:rsidR="00BB3222" w:rsidRPr="00973953" w14:paraId="2501B673" w14:textId="77777777" w:rsidTr="00B979C6">
        <w:trPr>
          <w:trHeight w:val="460"/>
        </w:trPr>
        <w:tc>
          <w:tcPr>
            <w:tcW w:w="5920" w:type="dxa"/>
          </w:tcPr>
          <w:p w14:paraId="6FEA24A4" w14:textId="2B443400" w:rsidR="00BB3222" w:rsidRPr="00000498" w:rsidRDefault="00B207DC" w:rsidP="00B979C6">
            <w:pPr>
              <w:spacing w:before="120" w:after="200" w:line="240" w:lineRule="auto"/>
              <w:rPr>
                <w:rFonts w:asciiTheme="minorHAnsi" w:hAnsiTheme="minorHAnsi" w:cstheme="minorHAnsi"/>
                <w:bCs/>
                <w:szCs w:val="24"/>
                <w:lang w:val="pl-PL"/>
              </w:rPr>
            </w:pPr>
            <w:r w:rsidRPr="00000498">
              <w:rPr>
                <w:rFonts w:asciiTheme="minorHAnsi" w:hAnsiTheme="minorHAnsi" w:cstheme="minorHAnsi"/>
                <w:bCs/>
                <w:szCs w:val="24"/>
                <w:lang w:val="pl-PL"/>
              </w:rPr>
              <w:t>Zamierzone zastosowanie artykułów 88 i 89</w:t>
            </w:r>
          </w:p>
        </w:tc>
        <w:tc>
          <w:tcPr>
            <w:tcW w:w="1701" w:type="dxa"/>
          </w:tcPr>
          <w:p w14:paraId="048CAD67" w14:textId="38461F70" w:rsidR="00BB3222" w:rsidRPr="00000498" w:rsidRDefault="00B207DC" w:rsidP="00B979C6">
            <w:pPr>
              <w:spacing w:before="120" w:after="200" w:line="240" w:lineRule="auto"/>
              <w:rPr>
                <w:rFonts w:asciiTheme="minorHAnsi" w:hAnsiTheme="minorHAnsi" w:cstheme="minorHAnsi"/>
                <w:bCs/>
                <w:szCs w:val="24"/>
                <w:lang w:val="en-IE"/>
              </w:rPr>
            </w:pPr>
            <w:r w:rsidRPr="00000498">
              <w:rPr>
                <w:rFonts w:asciiTheme="minorHAnsi" w:hAnsiTheme="minorHAnsi" w:cstheme="minorHAnsi"/>
                <w:bCs/>
                <w:szCs w:val="24"/>
                <w:lang w:val="en-IE"/>
              </w:rPr>
              <w:t>TAK</w:t>
            </w:r>
          </w:p>
        </w:tc>
        <w:tc>
          <w:tcPr>
            <w:tcW w:w="1701" w:type="dxa"/>
          </w:tcPr>
          <w:p w14:paraId="23E50BC8" w14:textId="6E0AD2EC" w:rsidR="00BB3222" w:rsidRPr="00000498" w:rsidRDefault="00B207DC" w:rsidP="00B979C6">
            <w:pPr>
              <w:spacing w:before="120" w:after="200" w:line="240" w:lineRule="auto"/>
              <w:rPr>
                <w:rFonts w:asciiTheme="minorHAnsi" w:hAnsiTheme="minorHAnsi" w:cstheme="minorHAnsi"/>
                <w:bCs/>
                <w:szCs w:val="24"/>
                <w:lang w:val="en-IE"/>
              </w:rPr>
            </w:pPr>
            <w:r w:rsidRPr="00000498">
              <w:rPr>
                <w:rFonts w:asciiTheme="minorHAnsi" w:hAnsiTheme="minorHAnsi" w:cstheme="minorHAnsi"/>
                <w:bCs/>
                <w:szCs w:val="24"/>
                <w:lang w:val="en-IE"/>
              </w:rPr>
              <w:t>NIE</w:t>
            </w:r>
          </w:p>
        </w:tc>
      </w:tr>
      <w:tr w:rsidR="00BB3222" w:rsidRPr="00973953" w14:paraId="10AABC2D" w14:textId="77777777" w:rsidTr="00B979C6">
        <w:trPr>
          <w:trHeight w:val="1262"/>
        </w:trPr>
        <w:tc>
          <w:tcPr>
            <w:tcW w:w="5920" w:type="dxa"/>
          </w:tcPr>
          <w:p w14:paraId="4DC1157F" w14:textId="6F147D44" w:rsidR="00BB3222" w:rsidRPr="00000498" w:rsidRDefault="00B207DC" w:rsidP="00B979C6">
            <w:pPr>
              <w:spacing w:before="120" w:after="200" w:line="240" w:lineRule="auto"/>
              <w:rPr>
                <w:rFonts w:asciiTheme="minorHAnsi" w:hAnsiTheme="minorHAnsi" w:cstheme="minorHAnsi"/>
                <w:bCs/>
                <w:szCs w:val="24"/>
                <w:lang w:val="pl-PL"/>
              </w:rPr>
            </w:pPr>
            <w:r w:rsidRPr="00000498">
              <w:rPr>
                <w:rFonts w:asciiTheme="minorHAnsi" w:eastAsia="Times New Roman" w:hAnsiTheme="minorHAnsi" w:cstheme="minorHAnsi"/>
                <w:bCs/>
                <w:szCs w:val="24"/>
                <w:lang w:val="pl-PL"/>
              </w:rPr>
              <w:t>Od momentu przyjęcia, Program będzie korzystał ze zwrotu wydatków kwalifikowalnych na podstawie kosztów jednostkowych, kwot ryczałtowych i stawek ryczałtowych, w ramach priorytetu zgodnie z art. 88 RWP (jeśli odpowiedź brzmi - tak, proszę wypełnić załącznik 2</w:t>
            </w:r>
            <w:r w:rsidR="00BB3222" w:rsidRPr="00000498">
              <w:rPr>
                <w:rFonts w:asciiTheme="minorHAnsi" w:eastAsia="Times New Roman" w:hAnsiTheme="minorHAnsi" w:cstheme="minorHAnsi"/>
                <w:bCs/>
                <w:szCs w:val="24"/>
                <w:lang w:val="pl-PL"/>
              </w:rPr>
              <w:t>)</w:t>
            </w:r>
          </w:p>
        </w:tc>
        <w:tc>
          <w:tcPr>
            <w:tcW w:w="1701" w:type="dxa"/>
          </w:tcPr>
          <w:p w14:paraId="03627A10" w14:textId="77777777" w:rsidR="00BB3222" w:rsidRPr="00000498" w:rsidRDefault="00BB3222" w:rsidP="00B979C6">
            <w:pPr>
              <w:spacing w:before="120" w:after="200" w:line="240" w:lineRule="auto"/>
              <w:rPr>
                <w:rFonts w:asciiTheme="minorHAnsi" w:hAnsiTheme="minorHAnsi" w:cstheme="minorHAnsi"/>
                <w:bCs/>
                <w:szCs w:val="24"/>
                <w:lang w:val="en-IE"/>
              </w:rPr>
            </w:pPr>
            <w:r w:rsidRPr="00000498">
              <w:rPr>
                <w:rFonts w:asciiTheme="minorHAnsi" w:hAnsiTheme="minorHAnsi" w:cstheme="minorHAnsi"/>
                <w:bCs/>
                <w:szCs w:val="24"/>
                <w:lang w:val="en-IE"/>
              </w:rPr>
              <w:fldChar w:fldCharType="begin">
                <w:ffData>
                  <w:name w:val="Check2"/>
                  <w:enabled/>
                  <w:calcOnExit w:val="0"/>
                  <w:checkBox>
                    <w:sizeAuto/>
                    <w:default w:val="0"/>
                  </w:checkBox>
                </w:ffData>
              </w:fldChar>
            </w:r>
            <w:r w:rsidRPr="00000498">
              <w:rPr>
                <w:rFonts w:asciiTheme="minorHAnsi" w:hAnsiTheme="minorHAnsi" w:cstheme="minorHAnsi"/>
                <w:bCs/>
                <w:szCs w:val="24"/>
                <w:lang w:val="en-IE"/>
              </w:rPr>
              <w:instrText xml:space="preserve"> FORMCHECKBOX </w:instrText>
            </w:r>
            <w:r w:rsidR="00C93217">
              <w:rPr>
                <w:rFonts w:asciiTheme="minorHAnsi" w:hAnsiTheme="minorHAnsi" w:cstheme="minorHAnsi"/>
                <w:bCs/>
                <w:szCs w:val="24"/>
                <w:lang w:val="en-IE"/>
              </w:rPr>
            </w:r>
            <w:r w:rsidR="00C93217">
              <w:rPr>
                <w:rFonts w:asciiTheme="minorHAnsi" w:hAnsiTheme="minorHAnsi" w:cstheme="minorHAnsi"/>
                <w:bCs/>
                <w:szCs w:val="24"/>
                <w:lang w:val="en-IE"/>
              </w:rPr>
              <w:fldChar w:fldCharType="separate"/>
            </w:r>
            <w:r w:rsidRPr="00000498">
              <w:rPr>
                <w:rFonts w:asciiTheme="minorHAnsi" w:hAnsiTheme="minorHAnsi" w:cstheme="minorHAnsi"/>
                <w:bCs/>
                <w:szCs w:val="24"/>
                <w:lang w:val="en-IE"/>
              </w:rPr>
              <w:fldChar w:fldCharType="end"/>
            </w:r>
          </w:p>
        </w:tc>
        <w:tc>
          <w:tcPr>
            <w:tcW w:w="1701" w:type="dxa"/>
          </w:tcPr>
          <w:p w14:paraId="0713FD62" w14:textId="77777777" w:rsidR="00BB3222" w:rsidRPr="00000498" w:rsidRDefault="00BB3222" w:rsidP="00B979C6">
            <w:pPr>
              <w:spacing w:before="120" w:after="200" w:line="240" w:lineRule="auto"/>
              <w:rPr>
                <w:rFonts w:asciiTheme="minorHAnsi" w:hAnsiTheme="minorHAnsi" w:cstheme="minorHAnsi"/>
                <w:bCs/>
                <w:szCs w:val="24"/>
                <w:lang w:val="en-IE"/>
              </w:rPr>
            </w:pPr>
            <w:r w:rsidRPr="00000498">
              <w:rPr>
                <w:rFonts w:asciiTheme="minorHAnsi" w:hAnsiTheme="minorHAnsi" w:cstheme="minorHAnsi"/>
                <w:bCs/>
                <w:szCs w:val="24"/>
                <w:lang w:val="en-IE"/>
              </w:rPr>
              <w:fldChar w:fldCharType="begin">
                <w:ffData>
                  <w:name w:val="Check1"/>
                  <w:enabled/>
                  <w:calcOnExit w:val="0"/>
                  <w:checkBox>
                    <w:sizeAuto/>
                    <w:default w:val="0"/>
                  </w:checkBox>
                </w:ffData>
              </w:fldChar>
            </w:r>
            <w:r w:rsidRPr="00000498">
              <w:rPr>
                <w:rFonts w:asciiTheme="minorHAnsi" w:hAnsiTheme="minorHAnsi" w:cstheme="minorHAnsi"/>
                <w:bCs/>
                <w:szCs w:val="24"/>
                <w:lang w:val="en-IE"/>
              </w:rPr>
              <w:instrText xml:space="preserve"> FORMCHECKBOX </w:instrText>
            </w:r>
            <w:r w:rsidR="00C93217">
              <w:rPr>
                <w:rFonts w:asciiTheme="minorHAnsi" w:hAnsiTheme="minorHAnsi" w:cstheme="minorHAnsi"/>
                <w:bCs/>
                <w:szCs w:val="24"/>
                <w:lang w:val="en-IE"/>
              </w:rPr>
            </w:r>
            <w:r w:rsidR="00C93217">
              <w:rPr>
                <w:rFonts w:asciiTheme="minorHAnsi" w:hAnsiTheme="minorHAnsi" w:cstheme="minorHAnsi"/>
                <w:bCs/>
                <w:szCs w:val="24"/>
                <w:lang w:val="en-IE"/>
              </w:rPr>
              <w:fldChar w:fldCharType="separate"/>
            </w:r>
            <w:r w:rsidRPr="00000498">
              <w:rPr>
                <w:rFonts w:asciiTheme="minorHAnsi" w:hAnsiTheme="minorHAnsi" w:cstheme="minorHAnsi"/>
                <w:bCs/>
                <w:szCs w:val="24"/>
                <w:lang w:val="en-IE"/>
              </w:rPr>
              <w:fldChar w:fldCharType="end"/>
            </w:r>
          </w:p>
          <w:p w14:paraId="73F171E1" w14:textId="6062BB0E" w:rsidR="00DF1D14" w:rsidRPr="00000498" w:rsidRDefault="00DF1D14" w:rsidP="00B979C6">
            <w:pPr>
              <w:spacing w:before="120" w:after="200" w:line="240" w:lineRule="auto"/>
              <w:rPr>
                <w:rFonts w:asciiTheme="minorHAnsi" w:hAnsiTheme="minorHAnsi" w:cstheme="minorHAnsi"/>
                <w:bCs/>
                <w:szCs w:val="24"/>
                <w:lang w:val="en-IE"/>
              </w:rPr>
            </w:pPr>
            <w:r w:rsidRPr="00000498">
              <w:rPr>
                <w:rFonts w:asciiTheme="minorHAnsi" w:hAnsiTheme="minorHAnsi" w:cstheme="minorHAnsi"/>
                <w:bCs/>
                <w:szCs w:val="24"/>
                <w:lang w:val="en-IE"/>
              </w:rPr>
              <w:t>X</w:t>
            </w:r>
          </w:p>
        </w:tc>
      </w:tr>
      <w:tr w:rsidR="00BB3222" w:rsidRPr="00973953" w14:paraId="1EB24C27" w14:textId="77777777" w:rsidTr="002B60B6">
        <w:trPr>
          <w:trHeight w:val="1120"/>
        </w:trPr>
        <w:tc>
          <w:tcPr>
            <w:tcW w:w="5920" w:type="dxa"/>
          </w:tcPr>
          <w:p w14:paraId="0101D282" w14:textId="462A9AF0" w:rsidR="00BB3222" w:rsidRPr="00000498" w:rsidRDefault="00B207DC" w:rsidP="00B979C6">
            <w:pPr>
              <w:spacing w:before="240" w:after="240" w:line="240" w:lineRule="auto"/>
              <w:rPr>
                <w:rFonts w:asciiTheme="minorHAnsi" w:eastAsia="Times New Roman" w:hAnsiTheme="minorHAnsi" w:cstheme="minorHAnsi"/>
                <w:bCs/>
                <w:i/>
                <w:szCs w:val="24"/>
                <w:lang w:val="pl-PL"/>
              </w:rPr>
            </w:pPr>
            <w:r w:rsidRPr="00000498">
              <w:rPr>
                <w:rFonts w:asciiTheme="minorHAnsi" w:eastAsia="Times New Roman" w:hAnsiTheme="minorHAnsi" w:cstheme="minorHAnsi"/>
                <w:bCs/>
                <w:szCs w:val="24"/>
                <w:lang w:val="pl-PL"/>
              </w:rPr>
              <w:t>Od momentu przyjęcia, Program będzie korzystał z finansowania niezwiązanego z kosztami zgodnie z art.89 RWP (jeśli odpowiedź brzmi - tak, proszę wypełnić załącznik 3</w:t>
            </w:r>
            <w:r w:rsidR="00BB3222" w:rsidRPr="00000498">
              <w:rPr>
                <w:rFonts w:asciiTheme="minorHAnsi" w:eastAsia="Times New Roman" w:hAnsiTheme="minorHAnsi" w:cstheme="minorHAnsi"/>
                <w:bCs/>
                <w:szCs w:val="24"/>
                <w:lang w:val="pl-PL"/>
              </w:rPr>
              <w:t>)</w:t>
            </w:r>
          </w:p>
        </w:tc>
        <w:tc>
          <w:tcPr>
            <w:tcW w:w="1701" w:type="dxa"/>
          </w:tcPr>
          <w:p w14:paraId="3DF575A1" w14:textId="77777777" w:rsidR="00BB3222" w:rsidRPr="00000498" w:rsidRDefault="00BB3222" w:rsidP="00B979C6">
            <w:pPr>
              <w:spacing w:before="120" w:after="200" w:line="240" w:lineRule="auto"/>
              <w:rPr>
                <w:rFonts w:asciiTheme="minorHAnsi" w:hAnsiTheme="minorHAnsi" w:cstheme="minorHAnsi"/>
                <w:bCs/>
                <w:szCs w:val="24"/>
                <w:lang w:val="en-IE"/>
              </w:rPr>
            </w:pPr>
            <w:r w:rsidRPr="00000498">
              <w:rPr>
                <w:rFonts w:asciiTheme="minorHAnsi" w:hAnsiTheme="minorHAnsi" w:cstheme="minorHAnsi"/>
                <w:bCs/>
                <w:szCs w:val="24"/>
                <w:lang w:val="en-IE"/>
              </w:rPr>
              <w:fldChar w:fldCharType="begin">
                <w:ffData>
                  <w:name w:val="Check2"/>
                  <w:enabled/>
                  <w:calcOnExit w:val="0"/>
                  <w:checkBox>
                    <w:sizeAuto/>
                    <w:default w:val="0"/>
                  </w:checkBox>
                </w:ffData>
              </w:fldChar>
            </w:r>
            <w:r w:rsidRPr="00000498">
              <w:rPr>
                <w:rFonts w:asciiTheme="minorHAnsi" w:hAnsiTheme="minorHAnsi" w:cstheme="minorHAnsi"/>
                <w:bCs/>
                <w:szCs w:val="24"/>
                <w:lang w:val="en-IE"/>
              </w:rPr>
              <w:instrText xml:space="preserve"> FORMCHECKBOX </w:instrText>
            </w:r>
            <w:r w:rsidR="00C93217">
              <w:rPr>
                <w:rFonts w:asciiTheme="minorHAnsi" w:hAnsiTheme="minorHAnsi" w:cstheme="minorHAnsi"/>
                <w:bCs/>
                <w:szCs w:val="24"/>
                <w:lang w:val="en-IE"/>
              </w:rPr>
            </w:r>
            <w:r w:rsidR="00C93217">
              <w:rPr>
                <w:rFonts w:asciiTheme="minorHAnsi" w:hAnsiTheme="minorHAnsi" w:cstheme="minorHAnsi"/>
                <w:bCs/>
                <w:szCs w:val="24"/>
                <w:lang w:val="en-IE"/>
              </w:rPr>
              <w:fldChar w:fldCharType="separate"/>
            </w:r>
            <w:r w:rsidRPr="00000498">
              <w:rPr>
                <w:rFonts w:asciiTheme="minorHAnsi" w:hAnsiTheme="minorHAnsi" w:cstheme="minorHAnsi"/>
                <w:bCs/>
                <w:szCs w:val="24"/>
                <w:lang w:val="en-IE"/>
              </w:rPr>
              <w:fldChar w:fldCharType="end"/>
            </w:r>
          </w:p>
        </w:tc>
        <w:tc>
          <w:tcPr>
            <w:tcW w:w="1701" w:type="dxa"/>
          </w:tcPr>
          <w:p w14:paraId="698EC053" w14:textId="77777777" w:rsidR="00BB3222" w:rsidRPr="00000498" w:rsidRDefault="00BB3222" w:rsidP="00B979C6">
            <w:pPr>
              <w:spacing w:before="120" w:after="200" w:line="240" w:lineRule="auto"/>
              <w:rPr>
                <w:rFonts w:asciiTheme="minorHAnsi" w:hAnsiTheme="minorHAnsi" w:cstheme="minorHAnsi"/>
                <w:bCs/>
                <w:szCs w:val="24"/>
                <w:lang w:val="en-IE"/>
              </w:rPr>
            </w:pPr>
            <w:r w:rsidRPr="00000498">
              <w:rPr>
                <w:rFonts w:asciiTheme="minorHAnsi" w:hAnsiTheme="minorHAnsi" w:cstheme="minorHAnsi"/>
                <w:bCs/>
                <w:szCs w:val="24"/>
                <w:lang w:val="en-IE"/>
              </w:rPr>
              <w:fldChar w:fldCharType="begin">
                <w:ffData>
                  <w:name w:val="Check2"/>
                  <w:enabled/>
                  <w:calcOnExit w:val="0"/>
                  <w:checkBox>
                    <w:sizeAuto/>
                    <w:default w:val="0"/>
                  </w:checkBox>
                </w:ffData>
              </w:fldChar>
            </w:r>
            <w:r w:rsidRPr="00000498">
              <w:rPr>
                <w:rFonts w:asciiTheme="minorHAnsi" w:hAnsiTheme="minorHAnsi" w:cstheme="minorHAnsi"/>
                <w:bCs/>
                <w:szCs w:val="24"/>
                <w:lang w:val="en-IE"/>
              </w:rPr>
              <w:instrText xml:space="preserve"> FORMCHECKBOX </w:instrText>
            </w:r>
            <w:r w:rsidR="00C93217">
              <w:rPr>
                <w:rFonts w:asciiTheme="minorHAnsi" w:hAnsiTheme="minorHAnsi" w:cstheme="minorHAnsi"/>
                <w:bCs/>
                <w:szCs w:val="24"/>
                <w:lang w:val="en-IE"/>
              </w:rPr>
            </w:r>
            <w:r w:rsidR="00C93217">
              <w:rPr>
                <w:rFonts w:asciiTheme="minorHAnsi" w:hAnsiTheme="minorHAnsi" w:cstheme="minorHAnsi"/>
                <w:bCs/>
                <w:szCs w:val="24"/>
                <w:lang w:val="en-IE"/>
              </w:rPr>
              <w:fldChar w:fldCharType="separate"/>
            </w:r>
            <w:r w:rsidRPr="00000498">
              <w:rPr>
                <w:rFonts w:asciiTheme="minorHAnsi" w:hAnsiTheme="minorHAnsi" w:cstheme="minorHAnsi"/>
                <w:bCs/>
                <w:szCs w:val="24"/>
                <w:lang w:val="en-IE"/>
              </w:rPr>
              <w:fldChar w:fldCharType="end"/>
            </w:r>
          </w:p>
          <w:p w14:paraId="0CAE885F" w14:textId="6CEF1178" w:rsidR="00DF1D14" w:rsidRPr="00000498" w:rsidRDefault="00DF1D14" w:rsidP="00B979C6">
            <w:pPr>
              <w:spacing w:before="120" w:after="200" w:line="240" w:lineRule="auto"/>
              <w:rPr>
                <w:rFonts w:asciiTheme="minorHAnsi" w:hAnsiTheme="minorHAnsi" w:cstheme="minorHAnsi"/>
                <w:bCs/>
                <w:szCs w:val="24"/>
                <w:lang w:val="en-IE"/>
              </w:rPr>
            </w:pPr>
            <w:r w:rsidRPr="00000498">
              <w:rPr>
                <w:rFonts w:asciiTheme="minorHAnsi" w:hAnsiTheme="minorHAnsi" w:cstheme="minorHAnsi"/>
                <w:bCs/>
                <w:szCs w:val="24"/>
                <w:lang w:val="en-IE"/>
              </w:rPr>
              <w:t xml:space="preserve">X </w:t>
            </w:r>
          </w:p>
        </w:tc>
      </w:tr>
    </w:tbl>
    <w:p w14:paraId="39202B04" w14:textId="09BAD724" w:rsidR="00BB3222" w:rsidRPr="00F879CC" w:rsidRDefault="00BB3222" w:rsidP="00F50542">
      <w:pPr>
        <w:spacing w:after="200" w:line="276" w:lineRule="auto"/>
        <w:jc w:val="both"/>
        <w:rPr>
          <w:rFonts w:asciiTheme="minorHAnsi" w:eastAsia="Times New Roman" w:hAnsiTheme="minorHAnsi" w:cstheme="minorHAnsi"/>
          <w:b/>
          <w:sz w:val="22"/>
          <w:lang w:val="en-IE" w:eastAsia="en-GB"/>
        </w:rPr>
      </w:pPr>
    </w:p>
    <w:p w14:paraId="7FC7E646" w14:textId="77777777" w:rsidR="00B207DC" w:rsidRDefault="00B207DC" w:rsidP="00000498">
      <w:pPr>
        <w:spacing w:line="276" w:lineRule="auto"/>
        <w:rPr>
          <w:rFonts w:asciiTheme="minorHAnsi" w:eastAsia="Times New Roman" w:hAnsiTheme="minorHAnsi" w:cstheme="minorHAnsi"/>
          <w:bCs/>
          <w:szCs w:val="24"/>
          <w:lang w:val="pl-PL" w:eastAsia="en-GB"/>
        </w:rPr>
      </w:pPr>
      <w:r w:rsidRPr="00000498">
        <w:rPr>
          <w:rFonts w:asciiTheme="minorHAnsi" w:eastAsia="Times New Roman" w:hAnsiTheme="minorHAnsi" w:cstheme="minorHAnsi"/>
          <w:b/>
          <w:bCs/>
          <w:szCs w:val="24"/>
          <w:lang w:val="pl-PL" w:eastAsia="en-GB"/>
        </w:rPr>
        <w:t>Komentarze IZ/JS</w:t>
      </w:r>
      <w:r w:rsidRPr="00000498">
        <w:rPr>
          <w:rFonts w:asciiTheme="minorHAnsi" w:eastAsia="Times New Roman" w:hAnsiTheme="minorHAnsi" w:cstheme="minorHAnsi"/>
          <w:bCs/>
          <w:szCs w:val="24"/>
          <w:lang w:val="pl-PL" w:eastAsia="en-GB"/>
        </w:rPr>
        <w:t xml:space="preserve"> (skopiowane z INTERACT Q&amp;A związane z szablonem programu Interreg):</w:t>
      </w:r>
    </w:p>
    <w:p w14:paraId="2CEA9777" w14:textId="3EC168F4" w:rsidR="00CF17E8" w:rsidRDefault="00CF17E8" w:rsidP="00000498">
      <w:pPr>
        <w:spacing w:line="276" w:lineRule="auto"/>
        <w:rPr>
          <w:rFonts w:asciiTheme="minorHAnsi" w:eastAsia="Times New Roman" w:hAnsiTheme="minorHAnsi" w:cstheme="minorHAnsi"/>
          <w:bCs/>
          <w:szCs w:val="24"/>
          <w:lang w:val="pl-PL" w:eastAsia="en-GB"/>
        </w:rPr>
      </w:pPr>
    </w:p>
    <w:p w14:paraId="7D610FD5" w14:textId="77777777" w:rsidR="00566234" w:rsidRPr="00000498" w:rsidRDefault="00566234" w:rsidP="00000498">
      <w:pPr>
        <w:spacing w:line="276" w:lineRule="auto"/>
        <w:rPr>
          <w:rFonts w:asciiTheme="minorHAnsi" w:eastAsia="Times New Roman" w:hAnsiTheme="minorHAnsi" w:cstheme="minorHAnsi"/>
          <w:bCs/>
          <w:szCs w:val="24"/>
          <w:lang w:val="pl-PL" w:eastAsia="en-GB"/>
        </w:rPr>
      </w:pPr>
    </w:p>
    <w:p w14:paraId="29C0AD47" w14:textId="43FD8C44" w:rsidR="00DF1D14" w:rsidRPr="00000498" w:rsidRDefault="00B207DC" w:rsidP="00000498">
      <w:pPr>
        <w:spacing w:line="276" w:lineRule="auto"/>
        <w:rPr>
          <w:rFonts w:asciiTheme="minorHAnsi" w:hAnsiTheme="minorHAnsi" w:cstheme="minorHAnsi"/>
          <w:szCs w:val="24"/>
          <w:lang w:val="pl-PL"/>
        </w:rPr>
      </w:pPr>
      <w:r w:rsidRPr="00000498">
        <w:rPr>
          <w:rFonts w:asciiTheme="minorHAnsi" w:eastAsia="Times New Roman" w:hAnsiTheme="minorHAnsi" w:cstheme="minorHAnsi"/>
          <w:bCs/>
          <w:szCs w:val="24"/>
          <w:u w:val="single"/>
          <w:lang w:val="pl-PL" w:eastAsia="en-GB"/>
        </w:rPr>
        <w:t>Załącznik 2</w:t>
      </w:r>
      <w:r w:rsidRPr="00000498">
        <w:rPr>
          <w:rFonts w:asciiTheme="minorHAnsi" w:eastAsia="Times New Roman" w:hAnsiTheme="minorHAnsi" w:cstheme="minorHAnsi"/>
          <w:bCs/>
          <w:szCs w:val="24"/>
          <w:lang w:val="pl-PL" w:eastAsia="en-GB"/>
        </w:rPr>
        <w:t xml:space="preserve"> (wkład Unii oparty na kosztach jednostkowych, kwotach ryczałtowych i stawkach ryczałtowych) jest obowiązkowy, jeżeli formy kosztów uproszczonych opierają się na art. 46 i art. 88 RWP (stosunek refundacji między KE a programem). Jeżeli opcje kosztów uproszczonych oparte są na art. 48 RWP (realizowane wyłącznie pomiędzy programem a beneficjentem), nie ma potrzeby wypełniania załącznika</w:t>
      </w:r>
      <w:r w:rsidR="00DF1D14" w:rsidRPr="00000498">
        <w:rPr>
          <w:rFonts w:asciiTheme="minorHAnsi" w:hAnsiTheme="minorHAnsi" w:cstheme="minorHAnsi"/>
          <w:szCs w:val="24"/>
          <w:lang w:val="pl-PL"/>
        </w:rPr>
        <w:t>.</w:t>
      </w:r>
    </w:p>
    <w:p w14:paraId="3C7A9592" w14:textId="640217B9" w:rsidR="00DF1D14" w:rsidRPr="00000498" w:rsidRDefault="00B207DC" w:rsidP="00000498">
      <w:pPr>
        <w:spacing w:line="276" w:lineRule="auto"/>
        <w:rPr>
          <w:rFonts w:asciiTheme="minorHAnsi" w:hAnsiTheme="minorHAnsi" w:cstheme="minorHAnsi"/>
          <w:szCs w:val="24"/>
          <w:lang w:val="pl-PL"/>
        </w:rPr>
      </w:pPr>
      <w:r w:rsidRPr="00000498">
        <w:rPr>
          <w:rFonts w:asciiTheme="minorHAnsi" w:hAnsiTheme="minorHAnsi" w:cstheme="minorHAnsi"/>
          <w:szCs w:val="24"/>
          <w:lang w:val="pl-PL"/>
        </w:rPr>
        <w:t xml:space="preserve">Jeśli chodzi o załącznik 2 (uproszczone formy kosztów), jeżeli program chce uzyskać zwrot kosztów od KE na podstawie uproszczonych opcji kosztów, jak określono w art. 46 projektu rozporządzenia w sprawie wspólnych przepisów, musi to uczynić na podstawie art. 88; nie </w:t>
      </w:r>
      <w:r w:rsidR="00A05A16" w:rsidRPr="00000498">
        <w:rPr>
          <w:rFonts w:asciiTheme="minorHAnsi" w:hAnsiTheme="minorHAnsi" w:cstheme="minorHAnsi"/>
          <w:szCs w:val="24"/>
          <w:lang w:val="pl-PL"/>
        </w:rPr>
        <w:t>ma wyboru</w:t>
      </w:r>
      <w:r w:rsidRPr="00000498">
        <w:rPr>
          <w:rFonts w:asciiTheme="minorHAnsi" w:hAnsiTheme="minorHAnsi" w:cstheme="minorHAnsi"/>
          <w:szCs w:val="24"/>
          <w:lang w:val="pl-PL"/>
        </w:rPr>
        <w:t xml:space="preserve"> (tj. nie może </w:t>
      </w:r>
      <w:r w:rsidR="00CC2329">
        <w:rPr>
          <w:rFonts w:asciiTheme="minorHAnsi" w:hAnsiTheme="minorHAnsi" w:cstheme="minorHAnsi"/>
          <w:szCs w:val="24"/>
          <w:lang w:val="pl-PL"/>
        </w:rPr>
        <w:t xml:space="preserve">stosować </w:t>
      </w:r>
      <w:r w:rsidRPr="00000498">
        <w:rPr>
          <w:rFonts w:asciiTheme="minorHAnsi" w:hAnsiTheme="minorHAnsi" w:cstheme="minorHAnsi"/>
          <w:szCs w:val="24"/>
          <w:lang w:val="pl-PL"/>
        </w:rPr>
        <w:t>art. 88, ale musi skorzystać z art. 88). Jednakże, program może równie dobrze zdecydować się na zastosowanie uproszczonych opcji kosztów, jak ma to miejsce w obecnym okresie, tj. skorzystać z uproszczonych opcji kosztów w celu zwrotu kosztów beneficjentom. Będzie to jednak odbywać się między beneficjentami IZ, a zwrot kosztów programu nie będzie dokonywany na podstawie uproszczonych opcji kosztów zgodnie z art. 46 lit. b) c) lub d) projektu rozporządzenia w sprawie wspólnych przepisów. Relację między beneficjentami IZ w tym zakresie reguluje art. 48; w tym sensie zastosowanie art. 88 (i wypełnienie załącznika 2) nie jest obowiązkowe</w:t>
      </w:r>
      <w:r w:rsidR="00DF1D14" w:rsidRPr="00000498">
        <w:rPr>
          <w:rFonts w:asciiTheme="minorHAnsi" w:hAnsiTheme="minorHAnsi" w:cstheme="minorHAnsi"/>
          <w:szCs w:val="24"/>
          <w:lang w:val="pl-PL"/>
        </w:rPr>
        <w:t>.</w:t>
      </w:r>
    </w:p>
    <w:p w14:paraId="213A524F" w14:textId="0801CD38" w:rsidR="00DF1D14" w:rsidRPr="00000498" w:rsidRDefault="00B207DC" w:rsidP="00000498">
      <w:pPr>
        <w:spacing w:line="276" w:lineRule="auto"/>
        <w:rPr>
          <w:rFonts w:asciiTheme="minorHAnsi" w:eastAsia="Times New Roman" w:hAnsiTheme="minorHAnsi" w:cstheme="minorHAnsi"/>
          <w:bCs/>
          <w:szCs w:val="24"/>
          <w:lang w:val="pl-PL" w:eastAsia="en-GB"/>
        </w:rPr>
      </w:pPr>
      <w:r w:rsidRPr="00000498">
        <w:rPr>
          <w:rFonts w:asciiTheme="minorHAnsi" w:hAnsiTheme="minorHAnsi" w:cstheme="minorHAnsi"/>
          <w:szCs w:val="24"/>
          <w:u w:val="single"/>
          <w:lang w:val="pl-PL"/>
        </w:rPr>
        <w:lastRenderedPageBreak/>
        <w:t>Załącznik 3</w:t>
      </w:r>
      <w:r w:rsidRPr="00000498">
        <w:rPr>
          <w:rFonts w:asciiTheme="minorHAnsi" w:hAnsiTheme="minorHAnsi" w:cstheme="minorHAnsi"/>
          <w:szCs w:val="24"/>
          <w:lang w:val="pl-PL"/>
        </w:rPr>
        <w:t xml:space="preserve"> (wkład Unii oparty na finansowaniu niepowiązanym z kosztami) jest obowiązkowy, jeżeli finansowanie niepowiązane z kosztami jest stosowane zgodnie z </w:t>
      </w:r>
      <w:r w:rsidR="00A05A16" w:rsidRPr="00000498">
        <w:rPr>
          <w:rFonts w:asciiTheme="minorHAnsi" w:hAnsiTheme="minorHAnsi" w:cstheme="minorHAnsi"/>
          <w:szCs w:val="24"/>
          <w:lang w:val="pl-PL"/>
        </w:rPr>
        <w:t>art. 46 i</w:t>
      </w:r>
      <w:r w:rsidRPr="00000498">
        <w:rPr>
          <w:rFonts w:asciiTheme="minorHAnsi" w:hAnsiTheme="minorHAnsi" w:cstheme="minorHAnsi"/>
          <w:szCs w:val="24"/>
          <w:lang w:val="pl-PL"/>
        </w:rPr>
        <w:t xml:space="preserve"> </w:t>
      </w:r>
      <w:r w:rsidR="00A05A16" w:rsidRPr="00000498">
        <w:rPr>
          <w:rFonts w:asciiTheme="minorHAnsi" w:hAnsiTheme="minorHAnsi" w:cstheme="minorHAnsi"/>
          <w:szCs w:val="24"/>
          <w:lang w:val="pl-PL"/>
        </w:rPr>
        <w:t>art. 89 RWP</w:t>
      </w:r>
      <w:r w:rsidRPr="00000498">
        <w:rPr>
          <w:rFonts w:asciiTheme="minorHAnsi" w:hAnsiTheme="minorHAnsi" w:cstheme="minorHAnsi"/>
          <w:szCs w:val="24"/>
          <w:lang w:val="pl-PL"/>
        </w:rPr>
        <w:t xml:space="preserve"> (stosunek refundacji między KE a programem</w:t>
      </w:r>
      <w:r w:rsidR="00DF1D14" w:rsidRPr="00000498">
        <w:rPr>
          <w:rFonts w:asciiTheme="minorHAnsi" w:hAnsiTheme="minorHAnsi" w:cstheme="minorHAnsi"/>
          <w:szCs w:val="24"/>
          <w:lang w:val="pl-PL"/>
        </w:rPr>
        <w:t>).</w:t>
      </w:r>
    </w:p>
    <w:p w14:paraId="5AB4DB4E" w14:textId="77777777" w:rsidR="00B979C6" w:rsidRPr="00F879CC" w:rsidRDefault="00B979C6" w:rsidP="00B77F10">
      <w:pPr>
        <w:spacing w:after="200" w:line="276" w:lineRule="auto"/>
        <w:jc w:val="both"/>
        <w:rPr>
          <w:rFonts w:asciiTheme="minorHAnsi" w:eastAsia="Times New Roman" w:hAnsiTheme="minorHAnsi" w:cstheme="minorHAnsi"/>
          <w:b/>
          <w:sz w:val="22"/>
          <w:lang w:val="pl-PL" w:eastAsia="en-GB"/>
        </w:rPr>
      </w:pPr>
    </w:p>
    <w:p w14:paraId="4DD4F119" w14:textId="77777777" w:rsidR="00B207DC" w:rsidRPr="00F879CC" w:rsidRDefault="00B207DC" w:rsidP="00B77F10">
      <w:pPr>
        <w:spacing w:after="200" w:line="276" w:lineRule="auto"/>
        <w:jc w:val="both"/>
        <w:rPr>
          <w:rFonts w:asciiTheme="minorHAnsi" w:eastAsia="Times New Roman" w:hAnsiTheme="minorHAnsi" w:cstheme="minorHAnsi"/>
          <w:b/>
          <w:sz w:val="22"/>
          <w:lang w:val="pl-PL" w:eastAsia="en-GB"/>
        </w:rPr>
      </w:pPr>
    </w:p>
    <w:p w14:paraId="178BBE50" w14:textId="056FDE84" w:rsidR="00F50542" w:rsidRPr="00000498" w:rsidRDefault="00B207DC" w:rsidP="00000498">
      <w:pPr>
        <w:spacing w:after="200" w:line="276" w:lineRule="auto"/>
        <w:rPr>
          <w:rFonts w:asciiTheme="minorHAnsi" w:eastAsia="Times New Roman" w:hAnsiTheme="minorHAnsi" w:cstheme="minorHAnsi"/>
          <w:b/>
          <w:szCs w:val="24"/>
          <w:lang w:val="pl-PL" w:eastAsia="en-GB"/>
        </w:rPr>
      </w:pPr>
      <w:r w:rsidRPr="00000498">
        <w:rPr>
          <w:rFonts w:asciiTheme="minorHAnsi" w:eastAsia="Times New Roman" w:hAnsiTheme="minorHAnsi" w:cstheme="minorHAnsi"/>
          <w:b/>
          <w:szCs w:val="24"/>
          <w:lang w:val="pl-PL" w:eastAsia="en-GB"/>
        </w:rPr>
        <w:t>ZAŁĄCZNIKI</w:t>
      </w:r>
      <w:r w:rsidR="00B77F10" w:rsidRPr="00000498">
        <w:rPr>
          <w:rFonts w:asciiTheme="minorHAnsi" w:eastAsia="Times New Roman" w:hAnsiTheme="minorHAnsi" w:cstheme="minorHAnsi"/>
          <w:b/>
          <w:szCs w:val="24"/>
          <w:lang w:val="pl-PL" w:eastAsia="en-GB"/>
        </w:rPr>
        <w:t xml:space="preserve"> (</w:t>
      </w:r>
      <w:r w:rsidR="00B63C68">
        <w:rPr>
          <w:rFonts w:asciiTheme="minorHAnsi" w:eastAsia="Times New Roman" w:hAnsiTheme="minorHAnsi" w:cstheme="minorHAnsi"/>
          <w:b/>
          <w:szCs w:val="24"/>
          <w:lang w:val="pl-PL" w:eastAsia="en-GB"/>
        </w:rPr>
        <w:t>jeszcze nie opracowane</w:t>
      </w:r>
      <w:r w:rsidR="00B77F10" w:rsidRPr="00000498">
        <w:rPr>
          <w:rFonts w:asciiTheme="minorHAnsi" w:eastAsia="Times New Roman" w:hAnsiTheme="minorHAnsi" w:cstheme="minorHAnsi"/>
          <w:b/>
          <w:szCs w:val="24"/>
          <w:lang w:val="pl-PL" w:eastAsia="en-GB"/>
        </w:rPr>
        <w:t>)</w:t>
      </w:r>
    </w:p>
    <w:p w14:paraId="6710BEA1" w14:textId="30225E41" w:rsidR="00F50542" w:rsidRPr="00D46C82" w:rsidRDefault="00B207DC" w:rsidP="00000498">
      <w:pPr>
        <w:spacing w:after="240" w:line="276" w:lineRule="auto"/>
        <w:ind w:left="1418" w:hanging="1418"/>
        <w:rPr>
          <w:rFonts w:asciiTheme="minorHAnsi" w:eastAsia="Times New Roman" w:hAnsiTheme="minorHAnsi" w:cstheme="minorHAnsi"/>
          <w:bCs/>
          <w:szCs w:val="24"/>
          <w:lang w:val="pl-PL"/>
        </w:rPr>
      </w:pPr>
      <w:r w:rsidRPr="00973953">
        <w:rPr>
          <w:rFonts w:asciiTheme="minorHAnsi" w:eastAsia="Times New Roman" w:hAnsiTheme="minorHAnsi" w:cstheme="minorHAnsi"/>
          <w:bCs/>
          <w:szCs w:val="24"/>
          <w:lang w:val="pl-PL"/>
        </w:rPr>
        <w:t>Załącznik</w:t>
      </w:r>
      <w:r w:rsidR="00F50542" w:rsidRPr="00D46C82">
        <w:rPr>
          <w:rFonts w:asciiTheme="minorHAnsi" w:eastAsia="Times New Roman" w:hAnsiTheme="minorHAnsi" w:cstheme="minorHAnsi"/>
          <w:bCs/>
          <w:szCs w:val="24"/>
          <w:lang w:val="pl-PL"/>
        </w:rPr>
        <w:t xml:space="preserve"> 1:</w:t>
      </w:r>
      <w:r w:rsidR="00F50542" w:rsidRPr="00D46C82">
        <w:rPr>
          <w:rFonts w:asciiTheme="minorHAnsi" w:eastAsia="Times New Roman" w:hAnsiTheme="minorHAnsi" w:cstheme="minorHAnsi"/>
          <w:bCs/>
          <w:szCs w:val="24"/>
          <w:lang w:val="pl-PL"/>
        </w:rPr>
        <w:tab/>
      </w:r>
      <w:r w:rsidRPr="00D46C82">
        <w:rPr>
          <w:rFonts w:asciiTheme="minorHAnsi" w:eastAsia="Times New Roman" w:hAnsiTheme="minorHAnsi" w:cstheme="minorHAnsi"/>
          <w:bCs/>
          <w:szCs w:val="24"/>
          <w:lang w:val="pl-PL"/>
        </w:rPr>
        <w:t>Mapa obszaru programu</w:t>
      </w:r>
    </w:p>
    <w:p w14:paraId="086E0FD7" w14:textId="7E1C9EC3" w:rsidR="00F50542" w:rsidRPr="00973953" w:rsidRDefault="00B207DC" w:rsidP="00000498">
      <w:pPr>
        <w:spacing w:after="240" w:line="276" w:lineRule="auto"/>
        <w:ind w:left="1418" w:hanging="1418"/>
        <w:rPr>
          <w:rFonts w:asciiTheme="minorHAnsi" w:hAnsiTheme="minorHAnsi" w:cstheme="minorHAnsi"/>
          <w:bCs/>
          <w:i/>
          <w:szCs w:val="24"/>
          <w:lang w:val="pl-PL"/>
        </w:rPr>
      </w:pPr>
      <w:r w:rsidRPr="00973953">
        <w:rPr>
          <w:rFonts w:asciiTheme="minorHAnsi" w:eastAsia="Times New Roman" w:hAnsiTheme="minorHAnsi" w:cstheme="minorHAnsi"/>
          <w:bCs/>
          <w:szCs w:val="24"/>
          <w:lang w:val="pl-PL"/>
        </w:rPr>
        <w:t>Załącznik</w:t>
      </w:r>
      <w:r w:rsidR="00F50542" w:rsidRPr="00973953">
        <w:rPr>
          <w:rFonts w:asciiTheme="minorHAnsi" w:eastAsia="Times New Roman" w:hAnsiTheme="minorHAnsi" w:cstheme="minorHAnsi"/>
          <w:bCs/>
          <w:szCs w:val="24"/>
          <w:lang w:val="pl-PL"/>
        </w:rPr>
        <w:t xml:space="preserve"> 2:</w:t>
      </w:r>
      <w:r w:rsidR="00F50542" w:rsidRPr="00973953">
        <w:rPr>
          <w:rFonts w:asciiTheme="minorHAnsi" w:eastAsia="Times New Roman" w:hAnsiTheme="minorHAnsi" w:cstheme="minorHAnsi"/>
          <w:bCs/>
          <w:szCs w:val="24"/>
          <w:lang w:val="pl-PL"/>
        </w:rPr>
        <w:tab/>
      </w:r>
      <w:r w:rsidR="00A401A3" w:rsidRPr="00973953">
        <w:rPr>
          <w:rFonts w:asciiTheme="minorHAnsi" w:eastAsia="Times New Roman" w:hAnsiTheme="minorHAnsi" w:cstheme="minorHAnsi"/>
          <w:bCs/>
          <w:szCs w:val="24"/>
          <w:lang w:val="pl-PL"/>
        </w:rPr>
        <w:t>Wkład Unii oparty na kosztach jednostkowych, kwotach ryczałtowych i stawkach ryczałtowych</w:t>
      </w:r>
      <w:r w:rsidR="00F50542" w:rsidRPr="00973953">
        <w:rPr>
          <w:rFonts w:asciiTheme="minorHAnsi" w:eastAsia="Times New Roman" w:hAnsiTheme="minorHAnsi" w:cstheme="minorHAnsi"/>
          <w:bCs/>
          <w:szCs w:val="24"/>
          <w:lang w:val="pl-PL"/>
        </w:rPr>
        <w:t xml:space="preserve"> </w:t>
      </w:r>
    </w:p>
    <w:p w14:paraId="189ABE25" w14:textId="7AC20951" w:rsidR="00187CE3" w:rsidRPr="00973953" w:rsidRDefault="00A401A3" w:rsidP="00000498">
      <w:pPr>
        <w:spacing w:after="240" w:line="276" w:lineRule="auto"/>
        <w:ind w:left="1418" w:hanging="1418"/>
        <w:rPr>
          <w:rFonts w:asciiTheme="minorHAnsi" w:hAnsiTheme="minorHAnsi" w:cstheme="minorHAnsi"/>
          <w:i/>
          <w:szCs w:val="24"/>
          <w:lang w:val="pl-PL"/>
        </w:rPr>
      </w:pPr>
      <w:r w:rsidRPr="00973953">
        <w:rPr>
          <w:rFonts w:asciiTheme="minorHAnsi" w:eastAsia="Times New Roman" w:hAnsiTheme="minorHAnsi" w:cstheme="minorHAnsi"/>
          <w:bCs/>
          <w:szCs w:val="24"/>
          <w:lang w:val="pl-PL"/>
        </w:rPr>
        <w:t>Załącznik</w:t>
      </w:r>
      <w:r w:rsidR="000E01AC" w:rsidRPr="00973953">
        <w:rPr>
          <w:rFonts w:asciiTheme="minorHAnsi" w:eastAsia="Times New Roman" w:hAnsiTheme="minorHAnsi" w:cstheme="minorHAnsi"/>
          <w:bCs/>
          <w:szCs w:val="24"/>
          <w:lang w:val="pl-PL"/>
        </w:rPr>
        <w:t xml:space="preserve"> 3</w:t>
      </w:r>
      <w:r w:rsidR="000E01AC" w:rsidRPr="00973953">
        <w:rPr>
          <w:rFonts w:asciiTheme="minorHAnsi" w:eastAsia="Times New Roman" w:hAnsiTheme="minorHAnsi" w:cstheme="minorHAnsi"/>
          <w:bCs/>
          <w:szCs w:val="24"/>
          <w:lang w:val="pl-PL"/>
        </w:rPr>
        <w:tab/>
      </w:r>
      <w:r w:rsidRPr="00973953">
        <w:rPr>
          <w:rFonts w:asciiTheme="minorHAnsi" w:eastAsia="Times New Roman" w:hAnsiTheme="minorHAnsi" w:cstheme="minorHAnsi"/>
          <w:bCs/>
          <w:szCs w:val="24"/>
          <w:lang w:val="pl-PL"/>
        </w:rPr>
        <w:t>Wkład Unii oparty na finansowaniu niepowiązanym z kosztami</w:t>
      </w:r>
      <w:r w:rsidR="00F50542" w:rsidRPr="00973953">
        <w:rPr>
          <w:rFonts w:asciiTheme="minorHAnsi" w:eastAsia="Times New Roman" w:hAnsiTheme="minorHAnsi" w:cstheme="minorHAnsi"/>
          <w:bCs/>
          <w:szCs w:val="24"/>
          <w:lang w:val="pl-PL"/>
        </w:rPr>
        <w:t xml:space="preserve"> </w:t>
      </w:r>
    </w:p>
    <w:p w14:paraId="5085B737" w14:textId="1B9B56D5" w:rsidR="000E01AC" w:rsidRPr="00973953" w:rsidRDefault="00A401A3" w:rsidP="00000498">
      <w:pPr>
        <w:spacing w:after="240" w:line="276" w:lineRule="auto"/>
        <w:ind w:left="1418" w:hanging="1418"/>
        <w:rPr>
          <w:rFonts w:asciiTheme="minorHAnsi" w:eastAsia="Times New Roman" w:hAnsiTheme="minorHAnsi" w:cstheme="minorHAnsi"/>
          <w:bCs/>
          <w:szCs w:val="24"/>
          <w:lang w:val="pl-PL"/>
        </w:rPr>
      </w:pPr>
      <w:r w:rsidRPr="00973953">
        <w:rPr>
          <w:rFonts w:asciiTheme="minorHAnsi" w:eastAsia="Times New Roman" w:hAnsiTheme="minorHAnsi" w:cstheme="minorHAnsi"/>
          <w:bCs/>
          <w:szCs w:val="24"/>
          <w:lang w:val="pl-PL"/>
        </w:rPr>
        <w:t>Załącznik</w:t>
      </w:r>
      <w:r w:rsidR="000E01AC" w:rsidRPr="00973953">
        <w:rPr>
          <w:rFonts w:asciiTheme="minorHAnsi" w:eastAsia="Times New Roman" w:hAnsiTheme="minorHAnsi" w:cstheme="minorHAnsi"/>
          <w:bCs/>
          <w:szCs w:val="24"/>
          <w:lang w:val="pl-PL"/>
        </w:rPr>
        <w:t xml:space="preserve"> 3a: </w:t>
      </w:r>
      <w:r w:rsidR="000E01AC" w:rsidRPr="00973953">
        <w:rPr>
          <w:rFonts w:asciiTheme="minorHAnsi" w:eastAsia="Times New Roman" w:hAnsiTheme="minorHAnsi" w:cstheme="minorHAnsi"/>
          <w:bCs/>
          <w:szCs w:val="24"/>
          <w:lang w:val="pl-PL"/>
        </w:rPr>
        <w:tab/>
      </w:r>
      <w:r w:rsidRPr="00973953">
        <w:rPr>
          <w:rFonts w:asciiTheme="minorHAnsi" w:eastAsia="Times New Roman" w:hAnsiTheme="minorHAnsi" w:cstheme="minorHAnsi"/>
          <w:bCs/>
          <w:szCs w:val="24"/>
          <w:lang w:val="pl-PL"/>
        </w:rPr>
        <w:t>Lista planowanych operacji o znaczeniu strategicznym wraz z harmonogramem</w:t>
      </w:r>
    </w:p>
    <w:p w14:paraId="349F1A7D" w14:textId="77777777" w:rsidR="00F50542" w:rsidRPr="00F879CC" w:rsidRDefault="00F50542" w:rsidP="00F50542">
      <w:pPr>
        <w:spacing w:after="240" w:line="276" w:lineRule="auto"/>
        <w:rPr>
          <w:rFonts w:asciiTheme="minorHAnsi" w:hAnsiTheme="minorHAnsi" w:cstheme="minorHAnsi"/>
          <w:b/>
          <w:sz w:val="22"/>
          <w:u w:val="single"/>
          <w:lang w:val="pl-PL"/>
        </w:rPr>
        <w:sectPr w:rsidR="00F50542" w:rsidRPr="00F879CC" w:rsidSect="00B979C6">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134" w:left="1417" w:header="708" w:footer="708" w:gutter="0"/>
          <w:cols w:space="708"/>
          <w:docGrid w:linePitch="360"/>
        </w:sectPr>
      </w:pPr>
    </w:p>
    <w:p w14:paraId="56C805D3" w14:textId="336B4F78" w:rsidR="00F50542" w:rsidRPr="00000498" w:rsidRDefault="00F50542" w:rsidP="00D46C82">
      <w:pPr>
        <w:spacing w:after="240" w:line="276" w:lineRule="auto"/>
        <w:rPr>
          <w:rFonts w:asciiTheme="minorHAnsi" w:hAnsiTheme="minorHAnsi" w:cstheme="minorHAnsi"/>
          <w:b/>
          <w:szCs w:val="24"/>
          <w:u w:val="single"/>
          <w:lang w:val="en-IE"/>
        </w:rPr>
      </w:pPr>
      <w:r w:rsidRPr="00000498">
        <w:rPr>
          <w:rFonts w:asciiTheme="minorHAnsi" w:hAnsiTheme="minorHAnsi" w:cstheme="minorHAnsi"/>
          <w:b/>
          <w:szCs w:val="24"/>
          <w:u w:val="single"/>
          <w:lang w:val="en-IE"/>
        </w:rPr>
        <w:lastRenderedPageBreak/>
        <w:t>A.</w:t>
      </w:r>
      <w:r w:rsidRPr="00000498">
        <w:rPr>
          <w:rFonts w:asciiTheme="minorHAnsi" w:hAnsiTheme="minorHAnsi" w:cstheme="minorHAnsi"/>
          <w:b/>
          <w:szCs w:val="24"/>
          <w:u w:val="single"/>
          <w:lang w:val="en-IE"/>
        </w:rPr>
        <w:tab/>
      </w:r>
      <w:r w:rsidR="00A401A3" w:rsidRPr="00000498">
        <w:rPr>
          <w:rFonts w:asciiTheme="minorHAnsi" w:hAnsiTheme="minorHAnsi" w:cstheme="minorHAnsi"/>
          <w:b/>
          <w:szCs w:val="24"/>
          <w:u w:val="single"/>
          <w:lang w:val="pl-PL"/>
        </w:rPr>
        <w:t>Podsumowanie podstawowych elementów</w:t>
      </w:r>
      <w:r w:rsidRPr="00000498">
        <w:rPr>
          <w:rFonts w:asciiTheme="minorHAnsi" w:hAnsiTheme="minorHAnsi" w:cstheme="minorHAnsi"/>
          <w:b/>
          <w:szCs w:val="24"/>
          <w:u w:val="single"/>
          <w:lang w:val="en-IE"/>
        </w:rPr>
        <w:t xml:space="preserve"> </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z podsumowaniem podstawowych elementów"/>
      </w:tblPr>
      <w:tblGrid>
        <w:gridCol w:w="1236"/>
        <w:gridCol w:w="1033"/>
        <w:gridCol w:w="1815"/>
        <w:gridCol w:w="2302"/>
        <w:gridCol w:w="2379"/>
        <w:gridCol w:w="781"/>
        <w:gridCol w:w="1488"/>
        <w:gridCol w:w="1704"/>
        <w:gridCol w:w="1812"/>
      </w:tblGrid>
      <w:tr w:rsidR="000E01AC" w:rsidRPr="00367EF1" w14:paraId="2BD40219" w14:textId="77777777" w:rsidTr="00000498">
        <w:trPr>
          <w:tblHeader/>
        </w:trPr>
        <w:tc>
          <w:tcPr>
            <w:tcW w:w="376" w:type="pct"/>
          </w:tcPr>
          <w:p w14:paraId="52945661" w14:textId="5521E96E" w:rsidR="000E01AC" w:rsidRPr="00000498" w:rsidRDefault="00813365" w:rsidP="000E01AC">
            <w:pPr>
              <w:spacing w:after="200" w:line="276" w:lineRule="auto"/>
              <w:jc w:val="center"/>
              <w:rPr>
                <w:rFonts w:asciiTheme="minorHAnsi" w:hAnsiTheme="minorHAnsi" w:cstheme="minorHAnsi"/>
                <w:b/>
                <w:szCs w:val="24"/>
                <w:lang w:val="pl-PL"/>
              </w:rPr>
            </w:pPr>
            <w:r w:rsidRPr="00000498">
              <w:rPr>
                <w:rFonts w:asciiTheme="minorHAnsi" w:hAnsiTheme="minorHAnsi" w:cstheme="minorHAnsi"/>
                <w:b/>
                <w:szCs w:val="24"/>
                <w:lang w:val="pl-PL"/>
              </w:rPr>
              <w:t>Priorytet</w:t>
            </w:r>
            <w:r w:rsidR="000E01AC" w:rsidRPr="00000498">
              <w:rPr>
                <w:rFonts w:asciiTheme="minorHAnsi" w:hAnsiTheme="minorHAnsi" w:cstheme="minorHAnsi"/>
                <w:b/>
                <w:szCs w:val="24"/>
                <w:lang w:val="pl-PL"/>
              </w:rPr>
              <w:t xml:space="preserve"> </w:t>
            </w:r>
          </w:p>
        </w:tc>
        <w:tc>
          <w:tcPr>
            <w:tcW w:w="377" w:type="pct"/>
          </w:tcPr>
          <w:p w14:paraId="1FC2A234" w14:textId="36D481FD" w:rsidR="000E01AC" w:rsidRPr="00000498" w:rsidRDefault="000E01AC" w:rsidP="000E01AC">
            <w:pPr>
              <w:spacing w:after="200" w:line="276" w:lineRule="auto"/>
              <w:jc w:val="center"/>
              <w:rPr>
                <w:rFonts w:asciiTheme="minorHAnsi" w:hAnsiTheme="minorHAnsi" w:cstheme="minorHAnsi"/>
                <w:b/>
                <w:szCs w:val="24"/>
                <w:lang w:val="pl-PL"/>
              </w:rPr>
            </w:pPr>
            <w:r w:rsidRPr="00000498">
              <w:rPr>
                <w:rFonts w:asciiTheme="minorHAnsi" w:hAnsiTheme="minorHAnsi" w:cstheme="minorHAnsi"/>
                <w:b/>
                <w:szCs w:val="24"/>
                <w:lang w:val="pl-PL"/>
              </w:rPr>
              <w:t>Fund</w:t>
            </w:r>
            <w:r w:rsidR="00A401A3" w:rsidRPr="00000498">
              <w:rPr>
                <w:rFonts w:asciiTheme="minorHAnsi" w:hAnsiTheme="minorHAnsi" w:cstheme="minorHAnsi"/>
                <w:b/>
                <w:szCs w:val="24"/>
                <w:lang w:val="pl-PL"/>
              </w:rPr>
              <w:t>usz</w:t>
            </w:r>
          </w:p>
        </w:tc>
        <w:tc>
          <w:tcPr>
            <w:tcW w:w="502" w:type="pct"/>
          </w:tcPr>
          <w:p w14:paraId="08D56C00" w14:textId="129F9F8A" w:rsidR="000E01AC" w:rsidRPr="00000498" w:rsidRDefault="00A401A3" w:rsidP="000E01AC">
            <w:pPr>
              <w:spacing w:after="200" w:line="276" w:lineRule="auto"/>
              <w:jc w:val="center"/>
              <w:rPr>
                <w:rFonts w:asciiTheme="minorHAnsi" w:hAnsiTheme="minorHAnsi" w:cstheme="minorHAnsi"/>
                <w:b/>
                <w:szCs w:val="24"/>
                <w:lang w:val="pl-PL"/>
              </w:rPr>
            </w:pPr>
            <w:r w:rsidRPr="00000498">
              <w:rPr>
                <w:rFonts w:asciiTheme="minorHAnsi" w:hAnsiTheme="minorHAnsi" w:cstheme="minorHAnsi"/>
                <w:b/>
                <w:szCs w:val="24"/>
                <w:lang w:val="pl-PL" w:eastAsia="en-GB"/>
              </w:rPr>
              <w:t>Kwota objęta finansowaniem, niezwiązana z kosztami</w:t>
            </w:r>
          </w:p>
        </w:tc>
        <w:tc>
          <w:tcPr>
            <w:tcW w:w="829" w:type="pct"/>
            <w:shd w:val="clear" w:color="auto" w:fill="auto"/>
          </w:tcPr>
          <w:p w14:paraId="7E9CFDEF" w14:textId="547990F4" w:rsidR="000E01AC" w:rsidRPr="00000498" w:rsidRDefault="00A401A3" w:rsidP="000E01AC">
            <w:pPr>
              <w:spacing w:after="200" w:line="276" w:lineRule="auto"/>
              <w:jc w:val="center"/>
              <w:rPr>
                <w:rFonts w:asciiTheme="minorHAnsi" w:hAnsiTheme="minorHAnsi" w:cstheme="minorHAnsi"/>
                <w:b/>
                <w:szCs w:val="24"/>
                <w:lang w:val="pl-PL"/>
              </w:rPr>
            </w:pPr>
            <w:r w:rsidRPr="00000498">
              <w:rPr>
                <w:rFonts w:asciiTheme="minorHAnsi" w:hAnsiTheme="minorHAnsi" w:cstheme="minorHAnsi"/>
                <w:b/>
                <w:szCs w:val="24"/>
                <w:lang w:val="pl-PL"/>
              </w:rPr>
              <w:t>Typ (-y) operacji</w:t>
            </w:r>
          </w:p>
        </w:tc>
        <w:tc>
          <w:tcPr>
            <w:tcW w:w="847" w:type="pct"/>
          </w:tcPr>
          <w:p w14:paraId="67C6B408" w14:textId="6DD121F5" w:rsidR="000E01AC" w:rsidRPr="00000498" w:rsidRDefault="00A401A3" w:rsidP="000E01AC">
            <w:pPr>
              <w:spacing w:after="200" w:line="276" w:lineRule="auto"/>
              <w:jc w:val="center"/>
              <w:rPr>
                <w:rFonts w:asciiTheme="minorHAnsi" w:hAnsiTheme="minorHAnsi" w:cstheme="minorHAnsi"/>
                <w:b/>
                <w:szCs w:val="24"/>
                <w:lang w:val="pl-PL"/>
              </w:rPr>
            </w:pPr>
            <w:r w:rsidRPr="00000498">
              <w:rPr>
                <w:rFonts w:asciiTheme="minorHAnsi" w:hAnsiTheme="minorHAnsi" w:cstheme="minorHAnsi"/>
                <w:b/>
                <w:szCs w:val="24"/>
                <w:lang w:val="pl-PL"/>
              </w:rPr>
              <w:t>Warunki do spełnienia/wyniki do osiągnięcia</w:t>
            </w:r>
          </w:p>
        </w:tc>
        <w:tc>
          <w:tcPr>
            <w:tcW w:w="838" w:type="pct"/>
            <w:gridSpan w:val="2"/>
            <w:shd w:val="clear" w:color="auto" w:fill="auto"/>
          </w:tcPr>
          <w:p w14:paraId="4CF57AA3" w14:textId="25AFAAA8" w:rsidR="000E01AC" w:rsidRPr="00000498" w:rsidRDefault="00A401A3" w:rsidP="000E01AC">
            <w:pPr>
              <w:spacing w:after="200" w:line="276" w:lineRule="auto"/>
              <w:jc w:val="center"/>
              <w:rPr>
                <w:rFonts w:asciiTheme="minorHAnsi" w:hAnsiTheme="minorHAnsi" w:cstheme="minorHAnsi"/>
                <w:b/>
                <w:szCs w:val="24"/>
                <w:lang w:val="pl-PL"/>
              </w:rPr>
            </w:pPr>
            <w:r w:rsidRPr="00000498">
              <w:rPr>
                <w:rFonts w:asciiTheme="minorHAnsi" w:hAnsiTheme="minorHAnsi" w:cstheme="minorHAnsi"/>
                <w:b/>
                <w:szCs w:val="24"/>
                <w:lang w:val="pl-PL"/>
              </w:rPr>
              <w:t>Nazwa (-y) odpowiednich wskaźników</w:t>
            </w:r>
          </w:p>
        </w:tc>
        <w:tc>
          <w:tcPr>
            <w:tcW w:w="615" w:type="pct"/>
            <w:shd w:val="clear" w:color="auto" w:fill="auto"/>
          </w:tcPr>
          <w:p w14:paraId="006E8FFE" w14:textId="47FA3BCC" w:rsidR="000E01AC" w:rsidRPr="00000498" w:rsidRDefault="00A401A3" w:rsidP="000E01AC">
            <w:pPr>
              <w:spacing w:after="200" w:line="276" w:lineRule="auto"/>
              <w:jc w:val="center"/>
              <w:rPr>
                <w:rFonts w:asciiTheme="minorHAnsi" w:hAnsiTheme="minorHAnsi" w:cstheme="minorHAnsi"/>
                <w:b/>
                <w:szCs w:val="24"/>
                <w:lang w:val="pl-PL"/>
              </w:rPr>
            </w:pPr>
            <w:r w:rsidRPr="00000498">
              <w:rPr>
                <w:rFonts w:asciiTheme="minorHAnsi" w:hAnsiTheme="minorHAnsi" w:cstheme="minorHAnsi"/>
                <w:b/>
                <w:szCs w:val="24"/>
                <w:lang w:val="pl-PL"/>
              </w:rPr>
              <w:t>Jednostka miary dla wskaźnika</w:t>
            </w:r>
          </w:p>
        </w:tc>
        <w:tc>
          <w:tcPr>
            <w:tcW w:w="615" w:type="pct"/>
          </w:tcPr>
          <w:p w14:paraId="2C96AF68" w14:textId="6D49A986" w:rsidR="000E01AC" w:rsidRPr="00000498" w:rsidRDefault="000E01AC" w:rsidP="000E01AC">
            <w:pPr>
              <w:spacing w:after="200" w:line="276" w:lineRule="auto"/>
              <w:jc w:val="center"/>
              <w:rPr>
                <w:rFonts w:asciiTheme="minorHAnsi" w:hAnsiTheme="minorHAnsi" w:cstheme="minorHAnsi"/>
                <w:b/>
                <w:szCs w:val="24"/>
                <w:lang w:val="pl-PL"/>
              </w:rPr>
            </w:pPr>
            <w:r w:rsidRPr="00000498">
              <w:rPr>
                <w:rFonts w:asciiTheme="minorHAnsi" w:hAnsiTheme="minorHAnsi" w:cstheme="minorHAnsi"/>
                <w:b/>
                <w:szCs w:val="24"/>
                <w:u w:val="single"/>
                <w:lang w:val="pl-PL"/>
              </w:rPr>
              <w:t>[</w:t>
            </w:r>
            <w:r w:rsidR="00A401A3" w:rsidRPr="00000498">
              <w:rPr>
                <w:rFonts w:asciiTheme="minorHAnsi" w:hAnsiTheme="minorHAnsi" w:cstheme="minorHAnsi"/>
                <w:b/>
                <w:szCs w:val="24"/>
                <w:lang w:val="pl-PL"/>
              </w:rPr>
              <w:t>Przewidywany zwrot na rzecz beneficjentów</w:t>
            </w:r>
            <w:r w:rsidRPr="00000498">
              <w:rPr>
                <w:rFonts w:asciiTheme="minorHAnsi" w:hAnsiTheme="minorHAnsi" w:cstheme="minorHAnsi"/>
                <w:b/>
                <w:szCs w:val="24"/>
                <w:u w:val="single"/>
                <w:lang w:val="pl-PL"/>
              </w:rPr>
              <w:t>]</w:t>
            </w:r>
            <w:r w:rsidRPr="00000498">
              <w:rPr>
                <w:rStyle w:val="Odwoanieprzypisudolnego"/>
                <w:rFonts w:asciiTheme="minorHAnsi" w:hAnsiTheme="minorHAnsi" w:cstheme="minorHAnsi"/>
                <w:b/>
                <w:szCs w:val="24"/>
                <w:u w:val="single"/>
                <w:lang w:val="pl-PL"/>
              </w:rPr>
              <w:footnoteReference w:id="4"/>
            </w:r>
          </w:p>
        </w:tc>
      </w:tr>
      <w:tr w:rsidR="000E01AC" w:rsidRPr="00D46C82" w14:paraId="774DF3A9" w14:textId="77777777" w:rsidTr="000E01AC">
        <w:tc>
          <w:tcPr>
            <w:tcW w:w="376" w:type="pct"/>
          </w:tcPr>
          <w:p w14:paraId="7F614BD6" w14:textId="77777777" w:rsidR="000E01AC" w:rsidRPr="00000498" w:rsidRDefault="000E01AC" w:rsidP="000E01AC">
            <w:pPr>
              <w:spacing w:after="200" w:line="276" w:lineRule="auto"/>
              <w:jc w:val="center"/>
              <w:rPr>
                <w:rFonts w:asciiTheme="minorHAnsi" w:hAnsiTheme="minorHAnsi" w:cstheme="minorHAnsi"/>
                <w:szCs w:val="24"/>
                <w:lang w:val="pl-PL"/>
              </w:rPr>
            </w:pPr>
          </w:p>
        </w:tc>
        <w:tc>
          <w:tcPr>
            <w:tcW w:w="377" w:type="pct"/>
          </w:tcPr>
          <w:p w14:paraId="52A755A0" w14:textId="77777777" w:rsidR="000E01AC" w:rsidRPr="00000498" w:rsidRDefault="000E01AC" w:rsidP="000E01AC">
            <w:pPr>
              <w:spacing w:after="200" w:line="276" w:lineRule="auto"/>
              <w:jc w:val="center"/>
              <w:rPr>
                <w:rFonts w:asciiTheme="minorHAnsi" w:hAnsiTheme="minorHAnsi" w:cstheme="minorHAnsi"/>
                <w:szCs w:val="24"/>
                <w:lang w:val="pl-PL"/>
              </w:rPr>
            </w:pPr>
          </w:p>
        </w:tc>
        <w:tc>
          <w:tcPr>
            <w:tcW w:w="502" w:type="pct"/>
          </w:tcPr>
          <w:p w14:paraId="788CCD8A" w14:textId="77777777" w:rsidR="000E01AC" w:rsidRPr="00000498" w:rsidRDefault="000E01AC" w:rsidP="000E01AC">
            <w:pPr>
              <w:spacing w:after="200" w:line="276" w:lineRule="auto"/>
              <w:jc w:val="center"/>
              <w:rPr>
                <w:rFonts w:asciiTheme="minorHAnsi" w:hAnsiTheme="minorHAnsi" w:cstheme="minorHAnsi"/>
                <w:szCs w:val="24"/>
                <w:lang w:val="pl-PL"/>
              </w:rPr>
            </w:pPr>
          </w:p>
        </w:tc>
        <w:tc>
          <w:tcPr>
            <w:tcW w:w="829" w:type="pct"/>
            <w:shd w:val="clear" w:color="auto" w:fill="auto"/>
          </w:tcPr>
          <w:p w14:paraId="4CB60EFC" w14:textId="77777777" w:rsidR="000E01AC" w:rsidRPr="00000498" w:rsidRDefault="000E01AC" w:rsidP="000E01AC">
            <w:pPr>
              <w:spacing w:after="200" w:line="276" w:lineRule="auto"/>
              <w:jc w:val="center"/>
              <w:rPr>
                <w:rFonts w:asciiTheme="minorHAnsi" w:hAnsiTheme="minorHAnsi" w:cstheme="minorHAnsi"/>
                <w:szCs w:val="24"/>
                <w:lang w:val="pl-PL"/>
              </w:rPr>
            </w:pPr>
          </w:p>
        </w:tc>
        <w:tc>
          <w:tcPr>
            <w:tcW w:w="847" w:type="pct"/>
          </w:tcPr>
          <w:p w14:paraId="7F69AA17" w14:textId="77777777" w:rsidR="000E01AC" w:rsidRPr="00000498" w:rsidRDefault="000E01AC" w:rsidP="000E01AC">
            <w:pPr>
              <w:spacing w:after="200" w:line="276" w:lineRule="auto"/>
              <w:jc w:val="center"/>
              <w:rPr>
                <w:rFonts w:asciiTheme="minorHAnsi" w:hAnsiTheme="minorHAnsi" w:cstheme="minorHAnsi"/>
                <w:szCs w:val="24"/>
                <w:lang w:val="pl-PL"/>
              </w:rPr>
            </w:pPr>
          </w:p>
        </w:tc>
        <w:tc>
          <w:tcPr>
            <w:tcW w:w="298" w:type="pct"/>
            <w:shd w:val="clear" w:color="auto" w:fill="auto"/>
          </w:tcPr>
          <w:p w14:paraId="13AF3EAD" w14:textId="64F8F197" w:rsidR="000E01AC" w:rsidRPr="00000498" w:rsidRDefault="00871A6C" w:rsidP="000E01AC">
            <w:pPr>
              <w:spacing w:after="200" w:line="276" w:lineRule="auto"/>
              <w:jc w:val="center"/>
              <w:rPr>
                <w:rFonts w:asciiTheme="minorHAnsi" w:hAnsiTheme="minorHAnsi" w:cstheme="minorHAnsi"/>
                <w:szCs w:val="24"/>
                <w:lang w:val="pl-PL"/>
              </w:rPr>
            </w:pPr>
            <w:r w:rsidRPr="00000498">
              <w:rPr>
                <w:rFonts w:asciiTheme="minorHAnsi" w:hAnsiTheme="minorHAnsi" w:cstheme="minorHAnsi"/>
                <w:szCs w:val="24"/>
                <w:lang w:val="pl-PL"/>
              </w:rPr>
              <w:t>Kod</w:t>
            </w:r>
            <w:r w:rsidR="000E01AC" w:rsidRPr="00000498">
              <w:rPr>
                <w:rFonts w:asciiTheme="minorHAnsi" w:hAnsiTheme="minorHAnsi" w:cstheme="minorHAnsi"/>
                <w:szCs w:val="24"/>
                <w:lang w:val="pl-PL"/>
              </w:rPr>
              <w:t xml:space="preserve"> </w:t>
            </w:r>
          </w:p>
        </w:tc>
        <w:tc>
          <w:tcPr>
            <w:tcW w:w="541" w:type="pct"/>
          </w:tcPr>
          <w:p w14:paraId="45043250" w14:textId="4F2D3DC9" w:rsidR="000E01AC" w:rsidRPr="00000498" w:rsidRDefault="00A401A3" w:rsidP="000E01AC">
            <w:pPr>
              <w:spacing w:after="200" w:line="276" w:lineRule="auto"/>
              <w:jc w:val="center"/>
              <w:rPr>
                <w:rFonts w:asciiTheme="minorHAnsi" w:hAnsiTheme="minorHAnsi" w:cstheme="minorHAnsi"/>
                <w:szCs w:val="24"/>
                <w:lang w:val="pl-PL"/>
              </w:rPr>
            </w:pPr>
            <w:r w:rsidRPr="00000498">
              <w:rPr>
                <w:rFonts w:asciiTheme="minorHAnsi" w:hAnsiTheme="minorHAnsi" w:cstheme="minorHAnsi"/>
                <w:szCs w:val="24"/>
                <w:lang w:val="pl-PL"/>
              </w:rPr>
              <w:t>Opis</w:t>
            </w:r>
          </w:p>
        </w:tc>
        <w:tc>
          <w:tcPr>
            <w:tcW w:w="615" w:type="pct"/>
          </w:tcPr>
          <w:p w14:paraId="4D0AFB22" w14:textId="77777777" w:rsidR="000E01AC" w:rsidRPr="00000498" w:rsidRDefault="000E01AC" w:rsidP="000E01AC">
            <w:pPr>
              <w:spacing w:after="200" w:line="276" w:lineRule="auto"/>
              <w:jc w:val="center"/>
              <w:rPr>
                <w:rFonts w:asciiTheme="minorHAnsi" w:hAnsiTheme="minorHAnsi" w:cstheme="minorHAnsi"/>
                <w:szCs w:val="24"/>
                <w:lang w:val="pl-PL"/>
              </w:rPr>
            </w:pPr>
          </w:p>
        </w:tc>
        <w:tc>
          <w:tcPr>
            <w:tcW w:w="615" w:type="pct"/>
            <w:shd w:val="clear" w:color="auto" w:fill="auto"/>
          </w:tcPr>
          <w:p w14:paraId="3951198C" w14:textId="77777777" w:rsidR="000E01AC" w:rsidRPr="00000498" w:rsidRDefault="000E01AC" w:rsidP="000E01AC">
            <w:pPr>
              <w:spacing w:after="200" w:line="276" w:lineRule="auto"/>
              <w:jc w:val="center"/>
              <w:rPr>
                <w:rFonts w:asciiTheme="minorHAnsi" w:hAnsiTheme="minorHAnsi" w:cstheme="minorHAnsi"/>
                <w:szCs w:val="24"/>
                <w:lang w:val="pl-PL"/>
              </w:rPr>
            </w:pPr>
          </w:p>
        </w:tc>
      </w:tr>
      <w:tr w:rsidR="000E01AC" w:rsidRPr="00D46C82" w14:paraId="711141D0" w14:textId="77777777" w:rsidTr="000E01AC">
        <w:tc>
          <w:tcPr>
            <w:tcW w:w="376" w:type="pct"/>
          </w:tcPr>
          <w:p w14:paraId="04899881" w14:textId="77777777" w:rsidR="000E01AC" w:rsidRPr="00000498" w:rsidRDefault="000E01AC" w:rsidP="000E01AC">
            <w:pPr>
              <w:spacing w:after="200" w:line="276" w:lineRule="auto"/>
              <w:jc w:val="center"/>
              <w:rPr>
                <w:rFonts w:asciiTheme="minorHAnsi" w:hAnsiTheme="minorHAnsi" w:cstheme="minorHAnsi"/>
                <w:b/>
                <w:szCs w:val="24"/>
                <w:lang w:val="pl-PL"/>
              </w:rPr>
            </w:pPr>
          </w:p>
        </w:tc>
        <w:tc>
          <w:tcPr>
            <w:tcW w:w="377" w:type="pct"/>
          </w:tcPr>
          <w:p w14:paraId="2DAC34F4" w14:textId="77777777" w:rsidR="000E01AC" w:rsidRPr="00000498" w:rsidRDefault="000E01AC" w:rsidP="000E01AC">
            <w:pPr>
              <w:spacing w:after="200" w:line="276" w:lineRule="auto"/>
              <w:jc w:val="center"/>
              <w:rPr>
                <w:rFonts w:asciiTheme="minorHAnsi" w:hAnsiTheme="minorHAnsi" w:cstheme="minorHAnsi"/>
                <w:b/>
                <w:szCs w:val="24"/>
                <w:lang w:val="pl-PL"/>
              </w:rPr>
            </w:pPr>
          </w:p>
        </w:tc>
        <w:tc>
          <w:tcPr>
            <w:tcW w:w="502" w:type="pct"/>
          </w:tcPr>
          <w:p w14:paraId="42782EEF" w14:textId="77777777" w:rsidR="000E01AC" w:rsidRPr="00000498" w:rsidRDefault="000E01AC" w:rsidP="000E01AC">
            <w:pPr>
              <w:spacing w:after="200" w:line="276" w:lineRule="auto"/>
              <w:jc w:val="center"/>
              <w:rPr>
                <w:rFonts w:asciiTheme="minorHAnsi" w:hAnsiTheme="minorHAnsi" w:cstheme="minorHAnsi"/>
                <w:b/>
                <w:szCs w:val="24"/>
                <w:lang w:val="pl-PL"/>
              </w:rPr>
            </w:pPr>
          </w:p>
        </w:tc>
        <w:tc>
          <w:tcPr>
            <w:tcW w:w="829" w:type="pct"/>
            <w:shd w:val="clear" w:color="auto" w:fill="auto"/>
          </w:tcPr>
          <w:p w14:paraId="17AD6CCE" w14:textId="77777777" w:rsidR="000E01AC" w:rsidRPr="00000498" w:rsidRDefault="000E01AC" w:rsidP="000E01AC">
            <w:pPr>
              <w:spacing w:after="200" w:line="276" w:lineRule="auto"/>
              <w:jc w:val="center"/>
              <w:rPr>
                <w:rFonts w:asciiTheme="minorHAnsi" w:hAnsiTheme="minorHAnsi" w:cstheme="minorHAnsi"/>
                <w:szCs w:val="24"/>
                <w:lang w:val="pl-PL"/>
              </w:rPr>
            </w:pPr>
          </w:p>
        </w:tc>
        <w:tc>
          <w:tcPr>
            <w:tcW w:w="847" w:type="pct"/>
          </w:tcPr>
          <w:p w14:paraId="7333D67A" w14:textId="77777777" w:rsidR="000E01AC" w:rsidRPr="00000498" w:rsidRDefault="000E01AC" w:rsidP="000E01AC">
            <w:pPr>
              <w:spacing w:after="200" w:line="276" w:lineRule="auto"/>
              <w:jc w:val="center"/>
              <w:rPr>
                <w:rFonts w:asciiTheme="minorHAnsi" w:hAnsiTheme="minorHAnsi" w:cstheme="minorHAnsi"/>
                <w:szCs w:val="24"/>
                <w:lang w:val="pl-PL"/>
              </w:rPr>
            </w:pPr>
          </w:p>
        </w:tc>
        <w:tc>
          <w:tcPr>
            <w:tcW w:w="298" w:type="pct"/>
            <w:shd w:val="clear" w:color="auto" w:fill="auto"/>
          </w:tcPr>
          <w:p w14:paraId="26B7F6A4" w14:textId="77777777" w:rsidR="000E01AC" w:rsidRPr="00000498" w:rsidRDefault="000E01AC" w:rsidP="000E01AC">
            <w:pPr>
              <w:spacing w:after="200" w:line="276" w:lineRule="auto"/>
              <w:jc w:val="center"/>
              <w:rPr>
                <w:rFonts w:asciiTheme="minorHAnsi" w:hAnsiTheme="minorHAnsi" w:cstheme="minorHAnsi"/>
                <w:szCs w:val="24"/>
                <w:lang w:val="pl-PL"/>
              </w:rPr>
            </w:pPr>
          </w:p>
        </w:tc>
        <w:tc>
          <w:tcPr>
            <w:tcW w:w="541" w:type="pct"/>
          </w:tcPr>
          <w:p w14:paraId="7A7DAFD7" w14:textId="77777777" w:rsidR="000E01AC" w:rsidRPr="00000498" w:rsidRDefault="000E01AC" w:rsidP="000E01AC">
            <w:pPr>
              <w:spacing w:after="200" w:line="276" w:lineRule="auto"/>
              <w:jc w:val="center"/>
              <w:rPr>
                <w:rFonts w:asciiTheme="minorHAnsi" w:hAnsiTheme="minorHAnsi" w:cstheme="minorHAnsi"/>
                <w:szCs w:val="24"/>
                <w:lang w:val="pl-PL"/>
              </w:rPr>
            </w:pPr>
          </w:p>
        </w:tc>
        <w:tc>
          <w:tcPr>
            <w:tcW w:w="615" w:type="pct"/>
          </w:tcPr>
          <w:p w14:paraId="42CFC923" w14:textId="77777777" w:rsidR="000E01AC" w:rsidRPr="00000498" w:rsidRDefault="000E01AC" w:rsidP="000E01AC">
            <w:pPr>
              <w:spacing w:after="200" w:line="276" w:lineRule="auto"/>
              <w:jc w:val="center"/>
              <w:rPr>
                <w:rFonts w:asciiTheme="minorHAnsi" w:hAnsiTheme="minorHAnsi" w:cstheme="minorHAnsi"/>
                <w:szCs w:val="24"/>
                <w:lang w:val="pl-PL"/>
              </w:rPr>
            </w:pPr>
          </w:p>
        </w:tc>
        <w:tc>
          <w:tcPr>
            <w:tcW w:w="615" w:type="pct"/>
            <w:shd w:val="clear" w:color="auto" w:fill="auto"/>
          </w:tcPr>
          <w:p w14:paraId="38640B46" w14:textId="77777777" w:rsidR="000E01AC" w:rsidRPr="00000498" w:rsidRDefault="000E01AC" w:rsidP="000E01AC">
            <w:pPr>
              <w:spacing w:after="200" w:line="276" w:lineRule="auto"/>
              <w:jc w:val="center"/>
              <w:rPr>
                <w:rFonts w:asciiTheme="minorHAnsi" w:hAnsiTheme="minorHAnsi" w:cstheme="minorHAnsi"/>
                <w:szCs w:val="24"/>
                <w:lang w:val="pl-PL"/>
              </w:rPr>
            </w:pPr>
          </w:p>
        </w:tc>
      </w:tr>
      <w:tr w:rsidR="000E01AC" w:rsidRPr="00D46C82" w14:paraId="08362743" w14:textId="77777777" w:rsidTr="000E01AC">
        <w:tc>
          <w:tcPr>
            <w:tcW w:w="376" w:type="pct"/>
          </w:tcPr>
          <w:p w14:paraId="3E16AA0B" w14:textId="77777777" w:rsidR="000E01AC" w:rsidRPr="00000498" w:rsidRDefault="000E01AC" w:rsidP="000E01AC">
            <w:pPr>
              <w:spacing w:after="200" w:line="276" w:lineRule="auto"/>
              <w:jc w:val="center"/>
              <w:rPr>
                <w:rFonts w:asciiTheme="minorHAnsi" w:hAnsiTheme="minorHAnsi" w:cstheme="minorHAnsi"/>
                <w:b/>
                <w:szCs w:val="24"/>
                <w:lang w:val="pl-PL"/>
              </w:rPr>
            </w:pPr>
          </w:p>
        </w:tc>
        <w:tc>
          <w:tcPr>
            <w:tcW w:w="377" w:type="pct"/>
          </w:tcPr>
          <w:p w14:paraId="06864DFA" w14:textId="77777777" w:rsidR="000E01AC" w:rsidRPr="00000498" w:rsidRDefault="000E01AC" w:rsidP="000E01AC">
            <w:pPr>
              <w:spacing w:after="200" w:line="276" w:lineRule="auto"/>
              <w:jc w:val="center"/>
              <w:rPr>
                <w:rFonts w:asciiTheme="minorHAnsi" w:hAnsiTheme="minorHAnsi" w:cstheme="minorHAnsi"/>
                <w:b/>
                <w:szCs w:val="24"/>
                <w:lang w:val="pl-PL"/>
              </w:rPr>
            </w:pPr>
          </w:p>
        </w:tc>
        <w:tc>
          <w:tcPr>
            <w:tcW w:w="502" w:type="pct"/>
          </w:tcPr>
          <w:p w14:paraId="696A2B76" w14:textId="77777777" w:rsidR="000E01AC" w:rsidRPr="00000498" w:rsidRDefault="000E01AC" w:rsidP="000E01AC">
            <w:pPr>
              <w:spacing w:after="200" w:line="276" w:lineRule="auto"/>
              <w:jc w:val="center"/>
              <w:rPr>
                <w:rFonts w:asciiTheme="minorHAnsi" w:hAnsiTheme="minorHAnsi" w:cstheme="minorHAnsi"/>
                <w:b/>
                <w:szCs w:val="24"/>
                <w:lang w:val="pl-PL"/>
              </w:rPr>
            </w:pPr>
          </w:p>
        </w:tc>
        <w:tc>
          <w:tcPr>
            <w:tcW w:w="829" w:type="pct"/>
            <w:shd w:val="clear" w:color="auto" w:fill="auto"/>
          </w:tcPr>
          <w:p w14:paraId="29123E30" w14:textId="77777777" w:rsidR="000E01AC" w:rsidRPr="00000498" w:rsidRDefault="000E01AC" w:rsidP="000E01AC">
            <w:pPr>
              <w:spacing w:after="200" w:line="276" w:lineRule="auto"/>
              <w:jc w:val="center"/>
              <w:rPr>
                <w:rFonts w:asciiTheme="minorHAnsi" w:hAnsiTheme="minorHAnsi" w:cstheme="minorHAnsi"/>
                <w:szCs w:val="24"/>
                <w:lang w:val="pl-PL"/>
              </w:rPr>
            </w:pPr>
          </w:p>
        </w:tc>
        <w:tc>
          <w:tcPr>
            <w:tcW w:w="847" w:type="pct"/>
          </w:tcPr>
          <w:p w14:paraId="3BE875A1" w14:textId="77777777" w:rsidR="000E01AC" w:rsidRPr="00000498" w:rsidRDefault="000E01AC" w:rsidP="000E01AC">
            <w:pPr>
              <w:spacing w:after="200" w:line="276" w:lineRule="auto"/>
              <w:jc w:val="center"/>
              <w:rPr>
                <w:rFonts w:asciiTheme="minorHAnsi" w:hAnsiTheme="minorHAnsi" w:cstheme="minorHAnsi"/>
                <w:szCs w:val="24"/>
                <w:lang w:val="pl-PL"/>
              </w:rPr>
            </w:pPr>
          </w:p>
        </w:tc>
        <w:tc>
          <w:tcPr>
            <w:tcW w:w="298" w:type="pct"/>
            <w:shd w:val="clear" w:color="auto" w:fill="auto"/>
          </w:tcPr>
          <w:p w14:paraId="5FF5722F" w14:textId="77777777" w:rsidR="000E01AC" w:rsidRPr="00000498" w:rsidRDefault="000E01AC" w:rsidP="000E01AC">
            <w:pPr>
              <w:spacing w:after="200" w:line="276" w:lineRule="auto"/>
              <w:jc w:val="center"/>
              <w:rPr>
                <w:rFonts w:asciiTheme="minorHAnsi" w:hAnsiTheme="minorHAnsi" w:cstheme="minorHAnsi"/>
                <w:szCs w:val="24"/>
                <w:lang w:val="pl-PL"/>
              </w:rPr>
            </w:pPr>
          </w:p>
        </w:tc>
        <w:tc>
          <w:tcPr>
            <w:tcW w:w="541" w:type="pct"/>
          </w:tcPr>
          <w:p w14:paraId="662A66F7" w14:textId="77777777" w:rsidR="000E01AC" w:rsidRPr="00000498" w:rsidRDefault="000E01AC" w:rsidP="000E01AC">
            <w:pPr>
              <w:spacing w:after="200" w:line="276" w:lineRule="auto"/>
              <w:jc w:val="center"/>
              <w:rPr>
                <w:rFonts w:asciiTheme="minorHAnsi" w:hAnsiTheme="minorHAnsi" w:cstheme="minorHAnsi"/>
                <w:szCs w:val="24"/>
                <w:lang w:val="pl-PL"/>
              </w:rPr>
            </w:pPr>
          </w:p>
        </w:tc>
        <w:tc>
          <w:tcPr>
            <w:tcW w:w="615" w:type="pct"/>
          </w:tcPr>
          <w:p w14:paraId="03BCEF2C" w14:textId="77777777" w:rsidR="000E01AC" w:rsidRPr="00000498" w:rsidRDefault="000E01AC" w:rsidP="000E01AC">
            <w:pPr>
              <w:spacing w:after="200" w:line="276" w:lineRule="auto"/>
              <w:jc w:val="center"/>
              <w:rPr>
                <w:rFonts w:asciiTheme="minorHAnsi" w:hAnsiTheme="minorHAnsi" w:cstheme="minorHAnsi"/>
                <w:szCs w:val="24"/>
                <w:lang w:val="pl-PL"/>
              </w:rPr>
            </w:pPr>
          </w:p>
        </w:tc>
        <w:tc>
          <w:tcPr>
            <w:tcW w:w="615" w:type="pct"/>
            <w:shd w:val="clear" w:color="auto" w:fill="auto"/>
          </w:tcPr>
          <w:p w14:paraId="02300B82" w14:textId="77777777" w:rsidR="000E01AC" w:rsidRPr="00000498" w:rsidRDefault="000E01AC" w:rsidP="000E01AC">
            <w:pPr>
              <w:spacing w:after="200" w:line="276" w:lineRule="auto"/>
              <w:jc w:val="center"/>
              <w:rPr>
                <w:rFonts w:asciiTheme="minorHAnsi" w:hAnsiTheme="minorHAnsi" w:cstheme="minorHAnsi"/>
                <w:szCs w:val="24"/>
                <w:lang w:val="pl-PL"/>
              </w:rPr>
            </w:pPr>
          </w:p>
        </w:tc>
      </w:tr>
      <w:tr w:rsidR="000E01AC" w:rsidRPr="00D46C82" w14:paraId="0A5AD5A6" w14:textId="77777777" w:rsidTr="000E01AC">
        <w:tc>
          <w:tcPr>
            <w:tcW w:w="376" w:type="pct"/>
          </w:tcPr>
          <w:p w14:paraId="208CEF30" w14:textId="77777777" w:rsidR="000E01AC" w:rsidRPr="00000498" w:rsidRDefault="000E01AC" w:rsidP="000E01AC">
            <w:pPr>
              <w:spacing w:after="200" w:line="276" w:lineRule="auto"/>
              <w:jc w:val="center"/>
              <w:rPr>
                <w:rFonts w:asciiTheme="minorHAnsi" w:hAnsiTheme="minorHAnsi" w:cstheme="minorHAnsi"/>
                <w:szCs w:val="24"/>
                <w:lang w:val="pl-PL"/>
              </w:rPr>
            </w:pPr>
          </w:p>
        </w:tc>
        <w:tc>
          <w:tcPr>
            <w:tcW w:w="377" w:type="pct"/>
          </w:tcPr>
          <w:p w14:paraId="59C0D799" w14:textId="77777777" w:rsidR="000E01AC" w:rsidRPr="00000498" w:rsidRDefault="000E01AC" w:rsidP="000E01AC">
            <w:pPr>
              <w:spacing w:after="200" w:line="276" w:lineRule="auto"/>
              <w:jc w:val="center"/>
              <w:rPr>
                <w:rFonts w:asciiTheme="minorHAnsi" w:hAnsiTheme="minorHAnsi" w:cstheme="minorHAnsi"/>
                <w:szCs w:val="24"/>
                <w:lang w:val="pl-PL"/>
              </w:rPr>
            </w:pPr>
          </w:p>
        </w:tc>
        <w:tc>
          <w:tcPr>
            <w:tcW w:w="502" w:type="pct"/>
          </w:tcPr>
          <w:p w14:paraId="561BEB00" w14:textId="77777777" w:rsidR="000E01AC" w:rsidRPr="00000498" w:rsidRDefault="000E01AC" w:rsidP="000E01AC">
            <w:pPr>
              <w:spacing w:after="200" w:line="276" w:lineRule="auto"/>
              <w:jc w:val="center"/>
              <w:rPr>
                <w:rFonts w:asciiTheme="minorHAnsi" w:hAnsiTheme="minorHAnsi" w:cstheme="minorHAnsi"/>
                <w:szCs w:val="24"/>
                <w:lang w:val="pl-PL"/>
              </w:rPr>
            </w:pPr>
          </w:p>
        </w:tc>
        <w:tc>
          <w:tcPr>
            <w:tcW w:w="829" w:type="pct"/>
            <w:shd w:val="clear" w:color="auto" w:fill="auto"/>
          </w:tcPr>
          <w:p w14:paraId="08133C11" w14:textId="77777777" w:rsidR="000E01AC" w:rsidRPr="00000498" w:rsidRDefault="000E01AC" w:rsidP="000E01AC">
            <w:pPr>
              <w:spacing w:after="200" w:line="276" w:lineRule="auto"/>
              <w:jc w:val="center"/>
              <w:rPr>
                <w:rFonts w:asciiTheme="minorHAnsi" w:hAnsiTheme="minorHAnsi" w:cstheme="minorHAnsi"/>
                <w:szCs w:val="24"/>
                <w:lang w:val="pl-PL"/>
              </w:rPr>
            </w:pPr>
          </w:p>
        </w:tc>
        <w:tc>
          <w:tcPr>
            <w:tcW w:w="847" w:type="pct"/>
          </w:tcPr>
          <w:p w14:paraId="64F3FC37" w14:textId="77777777" w:rsidR="000E01AC" w:rsidRPr="00000498" w:rsidRDefault="000E01AC" w:rsidP="000E01AC">
            <w:pPr>
              <w:spacing w:after="200" w:line="276" w:lineRule="auto"/>
              <w:jc w:val="center"/>
              <w:rPr>
                <w:rFonts w:asciiTheme="minorHAnsi" w:hAnsiTheme="minorHAnsi" w:cstheme="minorHAnsi"/>
                <w:szCs w:val="24"/>
                <w:lang w:val="pl-PL"/>
              </w:rPr>
            </w:pPr>
          </w:p>
        </w:tc>
        <w:tc>
          <w:tcPr>
            <w:tcW w:w="298" w:type="pct"/>
            <w:shd w:val="clear" w:color="auto" w:fill="auto"/>
          </w:tcPr>
          <w:p w14:paraId="7F1FB1FA" w14:textId="77777777" w:rsidR="000E01AC" w:rsidRPr="00000498" w:rsidRDefault="000E01AC" w:rsidP="000E01AC">
            <w:pPr>
              <w:spacing w:after="200" w:line="276" w:lineRule="auto"/>
              <w:jc w:val="center"/>
              <w:rPr>
                <w:rFonts w:asciiTheme="minorHAnsi" w:hAnsiTheme="minorHAnsi" w:cstheme="minorHAnsi"/>
                <w:szCs w:val="24"/>
                <w:lang w:val="pl-PL"/>
              </w:rPr>
            </w:pPr>
          </w:p>
        </w:tc>
        <w:tc>
          <w:tcPr>
            <w:tcW w:w="541" w:type="pct"/>
          </w:tcPr>
          <w:p w14:paraId="7DFBC884" w14:textId="77777777" w:rsidR="000E01AC" w:rsidRPr="00000498" w:rsidRDefault="000E01AC" w:rsidP="000E01AC">
            <w:pPr>
              <w:spacing w:after="200" w:line="276" w:lineRule="auto"/>
              <w:jc w:val="center"/>
              <w:rPr>
                <w:rFonts w:asciiTheme="minorHAnsi" w:hAnsiTheme="minorHAnsi" w:cstheme="minorHAnsi"/>
                <w:szCs w:val="24"/>
                <w:lang w:val="pl-PL"/>
              </w:rPr>
            </w:pPr>
          </w:p>
        </w:tc>
        <w:tc>
          <w:tcPr>
            <w:tcW w:w="615" w:type="pct"/>
          </w:tcPr>
          <w:p w14:paraId="3F48642B" w14:textId="77777777" w:rsidR="000E01AC" w:rsidRPr="00000498" w:rsidRDefault="000E01AC" w:rsidP="000E01AC">
            <w:pPr>
              <w:spacing w:after="200" w:line="276" w:lineRule="auto"/>
              <w:jc w:val="center"/>
              <w:rPr>
                <w:rFonts w:asciiTheme="minorHAnsi" w:hAnsiTheme="minorHAnsi" w:cstheme="minorHAnsi"/>
                <w:szCs w:val="24"/>
                <w:lang w:val="pl-PL"/>
              </w:rPr>
            </w:pPr>
          </w:p>
        </w:tc>
        <w:tc>
          <w:tcPr>
            <w:tcW w:w="615" w:type="pct"/>
            <w:shd w:val="clear" w:color="auto" w:fill="auto"/>
          </w:tcPr>
          <w:p w14:paraId="573794F8" w14:textId="77777777" w:rsidR="000E01AC" w:rsidRPr="00000498" w:rsidRDefault="000E01AC" w:rsidP="000E01AC">
            <w:pPr>
              <w:spacing w:after="200" w:line="276" w:lineRule="auto"/>
              <w:jc w:val="center"/>
              <w:rPr>
                <w:rFonts w:asciiTheme="minorHAnsi" w:hAnsiTheme="minorHAnsi" w:cstheme="minorHAnsi"/>
                <w:szCs w:val="24"/>
                <w:lang w:val="pl-PL"/>
              </w:rPr>
            </w:pPr>
          </w:p>
        </w:tc>
      </w:tr>
      <w:tr w:rsidR="000E01AC" w:rsidRPr="00D46C82" w14:paraId="5C43C8FD" w14:textId="77777777" w:rsidTr="000E01AC">
        <w:tc>
          <w:tcPr>
            <w:tcW w:w="376" w:type="pct"/>
          </w:tcPr>
          <w:p w14:paraId="59C2F5D4" w14:textId="77777777" w:rsidR="000E01AC" w:rsidRPr="00000498" w:rsidRDefault="000E01AC" w:rsidP="000E01AC">
            <w:pPr>
              <w:spacing w:after="200" w:line="276" w:lineRule="auto"/>
              <w:jc w:val="center"/>
              <w:rPr>
                <w:rFonts w:asciiTheme="minorHAnsi" w:hAnsiTheme="minorHAnsi" w:cstheme="minorHAnsi"/>
                <w:szCs w:val="24"/>
                <w:lang w:val="pl-PL"/>
              </w:rPr>
            </w:pPr>
          </w:p>
        </w:tc>
        <w:tc>
          <w:tcPr>
            <w:tcW w:w="377" w:type="pct"/>
          </w:tcPr>
          <w:p w14:paraId="275DAC85" w14:textId="77777777" w:rsidR="000E01AC" w:rsidRPr="00000498" w:rsidRDefault="000E01AC" w:rsidP="000E01AC">
            <w:pPr>
              <w:spacing w:after="200" w:line="276" w:lineRule="auto"/>
              <w:jc w:val="center"/>
              <w:rPr>
                <w:rFonts w:asciiTheme="minorHAnsi" w:hAnsiTheme="minorHAnsi" w:cstheme="minorHAnsi"/>
                <w:szCs w:val="24"/>
                <w:lang w:val="pl-PL"/>
              </w:rPr>
            </w:pPr>
          </w:p>
        </w:tc>
        <w:tc>
          <w:tcPr>
            <w:tcW w:w="502" w:type="pct"/>
          </w:tcPr>
          <w:p w14:paraId="4FB03060" w14:textId="77777777" w:rsidR="000E01AC" w:rsidRPr="00000498" w:rsidRDefault="000E01AC" w:rsidP="000E01AC">
            <w:pPr>
              <w:spacing w:after="200" w:line="276" w:lineRule="auto"/>
              <w:jc w:val="center"/>
              <w:rPr>
                <w:rFonts w:asciiTheme="minorHAnsi" w:hAnsiTheme="minorHAnsi" w:cstheme="minorHAnsi"/>
                <w:szCs w:val="24"/>
                <w:lang w:val="pl-PL"/>
              </w:rPr>
            </w:pPr>
          </w:p>
        </w:tc>
        <w:tc>
          <w:tcPr>
            <w:tcW w:w="829" w:type="pct"/>
            <w:shd w:val="clear" w:color="auto" w:fill="auto"/>
          </w:tcPr>
          <w:p w14:paraId="353CA659" w14:textId="77777777" w:rsidR="000E01AC" w:rsidRPr="00000498" w:rsidRDefault="000E01AC" w:rsidP="000E01AC">
            <w:pPr>
              <w:spacing w:after="200" w:line="276" w:lineRule="auto"/>
              <w:jc w:val="center"/>
              <w:rPr>
                <w:rFonts w:asciiTheme="minorHAnsi" w:hAnsiTheme="minorHAnsi" w:cstheme="minorHAnsi"/>
                <w:szCs w:val="24"/>
                <w:lang w:val="pl-PL"/>
              </w:rPr>
            </w:pPr>
          </w:p>
        </w:tc>
        <w:tc>
          <w:tcPr>
            <w:tcW w:w="847" w:type="pct"/>
          </w:tcPr>
          <w:p w14:paraId="72C66524" w14:textId="77777777" w:rsidR="000E01AC" w:rsidRPr="00000498" w:rsidRDefault="000E01AC" w:rsidP="000E01AC">
            <w:pPr>
              <w:spacing w:after="200" w:line="276" w:lineRule="auto"/>
              <w:jc w:val="center"/>
              <w:rPr>
                <w:rFonts w:asciiTheme="minorHAnsi" w:hAnsiTheme="minorHAnsi" w:cstheme="minorHAnsi"/>
                <w:szCs w:val="24"/>
                <w:lang w:val="pl-PL"/>
              </w:rPr>
            </w:pPr>
          </w:p>
        </w:tc>
        <w:tc>
          <w:tcPr>
            <w:tcW w:w="298" w:type="pct"/>
            <w:shd w:val="clear" w:color="auto" w:fill="auto"/>
          </w:tcPr>
          <w:p w14:paraId="40231ADA" w14:textId="77777777" w:rsidR="000E01AC" w:rsidRPr="00000498" w:rsidRDefault="000E01AC" w:rsidP="000E01AC">
            <w:pPr>
              <w:spacing w:after="200" w:line="276" w:lineRule="auto"/>
              <w:jc w:val="center"/>
              <w:rPr>
                <w:rFonts w:asciiTheme="minorHAnsi" w:hAnsiTheme="minorHAnsi" w:cstheme="minorHAnsi"/>
                <w:szCs w:val="24"/>
                <w:lang w:val="pl-PL"/>
              </w:rPr>
            </w:pPr>
          </w:p>
        </w:tc>
        <w:tc>
          <w:tcPr>
            <w:tcW w:w="541" w:type="pct"/>
          </w:tcPr>
          <w:p w14:paraId="1DC9F1F1" w14:textId="77777777" w:rsidR="000E01AC" w:rsidRPr="00000498" w:rsidRDefault="000E01AC" w:rsidP="000E01AC">
            <w:pPr>
              <w:spacing w:after="200" w:line="276" w:lineRule="auto"/>
              <w:jc w:val="center"/>
              <w:rPr>
                <w:rFonts w:asciiTheme="minorHAnsi" w:hAnsiTheme="minorHAnsi" w:cstheme="minorHAnsi"/>
                <w:szCs w:val="24"/>
                <w:lang w:val="pl-PL"/>
              </w:rPr>
            </w:pPr>
          </w:p>
        </w:tc>
        <w:tc>
          <w:tcPr>
            <w:tcW w:w="615" w:type="pct"/>
          </w:tcPr>
          <w:p w14:paraId="67536EBC" w14:textId="77777777" w:rsidR="000E01AC" w:rsidRPr="00000498" w:rsidRDefault="000E01AC" w:rsidP="000E01AC">
            <w:pPr>
              <w:spacing w:after="200" w:line="276" w:lineRule="auto"/>
              <w:jc w:val="center"/>
              <w:rPr>
                <w:rFonts w:asciiTheme="minorHAnsi" w:hAnsiTheme="minorHAnsi" w:cstheme="minorHAnsi"/>
                <w:szCs w:val="24"/>
                <w:lang w:val="pl-PL"/>
              </w:rPr>
            </w:pPr>
          </w:p>
        </w:tc>
        <w:tc>
          <w:tcPr>
            <w:tcW w:w="615" w:type="pct"/>
            <w:shd w:val="clear" w:color="auto" w:fill="auto"/>
          </w:tcPr>
          <w:p w14:paraId="06CC0761" w14:textId="77777777" w:rsidR="000E01AC" w:rsidRPr="00000498" w:rsidRDefault="000E01AC" w:rsidP="000E01AC">
            <w:pPr>
              <w:spacing w:after="200" w:line="276" w:lineRule="auto"/>
              <w:jc w:val="center"/>
              <w:rPr>
                <w:rFonts w:asciiTheme="minorHAnsi" w:hAnsiTheme="minorHAnsi" w:cstheme="minorHAnsi"/>
                <w:szCs w:val="24"/>
                <w:lang w:val="pl-PL"/>
              </w:rPr>
            </w:pPr>
          </w:p>
        </w:tc>
      </w:tr>
      <w:tr w:rsidR="000E01AC" w:rsidRPr="00D46C82" w14:paraId="0E892B2C" w14:textId="77777777" w:rsidTr="000E01AC">
        <w:tc>
          <w:tcPr>
            <w:tcW w:w="376" w:type="pct"/>
          </w:tcPr>
          <w:p w14:paraId="2F8266F5" w14:textId="6C7E5830" w:rsidR="000E01AC" w:rsidRPr="00000498" w:rsidRDefault="00A401A3" w:rsidP="000E01AC">
            <w:pPr>
              <w:spacing w:after="200" w:line="276" w:lineRule="auto"/>
              <w:jc w:val="center"/>
              <w:rPr>
                <w:rFonts w:asciiTheme="minorHAnsi" w:hAnsiTheme="minorHAnsi" w:cstheme="minorHAnsi"/>
                <w:szCs w:val="24"/>
                <w:lang w:val="pl-PL"/>
              </w:rPr>
            </w:pPr>
            <w:r w:rsidRPr="00000498">
              <w:rPr>
                <w:rFonts w:asciiTheme="minorHAnsi" w:hAnsiTheme="minorHAnsi" w:cstheme="minorHAnsi"/>
                <w:szCs w:val="24"/>
                <w:lang w:val="pl-PL"/>
              </w:rPr>
              <w:t>Całkowita, objęta kwota</w:t>
            </w:r>
          </w:p>
        </w:tc>
        <w:tc>
          <w:tcPr>
            <w:tcW w:w="377" w:type="pct"/>
          </w:tcPr>
          <w:p w14:paraId="38B47EB3" w14:textId="77777777" w:rsidR="000E01AC" w:rsidRPr="00000498" w:rsidRDefault="000E01AC" w:rsidP="000E01AC">
            <w:pPr>
              <w:spacing w:after="200" w:line="276" w:lineRule="auto"/>
              <w:jc w:val="center"/>
              <w:rPr>
                <w:rFonts w:asciiTheme="minorHAnsi" w:hAnsiTheme="minorHAnsi" w:cstheme="minorHAnsi"/>
                <w:szCs w:val="24"/>
                <w:lang w:val="pl-PL"/>
              </w:rPr>
            </w:pPr>
          </w:p>
        </w:tc>
        <w:tc>
          <w:tcPr>
            <w:tcW w:w="502" w:type="pct"/>
          </w:tcPr>
          <w:p w14:paraId="7F6D6D9E" w14:textId="77777777" w:rsidR="000E01AC" w:rsidRPr="00000498" w:rsidRDefault="000E01AC" w:rsidP="000E01AC">
            <w:pPr>
              <w:spacing w:after="200" w:line="276" w:lineRule="auto"/>
              <w:jc w:val="center"/>
              <w:rPr>
                <w:rFonts w:asciiTheme="minorHAnsi" w:hAnsiTheme="minorHAnsi" w:cstheme="minorHAnsi"/>
                <w:szCs w:val="24"/>
                <w:lang w:val="pl-PL"/>
              </w:rPr>
            </w:pPr>
          </w:p>
        </w:tc>
        <w:tc>
          <w:tcPr>
            <w:tcW w:w="829" w:type="pct"/>
            <w:shd w:val="clear" w:color="auto" w:fill="auto"/>
          </w:tcPr>
          <w:p w14:paraId="24134960" w14:textId="77777777" w:rsidR="000E01AC" w:rsidRPr="00000498" w:rsidRDefault="000E01AC" w:rsidP="000E01AC">
            <w:pPr>
              <w:spacing w:after="200" w:line="276" w:lineRule="auto"/>
              <w:jc w:val="center"/>
              <w:rPr>
                <w:rFonts w:asciiTheme="minorHAnsi" w:hAnsiTheme="minorHAnsi" w:cstheme="minorHAnsi"/>
                <w:szCs w:val="24"/>
                <w:lang w:val="pl-PL"/>
              </w:rPr>
            </w:pPr>
          </w:p>
        </w:tc>
        <w:tc>
          <w:tcPr>
            <w:tcW w:w="847" w:type="pct"/>
          </w:tcPr>
          <w:p w14:paraId="12F2AED6" w14:textId="77777777" w:rsidR="000E01AC" w:rsidRPr="00000498" w:rsidRDefault="000E01AC" w:rsidP="000E01AC">
            <w:pPr>
              <w:spacing w:after="200" w:line="276" w:lineRule="auto"/>
              <w:jc w:val="center"/>
              <w:rPr>
                <w:rFonts w:asciiTheme="minorHAnsi" w:hAnsiTheme="minorHAnsi" w:cstheme="minorHAnsi"/>
                <w:szCs w:val="24"/>
                <w:lang w:val="pl-PL"/>
              </w:rPr>
            </w:pPr>
          </w:p>
        </w:tc>
        <w:tc>
          <w:tcPr>
            <w:tcW w:w="298" w:type="pct"/>
            <w:shd w:val="clear" w:color="auto" w:fill="auto"/>
          </w:tcPr>
          <w:p w14:paraId="0329FBBF" w14:textId="77777777" w:rsidR="000E01AC" w:rsidRPr="00000498" w:rsidRDefault="000E01AC" w:rsidP="000E01AC">
            <w:pPr>
              <w:spacing w:after="200" w:line="276" w:lineRule="auto"/>
              <w:jc w:val="center"/>
              <w:rPr>
                <w:rFonts w:asciiTheme="minorHAnsi" w:hAnsiTheme="minorHAnsi" w:cstheme="minorHAnsi"/>
                <w:szCs w:val="24"/>
                <w:lang w:val="pl-PL"/>
              </w:rPr>
            </w:pPr>
          </w:p>
        </w:tc>
        <w:tc>
          <w:tcPr>
            <w:tcW w:w="541" w:type="pct"/>
          </w:tcPr>
          <w:p w14:paraId="7CAB841B" w14:textId="77777777" w:rsidR="000E01AC" w:rsidRPr="00000498" w:rsidRDefault="000E01AC" w:rsidP="000E01AC">
            <w:pPr>
              <w:spacing w:after="200" w:line="276" w:lineRule="auto"/>
              <w:jc w:val="center"/>
              <w:rPr>
                <w:rFonts w:asciiTheme="minorHAnsi" w:hAnsiTheme="minorHAnsi" w:cstheme="minorHAnsi"/>
                <w:szCs w:val="24"/>
                <w:lang w:val="pl-PL"/>
              </w:rPr>
            </w:pPr>
          </w:p>
        </w:tc>
        <w:tc>
          <w:tcPr>
            <w:tcW w:w="615" w:type="pct"/>
          </w:tcPr>
          <w:p w14:paraId="5AF80914" w14:textId="77777777" w:rsidR="000E01AC" w:rsidRPr="00000498" w:rsidRDefault="000E01AC" w:rsidP="000E01AC">
            <w:pPr>
              <w:spacing w:after="200" w:line="276" w:lineRule="auto"/>
              <w:jc w:val="center"/>
              <w:rPr>
                <w:rFonts w:asciiTheme="minorHAnsi" w:hAnsiTheme="minorHAnsi" w:cstheme="minorHAnsi"/>
                <w:szCs w:val="24"/>
                <w:lang w:val="pl-PL"/>
              </w:rPr>
            </w:pPr>
          </w:p>
        </w:tc>
        <w:tc>
          <w:tcPr>
            <w:tcW w:w="615" w:type="pct"/>
            <w:shd w:val="clear" w:color="auto" w:fill="auto"/>
          </w:tcPr>
          <w:p w14:paraId="78812C30" w14:textId="77777777" w:rsidR="000E01AC" w:rsidRPr="00000498" w:rsidRDefault="000E01AC" w:rsidP="000E01AC">
            <w:pPr>
              <w:spacing w:after="200" w:line="276" w:lineRule="auto"/>
              <w:jc w:val="center"/>
              <w:rPr>
                <w:rFonts w:asciiTheme="minorHAnsi" w:hAnsiTheme="minorHAnsi" w:cstheme="minorHAnsi"/>
                <w:szCs w:val="24"/>
                <w:lang w:val="pl-PL"/>
              </w:rPr>
            </w:pPr>
          </w:p>
        </w:tc>
      </w:tr>
    </w:tbl>
    <w:p w14:paraId="3F49E2AB" w14:textId="77777777" w:rsidR="00F50542" w:rsidRPr="00F879CC" w:rsidRDefault="00F50542" w:rsidP="00F50542">
      <w:pPr>
        <w:spacing w:after="240" w:line="276" w:lineRule="auto"/>
        <w:rPr>
          <w:rFonts w:asciiTheme="minorHAnsi" w:hAnsiTheme="minorHAnsi" w:cstheme="minorHAnsi"/>
          <w:b/>
          <w:sz w:val="22"/>
          <w:u w:val="single"/>
          <w:lang w:val="en-IE"/>
        </w:rPr>
      </w:pPr>
    </w:p>
    <w:p w14:paraId="10898FFE" w14:textId="77777777" w:rsidR="00F50542" w:rsidRPr="00F879CC" w:rsidRDefault="00F50542" w:rsidP="00F50542">
      <w:pPr>
        <w:spacing w:after="200" w:line="276" w:lineRule="auto"/>
        <w:rPr>
          <w:rFonts w:asciiTheme="minorHAnsi" w:hAnsiTheme="minorHAnsi" w:cstheme="minorHAnsi"/>
          <w:b/>
          <w:sz w:val="22"/>
          <w:u w:val="single"/>
          <w:lang w:val="en-IE"/>
        </w:rPr>
        <w:sectPr w:rsidR="00F50542" w:rsidRPr="00F879CC">
          <w:headerReference w:type="even" r:id="rId23"/>
          <w:headerReference w:type="default" r:id="rId24"/>
          <w:footerReference w:type="even" r:id="rId25"/>
          <w:footerReference w:type="default" r:id="rId26"/>
          <w:headerReference w:type="first" r:id="rId27"/>
          <w:footerReference w:type="first" r:id="rId28"/>
          <w:pgSz w:w="16838" w:h="11906" w:orient="landscape"/>
          <w:pgMar w:top="1417" w:right="1417" w:bottom="1417" w:left="1417" w:header="708" w:footer="708" w:gutter="0"/>
          <w:cols w:space="708"/>
          <w:docGrid w:linePitch="360"/>
        </w:sectPr>
      </w:pPr>
    </w:p>
    <w:p w14:paraId="0865BCE6" w14:textId="4B3D2B50" w:rsidR="00F50542" w:rsidRPr="00000498" w:rsidRDefault="00F50542" w:rsidP="00D46C82">
      <w:pPr>
        <w:spacing w:after="200" w:line="276" w:lineRule="auto"/>
        <w:rPr>
          <w:rFonts w:asciiTheme="minorHAnsi" w:hAnsiTheme="minorHAnsi" w:cstheme="minorHAnsi"/>
          <w:b/>
          <w:szCs w:val="24"/>
          <w:u w:val="single"/>
          <w:lang w:val="pl-PL"/>
        </w:rPr>
      </w:pPr>
      <w:r w:rsidRPr="00000498">
        <w:rPr>
          <w:rFonts w:asciiTheme="minorHAnsi" w:hAnsiTheme="minorHAnsi" w:cstheme="minorHAnsi"/>
          <w:b/>
          <w:szCs w:val="24"/>
          <w:u w:val="single"/>
          <w:lang w:val="pl-PL"/>
        </w:rPr>
        <w:lastRenderedPageBreak/>
        <w:t xml:space="preserve">B. </w:t>
      </w:r>
      <w:r w:rsidR="00A401A3" w:rsidRPr="00000498">
        <w:rPr>
          <w:rFonts w:asciiTheme="minorHAnsi" w:hAnsiTheme="minorHAnsi" w:cstheme="minorHAnsi"/>
          <w:b/>
          <w:szCs w:val="24"/>
          <w:u w:val="single"/>
          <w:lang w:val="pl-PL"/>
        </w:rPr>
        <w:t>Szczegóły według rodzaju operacji (do uzupełnienia dla każdego rodzaju operacji</w:t>
      </w:r>
      <w:r w:rsidRPr="00000498">
        <w:rPr>
          <w:rFonts w:asciiTheme="minorHAnsi" w:hAnsiTheme="minorHAnsi" w:cstheme="minorHAnsi"/>
          <w:b/>
          <w:szCs w:val="24"/>
          <w:u w:val="single"/>
          <w:lang w:val="pl-PL"/>
        </w:rPr>
        <w:t>)</w:t>
      </w:r>
    </w:p>
    <w:p w14:paraId="420C6AD1" w14:textId="4A426F0A" w:rsidR="00F50542" w:rsidRPr="00000498" w:rsidRDefault="00A401A3" w:rsidP="00D46C82">
      <w:pPr>
        <w:spacing w:after="200" w:line="276" w:lineRule="auto"/>
        <w:rPr>
          <w:rFonts w:asciiTheme="minorHAnsi" w:hAnsiTheme="minorHAnsi" w:cstheme="minorHAnsi"/>
          <w:szCs w:val="24"/>
          <w:lang w:val="pl-PL"/>
        </w:rPr>
      </w:pPr>
      <w:r w:rsidRPr="00000498">
        <w:rPr>
          <w:rFonts w:asciiTheme="minorHAnsi" w:hAnsiTheme="minorHAnsi" w:cstheme="minorHAnsi"/>
          <w:szCs w:val="24"/>
          <w:lang w:val="pl-PL"/>
        </w:rPr>
        <w:t>Typy operacji</w:t>
      </w:r>
      <w:r w:rsidR="00F50542" w:rsidRPr="00000498">
        <w:rPr>
          <w:rFonts w:asciiTheme="minorHAnsi" w:hAnsiTheme="minorHAnsi" w:cstheme="minorHAnsi"/>
          <w:szCs w:val="24"/>
          <w:lang w:val="pl-PL"/>
        </w:rPr>
        <w:t>:</w:t>
      </w:r>
    </w:p>
    <w:tbl>
      <w:tblPr>
        <w:tblW w:w="9796" w:type="dxa"/>
        <w:tblInd w:w="93" w:type="dxa"/>
        <w:tblLook w:val="0000" w:firstRow="0" w:lastRow="0" w:firstColumn="0" w:lastColumn="0" w:noHBand="0" w:noVBand="0"/>
        <w:tblCaption w:val="Tabela dotycząca szczegółów według rodzaju operacji"/>
      </w:tblPr>
      <w:tblGrid>
        <w:gridCol w:w="3417"/>
        <w:gridCol w:w="3189"/>
        <w:gridCol w:w="1595"/>
        <w:gridCol w:w="1595"/>
      </w:tblGrid>
      <w:tr w:rsidR="00F50542" w:rsidRPr="00D46C82" w14:paraId="3F6ABDDB" w14:textId="77777777" w:rsidTr="00EE1A8F">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6AB4A8" w14:textId="4F57F2DF" w:rsidR="00F50542" w:rsidRPr="00000498" w:rsidRDefault="00F50542" w:rsidP="00A401A3">
            <w:pPr>
              <w:spacing w:after="80" w:line="276" w:lineRule="auto"/>
              <w:rPr>
                <w:rFonts w:asciiTheme="minorHAnsi" w:hAnsiTheme="minorHAnsi" w:cstheme="minorHAnsi"/>
                <w:bCs/>
                <w:szCs w:val="24"/>
                <w:lang w:val="pl-PL"/>
              </w:rPr>
            </w:pPr>
            <w:r w:rsidRPr="00000498">
              <w:rPr>
                <w:rFonts w:asciiTheme="minorHAnsi" w:hAnsiTheme="minorHAnsi" w:cstheme="minorHAnsi"/>
                <w:bCs/>
                <w:szCs w:val="24"/>
                <w:lang w:val="pl-PL"/>
              </w:rPr>
              <w:t xml:space="preserve">1.1. </w:t>
            </w:r>
            <w:r w:rsidR="00A401A3" w:rsidRPr="00000498">
              <w:rPr>
                <w:rFonts w:asciiTheme="minorHAnsi" w:hAnsiTheme="minorHAnsi" w:cstheme="minorHAnsi"/>
                <w:bCs/>
                <w:szCs w:val="24"/>
                <w:lang w:val="pl-PL"/>
              </w:rPr>
              <w:t>Opis typu operacji</w:t>
            </w:r>
            <w:r w:rsidRPr="00000498">
              <w:rPr>
                <w:rFonts w:asciiTheme="minorHAnsi" w:hAnsiTheme="minorHAnsi" w:cstheme="minorHAnsi"/>
                <w:bCs/>
                <w:szCs w:val="24"/>
                <w:lang w:val="pl-PL"/>
              </w:rPr>
              <w:t xml:space="preserve"> </w:t>
            </w:r>
          </w:p>
        </w:tc>
        <w:tc>
          <w:tcPr>
            <w:tcW w:w="6379" w:type="dxa"/>
            <w:gridSpan w:val="3"/>
            <w:tcBorders>
              <w:top w:val="single" w:sz="4" w:space="0" w:color="auto"/>
              <w:left w:val="single" w:sz="4" w:space="0" w:color="auto"/>
              <w:bottom w:val="single" w:sz="4" w:space="0" w:color="auto"/>
              <w:right w:val="single" w:sz="4" w:space="0" w:color="auto"/>
            </w:tcBorders>
            <w:vAlign w:val="center"/>
          </w:tcPr>
          <w:p w14:paraId="25A17DFB" w14:textId="77777777" w:rsidR="00F50542" w:rsidRPr="00000498" w:rsidRDefault="00F50542" w:rsidP="00F50542">
            <w:pPr>
              <w:spacing w:after="80" w:line="276" w:lineRule="auto"/>
              <w:jc w:val="center"/>
              <w:rPr>
                <w:rFonts w:asciiTheme="minorHAnsi" w:hAnsiTheme="minorHAnsi" w:cstheme="minorHAnsi"/>
                <w:szCs w:val="24"/>
                <w:lang w:val="pl-PL"/>
              </w:rPr>
            </w:pPr>
          </w:p>
        </w:tc>
      </w:tr>
      <w:tr w:rsidR="00F50542" w:rsidRPr="00367EF1" w14:paraId="5204FF1D" w14:textId="77777777" w:rsidTr="00EE1A8F">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0252D2" w14:textId="368C973D" w:rsidR="00F50542" w:rsidRPr="00000498" w:rsidRDefault="00F50542" w:rsidP="00000498">
            <w:pPr>
              <w:spacing w:after="80" w:line="276" w:lineRule="auto"/>
              <w:rPr>
                <w:rFonts w:asciiTheme="minorHAnsi" w:hAnsiTheme="minorHAnsi" w:cstheme="minorHAnsi"/>
                <w:bCs/>
                <w:szCs w:val="24"/>
                <w:lang w:val="pl-PL"/>
              </w:rPr>
            </w:pPr>
            <w:r w:rsidRPr="00000498">
              <w:rPr>
                <w:rFonts w:asciiTheme="minorHAnsi" w:hAnsiTheme="minorHAnsi" w:cstheme="minorHAnsi"/>
                <w:bCs/>
                <w:szCs w:val="24"/>
                <w:lang w:val="pl-PL"/>
              </w:rPr>
              <w:t xml:space="preserve">1.2 </w:t>
            </w:r>
            <w:r w:rsidRPr="00000498">
              <w:rPr>
                <w:rFonts w:asciiTheme="minorHAnsi" w:hAnsiTheme="minorHAnsi" w:cstheme="minorHAnsi"/>
                <w:bCs/>
                <w:strike/>
                <w:szCs w:val="24"/>
                <w:lang w:val="pl-PL"/>
              </w:rPr>
              <w:t>Prio</w:t>
            </w:r>
            <w:r w:rsidR="00A401A3" w:rsidRPr="00000498">
              <w:rPr>
                <w:rFonts w:asciiTheme="minorHAnsi" w:hAnsiTheme="minorHAnsi" w:cstheme="minorHAnsi"/>
                <w:bCs/>
                <w:strike/>
                <w:szCs w:val="24"/>
                <w:lang w:val="pl-PL"/>
              </w:rPr>
              <w:t>rytet</w:t>
            </w:r>
            <w:r w:rsidR="001C7209" w:rsidRPr="00000498">
              <w:rPr>
                <w:rFonts w:asciiTheme="minorHAnsi" w:hAnsiTheme="minorHAnsi" w:cstheme="minorHAnsi"/>
                <w:bCs/>
                <w:strike/>
                <w:szCs w:val="24"/>
                <w:lang w:val="pl-PL"/>
              </w:rPr>
              <w:t xml:space="preserve"> (y)/</w:t>
            </w:r>
            <w:r w:rsidR="001C7209" w:rsidRPr="00000498">
              <w:rPr>
                <w:rFonts w:asciiTheme="minorHAnsi" w:hAnsiTheme="minorHAnsi" w:cstheme="minorHAnsi"/>
                <w:szCs w:val="24"/>
                <w:lang w:val="pl-PL"/>
              </w:rPr>
              <w:t>Cel (-e)</w:t>
            </w:r>
            <w:r w:rsidRPr="00000498">
              <w:rPr>
                <w:rFonts w:asciiTheme="minorHAnsi" w:hAnsiTheme="minorHAnsi" w:cstheme="minorHAnsi"/>
                <w:bCs/>
                <w:szCs w:val="24"/>
                <w:lang w:val="pl-PL"/>
              </w:rPr>
              <w:t xml:space="preserve"> </w:t>
            </w:r>
            <w:r w:rsidR="001C7209" w:rsidRPr="00000498">
              <w:rPr>
                <w:rFonts w:asciiTheme="minorHAnsi" w:hAnsiTheme="minorHAnsi" w:cstheme="minorHAnsi"/>
                <w:bCs/>
                <w:szCs w:val="24"/>
                <w:lang w:val="pl-PL"/>
              </w:rPr>
              <w:t>szczegółowy (-</w:t>
            </w:r>
            <w:r w:rsidR="00A05A16" w:rsidRPr="00000498">
              <w:rPr>
                <w:rFonts w:asciiTheme="minorHAnsi" w:hAnsiTheme="minorHAnsi" w:cstheme="minorHAnsi"/>
                <w:bCs/>
                <w:szCs w:val="24"/>
                <w:lang w:val="pl-PL"/>
              </w:rPr>
              <w:t>e), których</w:t>
            </w:r>
            <w:r w:rsidR="001C7209" w:rsidRPr="00000498">
              <w:rPr>
                <w:rFonts w:asciiTheme="minorHAnsi" w:hAnsiTheme="minorHAnsi" w:cstheme="minorHAnsi"/>
                <w:bCs/>
                <w:szCs w:val="24"/>
                <w:lang w:val="pl-PL"/>
              </w:rPr>
              <w:t xml:space="preserve"> to dotyczy</w:t>
            </w:r>
          </w:p>
        </w:tc>
        <w:tc>
          <w:tcPr>
            <w:tcW w:w="6379" w:type="dxa"/>
            <w:gridSpan w:val="3"/>
            <w:tcBorders>
              <w:top w:val="single" w:sz="4" w:space="0" w:color="auto"/>
              <w:left w:val="single" w:sz="4" w:space="0" w:color="auto"/>
              <w:bottom w:val="single" w:sz="4" w:space="0" w:color="auto"/>
              <w:right w:val="single" w:sz="4" w:space="0" w:color="auto"/>
            </w:tcBorders>
            <w:vAlign w:val="center"/>
          </w:tcPr>
          <w:p w14:paraId="5D304171" w14:textId="77777777" w:rsidR="00F50542" w:rsidRPr="00000498" w:rsidRDefault="00F50542" w:rsidP="00F50542">
            <w:pPr>
              <w:spacing w:after="80" w:line="276" w:lineRule="auto"/>
              <w:jc w:val="center"/>
              <w:rPr>
                <w:rFonts w:asciiTheme="minorHAnsi" w:hAnsiTheme="minorHAnsi" w:cstheme="minorHAnsi"/>
                <w:szCs w:val="24"/>
                <w:lang w:val="pl-PL"/>
              </w:rPr>
            </w:pPr>
          </w:p>
          <w:p w14:paraId="1F4B6F55" w14:textId="77777777" w:rsidR="00F50542" w:rsidRPr="00000498" w:rsidRDefault="00F50542" w:rsidP="00F50542">
            <w:pPr>
              <w:spacing w:after="80" w:line="276" w:lineRule="auto"/>
              <w:jc w:val="center"/>
              <w:rPr>
                <w:rFonts w:asciiTheme="minorHAnsi" w:hAnsiTheme="minorHAnsi" w:cstheme="minorHAnsi"/>
                <w:szCs w:val="24"/>
                <w:lang w:val="pl-PL"/>
              </w:rPr>
            </w:pPr>
          </w:p>
          <w:p w14:paraId="2BFADD35" w14:textId="77777777" w:rsidR="00F50542" w:rsidRPr="00000498" w:rsidRDefault="00F50542" w:rsidP="00F50542">
            <w:pPr>
              <w:spacing w:after="80" w:line="276" w:lineRule="auto"/>
              <w:jc w:val="center"/>
              <w:rPr>
                <w:rFonts w:asciiTheme="minorHAnsi" w:hAnsiTheme="minorHAnsi" w:cstheme="minorHAnsi"/>
                <w:szCs w:val="24"/>
                <w:lang w:val="pl-PL"/>
              </w:rPr>
            </w:pPr>
          </w:p>
        </w:tc>
      </w:tr>
      <w:tr w:rsidR="00F50542" w:rsidRPr="00367EF1" w14:paraId="7C49A74A" w14:textId="77777777" w:rsidTr="00EE1A8F">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BD29B" w14:textId="7043A140" w:rsidR="00F50542" w:rsidRPr="00000498" w:rsidRDefault="00F50542" w:rsidP="00F50542">
            <w:pPr>
              <w:spacing w:after="80" w:line="276" w:lineRule="auto"/>
              <w:rPr>
                <w:rFonts w:asciiTheme="minorHAnsi" w:hAnsiTheme="minorHAnsi" w:cstheme="minorHAnsi"/>
                <w:bCs/>
                <w:szCs w:val="24"/>
                <w:lang w:val="pl-PL"/>
              </w:rPr>
            </w:pPr>
            <w:r w:rsidRPr="00000498">
              <w:rPr>
                <w:rFonts w:asciiTheme="minorHAnsi" w:hAnsiTheme="minorHAnsi" w:cstheme="minorHAnsi"/>
                <w:bCs/>
                <w:szCs w:val="24"/>
                <w:lang w:val="pl-PL"/>
              </w:rPr>
              <w:t xml:space="preserve">1.3 </w:t>
            </w:r>
            <w:r w:rsidR="001C7209" w:rsidRPr="00000498">
              <w:rPr>
                <w:rFonts w:asciiTheme="minorHAnsi" w:hAnsiTheme="minorHAnsi" w:cstheme="minorHAnsi"/>
                <w:bCs/>
                <w:szCs w:val="24"/>
                <w:lang w:val="pl-PL"/>
              </w:rPr>
              <w:t>Warunki, które należy spełnić lub rezultaty, które należy osiągnąć</w:t>
            </w:r>
          </w:p>
        </w:tc>
        <w:tc>
          <w:tcPr>
            <w:tcW w:w="6379" w:type="dxa"/>
            <w:gridSpan w:val="3"/>
            <w:tcBorders>
              <w:top w:val="single" w:sz="4" w:space="0" w:color="auto"/>
              <w:left w:val="single" w:sz="4" w:space="0" w:color="auto"/>
              <w:bottom w:val="single" w:sz="4" w:space="0" w:color="auto"/>
              <w:right w:val="single" w:sz="4" w:space="0" w:color="auto"/>
            </w:tcBorders>
            <w:vAlign w:val="center"/>
          </w:tcPr>
          <w:p w14:paraId="548B3A55" w14:textId="77777777" w:rsidR="00F50542" w:rsidRPr="00000498" w:rsidRDefault="00F50542" w:rsidP="00F50542">
            <w:pPr>
              <w:spacing w:after="80" w:line="276" w:lineRule="auto"/>
              <w:jc w:val="center"/>
              <w:rPr>
                <w:rFonts w:asciiTheme="minorHAnsi" w:hAnsiTheme="minorHAnsi" w:cstheme="minorHAnsi"/>
                <w:szCs w:val="24"/>
                <w:lang w:val="pl-PL"/>
              </w:rPr>
            </w:pPr>
          </w:p>
        </w:tc>
      </w:tr>
      <w:tr w:rsidR="00F50542" w:rsidRPr="00367EF1" w14:paraId="406E3336" w14:textId="77777777" w:rsidTr="00EE1A8F">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A3CEF9" w14:textId="20CFD770" w:rsidR="00F50542" w:rsidRPr="00000498" w:rsidRDefault="00F50542" w:rsidP="00F50542">
            <w:pPr>
              <w:spacing w:after="80" w:line="276" w:lineRule="auto"/>
              <w:rPr>
                <w:rFonts w:asciiTheme="minorHAnsi" w:hAnsiTheme="minorHAnsi" w:cstheme="minorHAnsi"/>
                <w:bCs/>
                <w:szCs w:val="24"/>
                <w:lang w:val="pl-PL"/>
              </w:rPr>
            </w:pPr>
            <w:r w:rsidRPr="00000498">
              <w:rPr>
                <w:rFonts w:asciiTheme="minorHAnsi" w:hAnsiTheme="minorHAnsi" w:cstheme="minorHAnsi"/>
                <w:bCs/>
                <w:szCs w:val="24"/>
                <w:lang w:val="pl-PL"/>
              </w:rPr>
              <w:t xml:space="preserve">1.4 </w:t>
            </w:r>
            <w:r w:rsidR="001C7209" w:rsidRPr="00000498">
              <w:rPr>
                <w:rFonts w:asciiTheme="minorHAnsi" w:hAnsiTheme="minorHAnsi" w:cstheme="minorHAnsi"/>
                <w:bCs/>
                <w:szCs w:val="24"/>
                <w:lang w:val="pl-PL"/>
              </w:rPr>
              <w:t>Termin spełnienia warunków lub wyników do osiągnięcia</w:t>
            </w:r>
          </w:p>
        </w:tc>
        <w:tc>
          <w:tcPr>
            <w:tcW w:w="6379" w:type="dxa"/>
            <w:gridSpan w:val="3"/>
            <w:tcBorders>
              <w:top w:val="single" w:sz="4" w:space="0" w:color="auto"/>
              <w:left w:val="single" w:sz="4" w:space="0" w:color="auto"/>
              <w:bottom w:val="single" w:sz="4" w:space="0" w:color="auto"/>
              <w:right w:val="single" w:sz="4" w:space="0" w:color="auto"/>
            </w:tcBorders>
            <w:vAlign w:val="center"/>
          </w:tcPr>
          <w:p w14:paraId="1748017F" w14:textId="77777777" w:rsidR="00F50542" w:rsidRPr="00000498" w:rsidRDefault="00F50542" w:rsidP="00F50542">
            <w:pPr>
              <w:spacing w:after="80" w:line="276" w:lineRule="auto"/>
              <w:jc w:val="center"/>
              <w:rPr>
                <w:rFonts w:asciiTheme="minorHAnsi" w:hAnsiTheme="minorHAnsi" w:cstheme="minorHAnsi"/>
                <w:szCs w:val="24"/>
                <w:lang w:val="pl-PL"/>
              </w:rPr>
            </w:pPr>
          </w:p>
        </w:tc>
      </w:tr>
      <w:tr w:rsidR="00F50542" w:rsidRPr="00D46C82" w14:paraId="53C896A6" w14:textId="77777777" w:rsidTr="00EE1A8F">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AF82CB" w14:textId="45172BB1" w:rsidR="00F50542" w:rsidRPr="00000498" w:rsidRDefault="00F50542" w:rsidP="00F50542">
            <w:pPr>
              <w:spacing w:after="80" w:line="276" w:lineRule="auto"/>
              <w:rPr>
                <w:rFonts w:asciiTheme="minorHAnsi" w:hAnsiTheme="minorHAnsi" w:cstheme="minorHAnsi"/>
                <w:bCs/>
                <w:szCs w:val="24"/>
                <w:lang w:val="pl-PL"/>
              </w:rPr>
            </w:pPr>
            <w:r w:rsidRPr="00000498">
              <w:rPr>
                <w:rFonts w:asciiTheme="minorHAnsi" w:hAnsiTheme="minorHAnsi" w:cstheme="minorHAnsi"/>
                <w:bCs/>
                <w:szCs w:val="24"/>
                <w:lang w:val="pl-PL"/>
              </w:rPr>
              <w:t xml:space="preserve">1.5 </w:t>
            </w:r>
            <w:r w:rsidR="001C7209" w:rsidRPr="00000498">
              <w:rPr>
                <w:rFonts w:asciiTheme="minorHAnsi" w:hAnsiTheme="minorHAnsi" w:cstheme="minorHAnsi"/>
                <w:bCs/>
                <w:szCs w:val="24"/>
                <w:lang w:val="pl-PL"/>
              </w:rPr>
              <w:t>Definicja wskaźnika dla rezultatów</w:t>
            </w:r>
          </w:p>
        </w:tc>
        <w:tc>
          <w:tcPr>
            <w:tcW w:w="6379" w:type="dxa"/>
            <w:gridSpan w:val="3"/>
            <w:tcBorders>
              <w:top w:val="single" w:sz="4" w:space="0" w:color="auto"/>
              <w:left w:val="single" w:sz="4" w:space="0" w:color="auto"/>
              <w:bottom w:val="single" w:sz="4" w:space="0" w:color="auto"/>
              <w:right w:val="single" w:sz="4" w:space="0" w:color="auto"/>
            </w:tcBorders>
            <w:vAlign w:val="center"/>
          </w:tcPr>
          <w:p w14:paraId="0E39A055" w14:textId="77777777" w:rsidR="00F50542" w:rsidRPr="00000498" w:rsidRDefault="00F50542" w:rsidP="00F50542">
            <w:pPr>
              <w:spacing w:after="80" w:line="276" w:lineRule="auto"/>
              <w:rPr>
                <w:rFonts w:asciiTheme="minorHAnsi" w:hAnsiTheme="minorHAnsi" w:cstheme="minorHAnsi"/>
                <w:szCs w:val="24"/>
                <w:lang w:val="pl-PL"/>
              </w:rPr>
            </w:pPr>
          </w:p>
        </w:tc>
      </w:tr>
      <w:tr w:rsidR="00F50542" w:rsidRPr="00367EF1" w14:paraId="7DEA7668" w14:textId="77777777" w:rsidTr="00EE1A8F">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839DE" w14:textId="5FC973E0" w:rsidR="00F50542" w:rsidRPr="00000498" w:rsidRDefault="00F50542" w:rsidP="00F50542">
            <w:pPr>
              <w:spacing w:after="80" w:line="276" w:lineRule="auto"/>
              <w:rPr>
                <w:rFonts w:asciiTheme="minorHAnsi" w:hAnsiTheme="minorHAnsi" w:cstheme="minorHAnsi"/>
                <w:bCs/>
                <w:szCs w:val="24"/>
                <w:lang w:val="pl-PL"/>
              </w:rPr>
            </w:pPr>
            <w:r w:rsidRPr="00000498">
              <w:rPr>
                <w:rFonts w:asciiTheme="minorHAnsi" w:hAnsiTheme="minorHAnsi" w:cstheme="minorHAnsi"/>
                <w:bCs/>
                <w:szCs w:val="24"/>
                <w:lang w:val="pl-PL"/>
              </w:rPr>
              <w:t xml:space="preserve">1.6 </w:t>
            </w:r>
            <w:r w:rsidR="001C7209" w:rsidRPr="00000498">
              <w:rPr>
                <w:rFonts w:asciiTheme="minorHAnsi" w:hAnsiTheme="minorHAnsi" w:cstheme="minorHAnsi"/>
                <w:szCs w:val="24"/>
                <w:lang w:val="pl-PL"/>
              </w:rPr>
              <w:t>Jednostka miary dla wskaźnika wyników</w:t>
            </w:r>
          </w:p>
        </w:tc>
        <w:tc>
          <w:tcPr>
            <w:tcW w:w="6379" w:type="dxa"/>
            <w:gridSpan w:val="3"/>
            <w:tcBorders>
              <w:top w:val="single" w:sz="4" w:space="0" w:color="auto"/>
              <w:left w:val="single" w:sz="4" w:space="0" w:color="auto"/>
              <w:bottom w:val="single" w:sz="4" w:space="0" w:color="auto"/>
              <w:right w:val="single" w:sz="4" w:space="0" w:color="auto"/>
            </w:tcBorders>
            <w:vAlign w:val="center"/>
          </w:tcPr>
          <w:p w14:paraId="5AE0D223" w14:textId="77777777" w:rsidR="00F50542" w:rsidRPr="00000498" w:rsidRDefault="00F50542" w:rsidP="00F50542">
            <w:pPr>
              <w:spacing w:after="80" w:line="276" w:lineRule="auto"/>
              <w:jc w:val="center"/>
              <w:rPr>
                <w:rFonts w:asciiTheme="minorHAnsi" w:hAnsiTheme="minorHAnsi" w:cstheme="minorHAnsi"/>
                <w:szCs w:val="24"/>
                <w:lang w:val="pl-PL"/>
              </w:rPr>
            </w:pPr>
          </w:p>
        </w:tc>
      </w:tr>
      <w:tr w:rsidR="00F50542" w:rsidRPr="00D46C82" w14:paraId="0F650CE1" w14:textId="77777777" w:rsidTr="00EE1A8F">
        <w:trPr>
          <w:trHeight w:val="360"/>
        </w:trPr>
        <w:tc>
          <w:tcPr>
            <w:tcW w:w="3417" w:type="dxa"/>
            <w:vMerge w:val="restart"/>
            <w:tcBorders>
              <w:top w:val="single" w:sz="4" w:space="0" w:color="auto"/>
              <w:left w:val="single" w:sz="4" w:space="0" w:color="auto"/>
              <w:right w:val="single" w:sz="4" w:space="0" w:color="auto"/>
            </w:tcBorders>
            <w:shd w:val="clear" w:color="auto" w:fill="auto"/>
            <w:noWrap/>
            <w:vAlign w:val="center"/>
          </w:tcPr>
          <w:p w14:paraId="26CD70FD" w14:textId="0223D11B" w:rsidR="00F50542" w:rsidRPr="00000498" w:rsidRDefault="00F50542" w:rsidP="00F50542">
            <w:pPr>
              <w:spacing w:after="80" w:line="276" w:lineRule="auto"/>
              <w:rPr>
                <w:rFonts w:asciiTheme="minorHAnsi" w:hAnsiTheme="minorHAnsi" w:cstheme="minorHAnsi"/>
                <w:bCs/>
                <w:szCs w:val="24"/>
                <w:lang w:val="pl-PL"/>
              </w:rPr>
            </w:pPr>
            <w:r w:rsidRPr="00000498">
              <w:rPr>
                <w:rFonts w:asciiTheme="minorHAnsi" w:hAnsiTheme="minorHAnsi" w:cstheme="minorHAnsi"/>
                <w:bCs/>
                <w:szCs w:val="24"/>
                <w:lang w:val="pl-PL"/>
              </w:rPr>
              <w:t xml:space="preserve">1.7 </w:t>
            </w:r>
            <w:r w:rsidR="001C7209" w:rsidRPr="00000498">
              <w:rPr>
                <w:rFonts w:asciiTheme="minorHAnsi" w:hAnsiTheme="minorHAnsi" w:cstheme="minorHAnsi"/>
                <w:bCs/>
                <w:szCs w:val="24"/>
                <w:lang w:val="pl-PL"/>
              </w:rPr>
              <w:t>Produkty pośrednie (jeśli dotyczy) powodujące zwrot kosztów przez Komisję wraz z harmonogramem zwrotów</w:t>
            </w:r>
          </w:p>
        </w:tc>
        <w:tc>
          <w:tcPr>
            <w:tcW w:w="3189" w:type="dxa"/>
            <w:tcBorders>
              <w:top w:val="single" w:sz="4" w:space="0" w:color="auto"/>
              <w:left w:val="single" w:sz="4" w:space="0" w:color="auto"/>
              <w:bottom w:val="single" w:sz="4" w:space="0" w:color="auto"/>
              <w:right w:val="single" w:sz="4" w:space="0" w:color="auto"/>
            </w:tcBorders>
            <w:vAlign w:val="center"/>
          </w:tcPr>
          <w:p w14:paraId="32746178" w14:textId="2C739B86" w:rsidR="00F50542" w:rsidRPr="00000498" w:rsidRDefault="008E0E46" w:rsidP="00F50542">
            <w:pPr>
              <w:spacing w:after="80" w:line="276" w:lineRule="auto"/>
              <w:jc w:val="center"/>
              <w:rPr>
                <w:rFonts w:asciiTheme="minorHAnsi" w:hAnsiTheme="minorHAnsi" w:cstheme="minorHAnsi"/>
                <w:szCs w:val="24"/>
                <w:lang w:val="pl-PL"/>
              </w:rPr>
            </w:pPr>
            <w:r w:rsidRPr="00000498">
              <w:rPr>
                <w:rFonts w:asciiTheme="minorHAnsi" w:hAnsiTheme="minorHAnsi" w:cstheme="minorHAnsi"/>
                <w:szCs w:val="24"/>
                <w:lang w:val="pl-PL"/>
              </w:rPr>
              <w:t>Rezultaty pośrednie</w:t>
            </w:r>
            <w:r w:rsidR="00F50542" w:rsidRPr="00000498">
              <w:rPr>
                <w:rFonts w:asciiTheme="minorHAnsi" w:hAnsiTheme="minorHAnsi" w:cstheme="minorHAnsi"/>
                <w:szCs w:val="24"/>
                <w:lang w:val="pl-PL"/>
              </w:rPr>
              <w:t xml:space="preserve"> </w:t>
            </w:r>
          </w:p>
        </w:tc>
        <w:tc>
          <w:tcPr>
            <w:tcW w:w="1595" w:type="dxa"/>
            <w:tcBorders>
              <w:top w:val="single" w:sz="4" w:space="0" w:color="auto"/>
              <w:left w:val="single" w:sz="4" w:space="0" w:color="auto"/>
              <w:bottom w:val="single" w:sz="4" w:space="0" w:color="auto"/>
              <w:right w:val="single" w:sz="4" w:space="0" w:color="auto"/>
            </w:tcBorders>
            <w:vAlign w:val="center"/>
          </w:tcPr>
          <w:p w14:paraId="35CBFDFA" w14:textId="3E7C6A8A" w:rsidR="00F50542" w:rsidRPr="00000498" w:rsidRDefault="008E0E46" w:rsidP="00F50542">
            <w:pPr>
              <w:spacing w:after="80" w:line="276" w:lineRule="auto"/>
              <w:jc w:val="center"/>
              <w:rPr>
                <w:rFonts w:asciiTheme="minorHAnsi" w:hAnsiTheme="minorHAnsi" w:cstheme="minorHAnsi"/>
                <w:szCs w:val="24"/>
                <w:lang w:val="pl-PL"/>
              </w:rPr>
            </w:pPr>
            <w:r w:rsidRPr="00000498">
              <w:rPr>
                <w:rFonts w:asciiTheme="minorHAnsi" w:hAnsiTheme="minorHAnsi" w:cstheme="minorHAnsi"/>
                <w:szCs w:val="24"/>
                <w:lang w:val="pl-PL"/>
              </w:rPr>
              <w:t>Data</w:t>
            </w:r>
          </w:p>
        </w:tc>
        <w:tc>
          <w:tcPr>
            <w:tcW w:w="1595" w:type="dxa"/>
            <w:tcBorders>
              <w:top w:val="single" w:sz="4" w:space="0" w:color="auto"/>
              <w:left w:val="single" w:sz="4" w:space="0" w:color="auto"/>
              <w:bottom w:val="single" w:sz="4" w:space="0" w:color="auto"/>
              <w:right w:val="single" w:sz="4" w:space="0" w:color="auto"/>
            </w:tcBorders>
            <w:vAlign w:val="center"/>
          </w:tcPr>
          <w:p w14:paraId="6DDB414D" w14:textId="3E6EAB56" w:rsidR="00F50542" w:rsidRPr="00000498" w:rsidRDefault="008E0E46" w:rsidP="00F50542">
            <w:pPr>
              <w:spacing w:after="80" w:line="276" w:lineRule="auto"/>
              <w:jc w:val="center"/>
              <w:rPr>
                <w:rFonts w:asciiTheme="minorHAnsi" w:hAnsiTheme="minorHAnsi" w:cstheme="minorHAnsi"/>
                <w:szCs w:val="24"/>
                <w:lang w:val="pl-PL"/>
              </w:rPr>
            </w:pPr>
            <w:r w:rsidRPr="00000498">
              <w:rPr>
                <w:rFonts w:asciiTheme="minorHAnsi" w:hAnsiTheme="minorHAnsi" w:cstheme="minorHAnsi"/>
                <w:szCs w:val="24"/>
                <w:lang w:val="pl-PL"/>
              </w:rPr>
              <w:t>Kwoty</w:t>
            </w:r>
          </w:p>
        </w:tc>
      </w:tr>
      <w:tr w:rsidR="00F50542" w:rsidRPr="00D46C82" w14:paraId="3026A080" w14:textId="77777777" w:rsidTr="00EE1A8F">
        <w:trPr>
          <w:trHeight w:val="360"/>
        </w:trPr>
        <w:tc>
          <w:tcPr>
            <w:tcW w:w="3417" w:type="dxa"/>
            <w:vMerge/>
            <w:tcBorders>
              <w:left w:val="single" w:sz="4" w:space="0" w:color="auto"/>
              <w:right w:val="single" w:sz="4" w:space="0" w:color="auto"/>
            </w:tcBorders>
            <w:shd w:val="clear" w:color="auto" w:fill="auto"/>
            <w:noWrap/>
            <w:vAlign w:val="center"/>
          </w:tcPr>
          <w:p w14:paraId="32ABC86A" w14:textId="77777777" w:rsidR="00F50542" w:rsidRPr="00000498" w:rsidRDefault="00F50542" w:rsidP="00F50542">
            <w:pPr>
              <w:spacing w:after="80" w:line="276" w:lineRule="auto"/>
              <w:rPr>
                <w:rFonts w:asciiTheme="minorHAnsi" w:hAnsiTheme="minorHAnsi" w:cstheme="minorHAnsi"/>
                <w:bCs/>
                <w:szCs w:val="24"/>
                <w:lang w:val="pl-PL"/>
              </w:rPr>
            </w:pPr>
          </w:p>
        </w:tc>
        <w:tc>
          <w:tcPr>
            <w:tcW w:w="3189" w:type="dxa"/>
            <w:tcBorders>
              <w:top w:val="single" w:sz="4" w:space="0" w:color="auto"/>
              <w:left w:val="single" w:sz="4" w:space="0" w:color="auto"/>
              <w:bottom w:val="single" w:sz="4" w:space="0" w:color="auto"/>
              <w:right w:val="single" w:sz="4" w:space="0" w:color="auto"/>
            </w:tcBorders>
            <w:vAlign w:val="center"/>
          </w:tcPr>
          <w:p w14:paraId="03345896" w14:textId="77777777" w:rsidR="00F50542" w:rsidRPr="00000498" w:rsidRDefault="00F50542" w:rsidP="00F50542">
            <w:pPr>
              <w:spacing w:after="80" w:line="276" w:lineRule="auto"/>
              <w:jc w:val="center"/>
              <w:rPr>
                <w:rFonts w:asciiTheme="minorHAnsi" w:hAnsiTheme="minorHAnsi" w:cstheme="minorHAnsi"/>
                <w:szCs w:val="24"/>
                <w:lang w:val="pl-PL"/>
              </w:rPr>
            </w:pPr>
          </w:p>
        </w:tc>
        <w:tc>
          <w:tcPr>
            <w:tcW w:w="1595" w:type="dxa"/>
            <w:tcBorders>
              <w:top w:val="single" w:sz="4" w:space="0" w:color="auto"/>
              <w:left w:val="single" w:sz="4" w:space="0" w:color="auto"/>
              <w:bottom w:val="single" w:sz="4" w:space="0" w:color="auto"/>
              <w:right w:val="single" w:sz="4" w:space="0" w:color="auto"/>
            </w:tcBorders>
            <w:vAlign w:val="center"/>
          </w:tcPr>
          <w:p w14:paraId="0A373050" w14:textId="77777777" w:rsidR="00F50542" w:rsidRPr="00000498" w:rsidRDefault="00F50542" w:rsidP="00F50542">
            <w:pPr>
              <w:spacing w:after="80" w:line="276" w:lineRule="auto"/>
              <w:jc w:val="center"/>
              <w:rPr>
                <w:rFonts w:asciiTheme="minorHAnsi" w:hAnsiTheme="minorHAnsi" w:cstheme="minorHAnsi"/>
                <w:szCs w:val="24"/>
                <w:lang w:val="pl-PL"/>
              </w:rPr>
            </w:pPr>
          </w:p>
        </w:tc>
        <w:tc>
          <w:tcPr>
            <w:tcW w:w="1595" w:type="dxa"/>
            <w:tcBorders>
              <w:top w:val="single" w:sz="4" w:space="0" w:color="auto"/>
              <w:left w:val="single" w:sz="4" w:space="0" w:color="auto"/>
              <w:bottom w:val="single" w:sz="4" w:space="0" w:color="auto"/>
              <w:right w:val="single" w:sz="4" w:space="0" w:color="auto"/>
            </w:tcBorders>
            <w:vAlign w:val="center"/>
          </w:tcPr>
          <w:p w14:paraId="02451AED" w14:textId="77777777" w:rsidR="00F50542" w:rsidRPr="00000498" w:rsidRDefault="00F50542" w:rsidP="00F50542">
            <w:pPr>
              <w:spacing w:after="80" w:line="276" w:lineRule="auto"/>
              <w:jc w:val="center"/>
              <w:rPr>
                <w:rFonts w:asciiTheme="minorHAnsi" w:hAnsiTheme="minorHAnsi" w:cstheme="minorHAnsi"/>
                <w:szCs w:val="24"/>
                <w:lang w:val="pl-PL"/>
              </w:rPr>
            </w:pPr>
          </w:p>
        </w:tc>
      </w:tr>
      <w:tr w:rsidR="00F50542" w:rsidRPr="00D46C82" w14:paraId="4E243653" w14:textId="77777777" w:rsidTr="00EE1A8F">
        <w:trPr>
          <w:trHeight w:val="360"/>
        </w:trPr>
        <w:tc>
          <w:tcPr>
            <w:tcW w:w="3417" w:type="dxa"/>
            <w:vMerge/>
            <w:tcBorders>
              <w:left w:val="single" w:sz="4" w:space="0" w:color="auto"/>
              <w:bottom w:val="single" w:sz="4" w:space="0" w:color="auto"/>
              <w:right w:val="single" w:sz="4" w:space="0" w:color="auto"/>
            </w:tcBorders>
            <w:shd w:val="clear" w:color="auto" w:fill="auto"/>
            <w:noWrap/>
            <w:vAlign w:val="center"/>
          </w:tcPr>
          <w:p w14:paraId="54E811BD" w14:textId="77777777" w:rsidR="00F50542" w:rsidRPr="00000498" w:rsidRDefault="00F50542" w:rsidP="00F50542">
            <w:pPr>
              <w:spacing w:after="80" w:line="276" w:lineRule="auto"/>
              <w:rPr>
                <w:rFonts w:asciiTheme="minorHAnsi" w:hAnsiTheme="minorHAnsi" w:cstheme="minorHAnsi"/>
                <w:bCs/>
                <w:szCs w:val="24"/>
                <w:lang w:val="pl-PL"/>
              </w:rPr>
            </w:pPr>
          </w:p>
        </w:tc>
        <w:tc>
          <w:tcPr>
            <w:tcW w:w="3189" w:type="dxa"/>
            <w:tcBorders>
              <w:top w:val="single" w:sz="4" w:space="0" w:color="auto"/>
              <w:left w:val="single" w:sz="4" w:space="0" w:color="auto"/>
              <w:bottom w:val="single" w:sz="4" w:space="0" w:color="auto"/>
              <w:right w:val="single" w:sz="4" w:space="0" w:color="auto"/>
            </w:tcBorders>
            <w:vAlign w:val="center"/>
          </w:tcPr>
          <w:p w14:paraId="65FD754C" w14:textId="77777777" w:rsidR="00F50542" w:rsidRPr="00000498" w:rsidRDefault="00F50542" w:rsidP="00F50542">
            <w:pPr>
              <w:spacing w:after="80" w:line="276" w:lineRule="auto"/>
              <w:jc w:val="center"/>
              <w:rPr>
                <w:rFonts w:asciiTheme="minorHAnsi" w:hAnsiTheme="minorHAnsi" w:cstheme="minorHAnsi"/>
                <w:szCs w:val="24"/>
                <w:lang w:val="pl-PL"/>
              </w:rPr>
            </w:pPr>
          </w:p>
        </w:tc>
        <w:tc>
          <w:tcPr>
            <w:tcW w:w="1595" w:type="dxa"/>
            <w:tcBorders>
              <w:top w:val="single" w:sz="4" w:space="0" w:color="auto"/>
              <w:left w:val="single" w:sz="4" w:space="0" w:color="auto"/>
              <w:bottom w:val="single" w:sz="4" w:space="0" w:color="auto"/>
              <w:right w:val="single" w:sz="4" w:space="0" w:color="auto"/>
            </w:tcBorders>
            <w:vAlign w:val="center"/>
          </w:tcPr>
          <w:p w14:paraId="4789C531" w14:textId="77777777" w:rsidR="00F50542" w:rsidRPr="00000498" w:rsidRDefault="00F50542" w:rsidP="00F50542">
            <w:pPr>
              <w:spacing w:after="80" w:line="276" w:lineRule="auto"/>
              <w:jc w:val="center"/>
              <w:rPr>
                <w:rFonts w:asciiTheme="minorHAnsi" w:hAnsiTheme="minorHAnsi" w:cstheme="minorHAnsi"/>
                <w:szCs w:val="24"/>
                <w:lang w:val="pl-PL"/>
              </w:rPr>
            </w:pPr>
          </w:p>
        </w:tc>
        <w:tc>
          <w:tcPr>
            <w:tcW w:w="1595" w:type="dxa"/>
            <w:tcBorders>
              <w:top w:val="single" w:sz="4" w:space="0" w:color="auto"/>
              <w:left w:val="single" w:sz="4" w:space="0" w:color="auto"/>
              <w:bottom w:val="single" w:sz="4" w:space="0" w:color="auto"/>
              <w:right w:val="single" w:sz="4" w:space="0" w:color="auto"/>
            </w:tcBorders>
            <w:vAlign w:val="center"/>
          </w:tcPr>
          <w:p w14:paraId="0B5EC7D0" w14:textId="77777777" w:rsidR="00F50542" w:rsidRPr="00000498" w:rsidRDefault="00F50542" w:rsidP="00F50542">
            <w:pPr>
              <w:spacing w:after="80" w:line="276" w:lineRule="auto"/>
              <w:jc w:val="center"/>
              <w:rPr>
                <w:rFonts w:asciiTheme="minorHAnsi" w:hAnsiTheme="minorHAnsi" w:cstheme="minorHAnsi"/>
                <w:szCs w:val="24"/>
                <w:lang w:val="pl-PL"/>
              </w:rPr>
            </w:pPr>
          </w:p>
        </w:tc>
      </w:tr>
      <w:tr w:rsidR="00F50542" w:rsidRPr="00367EF1" w14:paraId="58DB3F0C" w14:textId="77777777" w:rsidTr="00EE1A8F">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44FE18" w14:textId="724D1855" w:rsidR="00F50542" w:rsidRPr="00000498" w:rsidRDefault="00F50542" w:rsidP="00F50542">
            <w:pPr>
              <w:spacing w:after="80" w:line="276" w:lineRule="auto"/>
              <w:rPr>
                <w:rFonts w:asciiTheme="minorHAnsi" w:hAnsiTheme="minorHAnsi" w:cstheme="minorHAnsi"/>
                <w:bCs/>
                <w:szCs w:val="24"/>
                <w:lang w:val="pl-PL"/>
              </w:rPr>
            </w:pPr>
            <w:r w:rsidRPr="00000498">
              <w:rPr>
                <w:rFonts w:asciiTheme="minorHAnsi" w:hAnsiTheme="minorHAnsi" w:cstheme="minorHAnsi"/>
                <w:bCs/>
                <w:szCs w:val="24"/>
                <w:lang w:val="pl-PL"/>
              </w:rPr>
              <w:t xml:space="preserve">1.8 </w:t>
            </w:r>
            <w:r w:rsidR="001C7209" w:rsidRPr="00000498">
              <w:rPr>
                <w:rFonts w:asciiTheme="minorHAnsi" w:hAnsiTheme="minorHAnsi" w:cstheme="minorHAnsi"/>
                <w:bCs/>
                <w:szCs w:val="24"/>
                <w:lang w:val="pl-PL"/>
              </w:rPr>
              <w:t>Całkowita kwota (w tym finansowanie unijne i krajowe)</w:t>
            </w:r>
          </w:p>
        </w:tc>
        <w:tc>
          <w:tcPr>
            <w:tcW w:w="6379" w:type="dxa"/>
            <w:gridSpan w:val="3"/>
            <w:tcBorders>
              <w:top w:val="single" w:sz="4" w:space="0" w:color="auto"/>
              <w:left w:val="single" w:sz="4" w:space="0" w:color="auto"/>
              <w:bottom w:val="single" w:sz="4" w:space="0" w:color="auto"/>
              <w:right w:val="single" w:sz="4" w:space="0" w:color="auto"/>
            </w:tcBorders>
            <w:vAlign w:val="center"/>
          </w:tcPr>
          <w:p w14:paraId="17D4C6CC" w14:textId="77777777" w:rsidR="00F50542" w:rsidRPr="00000498" w:rsidRDefault="00F50542" w:rsidP="00F50542">
            <w:pPr>
              <w:spacing w:after="80" w:line="276" w:lineRule="auto"/>
              <w:jc w:val="center"/>
              <w:rPr>
                <w:rFonts w:asciiTheme="minorHAnsi" w:hAnsiTheme="minorHAnsi" w:cstheme="minorHAnsi"/>
                <w:szCs w:val="24"/>
                <w:lang w:val="pl-PL"/>
              </w:rPr>
            </w:pPr>
          </w:p>
        </w:tc>
      </w:tr>
      <w:tr w:rsidR="00F50542" w:rsidRPr="00D46C82" w14:paraId="58005CB4" w14:textId="77777777" w:rsidTr="00EE1A8F">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0E9F60" w14:textId="5B0D3CF9" w:rsidR="00F50542" w:rsidRPr="00000498" w:rsidRDefault="00F50542" w:rsidP="001C7209">
            <w:pPr>
              <w:spacing w:after="80" w:line="276" w:lineRule="auto"/>
              <w:rPr>
                <w:rFonts w:asciiTheme="minorHAnsi" w:hAnsiTheme="minorHAnsi" w:cstheme="minorHAnsi"/>
                <w:bCs/>
                <w:szCs w:val="24"/>
                <w:lang w:val="pl-PL"/>
              </w:rPr>
            </w:pPr>
            <w:r w:rsidRPr="00000498">
              <w:rPr>
                <w:rFonts w:asciiTheme="minorHAnsi" w:hAnsiTheme="minorHAnsi" w:cstheme="minorHAnsi"/>
                <w:bCs/>
                <w:szCs w:val="24"/>
                <w:lang w:val="pl-PL"/>
              </w:rPr>
              <w:t xml:space="preserve">1.9 </w:t>
            </w:r>
            <w:r w:rsidR="001C7209" w:rsidRPr="00000498">
              <w:rPr>
                <w:rFonts w:asciiTheme="minorHAnsi" w:hAnsiTheme="minorHAnsi" w:cstheme="minorHAnsi"/>
                <w:bCs/>
                <w:szCs w:val="24"/>
                <w:lang w:val="pl-PL"/>
              </w:rPr>
              <w:t>Metody korekty/korekt</w:t>
            </w:r>
          </w:p>
        </w:tc>
        <w:tc>
          <w:tcPr>
            <w:tcW w:w="6379" w:type="dxa"/>
            <w:gridSpan w:val="3"/>
            <w:tcBorders>
              <w:top w:val="single" w:sz="4" w:space="0" w:color="auto"/>
              <w:left w:val="single" w:sz="4" w:space="0" w:color="auto"/>
              <w:bottom w:val="single" w:sz="4" w:space="0" w:color="auto"/>
              <w:right w:val="single" w:sz="4" w:space="0" w:color="auto"/>
            </w:tcBorders>
            <w:vAlign w:val="center"/>
          </w:tcPr>
          <w:p w14:paraId="420514EB" w14:textId="77777777" w:rsidR="00F50542" w:rsidRPr="00000498" w:rsidRDefault="00F50542" w:rsidP="00F50542">
            <w:pPr>
              <w:spacing w:after="80" w:line="276" w:lineRule="auto"/>
              <w:jc w:val="center"/>
              <w:rPr>
                <w:rFonts w:asciiTheme="minorHAnsi" w:hAnsiTheme="minorHAnsi" w:cstheme="minorHAnsi"/>
                <w:i/>
                <w:szCs w:val="24"/>
                <w:lang w:val="pl-PL"/>
              </w:rPr>
            </w:pPr>
          </w:p>
        </w:tc>
      </w:tr>
      <w:tr w:rsidR="00F50542" w:rsidRPr="00367EF1" w14:paraId="3C388F0A" w14:textId="77777777" w:rsidTr="00EE1A8F">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F13D5C" w14:textId="68D66389" w:rsidR="00F50542" w:rsidRPr="00000498" w:rsidRDefault="00F50542" w:rsidP="00F50542">
            <w:pPr>
              <w:spacing w:after="80" w:line="276" w:lineRule="auto"/>
              <w:rPr>
                <w:rFonts w:asciiTheme="minorHAnsi" w:hAnsiTheme="minorHAnsi" w:cstheme="minorHAnsi"/>
                <w:szCs w:val="24"/>
                <w:lang w:val="pl-PL"/>
              </w:rPr>
            </w:pPr>
            <w:r w:rsidRPr="00000498">
              <w:rPr>
                <w:rFonts w:asciiTheme="minorHAnsi" w:hAnsiTheme="minorHAnsi" w:cstheme="minorHAnsi"/>
                <w:bCs/>
                <w:szCs w:val="24"/>
                <w:lang w:val="pl-PL"/>
              </w:rPr>
              <w:t xml:space="preserve">1.10 </w:t>
            </w:r>
            <w:r w:rsidR="001C7209" w:rsidRPr="00000498">
              <w:rPr>
                <w:rFonts w:asciiTheme="minorHAnsi" w:hAnsiTheme="minorHAnsi" w:cstheme="minorHAnsi"/>
                <w:szCs w:val="24"/>
                <w:lang w:val="pl-PL"/>
              </w:rPr>
              <w:t>Weryfikacja osiągnięcia wyniku lub warunku (i, w stosownych przypadkach, rezultatów pośrednich</w:t>
            </w:r>
            <w:r w:rsidRPr="00000498">
              <w:rPr>
                <w:rFonts w:asciiTheme="minorHAnsi" w:hAnsiTheme="minorHAnsi" w:cstheme="minorHAnsi"/>
                <w:szCs w:val="24"/>
                <w:lang w:val="pl-PL"/>
              </w:rPr>
              <w:t>)</w:t>
            </w:r>
          </w:p>
          <w:p w14:paraId="0C0CDEC6" w14:textId="08262578" w:rsidR="001C7209" w:rsidRPr="00000498" w:rsidRDefault="001C7209" w:rsidP="00F879CC">
            <w:pPr>
              <w:pStyle w:val="Akapitzlist"/>
              <w:numPr>
                <w:ilvl w:val="0"/>
                <w:numId w:val="27"/>
              </w:numPr>
              <w:spacing w:after="80"/>
              <w:rPr>
                <w:rFonts w:cstheme="minorHAnsi"/>
                <w:sz w:val="24"/>
                <w:szCs w:val="24"/>
                <w:lang w:val="pl-PL"/>
              </w:rPr>
            </w:pPr>
            <w:r w:rsidRPr="00000498">
              <w:rPr>
                <w:rFonts w:cstheme="minorHAnsi"/>
                <w:sz w:val="24"/>
                <w:szCs w:val="24"/>
                <w:lang w:val="pl-PL"/>
              </w:rPr>
              <w:t>proszę opisać, jakie dokumenty będą stosowane w weryfikacji osiągnięcia wyniku lub warunku;</w:t>
            </w:r>
          </w:p>
          <w:p w14:paraId="64CB01F5" w14:textId="3A782997" w:rsidR="001C7209" w:rsidRPr="00000498" w:rsidRDefault="001C7209" w:rsidP="00F879CC">
            <w:pPr>
              <w:pStyle w:val="Akapitzlist"/>
              <w:numPr>
                <w:ilvl w:val="0"/>
                <w:numId w:val="27"/>
              </w:numPr>
              <w:spacing w:after="80"/>
              <w:rPr>
                <w:rFonts w:cstheme="minorHAnsi"/>
                <w:sz w:val="24"/>
                <w:szCs w:val="24"/>
                <w:lang w:val="pl-PL"/>
              </w:rPr>
            </w:pPr>
            <w:r w:rsidRPr="00000498">
              <w:rPr>
                <w:rFonts w:cstheme="minorHAnsi"/>
                <w:sz w:val="24"/>
                <w:szCs w:val="24"/>
                <w:lang w:val="pl-PL"/>
              </w:rPr>
              <w:t xml:space="preserve">proszę </w:t>
            </w:r>
            <w:r w:rsidR="00A05A16" w:rsidRPr="00000498">
              <w:rPr>
                <w:rFonts w:cstheme="minorHAnsi"/>
                <w:sz w:val="24"/>
                <w:szCs w:val="24"/>
                <w:lang w:val="pl-PL"/>
              </w:rPr>
              <w:t>opisać, co</w:t>
            </w:r>
            <w:r w:rsidRPr="00000498">
              <w:rPr>
                <w:rFonts w:cstheme="minorHAnsi"/>
                <w:sz w:val="24"/>
                <w:szCs w:val="24"/>
                <w:lang w:val="pl-PL"/>
              </w:rPr>
              <w:t xml:space="preserve"> będzie sprawdzane podczas kontroli zarządczych (w tym na miejscu) i przez kogo;</w:t>
            </w:r>
          </w:p>
          <w:p w14:paraId="0376BAB0" w14:textId="2EE04AC8" w:rsidR="00F50542" w:rsidRPr="00000498" w:rsidRDefault="001C7209" w:rsidP="00F879CC">
            <w:pPr>
              <w:pStyle w:val="Akapitzlist"/>
              <w:numPr>
                <w:ilvl w:val="0"/>
                <w:numId w:val="27"/>
              </w:numPr>
              <w:spacing w:after="80"/>
              <w:rPr>
                <w:rFonts w:cstheme="minorHAnsi"/>
                <w:sz w:val="24"/>
                <w:szCs w:val="24"/>
                <w:lang w:val="pl-PL"/>
              </w:rPr>
            </w:pPr>
            <w:r w:rsidRPr="00000498">
              <w:rPr>
                <w:rFonts w:cstheme="minorHAnsi"/>
                <w:sz w:val="24"/>
                <w:szCs w:val="24"/>
                <w:lang w:val="pl-PL"/>
              </w:rPr>
              <w:t xml:space="preserve">proszę opisać ustalenia dotyczące gromadzenia i </w:t>
            </w:r>
            <w:r w:rsidRPr="00000498">
              <w:rPr>
                <w:rFonts w:cstheme="minorHAnsi"/>
                <w:sz w:val="24"/>
                <w:szCs w:val="24"/>
                <w:lang w:val="pl-PL"/>
              </w:rPr>
              <w:lastRenderedPageBreak/>
              <w:t>przechowywania danych/dokumentów.</w:t>
            </w:r>
            <w:r w:rsidR="00A143B2" w:rsidRPr="00000498">
              <w:rPr>
                <w:rFonts w:cstheme="minorHAnsi"/>
                <w:sz w:val="24"/>
                <w:szCs w:val="24"/>
                <w:lang w:val="pl-PL"/>
              </w:rPr>
              <w:t xml:space="preserve">  </w:t>
            </w:r>
          </w:p>
        </w:tc>
        <w:tc>
          <w:tcPr>
            <w:tcW w:w="6379" w:type="dxa"/>
            <w:gridSpan w:val="3"/>
            <w:tcBorders>
              <w:top w:val="single" w:sz="4" w:space="0" w:color="auto"/>
              <w:left w:val="single" w:sz="4" w:space="0" w:color="auto"/>
              <w:bottom w:val="single" w:sz="4" w:space="0" w:color="auto"/>
              <w:right w:val="single" w:sz="4" w:space="0" w:color="auto"/>
            </w:tcBorders>
            <w:vAlign w:val="center"/>
          </w:tcPr>
          <w:p w14:paraId="7CE4A2A3" w14:textId="77777777" w:rsidR="00F50542" w:rsidRPr="00000498" w:rsidRDefault="00F50542" w:rsidP="00F50542">
            <w:pPr>
              <w:spacing w:after="80" w:line="276" w:lineRule="auto"/>
              <w:jc w:val="center"/>
              <w:rPr>
                <w:rFonts w:asciiTheme="minorHAnsi" w:hAnsiTheme="minorHAnsi" w:cstheme="minorHAnsi"/>
                <w:szCs w:val="24"/>
                <w:lang w:val="pl-PL"/>
              </w:rPr>
            </w:pPr>
          </w:p>
          <w:p w14:paraId="6A4049F6" w14:textId="77777777" w:rsidR="00F50542" w:rsidRPr="00000498" w:rsidRDefault="00F50542" w:rsidP="00F50542">
            <w:pPr>
              <w:spacing w:after="80" w:line="276" w:lineRule="auto"/>
              <w:jc w:val="center"/>
              <w:rPr>
                <w:rFonts w:asciiTheme="minorHAnsi" w:hAnsiTheme="minorHAnsi" w:cstheme="minorHAnsi"/>
                <w:szCs w:val="24"/>
                <w:lang w:val="pl-PL"/>
              </w:rPr>
            </w:pPr>
          </w:p>
          <w:p w14:paraId="3F626139" w14:textId="77777777" w:rsidR="00F50542" w:rsidRPr="00000498" w:rsidRDefault="00F50542" w:rsidP="00F50542">
            <w:pPr>
              <w:spacing w:after="80" w:line="276" w:lineRule="auto"/>
              <w:jc w:val="center"/>
              <w:rPr>
                <w:rFonts w:asciiTheme="minorHAnsi" w:hAnsiTheme="minorHAnsi" w:cstheme="minorHAnsi"/>
                <w:szCs w:val="24"/>
                <w:lang w:val="pl-PL"/>
              </w:rPr>
            </w:pPr>
          </w:p>
        </w:tc>
      </w:tr>
      <w:tr w:rsidR="000E01AC" w:rsidRPr="00D46C82" w14:paraId="49406140" w14:textId="77777777" w:rsidTr="00EE1A8F">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D44979" w14:textId="792887F1" w:rsidR="000E01AC" w:rsidRPr="00000498" w:rsidRDefault="000E01AC" w:rsidP="000E01AC">
            <w:pPr>
              <w:spacing w:after="80" w:line="276" w:lineRule="auto"/>
              <w:rPr>
                <w:rFonts w:asciiTheme="minorHAnsi" w:hAnsiTheme="minorHAnsi" w:cstheme="minorHAnsi"/>
                <w:bCs/>
                <w:szCs w:val="24"/>
                <w:lang w:val="pl-PL"/>
              </w:rPr>
            </w:pPr>
            <w:r w:rsidRPr="00D46C82">
              <w:rPr>
                <w:rFonts w:asciiTheme="minorHAnsi" w:hAnsiTheme="minorHAnsi" w:cstheme="minorHAnsi"/>
                <w:szCs w:val="24"/>
                <w:lang w:val="pl-PL"/>
              </w:rPr>
              <w:lastRenderedPageBreak/>
              <w:t xml:space="preserve">1.10a </w:t>
            </w:r>
            <w:r w:rsidR="001C7209" w:rsidRPr="00D46C82">
              <w:rPr>
                <w:rFonts w:asciiTheme="minorHAnsi" w:hAnsiTheme="minorHAnsi" w:cstheme="minorHAnsi"/>
                <w:strike/>
                <w:szCs w:val="24"/>
                <w:lang w:val="pl-PL"/>
              </w:rPr>
              <w:t>Wykorzystanie dotacji w formie finansowania niezwiązanego z kosztami</w:t>
            </w:r>
            <w:r w:rsidRPr="00514E76">
              <w:rPr>
                <w:rFonts w:asciiTheme="minorHAnsi" w:hAnsiTheme="minorHAnsi" w:cstheme="minorHAnsi"/>
                <w:szCs w:val="24"/>
                <w:lang w:val="pl-PL"/>
              </w:rPr>
              <w:t xml:space="preserve">. </w:t>
            </w:r>
            <w:r w:rsidR="001C7209" w:rsidRPr="00000498">
              <w:rPr>
                <w:rFonts w:asciiTheme="minorHAnsi" w:hAnsiTheme="minorHAnsi" w:cstheme="minorHAnsi"/>
                <w:b/>
                <w:szCs w:val="24"/>
                <w:u w:val="single"/>
                <w:lang w:val="pl-PL"/>
              </w:rPr>
              <w:t>Czy dotacja udzielana beneficjentom przez państwo członkowskie ma formę finansowania niezwiązanego z kosztami? [Tak</w:t>
            </w:r>
            <w:r w:rsidRPr="00000498">
              <w:rPr>
                <w:rFonts w:asciiTheme="minorHAnsi" w:hAnsiTheme="minorHAnsi" w:cstheme="minorHAnsi"/>
                <w:b/>
                <w:szCs w:val="24"/>
                <w:u w:val="single"/>
                <w:lang w:val="pl-PL"/>
              </w:rPr>
              <w:t>/N</w:t>
            </w:r>
            <w:r w:rsidR="001C7209" w:rsidRPr="00000498">
              <w:rPr>
                <w:rFonts w:asciiTheme="minorHAnsi" w:hAnsiTheme="minorHAnsi" w:cstheme="minorHAnsi"/>
                <w:b/>
                <w:szCs w:val="24"/>
                <w:u w:val="single"/>
                <w:lang w:val="pl-PL"/>
              </w:rPr>
              <w:t>ie</w:t>
            </w:r>
            <w:r w:rsidRPr="00000498">
              <w:rPr>
                <w:rFonts w:asciiTheme="minorHAnsi" w:hAnsiTheme="minorHAnsi" w:cstheme="minorHAnsi"/>
                <w:b/>
                <w:szCs w:val="24"/>
                <w:u w:val="single"/>
                <w:lang w:val="pl-PL"/>
              </w:rPr>
              <w:t>]</w:t>
            </w:r>
            <w:r w:rsidRPr="00000498">
              <w:rPr>
                <w:rStyle w:val="Odwoanieprzypisudolnego"/>
                <w:rFonts w:asciiTheme="minorHAnsi" w:hAnsiTheme="minorHAnsi" w:cstheme="minorHAnsi"/>
                <w:b/>
                <w:szCs w:val="24"/>
                <w:u w:val="single"/>
                <w:lang w:val="pl-PL"/>
              </w:rPr>
              <w:footnoteReference w:id="5"/>
            </w:r>
          </w:p>
        </w:tc>
        <w:tc>
          <w:tcPr>
            <w:tcW w:w="6379" w:type="dxa"/>
            <w:gridSpan w:val="3"/>
            <w:tcBorders>
              <w:top w:val="single" w:sz="4" w:space="0" w:color="auto"/>
              <w:left w:val="single" w:sz="4" w:space="0" w:color="auto"/>
              <w:bottom w:val="single" w:sz="4" w:space="0" w:color="auto"/>
              <w:right w:val="single" w:sz="4" w:space="0" w:color="auto"/>
            </w:tcBorders>
            <w:vAlign w:val="center"/>
          </w:tcPr>
          <w:p w14:paraId="4B1394CD" w14:textId="77777777" w:rsidR="000E01AC" w:rsidRPr="00000498" w:rsidRDefault="000E01AC" w:rsidP="000E01AC">
            <w:pPr>
              <w:spacing w:after="80" w:line="276" w:lineRule="auto"/>
              <w:jc w:val="center"/>
              <w:rPr>
                <w:rFonts w:asciiTheme="minorHAnsi" w:hAnsiTheme="minorHAnsi" w:cstheme="minorHAnsi"/>
                <w:szCs w:val="24"/>
                <w:lang w:val="pl-PL"/>
              </w:rPr>
            </w:pPr>
          </w:p>
        </w:tc>
      </w:tr>
      <w:tr w:rsidR="000E01AC" w:rsidRPr="00367EF1" w14:paraId="0A4FC9E3" w14:textId="77777777" w:rsidTr="00EE1A8F">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3771F7" w14:textId="77777777" w:rsidR="001C7209" w:rsidRPr="00000498" w:rsidRDefault="000E01AC" w:rsidP="001C7209">
            <w:pPr>
              <w:spacing w:after="80" w:line="276" w:lineRule="auto"/>
              <w:rPr>
                <w:rFonts w:asciiTheme="minorHAnsi" w:hAnsiTheme="minorHAnsi" w:cstheme="minorHAnsi"/>
                <w:szCs w:val="24"/>
                <w:lang w:val="pl-PL" w:eastAsia="fr-LU"/>
              </w:rPr>
            </w:pPr>
            <w:r w:rsidRPr="00000498">
              <w:rPr>
                <w:rFonts w:asciiTheme="minorHAnsi" w:hAnsiTheme="minorHAnsi" w:cstheme="minorHAnsi"/>
                <w:szCs w:val="24"/>
                <w:lang w:val="pl-PL"/>
              </w:rPr>
              <w:t xml:space="preserve">1.11 </w:t>
            </w:r>
            <w:r w:rsidR="001C7209" w:rsidRPr="00000498">
              <w:rPr>
                <w:rFonts w:asciiTheme="minorHAnsi" w:hAnsiTheme="minorHAnsi" w:cstheme="minorHAnsi"/>
                <w:szCs w:val="24"/>
                <w:lang w:val="pl-PL" w:eastAsia="fr-LU"/>
              </w:rPr>
              <w:t>Rozwiązania zapewniające ścieżkę audytu.</w:t>
            </w:r>
          </w:p>
          <w:p w14:paraId="32E9C5B9" w14:textId="711BD344" w:rsidR="000E01AC" w:rsidRPr="00000498" w:rsidRDefault="001C7209" w:rsidP="001C7209">
            <w:pPr>
              <w:spacing w:after="80" w:line="276" w:lineRule="auto"/>
              <w:rPr>
                <w:rFonts w:asciiTheme="minorHAnsi" w:hAnsiTheme="minorHAnsi" w:cstheme="minorHAnsi"/>
                <w:bCs/>
                <w:szCs w:val="24"/>
                <w:lang w:val="pl-PL"/>
              </w:rPr>
            </w:pPr>
            <w:r w:rsidRPr="00000498">
              <w:rPr>
                <w:rFonts w:asciiTheme="minorHAnsi" w:hAnsiTheme="minorHAnsi" w:cstheme="minorHAnsi"/>
                <w:szCs w:val="24"/>
                <w:lang w:val="pl-PL" w:eastAsia="fr-LU"/>
              </w:rPr>
              <w:t>Proszę wymienić organ (-y) odpowiedzialny (-e) za te ustalenia</w:t>
            </w:r>
            <w:r w:rsidR="000E01AC" w:rsidRPr="00000498">
              <w:rPr>
                <w:rFonts w:asciiTheme="minorHAnsi" w:hAnsiTheme="minorHAnsi" w:cstheme="minorHAnsi"/>
                <w:szCs w:val="24"/>
                <w:lang w:val="pl-PL" w:eastAsia="fr-LU"/>
              </w:rPr>
              <w:t>.</w:t>
            </w:r>
          </w:p>
        </w:tc>
        <w:tc>
          <w:tcPr>
            <w:tcW w:w="6379" w:type="dxa"/>
            <w:gridSpan w:val="3"/>
            <w:tcBorders>
              <w:top w:val="single" w:sz="4" w:space="0" w:color="auto"/>
              <w:left w:val="single" w:sz="4" w:space="0" w:color="auto"/>
              <w:bottom w:val="single" w:sz="4" w:space="0" w:color="auto"/>
              <w:right w:val="single" w:sz="4" w:space="0" w:color="auto"/>
            </w:tcBorders>
            <w:vAlign w:val="center"/>
          </w:tcPr>
          <w:p w14:paraId="4D5328C4" w14:textId="77777777" w:rsidR="000E01AC" w:rsidRPr="00000498" w:rsidRDefault="000E01AC" w:rsidP="000E01AC">
            <w:pPr>
              <w:spacing w:after="80" w:line="276" w:lineRule="auto"/>
              <w:jc w:val="center"/>
              <w:rPr>
                <w:rFonts w:asciiTheme="minorHAnsi" w:hAnsiTheme="minorHAnsi" w:cstheme="minorHAnsi"/>
                <w:szCs w:val="24"/>
                <w:lang w:val="pl-PL"/>
              </w:rPr>
            </w:pPr>
          </w:p>
        </w:tc>
      </w:tr>
    </w:tbl>
    <w:p w14:paraId="3200C569" w14:textId="77777777" w:rsidR="00F50542" w:rsidRPr="00F879CC" w:rsidRDefault="00F50542">
      <w:pPr>
        <w:rPr>
          <w:rFonts w:asciiTheme="minorHAnsi" w:hAnsiTheme="minorHAnsi" w:cstheme="minorHAnsi"/>
          <w:lang w:val="pl-PL"/>
        </w:rPr>
      </w:pPr>
    </w:p>
    <w:p w14:paraId="62A20C9B" w14:textId="77777777" w:rsidR="006D0B3C" w:rsidRPr="00F879CC" w:rsidRDefault="006D0B3C">
      <w:pPr>
        <w:rPr>
          <w:rFonts w:asciiTheme="minorHAnsi" w:eastAsia="Times New Roman" w:hAnsiTheme="minorHAnsi" w:cstheme="minorHAnsi"/>
          <w:b/>
          <w:iCs/>
          <w:szCs w:val="24"/>
          <w:u w:val="single"/>
          <w:lang w:val="pl-PL" w:eastAsia="en-GB"/>
        </w:rPr>
      </w:pPr>
    </w:p>
    <w:p w14:paraId="7DCA90BD" w14:textId="7D95BB1A" w:rsidR="00EF1E1C" w:rsidRPr="00514E76" w:rsidRDefault="001C7209" w:rsidP="00000498">
      <w:pPr>
        <w:spacing w:line="276" w:lineRule="auto"/>
        <w:rPr>
          <w:rFonts w:asciiTheme="minorHAnsi" w:hAnsiTheme="minorHAnsi" w:cstheme="minorHAnsi"/>
          <w:szCs w:val="24"/>
          <w:lang w:val="pl-PL"/>
        </w:rPr>
      </w:pPr>
      <w:r w:rsidRPr="00D46C82">
        <w:rPr>
          <w:rFonts w:asciiTheme="minorHAnsi" w:eastAsia="Times New Roman" w:hAnsiTheme="minorHAnsi" w:cstheme="minorHAnsi"/>
          <w:b/>
          <w:iCs/>
          <w:szCs w:val="24"/>
          <w:u w:val="single"/>
          <w:lang w:val="pl-PL" w:eastAsia="en-GB"/>
        </w:rPr>
        <w:t>Nowy Załącznik</w:t>
      </w:r>
      <w:r w:rsidR="00EF1E1C" w:rsidRPr="000B5FB9">
        <w:rPr>
          <w:rFonts w:asciiTheme="minorHAnsi" w:eastAsia="Times New Roman" w:hAnsiTheme="minorHAnsi" w:cstheme="minorHAnsi"/>
          <w:b/>
          <w:iCs/>
          <w:szCs w:val="24"/>
          <w:u w:val="single"/>
          <w:lang w:val="pl-PL" w:eastAsia="en-GB"/>
        </w:rPr>
        <w:t xml:space="preserve"> 3a</w:t>
      </w:r>
    </w:p>
    <w:p w14:paraId="5F1F9B38" w14:textId="77777777" w:rsidR="00EF1E1C" w:rsidRPr="00514E76" w:rsidRDefault="00EF1E1C" w:rsidP="00000498">
      <w:pPr>
        <w:spacing w:line="276" w:lineRule="auto"/>
        <w:rPr>
          <w:rFonts w:asciiTheme="minorHAnsi" w:hAnsiTheme="minorHAnsi" w:cstheme="minorHAnsi"/>
          <w:szCs w:val="24"/>
          <w:lang w:val="pl-PL"/>
        </w:rPr>
      </w:pPr>
    </w:p>
    <w:p w14:paraId="5A929739" w14:textId="293DD37C" w:rsidR="00EF1E1C" w:rsidRPr="00000498" w:rsidRDefault="001C7209" w:rsidP="00000498">
      <w:pPr>
        <w:autoSpaceDE w:val="0"/>
        <w:autoSpaceDN w:val="0"/>
        <w:adjustRightInd w:val="0"/>
        <w:spacing w:before="120" w:after="120" w:line="276" w:lineRule="auto"/>
        <w:rPr>
          <w:rFonts w:asciiTheme="minorHAnsi" w:hAnsiTheme="minorHAnsi" w:cstheme="minorHAnsi"/>
          <w:b/>
          <w:bCs/>
          <w:iCs/>
          <w:szCs w:val="24"/>
          <w:u w:val="single"/>
          <w:lang w:val="pl-PL"/>
        </w:rPr>
      </w:pPr>
      <w:r w:rsidRPr="00000498">
        <w:rPr>
          <w:rFonts w:asciiTheme="minorHAnsi" w:hAnsiTheme="minorHAnsi" w:cstheme="minorHAnsi"/>
          <w:b/>
          <w:bCs/>
          <w:iCs/>
          <w:szCs w:val="24"/>
          <w:u w:val="single"/>
          <w:lang w:val="pl-PL"/>
        </w:rPr>
        <w:t>Załącznik</w:t>
      </w:r>
      <w:r w:rsidR="00EF1E1C" w:rsidRPr="00000498">
        <w:rPr>
          <w:rFonts w:asciiTheme="minorHAnsi" w:hAnsiTheme="minorHAnsi" w:cstheme="minorHAnsi"/>
          <w:b/>
          <w:bCs/>
          <w:iCs/>
          <w:szCs w:val="24"/>
          <w:u w:val="single"/>
          <w:lang w:val="pl-PL"/>
        </w:rPr>
        <w:t xml:space="preserve"> 3a: </w:t>
      </w:r>
      <w:r w:rsidRPr="00000498">
        <w:rPr>
          <w:rFonts w:asciiTheme="minorHAnsi" w:hAnsiTheme="minorHAnsi" w:cstheme="minorHAnsi"/>
          <w:b/>
          <w:bCs/>
          <w:iCs/>
          <w:szCs w:val="24"/>
          <w:u w:val="single"/>
          <w:lang w:val="pl-PL"/>
        </w:rPr>
        <w:t>Lista planowanych operacji o znaczeniu strategicznym wraz z harmonogramem - art. 17 ust. 4</w:t>
      </w:r>
      <w:r w:rsidR="00C4787F" w:rsidRPr="00000498">
        <w:rPr>
          <w:rFonts w:asciiTheme="minorHAnsi" w:eastAsia="Times New Roman" w:hAnsiTheme="minorHAnsi" w:cstheme="minorHAnsi"/>
          <w:szCs w:val="24"/>
          <w:u w:val="single"/>
          <w:lang w:val="pl-PL"/>
        </w:rPr>
        <w:t xml:space="preserve"> </w:t>
      </w:r>
    </w:p>
    <w:p w14:paraId="44C0446B" w14:textId="77777777" w:rsidR="00EF1E1C" w:rsidRPr="00000498" w:rsidRDefault="00EF1E1C" w:rsidP="00000498">
      <w:pPr>
        <w:autoSpaceDE w:val="0"/>
        <w:autoSpaceDN w:val="0"/>
        <w:adjustRightInd w:val="0"/>
        <w:spacing w:before="120" w:after="120" w:line="276" w:lineRule="auto"/>
        <w:rPr>
          <w:rFonts w:asciiTheme="minorHAnsi" w:hAnsiTheme="minorHAnsi" w:cstheme="minorHAnsi"/>
          <w:b/>
          <w:szCs w:val="24"/>
          <w:u w:val="single"/>
          <w:lang w:val="pl-PL"/>
        </w:rPr>
      </w:pPr>
    </w:p>
    <w:p w14:paraId="1F0D8721" w14:textId="432258E6" w:rsidR="00EF1E1C" w:rsidRPr="00000498" w:rsidRDefault="001C7209" w:rsidP="00D46C82">
      <w:pPr>
        <w:pBdr>
          <w:top w:val="single" w:sz="4" w:space="1" w:color="auto"/>
          <w:left w:val="single" w:sz="4" w:space="4" w:color="auto"/>
          <w:bottom w:val="single" w:sz="4" w:space="1" w:color="auto"/>
          <w:right w:val="single" w:sz="4" w:space="4" w:color="auto"/>
        </w:pBdr>
        <w:spacing w:before="120" w:after="200" w:line="276" w:lineRule="auto"/>
        <w:rPr>
          <w:rFonts w:asciiTheme="minorHAnsi" w:hAnsiTheme="minorHAnsi" w:cstheme="minorHAnsi"/>
          <w:b/>
          <w:iCs/>
          <w:szCs w:val="24"/>
          <w:u w:val="single"/>
          <w:lang w:val="pl-PL"/>
        </w:rPr>
      </w:pPr>
      <w:r w:rsidRPr="00000498">
        <w:rPr>
          <w:rFonts w:asciiTheme="minorHAnsi" w:hAnsiTheme="minorHAnsi" w:cstheme="minorHAnsi"/>
          <w:b/>
          <w:iCs/>
          <w:szCs w:val="24"/>
          <w:u w:val="single"/>
          <w:lang w:val="pl-PL"/>
        </w:rPr>
        <w:t>Pole tekstowe</w:t>
      </w:r>
      <w:r w:rsidR="00EF1E1C" w:rsidRPr="00000498">
        <w:rPr>
          <w:rFonts w:asciiTheme="minorHAnsi" w:hAnsiTheme="minorHAnsi" w:cstheme="minorHAnsi"/>
          <w:b/>
          <w:iCs/>
          <w:szCs w:val="24"/>
          <w:u w:val="single"/>
          <w:lang w:val="pl-PL"/>
        </w:rPr>
        <w:t xml:space="preserve"> [2 000]</w:t>
      </w:r>
    </w:p>
    <w:p w14:paraId="06B392ED" w14:textId="363609A5" w:rsidR="003C2494" w:rsidRPr="00000498" w:rsidRDefault="001C7209" w:rsidP="00D46C82">
      <w:pPr>
        <w:pBdr>
          <w:top w:val="single" w:sz="4" w:space="1" w:color="auto"/>
          <w:left w:val="single" w:sz="4" w:space="4" w:color="auto"/>
          <w:bottom w:val="single" w:sz="4" w:space="1" w:color="auto"/>
          <w:right w:val="single" w:sz="4" w:space="4" w:color="auto"/>
        </w:pBdr>
        <w:spacing w:before="120" w:after="200" w:line="276" w:lineRule="auto"/>
        <w:rPr>
          <w:rFonts w:asciiTheme="minorHAnsi" w:hAnsiTheme="minorHAnsi" w:cstheme="minorHAnsi"/>
          <w:szCs w:val="24"/>
          <w:lang w:val="pl-PL"/>
        </w:rPr>
      </w:pPr>
      <w:r w:rsidRPr="00000498">
        <w:rPr>
          <w:rFonts w:asciiTheme="minorHAnsi" w:hAnsiTheme="minorHAnsi" w:cstheme="minorHAnsi"/>
          <w:szCs w:val="24"/>
          <w:lang w:val="pl-PL"/>
        </w:rPr>
        <w:t>Nie dotyczy</w:t>
      </w:r>
    </w:p>
    <w:p w14:paraId="6505B0B0" w14:textId="77777777" w:rsidR="00EF1E1C" w:rsidRPr="00F879CC" w:rsidRDefault="00EF1E1C" w:rsidP="00EF1E1C">
      <w:pPr>
        <w:spacing w:before="120" w:after="120"/>
        <w:rPr>
          <w:rFonts w:asciiTheme="minorHAnsi" w:hAnsiTheme="minorHAnsi" w:cstheme="minorHAnsi"/>
          <w:lang w:val="en-IE"/>
        </w:rPr>
      </w:pPr>
    </w:p>
    <w:p w14:paraId="26583684" w14:textId="77777777" w:rsidR="00EF1E1C" w:rsidRPr="00F879CC" w:rsidRDefault="00EF1E1C" w:rsidP="00EF1E1C">
      <w:pPr>
        <w:spacing w:before="120" w:after="120"/>
        <w:jc w:val="center"/>
        <w:rPr>
          <w:rFonts w:asciiTheme="minorHAnsi" w:hAnsiTheme="minorHAnsi" w:cstheme="minorHAnsi"/>
          <w:lang w:val="en-IE"/>
        </w:rPr>
      </w:pPr>
      <w:bookmarkStart w:id="142" w:name="ControlPages"/>
      <w:bookmarkEnd w:id="142"/>
      <w:r w:rsidRPr="00F879CC">
        <w:rPr>
          <w:rFonts w:asciiTheme="minorHAnsi" w:hAnsiTheme="minorHAnsi" w:cstheme="minorHAnsi"/>
          <w:lang w:val="en-IE"/>
        </w:rPr>
        <w:t>_______________________</w:t>
      </w:r>
    </w:p>
    <w:p w14:paraId="213032FB" w14:textId="77777777" w:rsidR="00EF1E1C" w:rsidRPr="00F879CC" w:rsidRDefault="00EF1E1C" w:rsidP="00EF1E1C">
      <w:pPr>
        <w:rPr>
          <w:rFonts w:asciiTheme="minorHAnsi" w:hAnsiTheme="minorHAnsi" w:cstheme="minorHAnsi"/>
          <w:lang w:val="en-IE"/>
        </w:rPr>
      </w:pPr>
    </w:p>
    <w:sectPr w:rsidR="00EF1E1C" w:rsidRPr="00F879CC" w:rsidSect="00F367AB">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42EF3" w14:textId="77777777" w:rsidR="00F86494" w:rsidRDefault="00F86494" w:rsidP="00F50542">
      <w:pPr>
        <w:spacing w:line="240" w:lineRule="auto"/>
      </w:pPr>
      <w:r>
        <w:separator/>
      </w:r>
    </w:p>
  </w:endnote>
  <w:endnote w:type="continuationSeparator" w:id="0">
    <w:p w14:paraId="36545333" w14:textId="77777777" w:rsidR="00F86494" w:rsidRDefault="00F86494" w:rsidP="00F505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978578"/>
      <w:docPartObj>
        <w:docPartGallery w:val="Page Numbers (Bottom of Page)"/>
        <w:docPartUnique/>
      </w:docPartObj>
    </w:sdtPr>
    <w:sdtEndPr>
      <w:rPr>
        <w:noProof/>
      </w:rPr>
    </w:sdtEndPr>
    <w:sdtContent>
      <w:p w14:paraId="0DC115C3" w14:textId="7FF01188" w:rsidR="00F86494" w:rsidRDefault="00F86494">
        <w:pPr>
          <w:pStyle w:val="Stopka"/>
          <w:jc w:val="center"/>
        </w:pPr>
        <w:r>
          <w:fldChar w:fldCharType="begin"/>
        </w:r>
        <w:r>
          <w:instrText xml:space="preserve"> PAGE   \* MERGEFORMAT </w:instrText>
        </w:r>
        <w:r>
          <w:fldChar w:fldCharType="separate"/>
        </w:r>
        <w:r w:rsidR="00C93217">
          <w:rPr>
            <w:noProof/>
          </w:rPr>
          <w:t>66</w:t>
        </w:r>
        <w:r>
          <w:rPr>
            <w:noProof/>
          </w:rPr>
          <w:fldChar w:fldCharType="end"/>
        </w:r>
      </w:p>
    </w:sdtContent>
  </w:sdt>
  <w:p w14:paraId="436C987B" w14:textId="77777777" w:rsidR="00F86494" w:rsidRDefault="00F86494">
    <w:pPr>
      <w:pStyle w:val="Stopka"/>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95D1F" w14:textId="77777777" w:rsidR="00F86494" w:rsidRDefault="00F8649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7F1FA" w14:textId="77777777" w:rsidR="00F86494" w:rsidRDefault="00F8649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73605"/>
      <w:docPartObj>
        <w:docPartGallery w:val="Page Numbers (Bottom of Page)"/>
        <w:docPartUnique/>
      </w:docPartObj>
    </w:sdtPr>
    <w:sdtEndPr>
      <w:rPr>
        <w:noProof/>
      </w:rPr>
    </w:sdtEndPr>
    <w:sdtContent>
      <w:p w14:paraId="335DD49B" w14:textId="29B33DF8" w:rsidR="00F86494" w:rsidRDefault="00F86494">
        <w:pPr>
          <w:pStyle w:val="Stopka"/>
          <w:jc w:val="center"/>
        </w:pPr>
        <w:r>
          <w:fldChar w:fldCharType="begin"/>
        </w:r>
        <w:r>
          <w:instrText xml:space="preserve"> PAGE   \* MERGEFORMAT </w:instrText>
        </w:r>
        <w:r>
          <w:fldChar w:fldCharType="separate"/>
        </w:r>
        <w:r w:rsidR="00C93217">
          <w:rPr>
            <w:noProof/>
          </w:rPr>
          <w:t>83</w:t>
        </w:r>
        <w:r>
          <w:rPr>
            <w:noProof/>
          </w:rPr>
          <w:fldChar w:fldCharType="end"/>
        </w:r>
      </w:p>
    </w:sdtContent>
  </w:sdt>
  <w:p w14:paraId="31B21826" w14:textId="77777777" w:rsidR="00F86494" w:rsidRDefault="00F86494">
    <w:pPr>
      <w:pStyle w:val="Stopka"/>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14FBA" w14:textId="77777777" w:rsidR="00F86494" w:rsidRDefault="00F86494">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EE4BD" w14:textId="77777777" w:rsidR="00F86494" w:rsidRDefault="00F86494">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75786"/>
      <w:docPartObj>
        <w:docPartGallery w:val="Page Numbers (Bottom of Page)"/>
        <w:docPartUnique/>
      </w:docPartObj>
    </w:sdtPr>
    <w:sdtEndPr>
      <w:rPr>
        <w:noProof/>
      </w:rPr>
    </w:sdtEndPr>
    <w:sdtContent>
      <w:p w14:paraId="44DC3F4D" w14:textId="097F5221" w:rsidR="00F86494" w:rsidRDefault="00F86494" w:rsidP="00B979C6">
        <w:pPr>
          <w:pStyle w:val="Stopka"/>
          <w:jc w:val="center"/>
        </w:pPr>
        <w:r>
          <w:fldChar w:fldCharType="begin"/>
        </w:r>
        <w:r>
          <w:instrText xml:space="preserve"> PAGE   \* MERGEFORMAT </w:instrText>
        </w:r>
        <w:r>
          <w:fldChar w:fldCharType="separate"/>
        </w:r>
        <w:r w:rsidR="00C93217">
          <w:rPr>
            <w:noProof/>
          </w:rPr>
          <w:t>97</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F6B74" w14:textId="77777777" w:rsidR="00F86494" w:rsidRDefault="00F86494">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FB892" w14:textId="77777777" w:rsidR="00F86494" w:rsidRDefault="00F86494">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203848"/>
      <w:docPartObj>
        <w:docPartGallery w:val="Page Numbers (Bottom of Page)"/>
        <w:docPartUnique/>
      </w:docPartObj>
    </w:sdtPr>
    <w:sdtEndPr>
      <w:rPr>
        <w:noProof/>
      </w:rPr>
    </w:sdtEndPr>
    <w:sdtContent>
      <w:p w14:paraId="47BD18FD" w14:textId="49156128" w:rsidR="00F86494" w:rsidRDefault="00F86494">
        <w:pPr>
          <w:pStyle w:val="Stopka"/>
          <w:jc w:val="center"/>
        </w:pPr>
        <w:r>
          <w:fldChar w:fldCharType="begin"/>
        </w:r>
        <w:r>
          <w:instrText xml:space="preserve"> PAGE   \* MERGEFORMAT </w:instrText>
        </w:r>
        <w:r>
          <w:fldChar w:fldCharType="separate"/>
        </w:r>
        <w:r w:rsidR="00C93217">
          <w:rPr>
            <w:noProof/>
          </w:rPr>
          <w:t>101</w:t>
        </w:r>
        <w:r>
          <w:rPr>
            <w:noProof/>
          </w:rPr>
          <w:fldChar w:fldCharType="end"/>
        </w:r>
      </w:p>
    </w:sdtContent>
  </w:sdt>
  <w:p w14:paraId="3C74735C" w14:textId="77777777" w:rsidR="00F86494" w:rsidRDefault="00F864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D6F75" w14:textId="77777777" w:rsidR="00F86494" w:rsidRDefault="00F86494" w:rsidP="00F50542">
      <w:pPr>
        <w:spacing w:line="240" w:lineRule="auto"/>
      </w:pPr>
      <w:r>
        <w:separator/>
      </w:r>
    </w:p>
  </w:footnote>
  <w:footnote w:type="continuationSeparator" w:id="0">
    <w:p w14:paraId="6629FFE8" w14:textId="77777777" w:rsidR="00F86494" w:rsidRDefault="00F86494" w:rsidP="00F50542">
      <w:pPr>
        <w:spacing w:line="240" w:lineRule="auto"/>
      </w:pPr>
      <w:r>
        <w:continuationSeparator/>
      </w:r>
    </w:p>
  </w:footnote>
  <w:footnote w:id="1">
    <w:p w14:paraId="4D6A5BE6" w14:textId="30631515" w:rsidR="00F86494" w:rsidRPr="00000498" w:rsidRDefault="00F86494" w:rsidP="00F50542">
      <w:pPr>
        <w:pStyle w:val="Tekstprzypisudolnego"/>
        <w:ind w:left="426" w:hanging="426"/>
        <w:rPr>
          <w:rFonts w:cstheme="minorHAnsi"/>
          <w:lang w:val="pl-PL"/>
        </w:rPr>
      </w:pPr>
      <w:r w:rsidRPr="00000498">
        <w:rPr>
          <w:rStyle w:val="Odwoanieprzypisudolnego"/>
          <w:rFonts w:cstheme="minorHAnsi"/>
        </w:rPr>
        <w:footnoteRef/>
      </w:r>
      <w:r w:rsidRPr="00000498">
        <w:rPr>
          <w:rFonts w:cstheme="minorHAnsi"/>
          <w:lang w:val="pl-PL"/>
        </w:rPr>
        <w:tab/>
      </w:r>
      <w:r w:rsidRPr="00000498">
        <w:rPr>
          <w:rFonts w:cstheme="minorHAnsi"/>
          <w:szCs w:val="18"/>
          <w:lang w:val="pl-PL"/>
        </w:rPr>
        <w:t>Interreg B i C</w:t>
      </w:r>
    </w:p>
  </w:footnote>
  <w:footnote w:id="2">
    <w:p w14:paraId="6993CC00" w14:textId="3AF095DB" w:rsidR="00F86494" w:rsidRPr="007D5E10" w:rsidRDefault="00F86494" w:rsidP="00F50542">
      <w:pPr>
        <w:pStyle w:val="Tekstprzypisudolnego"/>
        <w:ind w:left="426" w:hanging="426"/>
        <w:rPr>
          <w:lang w:val="pl-PL"/>
        </w:rPr>
      </w:pPr>
      <w:r w:rsidRPr="00000498">
        <w:rPr>
          <w:rStyle w:val="Odwoanieprzypisudolnego"/>
          <w:rFonts w:cstheme="minorHAnsi"/>
        </w:rPr>
        <w:footnoteRef/>
      </w:r>
      <w:r w:rsidRPr="00000498">
        <w:rPr>
          <w:rFonts w:cstheme="minorHAnsi"/>
          <w:lang w:val="pl-PL"/>
        </w:rPr>
        <w:tab/>
      </w:r>
      <w:bookmarkStart w:id="123" w:name="OLE_LINK279"/>
      <w:bookmarkStart w:id="124" w:name="OLE_LINK280"/>
      <w:r w:rsidRPr="00000498">
        <w:rPr>
          <w:rFonts w:cstheme="minorHAnsi"/>
          <w:lang w:val="pl-PL"/>
        </w:rPr>
        <w:t>EFRR</w:t>
      </w:r>
      <w:bookmarkEnd w:id="123"/>
      <w:bookmarkEnd w:id="124"/>
      <w:r w:rsidRPr="00000498">
        <w:rPr>
          <w:rFonts w:cstheme="minorHAnsi"/>
          <w:lang w:val="pl-PL"/>
        </w:rPr>
        <w:t>, IPA III, NDICI lub OCTP, natomiast pojedyncza kwota w ramach Interreg B i C.</w:t>
      </w:r>
      <w:r w:rsidRPr="007D5E10">
        <w:rPr>
          <w:rFonts w:ascii="Times New Roman" w:hAnsi="Times New Roman" w:cs="Times New Roman"/>
          <w:i/>
          <w:lang w:val="pl-PL"/>
        </w:rPr>
        <w:t xml:space="preserve"> </w:t>
      </w:r>
    </w:p>
  </w:footnote>
  <w:footnote w:id="3">
    <w:p w14:paraId="1EE1D777" w14:textId="0AD15054" w:rsidR="00F86494" w:rsidRPr="00000498" w:rsidRDefault="00F86494" w:rsidP="00F50542">
      <w:pPr>
        <w:pStyle w:val="Tekstprzypisudolnego"/>
        <w:ind w:left="426" w:hanging="426"/>
        <w:rPr>
          <w:rFonts w:cstheme="minorHAnsi"/>
          <w:lang w:val="pl-PL"/>
        </w:rPr>
      </w:pPr>
      <w:r w:rsidRPr="00000498">
        <w:rPr>
          <w:rStyle w:val="Odwoanieprzypisudolnego"/>
          <w:rFonts w:cstheme="minorHAnsi"/>
        </w:rPr>
        <w:footnoteRef/>
      </w:r>
      <w:r w:rsidRPr="00000498">
        <w:rPr>
          <w:rFonts w:cstheme="minorHAnsi"/>
          <w:lang w:val="pl-PL"/>
        </w:rPr>
        <w:tab/>
      </w:r>
      <w:r w:rsidRPr="00000498">
        <w:rPr>
          <w:rFonts w:cstheme="minorHAnsi"/>
          <w:szCs w:val="18"/>
          <w:lang w:val="pl-PL"/>
        </w:rPr>
        <w:t>Interreg</w:t>
      </w:r>
      <w:r w:rsidRPr="00000498">
        <w:rPr>
          <w:rFonts w:cstheme="minorHAnsi"/>
          <w:bCs/>
          <w:lang w:val="pl-PL"/>
        </w:rPr>
        <w:t xml:space="preserve"> B i C</w:t>
      </w:r>
    </w:p>
  </w:footnote>
  <w:footnote w:id="4">
    <w:p w14:paraId="64C8BE1A" w14:textId="179E5B6D" w:rsidR="00F86494" w:rsidRPr="00000498" w:rsidRDefault="00F86494" w:rsidP="000E01AC">
      <w:pPr>
        <w:pStyle w:val="Tekstprzypisudolnego"/>
        <w:rPr>
          <w:bCs/>
          <w:highlight w:val="cyan"/>
          <w:lang w:val="pl-PL"/>
        </w:rPr>
      </w:pPr>
      <w:r w:rsidRPr="00000498">
        <w:rPr>
          <w:rStyle w:val="Odwoanieprzypisudolnego"/>
          <w:bCs/>
        </w:rPr>
        <w:footnoteRef/>
      </w:r>
      <w:r w:rsidRPr="00000498">
        <w:rPr>
          <w:bCs/>
          <w:lang w:val="pl-PL"/>
        </w:rPr>
        <w:t xml:space="preserve"> Częściowy mandat Rady dodał tę kolumnę zgodnie z blokiem 6 RWP. Bez uszczerbku dla dalszego dostosowania wyników porozumienia międzyinstytucjonalnego w sprawie bloku 6 RWP. </w:t>
      </w:r>
    </w:p>
  </w:footnote>
  <w:footnote w:id="5">
    <w:p w14:paraId="0431D5B3" w14:textId="5DFCAD95" w:rsidR="00F86494" w:rsidRPr="00000498" w:rsidRDefault="00F86494">
      <w:pPr>
        <w:pStyle w:val="Tekstprzypisudolnego"/>
        <w:rPr>
          <w:bCs/>
          <w:highlight w:val="cyan"/>
          <w:lang w:val="pl-PL"/>
        </w:rPr>
      </w:pPr>
      <w:r w:rsidRPr="00000498">
        <w:rPr>
          <w:rStyle w:val="Odwoanieprzypisudolnego"/>
          <w:bCs/>
        </w:rPr>
        <w:footnoteRef/>
      </w:r>
      <w:r w:rsidRPr="00000498">
        <w:rPr>
          <w:bCs/>
          <w:lang w:val="pl-PL"/>
        </w:rPr>
        <w:t xml:space="preserve"> Częściowy mandat Rady dodał punkt 1.10a, który zmieniono w celu zwiększenia przejrzystości.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77C2C" w14:textId="77777777" w:rsidR="00F86494" w:rsidRDefault="00F8649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6BC3F" w14:textId="77777777" w:rsidR="00F86494" w:rsidRDefault="00F8649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790B6" w14:textId="77777777" w:rsidR="00F86494" w:rsidRDefault="00F86494">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9C6CA" w14:textId="77777777" w:rsidR="00F86494" w:rsidRDefault="00F86494">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24312" w14:textId="77777777" w:rsidR="00F86494" w:rsidRDefault="00F86494">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DE271" w14:textId="77777777" w:rsidR="00F86494" w:rsidRDefault="00F86494">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90935" w14:textId="77777777" w:rsidR="00F86494" w:rsidRDefault="00F86494">
    <w:pPr>
      <w:pStyle w:val="Nagwek"/>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31B3D" w14:textId="77777777" w:rsidR="00F86494" w:rsidRDefault="00F86494">
    <w:pPr>
      <w:pStyle w:val="Nagwek"/>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822DF" w14:textId="77777777" w:rsidR="00F86494" w:rsidRDefault="00F86494">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1511"/>
    <w:multiLevelType w:val="hybridMultilevel"/>
    <w:tmpl w:val="E54AFB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7A1FBB"/>
    <w:multiLevelType w:val="hybridMultilevel"/>
    <w:tmpl w:val="180AAB52"/>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A32ED9"/>
    <w:multiLevelType w:val="hybridMultilevel"/>
    <w:tmpl w:val="D5687D4A"/>
    <w:lvl w:ilvl="0" w:tplc="226036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1E055D"/>
    <w:multiLevelType w:val="hybridMultilevel"/>
    <w:tmpl w:val="E716F55A"/>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C40384"/>
    <w:multiLevelType w:val="multilevel"/>
    <w:tmpl w:val="08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D6D3A3F"/>
    <w:multiLevelType w:val="hybridMultilevel"/>
    <w:tmpl w:val="EF4833CA"/>
    <w:lvl w:ilvl="0" w:tplc="226036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2F16EC"/>
    <w:multiLevelType w:val="hybridMultilevel"/>
    <w:tmpl w:val="44E8C6A8"/>
    <w:lvl w:ilvl="0" w:tplc="0407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3611188"/>
    <w:multiLevelType w:val="hybridMultilevel"/>
    <w:tmpl w:val="90A6A65A"/>
    <w:lvl w:ilvl="0" w:tplc="226036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0E17ED"/>
    <w:multiLevelType w:val="hybridMultilevel"/>
    <w:tmpl w:val="317CE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E701F1"/>
    <w:multiLevelType w:val="multilevel"/>
    <w:tmpl w:val="741E4186"/>
    <w:lvl w:ilvl="0">
      <w:start w:val="1"/>
      <w:numFmt w:val="decimal"/>
      <w:lvlText w:val="%1"/>
      <w:lvlJc w:val="left"/>
      <w:pPr>
        <w:ind w:left="360" w:hanging="360"/>
      </w:pPr>
      <w:rPr>
        <w:rFonts w:asciiTheme="majorHAnsi" w:eastAsiaTheme="majorEastAsia" w:hAnsiTheme="majorHAnsi" w:cstheme="majorBidi" w:hint="default"/>
        <w:color w:val="4F81BD" w:themeColor="accent1"/>
      </w:rPr>
    </w:lvl>
    <w:lvl w:ilvl="1">
      <w:start w:val="2"/>
      <w:numFmt w:val="decimal"/>
      <w:lvlText w:val="%1.%2"/>
      <w:lvlJc w:val="left"/>
      <w:pPr>
        <w:ind w:left="360" w:hanging="360"/>
      </w:pPr>
      <w:rPr>
        <w:rFonts w:asciiTheme="majorHAnsi" w:eastAsiaTheme="majorEastAsia" w:hAnsiTheme="majorHAnsi" w:cstheme="majorBidi" w:hint="default"/>
        <w:color w:val="4F81BD" w:themeColor="accent1"/>
      </w:rPr>
    </w:lvl>
    <w:lvl w:ilvl="2">
      <w:start w:val="1"/>
      <w:numFmt w:val="decimal"/>
      <w:lvlText w:val="%1.%2.%3"/>
      <w:lvlJc w:val="left"/>
      <w:pPr>
        <w:ind w:left="720" w:hanging="720"/>
      </w:pPr>
      <w:rPr>
        <w:rFonts w:asciiTheme="majorHAnsi" w:eastAsiaTheme="majorEastAsia" w:hAnsiTheme="majorHAnsi" w:cstheme="majorBidi" w:hint="default"/>
        <w:color w:val="4F81BD" w:themeColor="accent1"/>
      </w:rPr>
    </w:lvl>
    <w:lvl w:ilvl="3">
      <w:start w:val="1"/>
      <w:numFmt w:val="decimal"/>
      <w:lvlText w:val="%1.%2.%3.%4"/>
      <w:lvlJc w:val="left"/>
      <w:pPr>
        <w:ind w:left="1080" w:hanging="1080"/>
      </w:pPr>
      <w:rPr>
        <w:rFonts w:asciiTheme="majorHAnsi" w:eastAsiaTheme="majorEastAsia" w:hAnsiTheme="majorHAnsi" w:cstheme="majorBidi" w:hint="default"/>
        <w:color w:val="4F81BD" w:themeColor="accent1"/>
      </w:rPr>
    </w:lvl>
    <w:lvl w:ilvl="4">
      <w:start w:val="1"/>
      <w:numFmt w:val="decimal"/>
      <w:lvlText w:val="%1.%2.%3.%4.%5"/>
      <w:lvlJc w:val="left"/>
      <w:pPr>
        <w:ind w:left="1080" w:hanging="1080"/>
      </w:pPr>
      <w:rPr>
        <w:rFonts w:asciiTheme="majorHAnsi" w:eastAsiaTheme="majorEastAsia" w:hAnsiTheme="majorHAnsi" w:cstheme="majorBidi" w:hint="default"/>
        <w:color w:val="4F81BD" w:themeColor="accent1"/>
      </w:rPr>
    </w:lvl>
    <w:lvl w:ilvl="5">
      <w:start w:val="1"/>
      <w:numFmt w:val="decimal"/>
      <w:lvlText w:val="%1.%2.%3.%4.%5.%6"/>
      <w:lvlJc w:val="left"/>
      <w:pPr>
        <w:ind w:left="1440" w:hanging="1440"/>
      </w:pPr>
      <w:rPr>
        <w:rFonts w:asciiTheme="majorHAnsi" w:eastAsiaTheme="majorEastAsia" w:hAnsiTheme="majorHAnsi" w:cstheme="majorBidi" w:hint="default"/>
        <w:color w:val="4F81BD" w:themeColor="accent1"/>
      </w:rPr>
    </w:lvl>
    <w:lvl w:ilvl="6">
      <w:start w:val="1"/>
      <w:numFmt w:val="decimal"/>
      <w:lvlText w:val="%1.%2.%3.%4.%5.%6.%7"/>
      <w:lvlJc w:val="left"/>
      <w:pPr>
        <w:ind w:left="1440" w:hanging="1440"/>
      </w:pPr>
      <w:rPr>
        <w:rFonts w:asciiTheme="majorHAnsi" w:eastAsiaTheme="majorEastAsia" w:hAnsiTheme="majorHAnsi" w:cstheme="majorBidi" w:hint="default"/>
        <w:color w:val="4F81BD" w:themeColor="accent1"/>
      </w:rPr>
    </w:lvl>
    <w:lvl w:ilvl="7">
      <w:start w:val="1"/>
      <w:numFmt w:val="decimal"/>
      <w:lvlText w:val="%1.%2.%3.%4.%5.%6.%7.%8"/>
      <w:lvlJc w:val="left"/>
      <w:pPr>
        <w:ind w:left="1800" w:hanging="1800"/>
      </w:pPr>
      <w:rPr>
        <w:rFonts w:asciiTheme="majorHAnsi" w:eastAsiaTheme="majorEastAsia" w:hAnsiTheme="majorHAnsi" w:cstheme="majorBidi" w:hint="default"/>
        <w:color w:val="4F81BD" w:themeColor="accent1"/>
      </w:rPr>
    </w:lvl>
    <w:lvl w:ilvl="8">
      <w:start w:val="1"/>
      <w:numFmt w:val="decimal"/>
      <w:lvlText w:val="%1.%2.%3.%4.%5.%6.%7.%8.%9"/>
      <w:lvlJc w:val="left"/>
      <w:pPr>
        <w:ind w:left="1800" w:hanging="1800"/>
      </w:pPr>
      <w:rPr>
        <w:rFonts w:asciiTheme="majorHAnsi" w:eastAsiaTheme="majorEastAsia" w:hAnsiTheme="majorHAnsi" w:cstheme="majorBidi" w:hint="default"/>
        <w:color w:val="4F81BD" w:themeColor="accent1"/>
      </w:rPr>
    </w:lvl>
  </w:abstractNum>
  <w:abstractNum w:abstractNumId="10">
    <w:nsid w:val="16D05B2A"/>
    <w:multiLevelType w:val="hybridMultilevel"/>
    <w:tmpl w:val="3DAC3FDA"/>
    <w:lvl w:ilvl="0" w:tplc="226036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6EE6F5F"/>
    <w:multiLevelType w:val="hybridMultilevel"/>
    <w:tmpl w:val="E452CA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6F73734"/>
    <w:multiLevelType w:val="hybridMultilevel"/>
    <w:tmpl w:val="F506A9AC"/>
    <w:lvl w:ilvl="0" w:tplc="226036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AD060F2"/>
    <w:multiLevelType w:val="multilevel"/>
    <w:tmpl w:val="08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BA8455D"/>
    <w:multiLevelType w:val="hybridMultilevel"/>
    <w:tmpl w:val="725CC596"/>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D197F3A"/>
    <w:multiLevelType w:val="hybridMultilevel"/>
    <w:tmpl w:val="6C1E38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0785ADF"/>
    <w:multiLevelType w:val="hybridMultilevel"/>
    <w:tmpl w:val="A998B024"/>
    <w:lvl w:ilvl="0" w:tplc="5A700008">
      <w:start w:val="2"/>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nsid w:val="223A4615"/>
    <w:multiLevelType w:val="multilevel"/>
    <w:tmpl w:val="9DA65F92"/>
    <w:lvl w:ilvl="0">
      <w:start w:val="1"/>
      <w:numFmt w:val="decimal"/>
      <w:lvlText w:val="%1."/>
      <w:lvlJc w:val="left"/>
      <w:pPr>
        <w:ind w:left="360" w:hanging="360"/>
      </w:pPr>
      <w:rPr>
        <w:i w:val="0"/>
        <w:sz w:val="28"/>
        <w:szCs w:val="28"/>
      </w:rPr>
    </w:lvl>
    <w:lvl w:ilvl="1">
      <w:start w:val="1"/>
      <w:numFmt w:val="decimal"/>
      <w:lvlText w:val="%1.%2."/>
      <w:lvlJc w:val="left"/>
      <w:pPr>
        <w:ind w:left="1283" w:hanging="432"/>
      </w:pPr>
      <w:rPr>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52A6ABA"/>
    <w:multiLevelType w:val="hybridMultilevel"/>
    <w:tmpl w:val="8202EBE2"/>
    <w:lvl w:ilvl="0" w:tplc="0407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F3B1554"/>
    <w:multiLevelType w:val="multilevel"/>
    <w:tmpl w:val="08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FAA4CC8"/>
    <w:multiLevelType w:val="hybridMultilevel"/>
    <w:tmpl w:val="D5141D66"/>
    <w:lvl w:ilvl="0" w:tplc="0809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01C5324"/>
    <w:multiLevelType w:val="hybridMultilevel"/>
    <w:tmpl w:val="CC30F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2791C25"/>
    <w:multiLevelType w:val="hybridMultilevel"/>
    <w:tmpl w:val="CC242B9C"/>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33536CA"/>
    <w:multiLevelType w:val="hybridMultilevel"/>
    <w:tmpl w:val="268C1A7C"/>
    <w:lvl w:ilvl="0" w:tplc="226036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DB16FBC"/>
    <w:multiLevelType w:val="hybridMultilevel"/>
    <w:tmpl w:val="ABC2DD46"/>
    <w:lvl w:ilvl="0" w:tplc="0407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401D67FB"/>
    <w:multiLevelType w:val="hybridMultilevel"/>
    <w:tmpl w:val="5C8013EC"/>
    <w:lvl w:ilvl="0" w:tplc="20000001">
      <w:start w:val="1"/>
      <w:numFmt w:val="bullet"/>
      <w:lvlText w:val=""/>
      <w:lvlJc w:val="left"/>
      <w:pPr>
        <w:tabs>
          <w:tab w:val="num" w:pos="720"/>
        </w:tabs>
        <w:ind w:left="720" w:hanging="360"/>
      </w:pPr>
      <w:rPr>
        <w:rFonts w:ascii="Symbol" w:hAnsi="Symbol" w:hint="default"/>
      </w:rPr>
    </w:lvl>
    <w:lvl w:ilvl="1" w:tplc="7A94FCAE" w:tentative="1">
      <w:start w:val="1"/>
      <w:numFmt w:val="bullet"/>
      <w:lvlText w:val="•"/>
      <w:lvlJc w:val="left"/>
      <w:pPr>
        <w:tabs>
          <w:tab w:val="num" w:pos="1440"/>
        </w:tabs>
        <w:ind w:left="1440" w:hanging="360"/>
      </w:pPr>
      <w:rPr>
        <w:rFonts w:ascii="Arial" w:hAnsi="Arial" w:hint="default"/>
      </w:rPr>
    </w:lvl>
    <w:lvl w:ilvl="2" w:tplc="491E8D52" w:tentative="1">
      <w:start w:val="1"/>
      <w:numFmt w:val="bullet"/>
      <w:lvlText w:val="•"/>
      <w:lvlJc w:val="left"/>
      <w:pPr>
        <w:tabs>
          <w:tab w:val="num" w:pos="2160"/>
        </w:tabs>
        <w:ind w:left="2160" w:hanging="360"/>
      </w:pPr>
      <w:rPr>
        <w:rFonts w:ascii="Arial" w:hAnsi="Arial" w:hint="default"/>
      </w:rPr>
    </w:lvl>
    <w:lvl w:ilvl="3" w:tplc="270418E4" w:tentative="1">
      <w:start w:val="1"/>
      <w:numFmt w:val="bullet"/>
      <w:lvlText w:val="•"/>
      <w:lvlJc w:val="left"/>
      <w:pPr>
        <w:tabs>
          <w:tab w:val="num" w:pos="2880"/>
        </w:tabs>
        <w:ind w:left="2880" w:hanging="360"/>
      </w:pPr>
      <w:rPr>
        <w:rFonts w:ascii="Arial" w:hAnsi="Arial" w:hint="default"/>
      </w:rPr>
    </w:lvl>
    <w:lvl w:ilvl="4" w:tplc="5FEC4E88" w:tentative="1">
      <w:start w:val="1"/>
      <w:numFmt w:val="bullet"/>
      <w:lvlText w:val="•"/>
      <w:lvlJc w:val="left"/>
      <w:pPr>
        <w:tabs>
          <w:tab w:val="num" w:pos="3600"/>
        </w:tabs>
        <w:ind w:left="3600" w:hanging="360"/>
      </w:pPr>
      <w:rPr>
        <w:rFonts w:ascii="Arial" w:hAnsi="Arial" w:hint="default"/>
      </w:rPr>
    </w:lvl>
    <w:lvl w:ilvl="5" w:tplc="1CBA62A8" w:tentative="1">
      <w:start w:val="1"/>
      <w:numFmt w:val="bullet"/>
      <w:lvlText w:val="•"/>
      <w:lvlJc w:val="left"/>
      <w:pPr>
        <w:tabs>
          <w:tab w:val="num" w:pos="4320"/>
        </w:tabs>
        <w:ind w:left="4320" w:hanging="360"/>
      </w:pPr>
      <w:rPr>
        <w:rFonts w:ascii="Arial" w:hAnsi="Arial" w:hint="default"/>
      </w:rPr>
    </w:lvl>
    <w:lvl w:ilvl="6" w:tplc="4FFE3A52" w:tentative="1">
      <w:start w:val="1"/>
      <w:numFmt w:val="bullet"/>
      <w:lvlText w:val="•"/>
      <w:lvlJc w:val="left"/>
      <w:pPr>
        <w:tabs>
          <w:tab w:val="num" w:pos="5040"/>
        </w:tabs>
        <w:ind w:left="5040" w:hanging="360"/>
      </w:pPr>
      <w:rPr>
        <w:rFonts w:ascii="Arial" w:hAnsi="Arial" w:hint="default"/>
      </w:rPr>
    </w:lvl>
    <w:lvl w:ilvl="7" w:tplc="E7D8F11E" w:tentative="1">
      <w:start w:val="1"/>
      <w:numFmt w:val="bullet"/>
      <w:lvlText w:val="•"/>
      <w:lvlJc w:val="left"/>
      <w:pPr>
        <w:tabs>
          <w:tab w:val="num" w:pos="5760"/>
        </w:tabs>
        <w:ind w:left="5760" w:hanging="360"/>
      </w:pPr>
      <w:rPr>
        <w:rFonts w:ascii="Arial" w:hAnsi="Arial" w:hint="default"/>
      </w:rPr>
    </w:lvl>
    <w:lvl w:ilvl="8" w:tplc="A46C6EF2" w:tentative="1">
      <w:start w:val="1"/>
      <w:numFmt w:val="bullet"/>
      <w:lvlText w:val="•"/>
      <w:lvlJc w:val="left"/>
      <w:pPr>
        <w:tabs>
          <w:tab w:val="num" w:pos="6480"/>
        </w:tabs>
        <w:ind w:left="6480" w:hanging="360"/>
      </w:pPr>
      <w:rPr>
        <w:rFonts w:ascii="Arial" w:hAnsi="Arial" w:hint="default"/>
      </w:rPr>
    </w:lvl>
  </w:abstractNum>
  <w:abstractNum w:abstractNumId="26">
    <w:nsid w:val="46AB5E28"/>
    <w:multiLevelType w:val="hybridMultilevel"/>
    <w:tmpl w:val="F3B290A2"/>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4742A"/>
    <w:multiLevelType w:val="hybridMultilevel"/>
    <w:tmpl w:val="806E67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09813FF"/>
    <w:multiLevelType w:val="hybridMultilevel"/>
    <w:tmpl w:val="456228D8"/>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nsid w:val="51712031"/>
    <w:multiLevelType w:val="hybridMultilevel"/>
    <w:tmpl w:val="6FA4492A"/>
    <w:lvl w:ilvl="0" w:tplc="0407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3DE2B81"/>
    <w:multiLevelType w:val="hybridMultilevel"/>
    <w:tmpl w:val="41EA2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0154969"/>
    <w:multiLevelType w:val="hybridMultilevel"/>
    <w:tmpl w:val="F8661B16"/>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6286B5E"/>
    <w:multiLevelType w:val="hybridMultilevel"/>
    <w:tmpl w:val="7C26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8A01D70"/>
    <w:multiLevelType w:val="multilevel"/>
    <w:tmpl w:val="08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D2C7A6C"/>
    <w:multiLevelType w:val="hybridMultilevel"/>
    <w:tmpl w:val="B13CDD48"/>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D7C1008"/>
    <w:multiLevelType w:val="hybridMultilevel"/>
    <w:tmpl w:val="7B70EDDA"/>
    <w:lvl w:ilvl="0" w:tplc="0407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D9A06B0"/>
    <w:multiLevelType w:val="hybridMultilevel"/>
    <w:tmpl w:val="87A8BD4C"/>
    <w:lvl w:ilvl="0" w:tplc="226036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0C0588B"/>
    <w:multiLevelType w:val="hybridMultilevel"/>
    <w:tmpl w:val="16B223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6DF21D5"/>
    <w:multiLevelType w:val="hybridMultilevel"/>
    <w:tmpl w:val="3E7CAD0A"/>
    <w:lvl w:ilvl="0" w:tplc="2260367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77110607"/>
    <w:multiLevelType w:val="hybridMultilevel"/>
    <w:tmpl w:val="F294B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8ED5DED"/>
    <w:multiLevelType w:val="hybridMultilevel"/>
    <w:tmpl w:val="2FB6C99C"/>
    <w:lvl w:ilvl="0" w:tplc="226036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9BC6C43"/>
    <w:multiLevelType w:val="hybridMultilevel"/>
    <w:tmpl w:val="45287E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nsid w:val="7E1115B4"/>
    <w:multiLevelType w:val="hybridMultilevel"/>
    <w:tmpl w:val="A6CEDFBE"/>
    <w:lvl w:ilvl="0" w:tplc="226036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30"/>
  </w:num>
  <w:num w:numId="3">
    <w:abstractNumId w:val="17"/>
  </w:num>
  <w:num w:numId="4">
    <w:abstractNumId w:val="21"/>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3"/>
  </w:num>
  <w:num w:numId="8">
    <w:abstractNumId w:val="33"/>
  </w:num>
  <w:num w:numId="9">
    <w:abstractNumId w:val="4"/>
  </w:num>
  <w:num w:numId="10">
    <w:abstractNumId w:val="19"/>
  </w:num>
  <w:num w:numId="11">
    <w:abstractNumId w:val="41"/>
  </w:num>
  <w:num w:numId="12">
    <w:abstractNumId w:val="28"/>
  </w:num>
  <w:num w:numId="13">
    <w:abstractNumId w:val="16"/>
  </w:num>
  <w:num w:numId="14">
    <w:abstractNumId w:val="22"/>
  </w:num>
  <w:num w:numId="15">
    <w:abstractNumId w:val="11"/>
  </w:num>
  <w:num w:numId="16">
    <w:abstractNumId w:val="32"/>
  </w:num>
  <w:num w:numId="17">
    <w:abstractNumId w:val="27"/>
  </w:num>
  <w:num w:numId="18">
    <w:abstractNumId w:val="10"/>
  </w:num>
  <w:num w:numId="19">
    <w:abstractNumId w:val="15"/>
  </w:num>
  <w:num w:numId="20">
    <w:abstractNumId w:val="38"/>
  </w:num>
  <w:num w:numId="21">
    <w:abstractNumId w:val="5"/>
  </w:num>
  <w:num w:numId="22">
    <w:abstractNumId w:val="36"/>
  </w:num>
  <w:num w:numId="23">
    <w:abstractNumId w:val="40"/>
  </w:num>
  <w:num w:numId="24">
    <w:abstractNumId w:val="7"/>
  </w:num>
  <w:num w:numId="25">
    <w:abstractNumId w:val="12"/>
  </w:num>
  <w:num w:numId="26">
    <w:abstractNumId w:val="8"/>
  </w:num>
  <w:num w:numId="27">
    <w:abstractNumId w:val="23"/>
  </w:num>
  <w:num w:numId="28">
    <w:abstractNumId w:val="2"/>
  </w:num>
  <w:num w:numId="29">
    <w:abstractNumId w:val="42"/>
  </w:num>
  <w:num w:numId="30">
    <w:abstractNumId w:val="6"/>
  </w:num>
  <w:num w:numId="31">
    <w:abstractNumId w:val="29"/>
  </w:num>
  <w:num w:numId="32">
    <w:abstractNumId w:val="14"/>
  </w:num>
  <w:num w:numId="33">
    <w:abstractNumId w:val="24"/>
  </w:num>
  <w:num w:numId="34">
    <w:abstractNumId w:val="1"/>
  </w:num>
  <w:num w:numId="35">
    <w:abstractNumId w:val="31"/>
  </w:num>
  <w:num w:numId="36">
    <w:abstractNumId w:val="34"/>
  </w:num>
  <w:num w:numId="37">
    <w:abstractNumId w:val="3"/>
  </w:num>
  <w:num w:numId="38">
    <w:abstractNumId w:val="26"/>
  </w:num>
  <w:num w:numId="39">
    <w:abstractNumId w:val="18"/>
  </w:num>
  <w:num w:numId="40">
    <w:abstractNumId w:val="35"/>
  </w:num>
  <w:num w:numId="41">
    <w:abstractNumId w:val="37"/>
  </w:num>
  <w:num w:numId="42">
    <w:abstractNumId w:val="0"/>
  </w:num>
  <w:num w:numId="43">
    <w:abstractNumId w:val="39"/>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7YwNDIxMjY0MjMHkko6SsGpxcWZ+XkgBSa1AIIdlv8sAAAA"/>
    <w:docVar w:name="DW_DocType" w:val="Normal"/>
    <w:docVar w:name="LW_DocType" w:val="NORMAL"/>
  </w:docVars>
  <w:rsids>
    <w:rsidRoot w:val="00203F59"/>
    <w:rsid w:val="00000498"/>
    <w:rsid w:val="0000136E"/>
    <w:rsid w:val="000051F1"/>
    <w:rsid w:val="0001024B"/>
    <w:rsid w:val="000102F4"/>
    <w:rsid w:val="0001170C"/>
    <w:rsid w:val="00015F50"/>
    <w:rsid w:val="00017755"/>
    <w:rsid w:val="0003371F"/>
    <w:rsid w:val="00035701"/>
    <w:rsid w:val="00036BBA"/>
    <w:rsid w:val="00040119"/>
    <w:rsid w:val="0004395F"/>
    <w:rsid w:val="00046225"/>
    <w:rsid w:val="00047C02"/>
    <w:rsid w:val="00052417"/>
    <w:rsid w:val="00052A93"/>
    <w:rsid w:val="0005393B"/>
    <w:rsid w:val="00056F14"/>
    <w:rsid w:val="00060447"/>
    <w:rsid w:val="000604F6"/>
    <w:rsid w:val="00061677"/>
    <w:rsid w:val="00064082"/>
    <w:rsid w:val="000641E2"/>
    <w:rsid w:val="00067565"/>
    <w:rsid w:val="00070392"/>
    <w:rsid w:val="00070DA9"/>
    <w:rsid w:val="00072A25"/>
    <w:rsid w:val="0008242D"/>
    <w:rsid w:val="00083276"/>
    <w:rsid w:val="0008342A"/>
    <w:rsid w:val="00085405"/>
    <w:rsid w:val="0008542F"/>
    <w:rsid w:val="00086CEA"/>
    <w:rsid w:val="00090462"/>
    <w:rsid w:val="0009418C"/>
    <w:rsid w:val="00095A0D"/>
    <w:rsid w:val="00097582"/>
    <w:rsid w:val="000A0CB6"/>
    <w:rsid w:val="000A22C1"/>
    <w:rsid w:val="000A2378"/>
    <w:rsid w:val="000A2AA2"/>
    <w:rsid w:val="000A440C"/>
    <w:rsid w:val="000A74B8"/>
    <w:rsid w:val="000B032A"/>
    <w:rsid w:val="000B09C7"/>
    <w:rsid w:val="000B30F2"/>
    <w:rsid w:val="000B3861"/>
    <w:rsid w:val="000B3EC0"/>
    <w:rsid w:val="000B5923"/>
    <w:rsid w:val="000B5FB9"/>
    <w:rsid w:val="000B7995"/>
    <w:rsid w:val="000C22D9"/>
    <w:rsid w:val="000C497B"/>
    <w:rsid w:val="000C5539"/>
    <w:rsid w:val="000C6338"/>
    <w:rsid w:val="000D1354"/>
    <w:rsid w:val="000D5BFC"/>
    <w:rsid w:val="000D684F"/>
    <w:rsid w:val="000E01AC"/>
    <w:rsid w:val="000E24C1"/>
    <w:rsid w:val="000E3913"/>
    <w:rsid w:val="000E4D38"/>
    <w:rsid w:val="000E6D89"/>
    <w:rsid w:val="000E6E79"/>
    <w:rsid w:val="000F1F66"/>
    <w:rsid w:val="000F6BF6"/>
    <w:rsid w:val="00100015"/>
    <w:rsid w:val="001048AF"/>
    <w:rsid w:val="00104C7B"/>
    <w:rsid w:val="0010588F"/>
    <w:rsid w:val="0010615C"/>
    <w:rsid w:val="00106AB9"/>
    <w:rsid w:val="0010743D"/>
    <w:rsid w:val="001103A0"/>
    <w:rsid w:val="001123A2"/>
    <w:rsid w:val="0011515B"/>
    <w:rsid w:val="00115F56"/>
    <w:rsid w:val="001165AD"/>
    <w:rsid w:val="00117D71"/>
    <w:rsid w:val="00121E0B"/>
    <w:rsid w:val="00121F7E"/>
    <w:rsid w:val="00123CC7"/>
    <w:rsid w:val="00125406"/>
    <w:rsid w:val="00126B9B"/>
    <w:rsid w:val="00132AE2"/>
    <w:rsid w:val="00133023"/>
    <w:rsid w:val="001343AB"/>
    <w:rsid w:val="0013463C"/>
    <w:rsid w:val="00136E87"/>
    <w:rsid w:val="00141C2B"/>
    <w:rsid w:val="00152CF4"/>
    <w:rsid w:val="00153902"/>
    <w:rsid w:val="0015409E"/>
    <w:rsid w:val="001561CF"/>
    <w:rsid w:val="00166DC1"/>
    <w:rsid w:val="00170B12"/>
    <w:rsid w:val="00172234"/>
    <w:rsid w:val="00173D02"/>
    <w:rsid w:val="001740D6"/>
    <w:rsid w:val="00174A11"/>
    <w:rsid w:val="0018188E"/>
    <w:rsid w:val="00185861"/>
    <w:rsid w:val="00185C08"/>
    <w:rsid w:val="00186B1B"/>
    <w:rsid w:val="00187CE3"/>
    <w:rsid w:val="001A7D76"/>
    <w:rsid w:val="001B34A0"/>
    <w:rsid w:val="001C5CBB"/>
    <w:rsid w:val="001C6DC5"/>
    <w:rsid w:val="001C7209"/>
    <w:rsid w:val="001D1123"/>
    <w:rsid w:val="001D28E2"/>
    <w:rsid w:val="001D4851"/>
    <w:rsid w:val="001D63BD"/>
    <w:rsid w:val="001D745B"/>
    <w:rsid w:val="001E0D5A"/>
    <w:rsid w:val="001E1112"/>
    <w:rsid w:val="001E771C"/>
    <w:rsid w:val="0020292A"/>
    <w:rsid w:val="00203F59"/>
    <w:rsid w:val="002064B7"/>
    <w:rsid w:val="00210816"/>
    <w:rsid w:val="002139CE"/>
    <w:rsid w:val="0021540D"/>
    <w:rsid w:val="00216F57"/>
    <w:rsid w:val="00217FDD"/>
    <w:rsid w:val="002221CD"/>
    <w:rsid w:val="00223EB0"/>
    <w:rsid w:val="0022754C"/>
    <w:rsid w:val="00237B45"/>
    <w:rsid w:val="002516F3"/>
    <w:rsid w:val="00252C2D"/>
    <w:rsid w:val="00253070"/>
    <w:rsid w:val="00253ED2"/>
    <w:rsid w:val="0025401D"/>
    <w:rsid w:val="00256DA8"/>
    <w:rsid w:val="00261480"/>
    <w:rsid w:val="00264288"/>
    <w:rsid w:val="00270756"/>
    <w:rsid w:val="00276BD9"/>
    <w:rsid w:val="002827BD"/>
    <w:rsid w:val="00283BBF"/>
    <w:rsid w:val="002844D4"/>
    <w:rsid w:val="00293384"/>
    <w:rsid w:val="00296A4C"/>
    <w:rsid w:val="002A62DD"/>
    <w:rsid w:val="002B2CF4"/>
    <w:rsid w:val="002B32F1"/>
    <w:rsid w:val="002B3EE8"/>
    <w:rsid w:val="002B60B6"/>
    <w:rsid w:val="002B6C25"/>
    <w:rsid w:val="002C14A7"/>
    <w:rsid w:val="002C1A96"/>
    <w:rsid w:val="002C2BB6"/>
    <w:rsid w:val="002C3E64"/>
    <w:rsid w:val="002C510C"/>
    <w:rsid w:val="002C6BC7"/>
    <w:rsid w:val="002C70F0"/>
    <w:rsid w:val="002D025E"/>
    <w:rsid w:val="002D1433"/>
    <w:rsid w:val="002D1D34"/>
    <w:rsid w:val="002D4CD7"/>
    <w:rsid w:val="002D5C6E"/>
    <w:rsid w:val="002D6F32"/>
    <w:rsid w:val="002D73BF"/>
    <w:rsid w:val="002D75FC"/>
    <w:rsid w:val="002D7C81"/>
    <w:rsid w:val="002E27BF"/>
    <w:rsid w:val="002E6006"/>
    <w:rsid w:val="002E6144"/>
    <w:rsid w:val="002F226E"/>
    <w:rsid w:val="002F2DB6"/>
    <w:rsid w:val="002F4B24"/>
    <w:rsid w:val="00301C9F"/>
    <w:rsid w:val="00305E0A"/>
    <w:rsid w:val="00311291"/>
    <w:rsid w:val="0031186A"/>
    <w:rsid w:val="00316504"/>
    <w:rsid w:val="00316957"/>
    <w:rsid w:val="003222BB"/>
    <w:rsid w:val="00332F81"/>
    <w:rsid w:val="003331B8"/>
    <w:rsid w:val="00333FCB"/>
    <w:rsid w:val="003349E4"/>
    <w:rsid w:val="00337E7A"/>
    <w:rsid w:val="00340571"/>
    <w:rsid w:val="0034074B"/>
    <w:rsid w:val="003425D1"/>
    <w:rsid w:val="00342B02"/>
    <w:rsid w:val="0034632C"/>
    <w:rsid w:val="00347A19"/>
    <w:rsid w:val="00354F7A"/>
    <w:rsid w:val="00361BD5"/>
    <w:rsid w:val="003634F8"/>
    <w:rsid w:val="00364349"/>
    <w:rsid w:val="00367EF1"/>
    <w:rsid w:val="00372F4C"/>
    <w:rsid w:val="00375BFD"/>
    <w:rsid w:val="0037767B"/>
    <w:rsid w:val="0038166E"/>
    <w:rsid w:val="00384B11"/>
    <w:rsid w:val="00390621"/>
    <w:rsid w:val="0039320A"/>
    <w:rsid w:val="003953D3"/>
    <w:rsid w:val="00395451"/>
    <w:rsid w:val="003956F1"/>
    <w:rsid w:val="003977E0"/>
    <w:rsid w:val="00397AD4"/>
    <w:rsid w:val="003A00D1"/>
    <w:rsid w:val="003A722F"/>
    <w:rsid w:val="003B327C"/>
    <w:rsid w:val="003B32F6"/>
    <w:rsid w:val="003B5D0B"/>
    <w:rsid w:val="003B5D82"/>
    <w:rsid w:val="003C0574"/>
    <w:rsid w:val="003C2494"/>
    <w:rsid w:val="003C2DA7"/>
    <w:rsid w:val="003C35DB"/>
    <w:rsid w:val="003C41A4"/>
    <w:rsid w:val="003C53B2"/>
    <w:rsid w:val="003C7875"/>
    <w:rsid w:val="003D2352"/>
    <w:rsid w:val="003D2ED1"/>
    <w:rsid w:val="003D59BD"/>
    <w:rsid w:val="003E166C"/>
    <w:rsid w:val="003E22FB"/>
    <w:rsid w:val="003E3563"/>
    <w:rsid w:val="003E7F3D"/>
    <w:rsid w:val="003F1ECD"/>
    <w:rsid w:val="003F7E07"/>
    <w:rsid w:val="004056FF"/>
    <w:rsid w:val="00405F81"/>
    <w:rsid w:val="00406E85"/>
    <w:rsid w:val="004105E1"/>
    <w:rsid w:val="00412CE6"/>
    <w:rsid w:val="004135B8"/>
    <w:rsid w:val="00415E9A"/>
    <w:rsid w:val="004312FC"/>
    <w:rsid w:val="00435A36"/>
    <w:rsid w:val="00435B15"/>
    <w:rsid w:val="0043663B"/>
    <w:rsid w:val="00441989"/>
    <w:rsid w:val="004421D3"/>
    <w:rsid w:val="00444CCD"/>
    <w:rsid w:val="00451768"/>
    <w:rsid w:val="004557AC"/>
    <w:rsid w:val="004613A6"/>
    <w:rsid w:val="00466A32"/>
    <w:rsid w:val="00466ECD"/>
    <w:rsid w:val="0046765B"/>
    <w:rsid w:val="004769C8"/>
    <w:rsid w:val="00476F78"/>
    <w:rsid w:val="00477962"/>
    <w:rsid w:val="004820D8"/>
    <w:rsid w:val="004820E7"/>
    <w:rsid w:val="00483E97"/>
    <w:rsid w:val="0049482E"/>
    <w:rsid w:val="00494A4B"/>
    <w:rsid w:val="00495DAF"/>
    <w:rsid w:val="004A5E75"/>
    <w:rsid w:val="004A6047"/>
    <w:rsid w:val="004A6A29"/>
    <w:rsid w:val="004B2A97"/>
    <w:rsid w:val="004B702C"/>
    <w:rsid w:val="004C2B34"/>
    <w:rsid w:val="004C4934"/>
    <w:rsid w:val="004D36BA"/>
    <w:rsid w:val="004D4658"/>
    <w:rsid w:val="004D4944"/>
    <w:rsid w:val="004D7FF9"/>
    <w:rsid w:val="004E0F7E"/>
    <w:rsid w:val="004E2CB2"/>
    <w:rsid w:val="004F0C47"/>
    <w:rsid w:val="004F3B20"/>
    <w:rsid w:val="00503CCE"/>
    <w:rsid w:val="00514E76"/>
    <w:rsid w:val="005158B2"/>
    <w:rsid w:val="00520604"/>
    <w:rsid w:val="00530AD7"/>
    <w:rsid w:val="005321AB"/>
    <w:rsid w:val="0053270E"/>
    <w:rsid w:val="005331A6"/>
    <w:rsid w:val="005373D3"/>
    <w:rsid w:val="005427FD"/>
    <w:rsid w:val="005442D6"/>
    <w:rsid w:val="00551CD5"/>
    <w:rsid w:val="005560F4"/>
    <w:rsid w:val="0056593F"/>
    <w:rsid w:val="00565BE8"/>
    <w:rsid w:val="00566234"/>
    <w:rsid w:val="00567215"/>
    <w:rsid w:val="0056764E"/>
    <w:rsid w:val="00570207"/>
    <w:rsid w:val="00571D86"/>
    <w:rsid w:val="005733AB"/>
    <w:rsid w:val="005753AD"/>
    <w:rsid w:val="005862BD"/>
    <w:rsid w:val="005909CB"/>
    <w:rsid w:val="005940A8"/>
    <w:rsid w:val="005947C1"/>
    <w:rsid w:val="00594C1C"/>
    <w:rsid w:val="005A102D"/>
    <w:rsid w:val="005A13B0"/>
    <w:rsid w:val="005A3D7C"/>
    <w:rsid w:val="005A4320"/>
    <w:rsid w:val="005A5027"/>
    <w:rsid w:val="005A77C7"/>
    <w:rsid w:val="005B0969"/>
    <w:rsid w:val="005B1732"/>
    <w:rsid w:val="005B5E82"/>
    <w:rsid w:val="005B7AAF"/>
    <w:rsid w:val="005B7D4F"/>
    <w:rsid w:val="005C0D0F"/>
    <w:rsid w:val="005C74E2"/>
    <w:rsid w:val="005D09D8"/>
    <w:rsid w:val="005D1F23"/>
    <w:rsid w:val="005D257E"/>
    <w:rsid w:val="005D4CA7"/>
    <w:rsid w:val="005D5811"/>
    <w:rsid w:val="005D6A13"/>
    <w:rsid w:val="005E101B"/>
    <w:rsid w:val="005E170C"/>
    <w:rsid w:val="005F363F"/>
    <w:rsid w:val="006009E1"/>
    <w:rsid w:val="00604065"/>
    <w:rsid w:val="006067B3"/>
    <w:rsid w:val="006151E7"/>
    <w:rsid w:val="00616652"/>
    <w:rsid w:val="00617687"/>
    <w:rsid w:val="006215AB"/>
    <w:rsid w:val="00631692"/>
    <w:rsid w:val="00633464"/>
    <w:rsid w:val="00633ED4"/>
    <w:rsid w:val="00636158"/>
    <w:rsid w:val="00636C93"/>
    <w:rsid w:val="006409B7"/>
    <w:rsid w:val="00640B36"/>
    <w:rsid w:val="00645BA4"/>
    <w:rsid w:val="00645DE4"/>
    <w:rsid w:val="00646552"/>
    <w:rsid w:val="00650175"/>
    <w:rsid w:val="0065278D"/>
    <w:rsid w:val="00653FDC"/>
    <w:rsid w:val="00655F90"/>
    <w:rsid w:val="006659D0"/>
    <w:rsid w:val="00666A11"/>
    <w:rsid w:val="00674B9E"/>
    <w:rsid w:val="006766CC"/>
    <w:rsid w:val="0068038A"/>
    <w:rsid w:val="006811CD"/>
    <w:rsid w:val="006828D1"/>
    <w:rsid w:val="006854D4"/>
    <w:rsid w:val="006868FF"/>
    <w:rsid w:val="00690FF3"/>
    <w:rsid w:val="00691F7D"/>
    <w:rsid w:val="00692E1B"/>
    <w:rsid w:val="006979A7"/>
    <w:rsid w:val="006A02A7"/>
    <w:rsid w:val="006A3CA5"/>
    <w:rsid w:val="006A64B2"/>
    <w:rsid w:val="006A6B69"/>
    <w:rsid w:val="006B34E5"/>
    <w:rsid w:val="006B3876"/>
    <w:rsid w:val="006B4278"/>
    <w:rsid w:val="006B4C23"/>
    <w:rsid w:val="006C2DD0"/>
    <w:rsid w:val="006D0B3C"/>
    <w:rsid w:val="006D2C81"/>
    <w:rsid w:val="006D51B6"/>
    <w:rsid w:val="006D72A3"/>
    <w:rsid w:val="006E3F20"/>
    <w:rsid w:val="006E50B5"/>
    <w:rsid w:val="006F269A"/>
    <w:rsid w:val="006F36A2"/>
    <w:rsid w:val="006F5EBC"/>
    <w:rsid w:val="006F72C4"/>
    <w:rsid w:val="00700CBF"/>
    <w:rsid w:val="007013E0"/>
    <w:rsid w:val="00705E6B"/>
    <w:rsid w:val="00706232"/>
    <w:rsid w:val="00706954"/>
    <w:rsid w:val="0070721F"/>
    <w:rsid w:val="007120BB"/>
    <w:rsid w:val="007131B3"/>
    <w:rsid w:val="00713DD6"/>
    <w:rsid w:val="00714AD5"/>
    <w:rsid w:val="00715485"/>
    <w:rsid w:val="0071582C"/>
    <w:rsid w:val="007214E3"/>
    <w:rsid w:val="00722554"/>
    <w:rsid w:val="00722C20"/>
    <w:rsid w:val="007254D4"/>
    <w:rsid w:val="00726A14"/>
    <w:rsid w:val="00727A6D"/>
    <w:rsid w:val="00727B56"/>
    <w:rsid w:val="00732082"/>
    <w:rsid w:val="00734E46"/>
    <w:rsid w:val="00735402"/>
    <w:rsid w:val="007476F5"/>
    <w:rsid w:val="0075310F"/>
    <w:rsid w:val="00753EEB"/>
    <w:rsid w:val="00763A2D"/>
    <w:rsid w:val="00767B72"/>
    <w:rsid w:val="00774F2C"/>
    <w:rsid w:val="00775D57"/>
    <w:rsid w:val="00776C98"/>
    <w:rsid w:val="00790205"/>
    <w:rsid w:val="00790312"/>
    <w:rsid w:val="00790FCA"/>
    <w:rsid w:val="00793871"/>
    <w:rsid w:val="007A6DDE"/>
    <w:rsid w:val="007A7662"/>
    <w:rsid w:val="007B2EF4"/>
    <w:rsid w:val="007B3113"/>
    <w:rsid w:val="007B3555"/>
    <w:rsid w:val="007B5603"/>
    <w:rsid w:val="007B70C2"/>
    <w:rsid w:val="007C2BC3"/>
    <w:rsid w:val="007C6DEA"/>
    <w:rsid w:val="007C6E47"/>
    <w:rsid w:val="007D5E10"/>
    <w:rsid w:val="007D6617"/>
    <w:rsid w:val="007E7ECC"/>
    <w:rsid w:val="007F09BE"/>
    <w:rsid w:val="007F2DA4"/>
    <w:rsid w:val="007F33BB"/>
    <w:rsid w:val="007F362D"/>
    <w:rsid w:val="007F5089"/>
    <w:rsid w:val="00801353"/>
    <w:rsid w:val="0080199F"/>
    <w:rsid w:val="008021D3"/>
    <w:rsid w:val="00802AE7"/>
    <w:rsid w:val="00802C13"/>
    <w:rsid w:val="00803455"/>
    <w:rsid w:val="0080366D"/>
    <w:rsid w:val="008064C1"/>
    <w:rsid w:val="00811E58"/>
    <w:rsid w:val="00812935"/>
    <w:rsid w:val="0081316D"/>
    <w:rsid w:val="00813365"/>
    <w:rsid w:val="00823663"/>
    <w:rsid w:val="00824629"/>
    <w:rsid w:val="00824A4B"/>
    <w:rsid w:val="00825E8D"/>
    <w:rsid w:val="00827ACE"/>
    <w:rsid w:val="008402BB"/>
    <w:rsid w:val="00846B5B"/>
    <w:rsid w:val="00851F62"/>
    <w:rsid w:val="00854ADA"/>
    <w:rsid w:val="00855A1B"/>
    <w:rsid w:val="0085670A"/>
    <w:rsid w:val="00862621"/>
    <w:rsid w:val="00863818"/>
    <w:rsid w:val="00863C51"/>
    <w:rsid w:val="00864F2F"/>
    <w:rsid w:val="00865598"/>
    <w:rsid w:val="00871A6C"/>
    <w:rsid w:val="00871EF4"/>
    <w:rsid w:val="00872727"/>
    <w:rsid w:val="00875835"/>
    <w:rsid w:val="0087687C"/>
    <w:rsid w:val="008868DF"/>
    <w:rsid w:val="008909E3"/>
    <w:rsid w:val="00891B4E"/>
    <w:rsid w:val="00893A9B"/>
    <w:rsid w:val="0089505E"/>
    <w:rsid w:val="00896AB0"/>
    <w:rsid w:val="008A27DB"/>
    <w:rsid w:val="008A31C9"/>
    <w:rsid w:val="008B3BD1"/>
    <w:rsid w:val="008B4BE5"/>
    <w:rsid w:val="008B74FB"/>
    <w:rsid w:val="008C6387"/>
    <w:rsid w:val="008C7439"/>
    <w:rsid w:val="008D48BC"/>
    <w:rsid w:val="008D6A79"/>
    <w:rsid w:val="008E0E46"/>
    <w:rsid w:val="008E7217"/>
    <w:rsid w:val="008E794F"/>
    <w:rsid w:val="008F0C80"/>
    <w:rsid w:val="00903CED"/>
    <w:rsid w:val="00911841"/>
    <w:rsid w:val="0091277D"/>
    <w:rsid w:val="00913C9A"/>
    <w:rsid w:val="009154C1"/>
    <w:rsid w:val="00915CD0"/>
    <w:rsid w:val="009234FD"/>
    <w:rsid w:val="00925752"/>
    <w:rsid w:val="009261B4"/>
    <w:rsid w:val="00930E40"/>
    <w:rsid w:val="00932BA9"/>
    <w:rsid w:val="009345E6"/>
    <w:rsid w:val="00940E79"/>
    <w:rsid w:val="009440E4"/>
    <w:rsid w:val="009459F4"/>
    <w:rsid w:val="00946308"/>
    <w:rsid w:val="009504A6"/>
    <w:rsid w:val="00951C3E"/>
    <w:rsid w:val="00953A4E"/>
    <w:rsid w:val="009552D1"/>
    <w:rsid w:val="00955D7A"/>
    <w:rsid w:val="0095609F"/>
    <w:rsid w:val="009626AA"/>
    <w:rsid w:val="009640E3"/>
    <w:rsid w:val="00964705"/>
    <w:rsid w:val="0096482A"/>
    <w:rsid w:val="00965A3C"/>
    <w:rsid w:val="00966053"/>
    <w:rsid w:val="0096621B"/>
    <w:rsid w:val="00973953"/>
    <w:rsid w:val="00981EA4"/>
    <w:rsid w:val="00982F07"/>
    <w:rsid w:val="00990156"/>
    <w:rsid w:val="00997175"/>
    <w:rsid w:val="00997378"/>
    <w:rsid w:val="009A1850"/>
    <w:rsid w:val="009A3187"/>
    <w:rsid w:val="009A4231"/>
    <w:rsid w:val="009A4CBB"/>
    <w:rsid w:val="009A5CAB"/>
    <w:rsid w:val="009A785A"/>
    <w:rsid w:val="009B67A2"/>
    <w:rsid w:val="009C1EBA"/>
    <w:rsid w:val="009C4076"/>
    <w:rsid w:val="009C472A"/>
    <w:rsid w:val="009C6D1A"/>
    <w:rsid w:val="009C76EF"/>
    <w:rsid w:val="009C782D"/>
    <w:rsid w:val="009D23C5"/>
    <w:rsid w:val="009D337B"/>
    <w:rsid w:val="009D39D9"/>
    <w:rsid w:val="009D4219"/>
    <w:rsid w:val="009F327D"/>
    <w:rsid w:val="00A01360"/>
    <w:rsid w:val="00A0230D"/>
    <w:rsid w:val="00A05A0F"/>
    <w:rsid w:val="00A05A16"/>
    <w:rsid w:val="00A12497"/>
    <w:rsid w:val="00A143B2"/>
    <w:rsid w:val="00A20041"/>
    <w:rsid w:val="00A21320"/>
    <w:rsid w:val="00A21D6C"/>
    <w:rsid w:val="00A24E6D"/>
    <w:rsid w:val="00A2635E"/>
    <w:rsid w:val="00A33603"/>
    <w:rsid w:val="00A35D5B"/>
    <w:rsid w:val="00A401A3"/>
    <w:rsid w:val="00A403F8"/>
    <w:rsid w:val="00A474B1"/>
    <w:rsid w:val="00A50C41"/>
    <w:rsid w:val="00A554F9"/>
    <w:rsid w:val="00A55751"/>
    <w:rsid w:val="00A56537"/>
    <w:rsid w:val="00A56C60"/>
    <w:rsid w:val="00A6189D"/>
    <w:rsid w:val="00A62958"/>
    <w:rsid w:val="00A62BDE"/>
    <w:rsid w:val="00A6317E"/>
    <w:rsid w:val="00A63288"/>
    <w:rsid w:val="00A63434"/>
    <w:rsid w:val="00A6393C"/>
    <w:rsid w:val="00A662FD"/>
    <w:rsid w:val="00A700F2"/>
    <w:rsid w:val="00A72D8A"/>
    <w:rsid w:val="00A754A6"/>
    <w:rsid w:val="00A76651"/>
    <w:rsid w:val="00A802C0"/>
    <w:rsid w:val="00A80D2B"/>
    <w:rsid w:val="00A85F7F"/>
    <w:rsid w:val="00A86F17"/>
    <w:rsid w:val="00A92425"/>
    <w:rsid w:val="00A93CB4"/>
    <w:rsid w:val="00A971F1"/>
    <w:rsid w:val="00AA09B6"/>
    <w:rsid w:val="00AA0D3D"/>
    <w:rsid w:val="00AB25E0"/>
    <w:rsid w:val="00AB272D"/>
    <w:rsid w:val="00AB561F"/>
    <w:rsid w:val="00AC3CE8"/>
    <w:rsid w:val="00AD261E"/>
    <w:rsid w:val="00AD5C7B"/>
    <w:rsid w:val="00AF259A"/>
    <w:rsid w:val="00AF3167"/>
    <w:rsid w:val="00B00B47"/>
    <w:rsid w:val="00B01B1F"/>
    <w:rsid w:val="00B1040E"/>
    <w:rsid w:val="00B207DC"/>
    <w:rsid w:val="00B270AE"/>
    <w:rsid w:val="00B32B6B"/>
    <w:rsid w:val="00B347F4"/>
    <w:rsid w:val="00B3701D"/>
    <w:rsid w:val="00B37E96"/>
    <w:rsid w:val="00B401B3"/>
    <w:rsid w:val="00B4491D"/>
    <w:rsid w:val="00B46E9F"/>
    <w:rsid w:val="00B47A27"/>
    <w:rsid w:val="00B5007B"/>
    <w:rsid w:val="00B5203E"/>
    <w:rsid w:val="00B528B6"/>
    <w:rsid w:val="00B529F7"/>
    <w:rsid w:val="00B56C10"/>
    <w:rsid w:val="00B574A1"/>
    <w:rsid w:val="00B57929"/>
    <w:rsid w:val="00B63C68"/>
    <w:rsid w:val="00B67BCD"/>
    <w:rsid w:val="00B76615"/>
    <w:rsid w:val="00B77F10"/>
    <w:rsid w:val="00B83FA0"/>
    <w:rsid w:val="00B851A2"/>
    <w:rsid w:val="00B85F05"/>
    <w:rsid w:val="00B86AD1"/>
    <w:rsid w:val="00B87529"/>
    <w:rsid w:val="00B91944"/>
    <w:rsid w:val="00B962C3"/>
    <w:rsid w:val="00B979C6"/>
    <w:rsid w:val="00BA04A9"/>
    <w:rsid w:val="00BA66B5"/>
    <w:rsid w:val="00BA7922"/>
    <w:rsid w:val="00BB1E14"/>
    <w:rsid w:val="00BB3222"/>
    <w:rsid w:val="00BB45E1"/>
    <w:rsid w:val="00BB69B2"/>
    <w:rsid w:val="00BC00AE"/>
    <w:rsid w:val="00BC0BA8"/>
    <w:rsid w:val="00BC6DC6"/>
    <w:rsid w:val="00BD000D"/>
    <w:rsid w:val="00BD297B"/>
    <w:rsid w:val="00BD2E54"/>
    <w:rsid w:val="00BD5A91"/>
    <w:rsid w:val="00BD6D03"/>
    <w:rsid w:val="00BD701F"/>
    <w:rsid w:val="00BE007C"/>
    <w:rsid w:val="00BE35BF"/>
    <w:rsid w:val="00BE578C"/>
    <w:rsid w:val="00BE5E08"/>
    <w:rsid w:val="00BE6DFA"/>
    <w:rsid w:val="00BF1038"/>
    <w:rsid w:val="00BF3397"/>
    <w:rsid w:val="00C0253F"/>
    <w:rsid w:val="00C05222"/>
    <w:rsid w:val="00C12C2A"/>
    <w:rsid w:val="00C13338"/>
    <w:rsid w:val="00C21C9B"/>
    <w:rsid w:val="00C330F2"/>
    <w:rsid w:val="00C347D8"/>
    <w:rsid w:val="00C40A31"/>
    <w:rsid w:val="00C458EA"/>
    <w:rsid w:val="00C47406"/>
    <w:rsid w:val="00C4787F"/>
    <w:rsid w:val="00C52356"/>
    <w:rsid w:val="00C532E4"/>
    <w:rsid w:val="00C619EC"/>
    <w:rsid w:val="00C65197"/>
    <w:rsid w:val="00C66467"/>
    <w:rsid w:val="00C71A6D"/>
    <w:rsid w:val="00C73811"/>
    <w:rsid w:val="00C748EC"/>
    <w:rsid w:val="00C830E7"/>
    <w:rsid w:val="00C857F0"/>
    <w:rsid w:val="00C86694"/>
    <w:rsid w:val="00C86CC8"/>
    <w:rsid w:val="00C87556"/>
    <w:rsid w:val="00C87848"/>
    <w:rsid w:val="00C87C8B"/>
    <w:rsid w:val="00C92394"/>
    <w:rsid w:val="00C92AC9"/>
    <w:rsid w:val="00C93217"/>
    <w:rsid w:val="00C947E8"/>
    <w:rsid w:val="00C94B2A"/>
    <w:rsid w:val="00C97BE5"/>
    <w:rsid w:val="00CA2822"/>
    <w:rsid w:val="00CA68D3"/>
    <w:rsid w:val="00CB4199"/>
    <w:rsid w:val="00CC0F52"/>
    <w:rsid w:val="00CC222E"/>
    <w:rsid w:val="00CC2329"/>
    <w:rsid w:val="00CC6D39"/>
    <w:rsid w:val="00CD37CC"/>
    <w:rsid w:val="00CE0FC9"/>
    <w:rsid w:val="00CE4A20"/>
    <w:rsid w:val="00CE6947"/>
    <w:rsid w:val="00CF0096"/>
    <w:rsid w:val="00CF17E8"/>
    <w:rsid w:val="00CF1A8E"/>
    <w:rsid w:val="00CF429A"/>
    <w:rsid w:val="00D0615A"/>
    <w:rsid w:val="00D06AD1"/>
    <w:rsid w:val="00D07BBA"/>
    <w:rsid w:val="00D10A15"/>
    <w:rsid w:val="00D14E66"/>
    <w:rsid w:val="00D15999"/>
    <w:rsid w:val="00D16D5C"/>
    <w:rsid w:val="00D175DC"/>
    <w:rsid w:val="00D2151D"/>
    <w:rsid w:val="00D2227F"/>
    <w:rsid w:val="00D23512"/>
    <w:rsid w:val="00D25D25"/>
    <w:rsid w:val="00D27161"/>
    <w:rsid w:val="00D2725C"/>
    <w:rsid w:val="00D30479"/>
    <w:rsid w:val="00D3109B"/>
    <w:rsid w:val="00D37342"/>
    <w:rsid w:val="00D37362"/>
    <w:rsid w:val="00D4453A"/>
    <w:rsid w:val="00D4675D"/>
    <w:rsid w:val="00D46C82"/>
    <w:rsid w:val="00D51E5C"/>
    <w:rsid w:val="00D5372C"/>
    <w:rsid w:val="00D53BD6"/>
    <w:rsid w:val="00D603D9"/>
    <w:rsid w:val="00D60FCF"/>
    <w:rsid w:val="00D61C1B"/>
    <w:rsid w:val="00D63B92"/>
    <w:rsid w:val="00D65E32"/>
    <w:rsid w:val="00D8056E"/>
    <w:rsid w:val="00D82EFA"/>
    <w:rsid w:val="00D84745"/>
    <w:rsid w:val="00D84F4E"/>
    <w:rsid w:val="00D86525"/>
    <w:rsid w:val="00D94F9B"/>
    <w:rsid w:val="00D9732A"/>
    <w:rsid w:val="00DA31DD"/>
    <w:rsid w:val="00DB4874"/>
    <w:rsid w:val="00DB5000"/>
    <w:rsid w:val="00DC072F"/>
    <w:rsid w:val="00DC22CC"/>
    <w:rsid w:val="00DC3CF8"/>
    <w:rsid w:val="00DC4C40"/>
    <w:rsid w:val="00DC4DB8"/>
    <w:rsid w:val="00DC7A40"/>
    <w:rsid w:val="00DD19D7"/>
    <w:rsid w:val="00DD21B6"/>
    <w:rsid w:val="00DD23FC"/>
    <w:rsid w:val="00DD244E"/>
    <w:rsid w:val="00DD2F5C"/>
    <w:rsid w:val="00DE180F"/>
    <w:rsid w:val="00DF09A5"/>
    <w:rsid w:val="00DF1D14"/>
    <w:rsid w:val="00E0114A"/>
    <w:rsid w:val="00E04EED"/>
    <w:rsid w:val="00E077A3"/>
    <w:rsid w:val="00E118D3"/>
    <w:rsid w:val="00E122AB"/>
    <w:rsid w:val="00E13E4D"/>
    <w:rsid w:val="00E16023"/>
    <w:rsid w:val="00E1697C"/>
    <w:rsid w:val="00E17739"/>
    <w:rsid w:val="00E17FA8"/>
    <w:rsid w:val="00E17FD8"/>
    <w:rsid w:val="00E20902"/>
    <w:rsid w:val="00E20A0C"/>
    <w:rsid w:val="00E21BEC"/>
    <w:rsid w:val="00E23C7B"/>
    <w:rsid w:val="00E247BD"/>
    <w:rsid w:val="00E25C09"/>
    <w:rsid w:val="00E2616D"/>
    <w:rsid w:val="00E26C2E"/>
    <w:rsid w:val="00E309A0"/>
    <w:rsid w:val="00E35FF1"/>
    <w:rsid w:val="00E42C8B"/>
    <w:rsid w:val="00E432D9"/>
    <w:rsid w:val="00E460FB"/>
    <w:rsid w:val="00E53528"/>
    <w:rsid w:val="00E53E1B"/>
    <w:rsid w:val="00E56CFE"/>
    <w:rsid w:val="00E62762"/>
    <w:rsid w:val="00E632FB"/>
    <w:rsid w:val="00E64116"/>
    <w:rsid w:val="00E6449F"/>
    <w:rsid w:val="00E66DAD"/>
    <w:rsid w:val="00E77064"/>
    <w:rsid w:val="00E77EBE"/>
    <w:rsid w:val="00E833C0"/>
    <w:rsid w:val="00E85AC9"/>
    <w:rsid w:val="00E94533"/>
    <w:rsid w:val="00E95255"/>
    <w:rsid w:val="00EA15C4"/>
    <w:rsid w:val="00EA2076"/>
    <w:rsid w:val="00EB19D9"/>
    <w:rsid w:val="00EB5807"/>
    <w:rsid w:val="00EC1E78"/>
    <w:rsid w:val="00EC2AED"/>
    <w:rsid w:val="00EC7197"/>
    <w:rsid w:val="00ED03FA"/>
    <w:rsid w:val="00ED126B"/>
    <w:rsid w:val="00ED409D"/>
    <w:rsid w:val="00ED6CF9"/>
    <w:rsid w:val="00EE1A8F"/>
    <w:rsid w:val="00EE3060"/>
    <w:rsid w:val="00EF1E1C"/>
    <w:rsid w:val="00EF3045"/>
    <w:rsid w:val="00EF32FB"/>
    <w:rsid w:val="00EF469A"/>
    <w:rsid w:val="00EF7362"/>
    <w:rsid w:val="00F1357A"/>
    <w:rsid w:val="00F2204F"/>
    <w:rsid w:val="00F31779"/>
    <w:rsid w:val="00F32674"/>
    <w:rsid w:val="00F34DE9"/>
    <w:rsid w:val="00F367AB"/>
    <w:rsid w:val="00F40460"/>
    <w:rsid w:val="00F42A23"/>
    <w:rsid w:val="00F47B44"/>
    <w:rsid w:val="00F50542"/>
    <w:rsid w:val="00F516E5"/>
    <w:rsid w:val="00F51CBA"/>
    <w:rsid w:val="00F5323D"/>
    <w:rsid w:val="00F54FDB"/>
    <w:rsid w:val="00F5766A"/>
    <w:rsid w:val="00F614B3"/>
    <w:rsid w:val="00F64A6A"/>
    <w:rsid w:val="00F720E1"/>
    <w:rsid w:val="00F762D2"/>
    <w:rsid w:val="00F77734"/>
    <w:rsid w:val="00F77DA7"/>
    <w:rsid w:val="00F80F90"/>
    <w:rsid w:val="00F8369D"/>
    <w:rsid w:val="00F83DFB"/>
    <w:rsid w:val="00F85D48"/>
    <w:rsid w:val="00F86494"/>
    <w:rsid w:val="00F879CC"/>
    <w:rsid w:val="00F9111C"/>
    <w:rsid w:val="00F94244"/>
    <w:rsid w:val="00FA24E6"/>
    <w:rsid w:val="00FA27B3"/>
    <w:rsid w:val="00FB0E99"/>
    <w:rsid w:val="00FB144C"/>
    <w:rsid w:val="00FB2073"/>
    <w:rsid w:val="00FC3328"/>
    <w:rsid w:val="00FC5A35"/>
    <w:rsid w:val="00FC6A82"/>
    <w:rsid w:val="00FC7429"/>
    <w:rsid w:val="00FD1D27"/>
    <w:rsid w:val="00FD267F"/>
    <w:rsid w:val="00FE19BD"/>
    <w:rsid w:val="00FE33AF"/>
    <w:rsid w:val="00FE33CD"/>
    <w:rsid w:val="00FE3950"/>
    <w:rsid w:val="00FE3EA2"/>
    <w:rsid w:val="00FE751A"/>
    <w:rsid w:val="00FE7B9C"/>
    <w:rsid w:val="00FF0E0F"/>
    <w:rsid w:val="00FF4264"/>
    <w:rsid w:val="00FF50C4"/>
    <w:rsid w:val="00FF6E04"/>
    <w:rsid w:val="00FF77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A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4AD5"/>
    <w:pPr>
      <w:spacing w:after="0" w:line="360" w:lineRule="auto"/>
    </w:pPr>
    <w:rPr>
      <w:rFonts w:ascii="Times New Roman" w:hAnsi="Times New Roman"/>
      <w:sz w:val="24"/>
    </w:rPr>
  </w:style>
  <w:style w:type="paragraph" w:styleId="Nagwek1">
    <w:name w:val="heading 1"/>
    <w:basedOn w:val="Normalny"/>
    <w:next w:val="Normalny"/>
    <w:link w:val="Nagwek1Znak"/>
    <w:uiPriority w:val="9"/>
    <w:qFormat/>
    <w:rsid w:val="00A565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B32B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B32B6B"/>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52060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50542"/>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50542"/>
    <w:pPr>
      <w:tabs>
        <w:tab w:val="center" w:pos="4536"/>
        <w:tab w:val="right" w:pos="9072"/>
      </w:tabs>
      <w:spacing w:line="240" w:lineRule="auto"/>
    </w:pPr>
    <w:rPr>
      <w:rFonts w:asciiTheme="minorHAnsi" w:hAnsiTheme="minorHAnsi"/>
      <w:sz w:val="22"/>
      <w:lang w:val="en-GB"/>
    </w:rPr>
  </w:style>
  <w:style w:type="character" w:customStyle="1" w:styleId="NagwekZnak">
    <w:name w:val="Nagłówek Znak"/>
    <w:basedOn w:val="Domylnaczcionkaakapitu"/>
    <w:link w:val="Nagwek"/>
    <w:uiPriority w:val="99"/>
    <w:rsid w:val="00F50542"/>
    <w:rPr>
      <w:lang w:val="en-GB"/>
    </w:rPr>
  </w:style>
  <w:style w:type="paragraph" w:styleId="Stopka">
    <w:name w:val="footer"/>
    <w:basedOn w:val="Normalny"/>
    <w:link w:val="StopkaZnak"/>
    <w:uiPriority w:val="99"/>
    <w:unhideWhenUsed/>
    <w:rsid w:val="00F50542"/>
    <w:pPr>
      <w:tabs>
        <w:tab w:val="center" w:pos="4536"/>
        <w:tab w:val="right" w:pos="9072"/>
      </w:tabs>
      <w:spacing w:line="240" w:lineRule="auto"/>
    </w:pPr>
    <w:rPr>
      <w:rFonts w:asciiTheme="minorHAnsi" w:hAnsiTheme="minorHAnsi"/>
      <w:sz w:val="22"/>
      <w:lang w:val="en-GB"/>
    </w:rPr>
  </w:style>
  <w:style w:type="character" w:customStyle="1" w:styleId="StopkaZnak">
    <w:name w:val="Stopka Znak"/>
    <w:basedOn w:val="Domylnaczcionkaakapitu"/>
    <w:link w:val="Stopka"/>
    <w:uiPriority w:val="99"/>
    <w:rsid w:val="00F50542"/>
    <w:rPr>
      <w:lang w:val="en-GB"/>
    </w:rPr>
  </w:style>
  <w:style w:type="paragraph" w:styleId="Tekstprzypisudolnego">
    <w:name w:val="footnote text"/>
    <w:aliases w:val="Schriftart: 9 pt,Schriftart: 10 pt,Schriftart: 8 pt,WB-Fußnotentext,FoodNote,ft,Footnote text,Footnote Text Char Char,Footnote Text Char1 Char Char,Footnote Text Char Char Char Char,fn,f,Char,Voetnoottekst Char,Footnote Text Char1"/>
    <w:basedOn w:val="Normalny"/>
    <w:link w:val="TekstprzypisudolnegoZnak"/>
    <w:unhideWhenUsed/>
    <w:rsid w:val="00F50542"/>
    <w:pPr>
      <w:spacing w:line="240" w:lineRule="auto"/>
    </w:pPr>
    <w:rPr>
      <w:rFonts w:asciiTheme="minorHAnsi" w:hAnsiTheme="minorHAnsi"/>
      <w:sz w:val="20"/>
      <w:szCs w:val="20"/>
      <w:lang w:val="en-GB"/>
    </w:rPr>
  </w:style>
  <w:style w:type="character" w:customStyle="1" w:styleId="TekstprzypisudolnegoZnak">
    <w:name w:val="Tekst przypisu dolnego Znak"/>
    <w:aliases w:val="Schriftart: 9 pt Znak,Schriftart: 10 pt Znak,Schriftart: 8 pt Znak,WB-Fußnotentext Znak,FoodNote Znak,ft Znak,Footnote text Znak,Footnote Text Char Char Znak,Footnote Text Char1 Char Char Znak,fn Znak,f Znak,Char Znak"/>
    <w:basedOn w:val="Domylnaczcionkaakapitu"/>
    <w:link w:val="Tekstprzypisudolnego"/>
    <w:rsid w:val="00F50542"/>
    <w:rPr>
      <w:sz w:val="20"/>
      <w:szCs w:val="20"/>
      <w:lang w:val="en-GB"/>
    </w:rPr>
  </w:style>
  <w:style w:type="character" w:styleId="Odwoanieprzypisudolnego">
    <w:name w:val="footnote reference"/>
    <w:aliases w:val="Footnote,Footnote number,Footnote symbol,Footnote Reference Number,Footnote reference number,Times 10 Point,Exposant 3 Point,Footnote Reference Superscript,EN Footnote Reference,note TESI,Voetnootverwijzing,fr,o,FR,FR1"/>
    <w:basedOn w:val="Domylnaczcionkaakapitu"/>
    <w:uiPriority w:val="99"/>
    <w:unhideWhenUsed/>
    <w:rsid w:val="00F50542"/>
    <w:rPr>
      <w:vertAlign w:val="superscript"/>
    </w:rPr>
  </w:style>
  <w:style w:type="table" w:customStyle="1" w:styleId="TableGrid1">
    <w:name w:val="Table Grid1"/>
    <w:basedOn w:val="Standardowy"/>
    <w:next w:val="Tabela-Siatka"/>
    <w:uiPriority w:val="59"/>
    <w:rsid w:val="00F5054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Landscape">
    <w:name w:val="HeaderLandscape"/>
    <w:basedOn w:val="Normalny"/>
    <w:rsid w:val="00F50542"/>
    <w:pPr>
      <w:tabs>
        <w:tab w:val="center" w:pos="7285"/>
        <w:tab w:val="right" w:pos="14003"/>
      </w:tabs>
      <w:spacing w:after="120" w:line="240" w:lineRule="auto"/>
      <w:jc w:val="both"/>
    </w:pPr>
    <w:rPr>
      <w:rFonts w:cs="Times New Roman"/>
      <w:lang w:val="en-GB"/>
    </w:rPr>
  </w:style>
  <w:style w:type="character" w:styleId="Numerstrony">
    <w:name w:val="page number"/>
    <w:rsid w:val="00F50542"/>
  </w:style>
  <w:style w:type="paragraph" w:styleId="Tekstdymka">
    <w:name w:val="Balloon Text"/>
    <w:basedOn w:val="Normalny"/>
    <w:link w:val="TekstdymkaZnak"/>
    <w:uiPriority w:val="99"/>
    <w:semiHidden/>
    <w:unhideWhenUsed/>
    <w:rsid w:val="000E01AC"/>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01AC"/>
    <w:rPr>
      <w:rFonts w:ascii="Segoe UI" w:hAnsi="Segoe UI" w:cs="Segoe UI"/>
      <w:sz w:val="18"/>
      <w:szCs w:val="18"/>
    </w:rPr>
  </w:style>
  <w:style w:type="character" w:styleId="Odwoaniedokomentarza">
    <w:name w:val="annotation reference"/>
    <w:basedOn w:val="Domylnaczcionkaakapitu"/>
    <w:uiPriority w:val="99"/>
    <w:semiHidden/>
    <w:unhideWhenUsed/>
    <w:rsid w:val="000E01AC"/>
    <w:rPr>
      <w:sz w:val="16"/>
      <w:szCs w:val="16"/>
    </w:rPr>
  </w:style>
  <w:style w:type="paragraph" w:styleId="Tekstkomentarza">
    <w:name w:val="annotation text"/>
    <w:basedOn w:val="Normalny"/>
    <w:link w:val="TekstkomentarzaZnak"/>
    <w:uiPriority w:val="99"/>
    <w:unhideWhenUsed/>
    <w:rsid w:val="000E01AC"/>
    <w:pPr>
      <w:spacing w:line="240" w:lineRule="auto"/>
    </w:pPr>
    <w:rPr>
      <w:sz w:val="20"/>
      <w:szCs w:val="20"/>
    </w:rPr>
  </w:style>
  <w:style w:type="character" w:customStyle="1" w:styleId="TekstkomentarzaZnak">
    <w:name w:val="Tekst komentarza Znak"/>
    <w:basedOn w:val="Domylnaczcionkaakapitu"/>
    <w:link w:val="Tekstkomentarza"/>
    <w:uiPriority w:val="99"/>
    <w:rsid w:val="000E01AC"/>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0E01AC"/>
    <w:rPr>
      <w:b/>
      <w:bCs/>
    </w:rPr>
  </w:style>
  <w:style w:type="character" w:customStyle="1" w:styleId="TematkomentarzaZnak">
    <w:name w:val="Temat komentarza Znak"/>
    <w:basedOn w:val="TekstkomentarzaZnak"/>
    <w:link w:val="Tematkomentarza"/>
    <w:uiPriority w:val="99"/>
    <w:semiHidden/>
    <w:rsid w:val="000E01AC"/>
    <w:rPr>
      <w:rFonts w:ascii="Times New Roman" w:hAnsi="Times New Roman"/>
      <w:b/>
      <w:bCs/>
      <w:sz w:val="20"/>
      <w:szCs w:val="20"/>
    </w:rPr>
  </w:style>
  <w:style w:type="paragraph" w:styleId="Akapitzlist">
    <w:name w:val="List Paragraph"/>
    <w:basedOn w:val="Normalny"/>
    <w:link w:val="AkapitzlistZnak"/>
    <w:uiPriority w:val="34"/>
    <w:qFormat/>
    <w:rsid w:val="00187CE3"/>
    <w:pPr>
      <w:spacing w:after="200" w:line="276" w:lineRule="auto"/>
      <w:ind w:left="720"/>
      <w:contextualSpacing/>
    </w:pPr>
    <w:rPr>
      <w:rFonts w:asciiTheme="minorHAnsi" w:hAnsiTheme="minorHAnsi"/>
      <w:sz w:val="22"/>
      <w:lang w:val="en-GB"/>
    </w:rPr>
  </w:style>
  <w:style w:type="character" w:customStyle="1" w:styleId="AkapitzlistZnak">
    <w:name w:val="Akapit z listą Znak"/>
    <w:basedOn w:val="Domylnaczcionkaakapitu"/>
    <w:link w:val="Akapitzlist"/>
    <w:uiPriority w:val="34"/>
    <w:rsid w:val="00187CE3"/>
    <w:rPr>
      <w:lang w:val="en-GB"/>
    </w:rPr>
  </w:style>
  <w:style w:type="paragraph" w:customStyle="1" w:styleId="Default">
    <w:name w:val="Default"/>
    <w:rsid w:val="002E27BF"/>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uiPriority w:val="99"/>
    <w:semiHidden/>
    <w:rsid w:val="0056593F"/>
    <w:pPr>
      <w:spacing w:after="0" w:line="240" w:lineRule="auto"/>
    </w:pPr>
    <w:rPr>
      <w:rFonts w:ascii="Times New Roman" w:hAnsi="Times New Roman"/>
      <w:sz w:val="24"/>
    </w:rPr>
  </w:style>
  <w:style w:type="character" w:styleId="Hipercze">
    <w:name w:val="Hyperlink"/>
    <w:basedOn w:val="Domylnaczcionkaakapitu"/>
    <w:uiPriority w:val="99"/>
    <w:unhideWhenUsed/>
    <w:rsid w:val="00D4453A"/>
    <w:rPr>
      <w:color w:val="0563C1"/>
      <w:u w:val="single"/>
    </w:rPr>
  </w:style>
  <w:style w:type="character" w:styleId="UyteHipercze">
    <w:name w:val="FollowedHyperlink"/>
    <w:basedOn w:val="Domylnaczcionkaakapitu"/>
    <w:uiPriority w:val="99"/>
    <w:semiHidden/>
    <w:unhideWhenUsed/>
    <w:rsid w:val="00C748EC"/>
    <w:rPr>
      <w:color w:val="800080" w:themeColor="followedHyperlink"/>
      <w:u w:val="single"/>
    </w:rPr>
  </w:style>
  <w:style w:type="character" w:customStyle="1" w:styleId="Nagwek1Znak">
    <w:name w:val="Nagłówek 1 Znak"/>
    <w:basedOn w:val="Domylnaczcionkaakapitu"/>
    <w:link w:val="Nagwek1"/>
    <w:uiPriority w:val="9"/>
    <w:rsid w:val="00A56537"/>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361BD5"/>
    <w:pPr>
      <w:spacing w:line="276" w:lineRule="auto"/>
      <w:outlineLvl w:val="9"/>
    </w:pPr>
    <w:rPr>
      <w:lang w:val="pl-PL" w:eastAsia="pl-PL"/>
    </w:rPr>
  </w:style>
  <w:style w:type="paragraph" w:styleId="Spistreci1">
    <w:name w:val="toc 1"/>
    <w:basedOn w:val="Normalny"/>
    <w:next w:val="Normalny"/>
    <w:autoRedefine/>
    <w:uiPriority w:val="39"/>
    <w:unhideWhenUsed/>
    <w:qFormat/>
    <w:rsid w:val="00361BD5"/>
    <w:pPr>
      <w:spacing w:after="100"/>
    </w:pPr>
  </w:style>
  <w:style w:type="character" w:customStyle="1" w:styleId="Nagwek2Znak">
    <w:name w:val="Nagłówek 2 Znak"/>
    <w:basedOn w:val="Domylnaczcionkaakapitu"/>
    <w:link w:val="Nagwek2"/>
    <w:uiPriority w:val="9"/>
    <w:rsid w:val="00B32B6B"/>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B32B6B"/>
    <w:rPr>
      <w:rFonts w:asciiTheme="majorHAnsi" w:eastAsiaTheme="majorEastAsia" w:hAnsiTheme="majorHAnsi" w:cstheme="majorBidi"/>
      <w:b/>
      <w:bCs/>
      <w:color w:val="4F81BD" w:themeColor="accent1"/>
      <w:sz w:val="24"/>
    </w:rPr>
  </w:style>
  <w:style w:type="paragraph" w:styleId="Spistreci2">
    <w:name w:val="toc 2"/>
    <w:basedOn w:val="Normalny"/>
    <w:next w:val="Normalny"/>
    <w:autoRedefine/>
    <w:uiPriority w:val="39"/>
    <w:unhideWhenUsed/>
    <w:qFormat/>
    <w:rsid w:val="00E23C7B"/>
    <w:pPr>
      <w:spacing w:after="100"/>
      <w:ind w:left="240"/>
    </w:pPr>
  </w:style>
  <w:style w:type="paragraph" w:styleId="Spistreci3">
    <w:name w:val="toc 3"/>
    <w:basedOn w:val="Normalny"/>
    <w:next w:val="Normalny"/>
    <w:autoRedefine/>
    <w:uiPriority w:val="39"/>
    <w:unhideWhenUsed/>
    <w:qFormat/>
    <w:rsid w:val="00E23C7B"/>
    <w:pPr>
      <w:spacing w:after="100"/>
      <w:ind w:left="480"/>
    </w:pPr>
  </w:style>
  <w:style w:type="character" w:customStyle="1" w:styleId="Nagwek4Znak">
    <w:name w:val="Nagłówek 4 Znak"/>
    <w:basedOn w:val="Domylnaczcionkaakapitu"/>
    <w:link w:val="Nagwek4"/>
    <w:uiPriority w:val="9"/>
    <w:rsid w:val="00520604"/>
    <w:rPr>
      <w:rFonts w:asciiTheme="majorHAnsi" w:eastAsiaTheme="majorEastAsia" w:hAnsiTheme="majorHAnsi" w:cstheme="majorBidi"/>
      <w:b/>
      <w:bCs/>
      <w:i/>
      <w:i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4AD5"/>
    <w:pPr>
      <w:spacing w:after="0" w:line="360" w:lineRule="auto"/>
    </w:pPr>
    <w:rPr>
      <w:rFonts w:ascii="Times New Roman" w:hAnsi="Times New Roman"/>
      <w:sz w:val="24"/>
    </w:rPr>
  </w:style>
  <w:style w:type="paragraph" w:styleId="Nagwek1">
    <w:name w:val="heading 1"/>
    <w:basedOn w:val="Normalny"/>
    <w:next w:val="Normalny"/>
    <w:link w:val="Nagwek1Znak"/>
    <w:uiPriority w:val="9"/>
    <w:qFormat/>
    <w:rsid w:val="00A565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B32B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B32B6B"/>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52060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50542"/>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50542"/>
    <w:pPr>
      <w:tabs>
        <w:tab w:val="center" w:pos="4536"/>
        <w:tab w:val="right" w:pos="9072"/>
      </w:tabs>
      <w:spacing w:line="240" w:lineRule="auto"/>
    </w:pPr>
    <w:rPr>
      <w:rFonts w:asciiTheme="minorHAnsi" w:hAnsiTheme="minorHAnsi"/>
      <w:sz w:val="22"/>
      <w:lang w:val="en-GB"/>
    </w:rPr>
  </w:style>
  <w:style w:type="character" w:customStyle="1" w:styleId="NagwekZnak">
    <w:name w:val="Nagłówek Znak"/>
    <w:basedOn w:val="Domylnaczcionkaakapitu"/>
    <w:link w:val="Nagwek"/>
    <w:uiPriority w:val="99"/>
    <w:rsid w:val="00F50542"/>
    <w:rPr>
      <w:lang w:val="en-GB"/>
    </w:rPr>
  </w:style>
  <w:style w:type="paragraph" w:styleId="Stopka">
    <w:name w:val="footer"/>
    <w:basedOn w:val="Normalny"/>
    <w:link w:val="StopkaZnak"/>
    <w:uiPriority w:val="99"/>
    <w:unhideWhenUsed/>
    <w:rsid w:val="00F50542"/>
    <w:pPr>
      <w:tabs>
        <w:tab w:val="center" w:pos="4536"/>
        <w:tab w:val="right" w:pos="9072"/>
      </w:tabs>
      <w:spacing w:line="240" w:lineRule="auto"/>
    </w:pPr>
    <w:rPr>
      <w:rFonts w:asciiTheme="minorHAnsi" w:hAnsiTheme="minorHAnsi"/>
      <w:sz w:val="22"/>
      <w:lang w:val="en-GB"/>
    </w:rPr>
  </w:style>
  <w:style w:type="character" w:customStyle="1" w:styleId="StopkaZnak">
    <w:name w:val="Stopka Znak"/>
    <w:basedOn w:val="Domylnaczcionkaakapitu"/>
    <w:link w:val="Stopka"/>
    <w:uiPriority w:val="99"/>
    <w:rsid w:val="00F50542"/>
    <w:rPr>
      <w:lang w:val="en-GB"/>
    </w:rPr>
  </w:style>
  <w:style w:type="paragraph" w:styleId="Tekstprzypisudolnego">
    <w:name w:val="footnote text"/>
    <w:aliases w:val="Schriftart: 9 pt,Schriftart: 10 pt,Schriftart: 8 pt,WB-Fußnotentext,FoodNote,ft,Footnote text,Footnote Text Char Char,Footnote Text Char1 Char Char,Footnote Text Char Char Char Char,fn,f,Char,Voetnoottekst Char,Footnote Text Char1"/>
    <w:basedOn w:val="Normalny"/>
    <w:link w:val="TekstprzypisudolnegoZnak"/>
    <w:unhideWhenUsed/>
    <w:rsid w:val="00F50542"/>
    <w:pPr>
      <w:spacing w:line="240" w:lineRule="auto"/>
    </w:pPr>
    <w:rPr>
      <w:rFonts w:asciiTheme="minorHAnsi" w:hAnsiTheme="minorHAnsi"/>
      <w:sz w:val="20"/>
      <w:szCs w:val="20"/>
      <w:lang w:val="en-GB"/>
    </w:rPr>
  </w:style>
  <w:style w:type="character" w:customStyle="1" w:styleId="TekstprzypisudolnegoZnak">
    <w:name w:val="Tekst przypisu dolnego Znak"/>
    <w:aliases w:val="Schriftart: 9 pt Znak,Schriftart: 10 pt Znak,Schriftart: 8 pt Znak,WB-Fußnotentext Znak,FoodNote Znak,ft Znak,Footnote text Znak,Footnote Text Char Char Znak,Footnote Text Char1 Char Char Znak,fn Znak,f Znak,Char Znak"/>
    <w:basedOn w:val="Domylnaczcionkaakapitu"/>
    <w:link w:val="Tekstprzypisudolnego"/>
    <w:rsid w:val="00F50542"/>
    <w:rPr>
      <w:sz w:val="20"/>
      <w:szCs w:val="20"/>
      <w:lang w:val="en-GB"/>
    </w:rPr>
  </w:style>
  <w:style w:type="character" w:styleId="Odwoanieprzypisudolnego">
    <w:name w:val="footnote reference"/>
    <w:aliases w:val="Footnote,Footnote number,Footnote symbol,Footnote Reference Number,Footnote reference number,Times 10 Point,Exposant 3 Point,Footnote Reference Superscript,EN Footnote Reference,note TESI,Voetnootverwijzing,fr,o,FR,FR1"/>
    <w:basedOn w:val="Domylnaczcionkaakapitu"/>
    <w:uiPriority w:val="99"/>
    <w:unhideWhenUsed/>
    <w:rsid w:val="00F50542"/>
    <w:rPr>
      <w:vertAlign w:val="superscript"/>
    </w:rPr>
  </w:style>
  <w:style w:type="table" w:customStyle="1" w:styleId="TableGrid1">
    <w:name w:val="Table Grid1"/>
    <w:basedOn w:val="Standardowy"/>
    <w:next w:val="Tabela-Siatka"/>
    <w:uiPriority w:val="59"/>
    <w:rsid w:val="00F5054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Landscape">
    <w:name w:val="HeaderLandscape"/>
    <w:basedOn w:val="Normalny"/>
    <w:rsid w:val="00F50542"/>
    <w:pPr>
      <w:tabs>
        <w:tab w:val="center" w:pos="7285"/>
        <w:tab w:val="right" w:pos="14003"/>
      </w:tabs>
      <w:spacing w:after="120" w:line="240" w:lineRule="auto"/>
      <w:jc w:val="both"/>
    </w:pPr>
    <w:rPr>
      <w:rFonts w:cs="Times New Roman"/>
      <w:lang w:val="en-GB"/>
    </w:rPr>
  </w:style>
  <w:style w:type="character" w:styleId="Numerstrony">
    <w:name w:val="page number"/>
    <w:rsid w:val="00F50542"/>
  </w:style>
  <w:style w:type="paragraph" w:styleId="Tekstdymka">
    <w:name w:val="Balloon Text"/>
    <w:basedOn w:val="Normalny"/>
    <w:link w:val="TekstdymkaZnak"/>
    <w:uiPriority w:val="99"/>
    <w:semiHidden/>
    <w:unhideWhenUsed/>
    <w:rsid w:val="000E01AC"/>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01AC"/>
    <w:rPr>
      <w:rFonts w:ascii="Segoe UI" w:hAnsi="Segoe UI" w:cs="Segoe UI"/>
      <w:sz w:val="18"/>
      <w:szCs w:val="18"/>
    </w:rPr>
  </w:style>
  <w:style w:type="character" w:styleId="Odwoaniedokomentarza">
    <w:name w:val="annotation reference"/>
    <w:basedOn w:val="Domylnaczcionkaakapitu"/>
    <w:uiPriority w:val="99"/>
    <w:semiHidden/>
    <w:unhideWhenUsed/>
    <w:rsid w:val="000E01AC"/>
    <w:rPr>
      <w:sz w:val="16"/>
      <w:szCs w:val="16"/>
    </w:rPr>
  </w:style>
  <w:style w:type="paragraph" w:styleId="Tekstkomentarza">
    <w:name w:val="annotation text"/>
    <w:basedOn w:val="Normalny"/>
    <w:link w:val="TekstkomentarzaZnak"/>
    <w:uiPriority w:val="99"/>
    <w:unhideWhenUsed/>
    <w:rsid w:val="000E01AC"/>
    <w:pPr>
      <w:spacing w:line="240" w:lineRule="auto"/>
    </w:pPr>
    <w:rPr>
      <w:sz w:val="20"/>
      <w:szCs w:val="20"/>
    </w:rPr>
  </w:style>
  <w:style w:type="character" w:customStyle="1" w:styleId="TekstkomentarzaZnak">
    <w:name w:val="Tekst komentarza Znak"/>
    <w:basedOn w:val="Domylnaczcionkaakapitu"/>
    <w:link w:val="Tekstkomentarza"/>
    <w:uiPriority w:val="99"/>
    <w:rsid w:val="000E01AC"/>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0E01AC"/>
    <w:rPr>
      <w:b/>
      <w:bCs/>
    </w:rPr>
  </w:style>
  <w:style w:type="character" w:customStyle="1" w:styleId="TematkomentarzaZnak">
    <w:name w:val="Temat komentarza Znak"/>
    <w:basedOn w:val="TekstkomentarzaZnak"/>
    <w:link w:val="Tematkomentarza"/>
    <w:uiPriority w:val="99"/>
    <w:semiHidden/>
    <w:rsid w:val="000E01AC"/>
    <w:rPr>
      <w:rFonts w:ascii="Times New Roman" w:hAnsi="Times New Roman"/>
      <w:b/>
      <w:bCs/>
      <w:sz w:val="20"/>
      <w:szCs w:val="20"/>
    </w:rPr>
  </w:style>
  <w:style w:type="paragraph" w:styleId="Akapitzlist">
    <w:name w:val="List Paragraph"/>
    <w:basedOn w:val="Normalny"/>
    <w:link w:val="AkapitzlistZnak"/>
    <w:uiPriority w:val="34"/>
    <w:qFormat/>
    <w:rsid w:val="00187CE3"/>
    <w:pPr>
      <w:spacing w:after="200" w:line="276" w:lineRule="auto"/>
      <w:ind w:left="720"/>
      <w:contextualSpacing/>
    </w:pPr>
    <w:rPr>
      <w:rFonts w:asciiTheme="minorHAnsi" w:hAnsiTheme="minorHAnsi"/>
      <w:sz w:val="22"/>
      <w:lang w:val="en-GB"/>
    </w:rPr>
  </w:style>
  <w:style w:type="character" w:customStyle="1" w:styleId="AkapitzlistZnak">
    <w:name w:val="Akapit z listą Znak"/>
    <w:basedOn w:val="Domylnaczcionkaakapitu"/>
    <w:link w:val="Akapitzlist"/>
    <w:uiPriority w:val="34"/>
    <w:rsid w:val="00187CE3"/>
    <w:rPr>
      <w:lang w:val="en-GB"/>
    </w:rPr>
  </w:style>
  <w:style w:type="paragraph" w:customStyle="1" w:styleId="Default">
    <w:name w:val="Default"/>
    <w:rsid w:val="002E27BF"/>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uiPriority w:val="99"/>
    <w:semiHidden/>
    <w:rsid w:val="0056593F"/>
    <w:pPr>
      <w:spacing w:after="0" w:line="240" w:lineRule="auto"/>
    </w:pPr>
    <w:rPr>
      <w:rFonts w:ascii="Times New Roman" w:hAnsi="Times New Roman"/>
      <w:sz w:val="24"/>
    </w:rPr>
  </w:style>
  <w:style w:type="character" w:styleId="Hipercze">
    <w:name w:val="Hyperlink"/>
    <w:basedOn w:val="Domylnaczcionkaakapitu"/>
    <w:uiPriority w:val="99"/>
    <w:unhideWhenUsed/>
    <w:rsid w:val="00D4453A"/>
    <w:rPr>
      <w:color w:val="0563C1"/>
      <w:u w:val="single"/>
    </w:rPr>
  </w:style>
  <w:style w:type="character" w:styleId="UyteHipercze">
    <w:name w:val="FollowedHyperlink"/>
    <w:basedOn w:val="Domylnaczcionkaakapitu"/>
    <w:uiPriority w:val="99"/>
    <w:semiHidden/>
    <w:unhideWhenUsed/>
    <w:rsid w:val="00C748EC"/>
    <w:rPr>
      <w:color w:val="800080" w:themeColor="followedHyperlink"/>
      <w:u w:val="single"/>
    </w:rPr>
  </w:style>
  <w:style w:type="character" w:customStyle="1" w:styleId="Nagwek1Znak">
    <w:name w:val="Nagłówek 1 Znak"/>
    <w:basedOn w:val="Domylnaczcionkaakapitu"/>
    <w:link w:val="Nagwek1"/>
    <w:uiPriority w:val="9"/>
    <w:rsid w:val="00A56537"/>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361BD5"/>
    <w:pPr>
      <w:spacing w:line="276" w:lineRule="auto"/>
      <w:outlineLvl w:val="9"/>
    </w:pPr>
    <w:rPr>
      <w:lang w:val="pl-PL" w:eastAsia="pl-PL"/>
    </w:rPr>
  </w:style>
  <w:style w:type="paragraph" w:styleId="Spistreci1">
    <w:name w:val="toc 1"/>
    <w:basedOn w:val="Normalny"/>
    <w:next w:val="Normalny"/>
    <w:autoRedefine/>
    <w:uiPriority w:val="39"/>
    <w:unhideWhenUsed/>
    <w:qFormat/>
    <w:rsid w:val="00361BD5"/>
    <w:pPr>
      <w:spacing w:after="100"/>
    </w:pPr>
  </w:style>
  <w:style w:type="character" w:customStyle="1" w:styleId="Nagwek2Znak">
    <w:name w:val="Nagłówek 2 Znak"/>
    <w:basedOn w:val="Domylnaczcionkaakapitu"/>
    <w:link w:val="Nagwek2"/>
    <w:uiPriority w:val="9"/>
    <w:rsid w:val="00B32B6B"/>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B32B6B"/>
    <w:rPr>
      <w:rFonts w:asciiTheme="majorHAnsi" w:eastAsiaTheme="majorEastAsia" w:hAnsiTheme="majorHAnsi" w:cstheme="majorBidi"/>
      <w:b/>
      <w:bCs/>
      <w:color w:val="4F81BD" w:themeColor="accent1"/>
      <w:sz w:val="24"/>
    </w:rPr>
  </w:style>
  <w:style w:type="paragraph" w:styleId="Spistreci2">
    <w:name w:val="toc 2"/>
    <w:basedOn w:val="Normalny"/>
    <w:next w:val="Normalny"/>
    <w:autoRedefine/>
    <w:uiPriority w:val="39"/>
    <w:unhideWhenUsed/>
    <w:qFormat/>
    <w:rsid w:val="00E23C7B"/>
    <w:pPr>
      <w:spacing w:after="100"/>
      <w:ind w:left="240"/>
    </w:pPr>
  </w:style>
  <w:style w:type="paragraph" w:styleId="Spistreci3">
    <w:name w:val="toc 3"/>
    <w:basedOn w:val="Normalny"/>
    <w:next w:val="Normalny"/>
    <w:autoRedefine/>
    <w:uiPriority w:val="39"/>
    <w:unhideWhenUsed/>
    <w:qFormat/>
    <w:rsid w:val="00E23C7B"/>
    <w:pPr>
      <w:spacing w:after="100"/>
      <w:ind w:left="480"/>
    </w:pPr>
  </w:style>
  <w:style w:type="character" w:customStyle="1" w:styleId="Nagwek4Znak">
    <w:name w:val="Nagłówek 4 Znak"/>
    <w:basedOn w:val="Domylnaczcionkaakapitu"/>
    <w:link w:val="Nagwek4"/>
    <w:uiPriority w:val="9"/>
    <w:rsid w:val="00520604"/>
    <w:rPr>
      <w:rFonts w:asciiTheme="majorHAnsi" w:eastAsiaTheme="majorEastAsia" w:hAnsiTheme="majorHAnsi" w:cstheme="majorBidi"/>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9687">
      <w:bodyDiv w:val="1"/>
      <w:marLeft w:val="0"/>
      <w:marRight w:val="0"/>
      <w:marTop w:val="0"/>
      <w:marBottom w:val="0"/>
      <w:divBdr>
        <w:top w:val="none" w:sz="0" w:space="0" w:color="auto"/>
        <w:left w:val="none" w:sz="0" w:space="0" w:color="auto"/>
        <w:bottom w:val="none" w:sz="0" w:space="0" w:color="auto"/>
        <w:right w:val="none" w:sz="0" w:space="0" w:color="auto"/>
      </w:divBdr>
    </w:div>
    <w:div w:id="294944606">
      <w:bodyDiv w:val="1"/>
      <w:marLeft w:val="0"/>
      <w:marRight w:val="0"/>
      <w:marTop w:val="0"/>
      <w:marBottom w:val="0"/>
      <w:divBdr>
        <w:top w:val="none" w:sz="0" w:space="0" w:color="auto"/>
        <w:left w:val="none" w:sz="0" w:space="0" w:color="auto"/>
        <w:bottom w:val="none" w:sz="0" w:space="0" w:color="auto"/>
        <w:right w:val="none" w:sz="0" w:space="0" w:color="auto"/>
      </w:divBdr>
    </w:div>
    <w:div w:id="452137243">
      <w:bodyDiv w:val="1"/>
      <w:marLeft w:val="0"/>
      <w:marRight w:val="0"/>
      <w:marTop w:val="0"/>
      <w:marBottom w:val="0"/>
      <w:divBdr>
        <w:top w:val="none" w:sz="0" w:space="0" w:color="auto"/>
        <w:left w:val="none" w:sz="0" w:space="0" w:color="auto"/>
        <w:bottom w:val="none" w:sz="0" w:space="0" w:color="auto"/>
        <w:right w:val="none" w:sz="0" w:space="0" w:color="auto"/>
      </w:divBdr>
    </w:div>
    <w:div w:id="707797372">
      <w:bodyDiv w:val="1"/>
      <w:marLeft w:val="0"/>
      <w:marRight w:val="0"/>
      <w:marTop w:val="0"/>
      <w:marBottom w:val="0"/>
      <w:divBdr>
        <w:top w:val="none" w:sz="0" w:space="0" w:color="auto"/>
        <w:left w:val="none" w:sz="0" w:space="0" w:color="auto"/>
        <w:bottom w:val="none" w:sz="0" w:space="0" w:color="auto"/>
        <w:right w:val="none" w:sz="0" w:space="0" w:color="auto"/>
      </w:divBdr>
    </w:div>
    <w:div w:id="730815279">
      <w:bodyDiv w:val="1"/>
      <w:marLeft w:val="0"/>
      <w:marRight w:val="0"/>
      <w:marTop w:val="0"/>
      <w:marBottom w:val="0"/>
      <w:divBdr>
        <w:top w:val="none" w:sz="0" w:space="0" w:color="auto"/>
        <w:left w:val="none" w:sz="0" w:space="0" w:color="auto"/>
        <w:bottom w:val="none" w:sz="0" w:space="0" w:color="auto"/>
        <w:right w:val="none" w:sz="0" w:space="0" w:color="auto"/>
      </w:divBdr>
    </w:div>
    <w:div w:id="1029113080">
      <w:bodyDiv w:val="1"/>
      <w:marLeft w:val="0"/>
      <w:marRight w:val="0"/>
      <w:marTop w:val="0"/>
      <w:marBottom w:val="0"/>
      <w:divBdr>
        <w:top w:val="none" w:sz="0" w:space="0" w:color="auto"/>
        <w:left w:val="none" w:sz="0" w:space="0" w:color="auto"/>
        <w:bottom w:val="none" w:sz="0" w:space="0" w:color="auto"/>
        <w:right w:val="none" w:sz="0" w:space="0" w:color="auto"/>
      </w:divBdr>
    </w:div>
    <w:div w:id="1116172732">
      <w:bodyDiv w:val="1"/>
      <w:marLeft w:val="0"/>
      <w:marRight w:val="0"/>
      <w:marTop w:val="0"/>
      <w:marBottom w:val="0"/>
      <w:divBdr>
        <w:top w:val="none" w:sz="0" w:space="0" w:color="auto"/>
        <w:left w:val="none" w:sz="0" w:space="0" w:color="auto"/>
        <w:bottom w:val="none" w:sz="0" w:space="0" w:color="auto"/>
        <w:right w:val="none" w:sz="0" w:space="0" w:color="auto"/>
      </w:divBdr>
    </w:div>
    <w:div w:id="1261599177">
      <w:bodyDiv w:val="1"/>
      <w:marLeft w:val="0"/>
      <w:marRight w:val="0"/>
      <w:marTop w:val="0"/>
      <w:marBottom w:val="0"/>
      <w:divBdr>
        <w:top w:val="none" w:sz="0" w:space="0" w:color="auto"/>
        <w:left w:val="none" w:sz="0" w:space="0" w:color="auto"/>
        <w:bottom w:val="none" w:sz="0" w:space="0" w:color="auto"/>
        <w:right w:val="none" w:sz="0" w:space="0" w:color="auto"/>
      </w:divBdr>
    </w:div>
    <w:div w:id="1711605861">
      <w:bodyDiv w:val="1"/>
      <w:marLeft w:val="0"/>
      <w:marRight w:val="0"/>
      <w:marTop w:val="0"/>
      <w:marBottom w:val="0"/>
      <w:divBdr>
        <w:top w:val="none" w:sz="0" w:space="0" w:color="auto"/>
        <w:left w:val="none" w:sz="0" w:space="0" w:color="auto"/>
        <w:bottom w:val="none" w:sz="0" w:space="0" w:color="auto"/>
        <w:right w:val="none" w:sz="0" w:space="0" w:color="auto"/>
      </w:divBdr>
    </w:div>
    <w:div w:id="1730568897">
      <w:bodyDiv w:val="1"/>
      <w:marLeft w:val="0"/>
      <w:marRight w:val="0"/>
      <w:marTop w:val="0"/>
      <w:marBottom w:val="0"/>
      <w:divBdr>
        <w:top w:val="none" w:sz="0" w:space="0" w:color="auto"/>
        <w:left w:val="none" w:sz="0" w:space="0" w:color="auto"/>
        <w:bottom w:val="none" w:sz="0" w:space="0" w:color="auto"/>
        <w:right w:val="none" w:sz="0" w:space="0" w:color="auto"/>
      </w:divBdr>
    </w:div>
    <w:div w:id="1738169723">
      <w:bodyDiv w:val="1"/>
      <w:marLeft w:val="0"/>
      <w:marRight w:val="0"/>
      <w:marTop w:val="0"/>
      <w:marBottom w:val="0"/>
      <w:divBdr>
        <w:top w:val="none" w:sz="0" w:space="0" w:color="auto"/>
        <w:left w:val="none" w:sz="0" w:space="0" w:color="auto"/>
        <w:bottom w:val="none" w:sz="0" w:space="0" w:color="auto"/>
        <w:right w:val="none" w:sz="0" w:space="0" w:color="auto"/>
      </w:divBdr>
    </w:div>
    <w:div w:id="205029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0.xml"/><Relationship Id="rId10" Type="http://schemas.openxmlformats.org/officeDocument/2006/relationships/image" Target="media/image1.png"/><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A08A7-B722-466C-A7CF-51CD55E30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101</Pages>
  <Words>25946</Words>
  <Characters>155682</Characters>
  <Application>Microsoft Office Word</Application>
  <DocSecurity>0</DocSecurity>
  <Lines>1297</Lines>
  <Paragraphs>362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MRR</Company>
  <LinksUpToDate>false</LinksUpToDate>
  <CharactersWithSpaces>181266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Strojecka-Gevorgyan</dc:creator>
  <cp:lastModifiedBy>Monika Strojecka-Gevorgyan</cp:lastModifiedBy>
  <cp:revision>52</cp:revision>
  <cp:lastPrinted>2021-04-19T11:52:00Z</cp:lastPrinted>
  <dcterms:created xsi:type="dcterms:W3CDTF">2021-05-26T13:01:00Z</dcterms:created>
  <dcterms:modified xsi:type="dcterms:W3CDTF">2021-06-01T12:43:00Z</dcterms:modified>
</cp:coreProperties>
</file>